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版本号：241230001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网络与信息化机房设备维保服务(二次)</w:t>
      </w:r>
    </w:p>
    <w:p>
      <w:pPr>
        <w:pStyle w:val="null3"/>
        <w:jc w:val="center"/>
        <w:outlineLvl w:val="2"/>
      </w:pPr>
      <w:r>
        <w:rPr>
          <w:sz w:val="28"/>
          <w:b/>
        </w:rPr>
        <w:t>采购项目编号：</w:t>
      </w:r>
      <w:r>
        <w:rPr>
          <w:sz w:val="28"/>
          <w:b/>
        </w:rPr>
        <w:t>JXRC-241219-2</w:t>
      </w:r>
      <w:r>
        <w:br/>
      </w:r>
      <w:r>
        <w:br/>
      </w:r>
      <w:r>
        <w:br/>
      </w:r>
    </w:p>
    <w:p>
      <w:pPr>
        <w:pStyle w:val="null3"/>
        <w:jc w:val="center"/>
        <w:outlineLvl w:val="2"/>
      </w:pPr>
      <w:r>
        <w:rPr>
          <w:sz w:val="28"/>
          <w:b/>
        </w:rPr>
        <w:t>西安市人民医院（西安市第四医院）</w:t>
      </w:r>
    </w:p>
    <w:p>
      <w:pPr>
        <w:pStyle w:val="null3"/>
        <w:jc w:val="center"/>
        <w:outlineLvl w:val="2"/>
      </w:pPr>
      <w:r>
        <w:rPr>
          <w:sz w:val="28"/>
          <w:b/>
        </w:rPr>
        <w:t>陕西嘉信瑞诚招标有限公司</w:t>
      </w:r>
      <w:r>
        <w:rPr>
          <w:sz w:val="28"/>
          <w:b/>
        </w:rPr>
        <w:t>共同编制</w:t>
      </w:r>
    </w:p>
    <w:p>
      <w:pPr>
        <w:pStyle w:val="null3"/>
        <w:jc w:val="center"/>
        <w:outlineLvl w:val="2"/>
      </w:pPr>
      <w:r>
        <w:rPr>
          <w:sz w:val="28"/>
          <w:b/>
        </w:rPr>
        <w:t>2024年12月30日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陕西嘉信瑞诚招标有限公司</w:t>
      </w:r>
      <w:r>
        <w:rPr/>
        <w:t>（以下简称“代理机构”）受</w:t>
      </w:r>
      <w:r>
        <w:rPr/>
        <w:t>西安市人民医院（西安市第四医院）</w:t>
      </w:r>
      <w:r>
        <w:rPr/>
        <w:t>委托，拟对</w:t>
      </w:r>
      <w:r>
        <w:rPr/>
        <w:t>网络与信息化机房设备维保服务(二次)</w:t>
      </w:r>
      <w:r>
        <w:rPr/>
        <w:t>采用竞争性磋商采购方式进行采购，兹邀请供应商参加本项目的竞争性磋商。</w:t>
      </w:r>
    </w:p>
    <w:p>
      <w:pPr>
        <w:pStyle w:val="null3"/>
        <w:outlineLvl w:val="2"/>
      </w:pPr>
      <w:r>
        <w:rPr>
          <w:sz w:val="28"/>
          <w:b/>
        </w:rPr>
        <w:t>一、项目编号：</w:t>
      </w:r>
      <w:r>
        <w:rPr>
          <w:sz w:val="28"/>
          <w:b/>
        </w:rPr>
        <w:t>JXRC-241219-2</w:t>
      </w:r>
    </w:p>
    <w:p>
      <w:pPr>
        <w:pStyle w:val="null3"/>
        <w:outlineLvl w:val="2"/>
      </w:pPr>
      <w:r>
        <w:rPr>
          <w:sz w:val="28"/>
          <w:b/>
        </w:rPr>
        <w:t>二、项目名称：</w:t>
      </w:r>
      <w:r>
        <w:rPr>
          <w:sz w:val="28"/>
          <w:b/>
        </w:rPr>
        <w:t>网络与信息化机房设备维保服务(二次)</w:t>
      </w:r>
    </w:p>
    <w:p>
      <w:pPr>
        <w:pStyle w:val="null3"/>
        <w:outlineLvl w:val="2"/>
      </w:pPr>
      <w:r>
        <w:rPr>
          <w:sz w:val="28"/>
          <w:b/>
        </w:rPr>
        <w:t>三、磋商项目简介</w:t>
      </w:r>
    </w:p>
    <w:p>
      <w:pPr>
        <w:pStyle w:val="null3"/>
        <w:ind w:firstLine="480"/>
      </w:pPr>
      <w:r>
        <w:rPr/>
        <w:t>网络与信息化机房设备维保服务，一项。</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采购包1（网络与信息化机房设备维保服务）：属于专门面向中小企业采购。</w:t>
      </w:r>
    </w:p>
    <w:p>
      <w:pPr>
        <w:pStyle w:val="null3"/>
        <w:ind w:firstLine="480"/>
      </w:pPr>
      <w:r>
        <w:rPr/>
        <w:t>（三）本项目的特定资格要求：</w:t>
      </w:r>
    </w:p>
    <w:p>
      <w:pPr>
        <w:pStyle w:val="null3"/>
      </w:pPr>
      <w:r>
        <w:rPr/>
        <w:t>采购包1：</w:t>
      </w:r>
    </w:p>
    <w:p>
      <w:pPr>
        <w:pStyle w:val="null3"/>
      </w:pPr>
      <w:r>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2、供应商应有良好的财务状况：法人提供会计师事务所出具的完整的2023年度审计报告（成立时间至提交投标文件截止时间不足一年的可提供成立后任意时段的资产负债表)或2024年6月1日后其开户银行出具的资信证明或信用担保机构出具的投标担保函（以上三种形式的资料提供任何一种即可)；其他组织和自然人提供银行出具的资信证明或财务报表；并进行电子签章。</w:t>
      </w:r>
    </w:p>
    <w:p>
      <w:pPr>
        <w:pStyle w:val="null3"/>
      </w:pPr>
      <w:r>
        <w:rPr/>
        <w:t>3、供应商应有依法缴纳税收的良好记录：法人提供自2024年6月1日以来至少一个月的纳税证明或完税证明，纳税证明或完税证明上应有代收机构或税务机关的公章或业务专用章；其他组织和自然人提供自2024年6月1日以来至少一个月缴纳税收的凭据；依法免税的供应商应提供相关文件证明；并进行电子签章。</w:t>
      </w:r>
    </w:p>
    <w:p>
      <w:pPr>
        <w:pStyle w:val="null3"/>
      </w:pPr>
      <w:r>
        <w:rPr/>
        <w:t>4、供应商应有依法缴纳社会保障资金的良好记录：提供自2024年6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t>5、法定代表人/负责人授权书：法定代表人/负责人直接参加的，只须递交《法定代表人/负责人身份证明》；法定代表人/负责人授权代表参加的，须递交《法定代表人/负责人授权书》；并进行电子签章。</w:t>
      </w:r>
    </w:p>
    <w:p>
      <w:pPr>
        <w:pStyle w:val="null3"/>
      </w:pPr>
      <w:r>
        <w:rPr/>
        <w:t>6、无重大违法记录：供应商需在项目电子化交易系统中按要求填写《无重大违法记录声明》完成承诺；并进行电子签章。</w:t>
      </w:r>
    </w:p>
    <w:p>
      <w:pPr>
        <w:pStyle w:val="null3"/>
      </w:pPr>
      <w:r>
        <w:rPr/>
        <w:t>7、供应商应具有履行合同所必需的设备和专业技术能力：供应商需在项目电子化交易系统中按要求填写《具有履行合同所必需的设备和专业技术能力的承诺书》完成承诺；并进行电子签章。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西安市人民医院（西安市第四医院）</w:t>
      </w:r>
    </w:p>
    <w:p>
      <w:pPr>
        <w:pStyle w:val="null3"/>
      </w:pPr>
      <w:r>
        <w:rPr/>
        <w:t xml:space="preserve"> 地址： </w:t>
      </w:r>
      <w:r>
        <w:rPr/>
        <w:t>西安市长安区航天新城航天东路155号</w:t>
      </w:r>
    </w:p>
    <w:p>
      <w:pPr>
        <w:pStyle w:val="null3"/>
      </w:pPr>
      <w:r>
        <w:rPr/>
        <w:t xml:space="preserve"> 邮编： </w:t>
      </w:r>
      <w:r>
        <w:rPr/>
        <w:t>710199</w:t>
      </w:r>
    </w:p>
    <w:p>
      <w:pPr>
        <w:pStyle w:val="null3"/>
      </w:pPr>
      <w:r>
        <w:rPr/>
        <w:t xml:space="preserve"> 联系人： </w:t>
      </w:r>
      <w:r>
        <w:rPr/>
        <w:t>李老师</w:t>
      </w:r>
    </w:p>
    <w:p>
      <w:pPr>
        <w:pStyle w:val="null3"/>
      </w:pPr>
      <w:r>
        <w:rPr/>
        <w:t xml:space="preserve"> 联系电话： </w:t>
      </w:r>
      <w:r>
        <w:rPr/>
        <w:t>029-61220012</w:t>
      </w:r>
    </w:p>
    <w:p>
      <w:pPr>
        <w:pStyle w:val="null3"/>
        <w:outlineLvl w:val="3"/>
      </w:pPr>
      <w:r>
        <w:rPr>
          <w:sz w:val="24"/>
          <w:b/>
        </w:rPr>
        <w:t>代理机构：</w:t>
      </w:r>
      <w:r>
        <w:rPr>
          <w:sz w:val="24"/>
          <w:b/>
        </w:rPr>
        <w:t>陕西嘉信瑞诚招标有限公司</w:t>
      </w:r>
    </w:p>
    <w:p>
      <w:pPr>
        <w:pStyle w:val="null3"/>
      </w:pPr>
      <w:r>
        <w:rPr/>
        <w:t xml:space="preserve"> 地址： </w:t>
      </w:r>
      <w:r>
        <w:rPr/>
        <w:t>西安市南稍门十字东南角大话南门壹中心18层1806室</w:t>
      </w:r>
    </w:p>
    <w:p>
      <w:pPr>
        <w:pStyle w:val="null3"/>
      </w:pPr>
      <w:r>
        <w:rPr/>
        <w:t xml:space="preserve"> 邮编： </w:t>
      </w:r>
      <w:r>
        <w:rPr/>
        <w:t>710061</w:t>
      </w:r>
    </w:p>
    <w:p>
      <w:pPr>
        <w:pStyle w:val="null3"/>
      </w:pPr>
      <w:r>
        <w:rPr/>
        <w:t xml:space="preserve"> 联系人： </w:t>
      </w:r>
      <w:r>
        <w:rPr/>
        <w:t>曲慧、张海</w:t>
      </w:r>
    </w:p>
    <w:p>
      <w:pPr>
        <w:pStyle w:val="null3"/>
      </w:pPr>
      <w:r>
        <w:rPr/>
        <w:t xml:space="preserve"> 联系电话： </w:t>
      </w:r>
      <w:r>
        <w:rPr/>
        <w:t>029-81541692</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代理服务费收费标准：收费标准参照原中华人民共和国国家计划委员会计价格[2002]1980号文下浮20%计算收取，具体收费额以采购代理机构出具的发票为准。</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踏勘时间：2025-01-08 09:30:00</w:t>
            </w:r>
          </w:p>
          <w:p>
            <w:pPr>
              <w:pStyle w:val="null3"/>
              <w:ind w:firstLine="975"/>
            </w:pPr>
            <w:r>
              <w:rPr/>
              <w:t>踏勘地点： 航天城院区门诊楼前（注：大差市院区踏勘时间为2025年1月8日14:30，踏勘地点：大差市院区门诊一部楼前）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ind w:firstLine="975"/>
            </w:pPr>
            <w:r>
              <w:rPr/>
              <w:t>联系人：田颖琦</w:t>
            </w:r>
          </w:p>
          <w:p>
            <w:pPr>
              <w:pStyle w:val="null3"/>
              <w:ind w:firstLine="975"/>
            </w:pPr>
            <w:r>
              <w:rPr/>
              <w:t>联系电话号码：15829543832</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西安市人民医院（西安市第四医院）</w:t>
      </w:r>
      <w:r>
        <w:rPr/>
        <w:t>和</w:t>
      </w:r>
      <w:r>
        <w:rPr/>
        <w:t>陕西嘉信瑞诚招标有限公司</w:t>
      </w:r>
      <w:r>
        <w:rPr/>
        <w:t>享有。对磋商文件中供应商参加本次政府采购活动应当具备的条件，磋商项目技术、服务、商务及其他要求，评审细则及标准由</w:t>
      </w:r>
      <w:r>
        <w:rPr/>
        <w:t>西安市人民医院（西安市第四医院）</w:t>
      </w:r>
      <w:r>
        <w:rPr/>
        <w:t>负责解释。除上述磋商文件内容，其他内容由</w:t>
      </w:r>
      <w:r>
        <w:rPr/>
        <w:t>陕西嘉信瑞诚招标有限公司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西安市人民医院（西安市第四医院）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陕西嘉信瑞诚招标有限公司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1、招标文件、投标文件、澄清表(函); 2、本合同及附件文本； 3、国家相应的标准、规范。 4、总结报告、巡检单、满意度调查表等</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陕西嘉信瑞诚招标有限公司</w:t>
      </w:r>
      <w:r>
        <w:rPr/>
        <w:t xml:space="preserve"> 负责答复；供应商对除采购需求外的采购文件的询问、质疑由</w:t>
      </w:r>
      <w:r>
        <w:rPr/>
        <w:t>陕西嘉信瑞诚招标有限公司</w:t>
      </w:r>
      <w:r>
        <w:rPr/>
        <w:t xml:space="preserve"> 负责答复；供应商对采购过程、采购结果的询问、质疑由 </w:t>
      </w:r>
      <w:r>
        <w:rPr/>
        <w:t>陕西嘉信瑞诚招标有限公司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联系人：曲慧、张海</w:t>
      </w:r>
    </w:p>
    <w:p>
      <w:pPr>
        <w:pStyle w:val="null3"/>
      </w:pPr>
      <w:r>
        <w:rPr/>
        <w:t>联系电话：029-81541692</w:t>
      </w:r>
    </w:p>
    <w:p>
      <w:pPr>
        <w:pStyle w:val="null3"/>
      </w:pPr>
      <w:r>
        <w:rPr/>
        <w:t>地址：西安市南稍门十字东南角大话南门壹中心1806室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我院两院区信息化机房硬件集成建成投入使用至今，各设备运行平稳，核心设备已过维保期；为提高信息化机房各类设备的使用效率，延长设备的使用寿命，降低因基础设备带来的安全风险，需要进行全面维护保养和定期巡检，确保我院系统和网络稳定，降低风险，本次采购机房运维服务，服务内容为我院信息系统机房核心设备：服务器、存储、虚拟化（超融合）平台、核心网络交换、UPS、精密空调等设施及其相关软件的质保与日常维护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700,000.00</w:t>
      </w:r>
    </w:p>
    <w:p>
      <w:pPr>
        <w:pStyle w:val="null3"/>
      </w:pPr>
      <w:r>
        <w:rPr/>
        <w:t>采购包最高限价（元）: 700,000.00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网络与信息化机房设备维保服务</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标的名称：网络与信息化机房设备维保服务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一、资产统计、更新、变更登记服务</w:t>
            </w:r>
          </w:p>
        </w:tc>
      </w:tr>
      <w:tr>
        <w:tc>
          <w:tcPr>
            <w:tcW w:type="dxa" w:w="2769"/>
          </w:tcPr>
          <w:p/>
        </w:tc>
        <w:tc>
          <w:tcPr>
            <w:tcW w:type="dxa" w:w="2769"/>
          </w:tcPr>
          <w:p>
            <w:pPr>
              <w:pStyle w:val="null3"/>
            </w:pPr>
            <w:r>
              <w:rPr/>
              <w:t>2</w:t>
            </w:r>
          </w:p>
        </w:tc>
        <w:tc>
          <w:tcPr>
            <w:tcW w:type="dxa" w:w="2769"/>
          </w:tcPr>
          <w:p>
            <w:pPr>
              <w:pStyle w:val="null3"/>
            </w:pPr>
            <w:r>
              <w:rPr/>
              <w:t>1.1 服务要求：协助医院做好数据中心各类资产的梳理、统计、变更情况的记录，建立资产台账</w:t>
            </w:r>
          </w:p>
        </w:tc>
      </w:tr>
      <w:tr>
        <w:tc>
          <w:tcPr>
            <w:tcW w:type="dxa" w:w="2769"/>
          </w:tcPr>
          <w:p/>
        </w:tc>
        <w:tc>
          <w:tcPr>
            <w:tcW w:type="dxa" w:w="2769"/>
          </w:tcPr>
          <w:p>
            <w:pPr>
              <w:pStyle w:val="null3"/>
            </w:pPr>
            <w:r>
              <w:rPr/>
              <w:t>3</w:t>
            </w:r>
          </w:p>
        </w:tc>
        <w:tc>
          <w:tcPr>
            <w:tcW w:type="dxa" w:w="2769"/>
          </w:tcPr>
          <w:p>
            <w:pPr>
              <w:pStyle w:val="null3"/>
            </w:pPr>
            <w:r>
              <w:rPr/>
              <w:t>1.2 服务内容：硬件设备型号、数量、版本等信息统计记录，网络结构、网络路由、网络IP地址统计记录，综合布线系统结构图的绘制，其它附属设备的统计记录，预防性硬件设备维护服务培训、专业知识培训等</w:t>
            </w:r>
          </w:p>
        </w:tc>
      </w:tr>
      <w:tr>
        <w:tc>
          <w:tcPr>
            <w:tcW w:type="dxa" w:w="2769"/>
          </w:tcPr>
          <w:p/>
        </w:tc>
        <w:tc>
          <w:tcPr>
            <w:tcW w:type="dxa" w:w="2769"/>
          </w:tcPr>
          <w:p>
            <w:pPr>
              <w:pStyle w:val="null3"/>
            </w:pPr>
            <w:r>
              <w:rPr/>
              <w:t>4</w:t>
            </w:r>
          </w:p>
        </w:tc>
        <w:tc>
          <w:tcPr>
            <w:tcW w:type="dxa" w:w="2769"/>
          </w:tcPr>
          <w:p>
            <w:pPr>
              <w:pStyle w:val="null3"/>
            </w:pPr>
            <w:r>
              <w:rPr/>
              <w:t>二、网络、安全设备运维服务</w:t>
            </w:r>
          </w:p>
        </w:tc>
      </w:tr>
      <w:tr>
        <w:tc>
          <w:tcPr>
            <w:tcW w:type="dxa" w:w="2769"/>
          </w:tcPr>
          <w:p/>
        </w:tc>
        <w:tc>
          <w:tcPr>
            <w:tcW w:type="dxa" w:w="2769"/>
          </w:tcPr>
          <w:p>
            <w:pPr>
              <w:pStyle w:val="null3"/>
            </w:pPr>
            <w:r>
              <w:rPr/>
              <w:t>5</w:t>
            </w:r>
          </w:p>
        </w:tc>
        <w:tc>
          <w:tcPr>
            <w:tcW w:type="dxa" w:w="2769"/>
          </w:tcPr>
          <w:p>
            <w:pPr>
              <w:pStyle w:val="null3"/>
            </w:pPr>
            <w:r>
              <w:rPr/>
              <w:t>2.1 服务要求：通过网络、安全系统管理服务，降低网络设备故障率，提高网络设备的运行性能，提高网络运行的稳定性、可靠性</w:t>
            </w:r>
          </w:p>
        </w:tc>
      </w:tr>
      <w:tr>
        <w:tc>
          <w:tcPr>
            <w:tcW w:type="dxa" w:w="2769"/>
          </w:tcPr>
          <w:p>
            <w:pPr>
              <w:pStyle w:val="null3"/>
            </w:pPr>
            <w:r>
              <w:rPr/>
              <w:t>★</w:t>
            </w:r>
          </w:p>
        </w:tc>
        <w:tc>
          <w:tcPr>
            <w:tcW w:type="dxa" w:w="2769"/>
          </w:tcPr>
          <w:p>
            <w:pPr>
              <w:pStyle w:val="null3"/>
            </w:pPr>
            <w:r>
              <w:rPr/>
              <w:t>6</w:t>
            </w:r>
          </w:p>
        </w:tc>
        <w:tc>
          <w:tcPr>
            <w:tcW w:type="dxa" w:w="2769"/>
          </w:tcPr>
          <w:p>
            <w:pPr>
              <w:pStyle w:val="null3"/>
            </w:pPr>
            <w:r>
              <w:rPr/>
              <w:t>2.2 服务内容：设备硬件及环境保养，设备硬件日常维护，设备故障检测及故障排除、处理，网络系统重部署及调试，网络异常问题处理，网络设备硬件状态检查，网络设备配置管理服务，网络设备资料与配置参数优化，网络使用状况趋势分析及建议，网络安全管理等</w:t>
            </w:r>
          </w:p>
        </w:tc>
      </w:tr>
      <w:tr>
        <w:tc>
          <w:tcPr>
            <w:tcW w:type="dxa" w:w="2769"/>
          </w:tcPr>
          <w:p/>
        </w:tc>
        <w:tc>
          <w:tcPr>
            <w:tcW w:type="dxa" w:w="2769"/>
          </w:tcPr>
          <w:p>
            <w:pPr>
              <w:pStyle w:val="null3"/>
            </w:pPr>
            <w:r>
              <w:rPr/>
              <w:t>7</w:t>
            </w:r>
          </w:p>
        </w:tc>
        <w:tc>
          <w:tcPr>
            <w:tcW w:type="dxa" w:w="2769"/>
          </w:tcPr>
          <w:p>
            <w:pPr>
              <w:pStyle w:val="null3"/>
            </w:pPr>
            <w:r>
              <w:rPr/>
              <w:t>三、服务器及存储运维服务</w:t>
            </w:r>
          </w:p>
        </w:tc>
      </w:tr>
      <w:tr>
        <w:tc>
          <w:tcPr>
            <w:tcW w:type="dxa" w:w="2769"/>
          </w:tcPr>
          <w:p/>
        </w:tc>
        <w:tc>
          <w:tcPr>
            <w:tcW w:type="dxa" w:w="2769"/>
          </w:tcPr>
          <w:p>
            <w:pPr>
              <w:pStyle w:val="null3"/>
            </w:pPr>
            <w:r>
              <w:rPr/>
              <w:t>8</w:t>
            </w:r>
          </w:p>
        </w:tc>
        <w:tc>
          <w:tcPr>
            <w:tcW w:type="dxa" w:w="2769"/>
          </w:tcPr>
          <w:p>
            <w:pPr>
              <w:pStyle w:val="null3"/>
            </w:pPr>
            <w:r>
              <w:rPr/>
              <w:t>3.1 服务器</w:t>
            </w:r>
          </w:p>
        </w:tc>
      </w:tr>
      <w:tr>
        <w:tc>
          <w:tcPr>
            <w:tcW w:type="dxa" w:w="2769"/>
          </w:tcPr>
          <w:p/>
        </w:tc>
        <w:tc>
          <w:tcPr>
            <w:tcW w:type="dxa" w:w="2769"/>
          </w:tcPr>
          <w:p>
            <w:pPr>
              <w:pStyle w:val="null3"/>
            </w:pPr>
            <w:r>
              <w:rPr/>
              <w:t>9</w:t>
            </w:r>
          </w:p>
        </w:tc>
        <w:tc>
          <w:tcPr>
            <w:tcW w:type="dxa" w:w="2769"/>
          </w:tcPr>
          <w:p>
            <w:pPr>
              <w:pStyle w:val="null3"/>
            </w:pPr>
            <w:r>
              <w:rPr/>
              <w:t>3.1.1 服务要求：通过对服务器提供设备维保及巡检，提高服务器运行稳定性和可靠性</w:t>
            </w:r>
          </w:p>
        </w:tc>
      </w:tr>
      <w:tr>
        <w:tc>
          <w:tcPr>
            <w:tcW w:type="dxa" w:w="2769"/>
          </w:tcPr>
          <w:p/>
        </w:tc>
        <w:tc>
          <w:tcPr>
            <w:tcW w:type="dxa" w:w="2769"/>
          </w:tcPr>
          <w:p>
            <w:pPr>
              <w:pStyle w:val="null3"/>
            </w:pPr>
            <w:r>
              <w:rPr/>
              <w:t>10</w:t>
            </w:r>
          </w:p>
        </w:tc>
        <w:tc>
          <w:tcPr>
            <w:tcW w:type="dxa" w:w="2769"/>
          </w:tcPr>
          <w:p>
            <w:pPr>
              <w:pStyle w:val="null3"/>
            </w:pPr>
            <w:r>
              <w:rPr/>
              <w:t>3.1.2 服务内容：CPU、内存、I/O状态、进程、系统事件等检查，外部设备运行状态检查，电源、风扇、后备电池、磁盘检查，连接插头、电缆、电源插座等连接件检查，电源电压、接地和机箱温度等环境检查，清洁保养，清除机箱、滤清器内的灰尘与异物等</w:t>
            </w:r>
          </w:p>
        </w:tc>
      </w:tr>
      <w:tr>
        <w:tc>
          <w:tcPr>
            <w:tcW w:type="dxa" w:w="2769"/>
          </w:tcPr>
          <w:p/>
        </w:tc>
        <w:tc>
          <w:tcPr>
            <w:tcW w:type="dxa" w:w="2769"/>
          </w:tcPr>
          <w:p>
            <w:pPr>
              <w:pStyle w:val="null3"/>
            </w:pPr>
            <w:r>
              <w:rPr/>
              <w:t>11</w:t>
            </w:r>
          </w:p>
        </w:tc>
        <w:tc>
          <w:tcPr>
            <w:tcW w:type="dxa" w:w="2769"/>
          </w:tcPr>
          <w:p>
            <w:pPr>
              <w:pStyle w:val="null3"/>
            </w:pPr>
            <w:r>
              <w:rPr/>
              <w:t>3.2 存储</w:t>
            </w:r>
          </w:p>
        </w:tc>
      </w:tr>
      <w:tr>
        <w:tc>
          <w:tcPr>
            <w:tcW w:type="dxa" w:w="2769"/>
          </w:tcPr>
          <w:p/>
        </w:tc>
        <w:tc>
          <w:tcPr>
            <w:tcW w:type="dxa" w:w="2769"/>
          </w:tcPr>
          <w:p>
            <w:pPr>
              <w:pStyle w:val="null3"/>
            </w:pPr>
            <w:r>
              <w:rPr/>
              <w:t>12</w:t>
            </w:r>
          </w:p>
        </w:tc>
        <w:tc>
          <w:tcPr>
            <w:tcW w:type="dxa" w:w="2769"/>
          </w:tcPr>
          <w:p>
            <w:pPr>
              <w:pStyle w:val="null3"/>
            </w:pPr>
            <w:r>
              <w:rPr/>
              <w:t>3.2.1 服务要求：通过对存储进行设备维保、巡检及日常维护，合理规划存储空间，保障设备运行稳定与数据安全</w:t>
            </w:r>
          </w:p>
        </w:tc>
      </w:tr>
      <w:tr>
        <w:tc>
          <w:tcPr>
            <w:tcW w:type="dxa" w:w="2769"/>
          </w:tcPr>
          <w:p>
            <w:pPr>
              <w:pStyle w:val="null3"/>
            </w:pPr>
            <w:r>
              <w:rPr/>
              <w:t>★</w:t>
            </w:r>
          </w:p>
        </w:tc>
        <w:tc>
          <w:tcPr>
            <w:tcW w:type="dxa" w:w="2769"/>
          </w:tcPr>
          <w:p>
            <w:pPr>
              <w:pStyle w:val="null3"/>
            </w:pPr>
            <w:r>
              <w:rPr/>
              <w:t>13</w:t>
            </w:r>
          </w:p>
        </w:tc>
        <w:tc>
          <w:tcPr>
            <w:tcW w:type="dxa" w:w="2769"/>
          </w:tcPr>
          <w:p>
            <w:pPr>
              <w:pStyle w:val="null3"/>
            </w:pPr>
            <w:r>
              <w:rPr/>
              <w:t>3.2.2 服务内容：网络状态，存储空间监测，I/O监测，硬盘状态检查，双活状态检查等</w:t>
            </w:r>
          </w:p>
        </w:tc>
      </w:tr>
      <w:tr>
        <w:tc>
          <w:tcPr>
            <w:tcW w:type="dxa" w:w="2769"/>
          </w:tcPr>
          <w:p/>
        </w:tc>
        <w:tc>
          <w:tcPr>
            <w:tcW w:type="dxa" w:w="2769"/>
          </w:tcPr>
          <w:p>
            <w:pPr>
              <w:pStyle w:val="null3"/>
            </w:pPr>
            <w:r>
              <w:rPr/>
              <w:t>14</w:t>
            </w:r>
          </w:p>
        </w:tc>
        <w:tc>
          <w:tcPr>
            <w:tcW w:type="dxa" w:w="2769"/>
          </w:tcPr>
          <w:p>
            <w:pPr>
              <w:pStyle w:val="null3"/>
            </w:pPr>
            <w:r>
              <w:rPr/>
              <w:t>四、操作系统、虚拟化平台及数据库运维</w:t>
            </w:r>
          </w:p>
        </w:tc>
      </w:tr>
      <w:tr>
        <w:tc>
          <w:tcPr>
            <w:tcW w:type="dxa" w:w="2769"/>
          </w:tcPr>
          <w:p/>
        </w:tc>
        <w:tc>
          <w:tcPr>
            <w:tcW w:type="dxa" w:w="2769"/>
          </w:tcPr>
          <w:p>
            <w:pPr>
              <w:pStyle w:val="null3"/>
            </w:pPr>
            <w:r>
              <w:rPr/>
              <w:t>15</w:t>
            </w:r>
          </w:p>
        </w:tc>
        <w:tc>
          <w:tcPr>
            <w:tcW w:type="dxa" w:w="2769"/>
          </w:tcPr>
          <w:p>
            <w:pPr>
              <w:pStyle w:val="null3"/>
            </w:pPr>
            <w:r>
              <w:rPr/>
              <w:t>4.1 操作系统运维</w:t>
            </w:r>
          </w:p>
        </w:tc>
      </w:tr>
      <w:tr>
        <w:tc>
          <w:tcPr>
            <w:tcW w:type="dxa" w:w="2769"/>
          </w:tcPr>
          <w:p/>
        </w:tc>
        <w:tc>
          <w:tcPr>
            <w:tcW w:type="dxa" w:w="2769"/>
          </w:tcPr>
          <w:p>
            <w:pPr>
              <w:pStyle w:val="null3"/>
            </w:pPr>
            <w:r>
              <w:rPr/>
              <w:t>16</w:t>
            </w:r>
          </w:p>
        </w:tc>
        <w:tc>
          <w:tcPr>
            <w:tcW w:type="dxa" w:w="2769"/>
          </w:tcPr>
          <w:p>
            <w:pPr>
              <w:pStyle w:val="null3"/>
            </w:pPr>
            <w:r>
              <w:rPr/>
              <w:t>4.1.1 服务要求：对各类服务器操作系统进行管理，已安装部署的操作系统进行巡检，安装系统补丁，保障操作系统运行稳定与安全</w:t>
            </w:r>
          </w:p>
        </w:tc>
      </w:tr>
      <w:tr>
        <w:tc>
          <w:tcPr>
            <w:tcW w:type="dxa" w:w="2769"/>
          </w:tcPr>
          <w:p/>
        </w:tc>
        <w:tc>
          <w:tcPr>
            <w:tcW w:type="dxa" w:w="2769"/>
          </w:tcPr>
          <w:p>
            <w:pPr>
              <w:pStyle w:val="null3"/>
            </w:pPr>
            <w:r>
              <w:rPr/>
              <w:t>17</w:t>
            </w:r>
          </w:p>
        </w:tc>
        <w:tc>
          <w:tcPr>
            <w:tcW w:type="dxa" w:w="2769"/>
          </w:tcPr>
          <w:p>
            <w:pPr>
              <w:pStyle w:val="null3"/>
            </w:pPr>
            <w:r>
              <w:rPr/>
              <w:t>4.1.2 服务内容：操作系统镜像管理，服务器进程与服务检查，用户、密码与权限检查，操作系统补丁安装、日志分析，安全策略调优，故障诊断和修复等</w:t>
            </w:r>
          </w:p>
        </w:tc>
      </w:tr>
      <w:tr>
        <w:tc>
          <w:tcPr>
            <w:tcW w:type="dxa" w:w="2769"/>
          </w:tcPr>
          <w:p/>
        </w:tc>
        <w:tc>
          <w:tcPr>
            <w:tcW w:type="dxa" w:w="2769"/>
          </w:tcPr>
          <w:p>
            <w:pPr>
              <w:pStyle w:val="null3"/>
            </w:pPr>
            <w:r>
              <w:rPr/>
              <w:t>18</w:t>
            </w:r>
          </w:p>
        </w:tc>
        <w:tc>
          <w:tcPr>
            <w:tcW w:type="dxa" w:w="2769"/>
          </w:tcPr>
          <w:p>
            <w:pPr>
              <w:pStyle w:val="null3"/>
            </w:pPr>
            <w:r>
              <w:rPr/>
              <w:t>4.2 虚拟化平台运维</w:t>
            </w:r>
          </w:p>
        </w:tc>
      </w:tr>
      <w:tr>
        <w:tc>
          <w:tcPr>
            <w:tcW w:type="dxa" w:w="2769"/>
          </w:tcPr>
          <w:p/>
        </w:tc>
        <w:tc>
          <w:tcPr>
            <w:tcW w:type="dxa" w:w="2769"/>
          </w:tcPr>
          <w:p>
            <w:pPr>
              <w:pStyle w:val="null3"/>
            </w:pPr>
            <w:r>
              <w:rPr/>
              <w:t>19</w:t>
            </w:r>
          </w:p>
        </w:tc>
        <w:tc>
          <w:tcPr>
            <w:tcW w:type="dxa" w:w="2769"/>
          </w:tcPr>
          <w:p>
            <w:pPr>
              <w:pStyle w:val="null3"/>
            </w:pPr>
            <w:r>
              <w:rPr/>
              <w:t>4.2.1 服务要求：对虚拟化平台进行维保，巡检及日常维护，合理规划计算资源，及时更新系统版本保障虚拟化平台及其支撑的虚拟机平稳运行。</w:t>
            </w:r>
          </w:p>
        </w:tc>
      </w:tr>
      <w:tr>
        <w:tc>
          <w:tcPr>
            <w:tcW w:type="dxa" w:w="2769"/>
          </w:tcPr>
          <w:p>
            <w:pPr>
              <w:pStyle w:val="null3"/>
            </w:pPr>
            <w:r>
              <w:rPr/>
              <w:t>★</w:t>
            </w:r>
          </w:p>
        </w:tc>
        <w:tc>
          <w:tcPr>
            <w:tcW w:type="dxa" w:w="2769"/>
          </w:tcPr>
          <w:p>
            <w:pPr>
              <w:pStyle w:val="null3"/>
            </w:pPr>
            <w:r>
              <w:rPr/>
              <w:t>20</w:t>
            </w:r>
          </w:p>
        </w:tc>
        <w:tc>
          <w:tcPr>
            <w:tcW w:type="dxa" w:w="2769"/>
          </w:tcPr>
          <w:p>
            <w:pPr>
              <w:pStyle w:val="null3"/>
            </w:pPr>
            <w:r>
              <w:rPr/>
              <w:t>4.2.2 服务内容：虚拟化平台日常运维，虚拟化底层设备巡检，虚拟机备份与迁移，虚拟化平台版本升级、告警处理与故障修复等，其中青云私有云平台须购买与服务期相匹配的原厂保修</w:t>
            </w:r>
          </w:p>
        </w:tc>
      </w:tr>
      <w:tr>
        <w:tc>
          <w:tcPr>
            <w:tcW w:type="dxa" w:w="2769"/>
          </w:tcPr>
          <w:p/>
        </w:tc>
        <w:tc>
          <w:tcPr>
            <w:tcW w:type="dxa" w:w="2769"/>
          </w:tcPr>
          <w:p>
            <w:pPr>
              <w:pStyle w:val="null3"/>
            </w:pPr>
            <w:r>
              <w:rPr/>
              <w:t>21</w:t>
            </w:r>
          </w:p>
        </w:tc>
        <w:tc>
          <w:tcPr>
            <w:tcW w:type="dxa" w:w="2769"/>
          </w:tcPr>
          <w:p>
            <w:pPr>
              <w:pStyle w:val="null3"/>
            </w:pPr>
            <w:r>
              <w:rPr/>
              <w:t>4.3 数据库服务</w:t>
            </w:r>
          </w:p>
        </w:tc>
      </w:tr>
      <w:tr>
        <w:tc>
          <w:tcPr>
            <w:tcW w:type="dxa" w:w="2769"/>
          </w:tcPr>
          <w:p/>
        </w:tc>
        <w:tc>
          <w:tcPr>
            <w:tcW w:type="dxa" w:w="2769"/>
          </w:tcPr>
          <w:p>
            <w:pPr>
              <w:pStyle w:val="null3"/>
            </w:pPr>
            <w:r>
              <w:rPr/>
              <w:t>22</w:t>
            </w:r>
          </w:p>
        </w:tc>
        <w:tc>
          <w:tcPr>
            <w:tcW w:type="dxa" w:w="2769"/>
          </w:tcPr>
          <w:p>
            <w:pPr>
              <w:pStyle w:val="null3"/>
            </w:pPr>
            <w:r>
              <w:rPr/>
              <w:t>4.3.1 服务要求：对医院使用的所有数据库进行巡检及日常维护，监控运行状态，开展备份恢复校验，保障数据库运行平稳与数据安全</w:t>
            </w:r>
          </w:p>
        </w:tc>
      </w:tr>
      <w:tr>
        <w:tc>
          <w:tcPr>
            <w:tcW w:type="dxa" w:w="2769"/>
          </w:tcPr>
          <w:p>
            <w:pPr>
              <w:pStyle w:val="null3"/>
            </w:pPr>
            <w:r>
              <w:rPr/>
              <w:t>★</w:t>
            </w:r>
          </w:p>
        </w:tc>
        <w:tc>
          <w:tcPr>
            <w:tcW w:type="dxa" w:w="2769"/>
          </w:tcPr>
          <w:p>
            <w:pPr>
              <w:pStyle w:val="null3"/>
            </w:pPr>
            <w:r>
              <w:rPr/>
              <w:t>23</w:t>
            </w:r>
          </w:p>
        </w:tc>
        <w:tc>
          <w:tcPr>
            <w:tcW w:type="dxa" w:w="2769"/>
          </w:tcPr>
          <w:p>
            <w:pPr>
              <w:pStyle w:val="null3"/>
            </w:pPr>
            <w:r>
              <w:rPr/>
              <w:t>4.3.2 服务内容：新建数据库的安装、配置与调试，现有数据库的日常运行状态监控，定期巡检；数据库运行中的各类故障处理和性能调优，备份校验，数据迁移，灾难恢复等。</w:t>
            </w:r>
          </w:p>
        </w:tc>
      </w:tr>
      <w:tr>
        <w:tc>
          <w:tcPr>
            <w:tcW w:type="dxa" w:w="2769"/>
          </w:tcPr>
          <w:p/>
        </w:tc>
        <w:tc>
          <w:tcPr>
            <w:tcW w:type="dxa" w:w="2769"/>
          </w:tcPr>
          <w:p>
            <w:pPr>
              <w:pStyle w:val="null3"/>
            </w:pPr>
            <w:r>
              <w:rPr/>
              <w:t>24</w:t>
            </w:r>
          </w:p>
        </w:tc>
        <w:tc>
          <w:tcPr>
            <w:tcW w:type="dxa" w:w="2769"/>
          </w:tcPr>
          <w:p>
            <w:pPr>
              <w:pStyle w:val="null3"/>
            </w:pPr>
            <w:r>
              <w:rPr/>
              <w:t>五、机房动环设备运维</w:t>
            </w:r>
          </w:p>
        </w:tc>
      </w:tr>
      <w:tr>
        <w:tc>
          <w:tcPr>
            <w:tcW w:type="dxa" w:w="2769"/>
          </w:tcPr>
          <w:p/>
        </w:tc>
        <w:tc>
          <w:tcPr>
            <w:tcW w:type="dxa" w:w="2769"/>
          </w:tcPr>
          <w:p>
            <w:pPr>
              <w:pStyle w:val="null3"/>
            </w:pPr>
            <w:r>
              <w:rPr/>
              <w:t>25</w:t>
            </w:r>
          </w:p>
        </w:tc>
        <w:tc>
          <w:tcPr>
            <w:tcW w:type="dxa" w:w="2769"/>
          </w:tcPr>
          <w:p>
            <w:pPr>
              <w:pStyle w:val="null3"/>
            </w:pPr>
            <w:r>
              <w:rPr/>
              <w:t>5.1 UPS</w:t>
            </w:r>
          </w:p>
        </w:tc>
      </w:tr>
      <w:tr>
        <w:tc>
          <w:tcPr>
            <w:tcW w:type="dxa" w:w="2769"/>
          </w:tcPr>
          <w:p/>
        </w:tc>
        <w:tc>
          <w:tcPr>
            <w:tcW w:type="dxa" w:w="2769"/>
          </w:tcPr>
          <w:p>
            <w:pPr>
              <w:pStyle w:val="null3"/>
            </w:pPr>
            <w:r>
              <w:rPr/>
              <w:t>26</w:t>
            </w:r>
          </w:p>
        </w:tc>
        <w:tc>
          <w:tcPr>
            <w:tcW w:type="dxa" w:w="2769"/>
          </w:tcPr>
          <w:p>
            <w:pPr>
              <w:pStyle w:val="null3"/>
            </w:pPr>
            <w:r>
              <w:rPr/>
              <w:t>5.1.1 服务要求：对机房UPS系统整体进行维保，巡检及日常维护，保障机房电力供应平稳，能够应对突发停电事件。</w:t>
            </w:r>
          </w:p>
        </w:tc>
      </w:tr>
      <w:tr>
        <w:tc>
          <w:tcPr>
            <w:tcW w:type="dxa" w:w="2769"/>
          </w:tcPr>
          <w:p>
            <w:pPr>
              <w:pStyle w:val="null3"/>
            </w:pPr>
            <w:r>
              <w:rPr/>
              <w:t>★</w:t>
            </w:r>
          </w:p>
        </w:tc>
        <w:tc>
          <w:tcPr>
            <w:tcW w:type="dxa" w:w="2769"/>
          </w:tcPr>
          <w:p>
            <w:pPr>
              <w:pStyle w:val="null3"/>
            </w:pPr>
            <w:r>
              <w:rPr/>
              <w:t>27</w:t>
            </w:r>
          </w:p>
        </w:tc>
        <w:tc>
          <w:tcPr>
            <w:tcW w:type="dxa" w:w="2769"/>
          </w:tcPr>
          <w:p>
            <w:pPr>
              <w:pStyle w:val="null3"/>
            </w:pPr>
            <w:r>
              <w:rPr/>
              <w:t>5.1.2 服务内容：UPS系统配电柜面板功能检查，输入输出各项参数检查，蓄电池外观状态与环境检查，线路连接与指示灯检查，定期开展充放电等</w:t>
            </w:r>
          </w:p>
        </w:tc>
      </w:tr>
      <w:tr>
        <w:tc>
          <w:tcPr>
            <w:tcW w:type="dxa" w:w="2769"/>
          </w:tcPr>
          <w:p/>
        </w:tc>
        <w:tc>
          <w:tcPr>
            <w:tcW w:type="dxa" w:w="2769"/>
          </w:tcPr>
          <w:p>
            <w:pPr>
              <w:pStyle w:val="null3"/>
            </w:pPr>
            <w:r>
              <w:rPr/>
              <w:t>28</w:t>
            </w:r>
          </w:p>
        </w:tc>
        <w:tc>
          <w:tcPr>
            <w:tcW w:type="dxa" w:w="2769"/>
          </w:tcPr>
          <w:p>
            <w:pPr>
              <w:pStyle w:val="null3"/>
            </w:pPr>
            <w:r>
              <w:rPr/>
              <w:t>5.2 精密空调</w:t>
            </w:r>
          </w:p>
        </w:tc>
      </w:tr>
      <w:tr>
        <w:tc>
          <w:tcPr>
            <w:tcW w:type="dxa" w:w="2769"/>
          </w:tcPr>
          <w:p/>
        </w:tc>
        <w:tc>
          <w:tcPr>
            <w:tcW w:type="dxa" w:w="2769"/>
          </w:tcPr>
          <w:p>
            <w:pPr>
              <w:pStyle w:val="null3"/>
            </w:pPr>
            <w:r>
              <w:rPr/>
              <w:t>29</w:t>
            </w:r>
          </w:p>
        </w:tc>
        <w:tc>
          <w:tcPr>
            <w:tcW w:type="dxa" w:w="2769"/>
          </w:tcPr>
          <w:p>
            <w:pPr>
              <w:pStyle w:val="null3"/>
            </w:pPr>
            <w:r>
              <w:rPr/>
              <w:t>5.2.1 服务要求：对机房精密空调系统整体进行维保，巡检及日常维护，保障机房温湿度保持在合适的范围，保障各类设备运行温度正常。</w:t>
            </w:r>
          </w:p>
        </w:tc>
      </w:tr>
      <w:tr>
        <w:tc>
          <w:tcPr>
            <w:tcW w:type="dxa" w:w="2769"/>
          </w:tcPr>
          <w:p/>
        </w:tc>
        <w:tc>
          <w:tcPr>
            <w:tcW w:type="dxa" w:w="2769"/>
          </w:tcPr>
          <w:p>
            <w:pPr>
              <w:pStyle w:val="null3"/>
            </w:pPr>
            <w:r>
              <w:rPr/>
              <w:t>30</w:t>
            </w:r>
          </w:p>
        </w:tc>
        <w:tc>
          <w:tcPr>
            <w:tcW w:type="dxa" w:w="2769"/>
          </w:tcPr>
          <w:p>
            <w:pPr>
              <w:pStyle w:val="null3"/>
            </w:pPr>
            <w:r>
              <w:rPr/>
              <w:t>5.2.2 服务内容：精密空调面板功能检查，温湿度各项参数检查，机房温湿度监控，冷媒与漏水检测传感器检查，定期清洗过滤网等</w:t>
            </w:r>
          </w:p>
        </w:tc>
      </w:tr>
      <w:tr>
        <w:tc>
          <w:tcPr>
            <w:tcW w:type="dxa" w:w="2769"/>
          </w:tcPr>
          <w:p/>
        </w:tc>
        <w:tc>
          <w:tcPr>
            <w:tcW w:type="dxa" w:w="2769"/>
          </w:tcPr>
          <w:p>
            <w:pPr>
              <w:pStyle w:val="null3"/>
            </w:pPr>
            <w:r>
              <w:rPr/>
              <w:t>31</w:t>
            </w:r>
          </w:p>
        </w:tc>
        <w:tc>
          <w:tcPr>
            <w:tcW w:type="dxa" w:w="2769"/>
          </w:tcPr>
          <w:p>
            <w:pPr>
              <w:pStyle w:val="null3"/>
            </w:pPr>
            <w:r>
              <w:rPr/>
              <w:t>六、运维记录周期要求</w:t>
            </w:r>
          </w:p>
        </w:tc>
      </w:tr>
      <w:tr>
        <w:tc>
          <w:tcPr>
            <w:tcW w:type="dxa" w:w="2769"/>
          </w:tcPr>
          <w:p/>
        </w:tc>
        <w:tc>
          <w:tcPr>
            <w:tcW w:type="dxa" w:w="2769"/>
          </w:tcPr>
          <w:p>
            <w:pPr>
              <w:pStyle w:val="null3"/>
            </w:pPr>
            <w:r>
              <w:rPr/>
              <w:t>32</w:t>
            </w:r>
          </w:p>
        </w:tc>
        <w:tc>
          <w:tcPr>
            <w:tcW w:type="dxa" w:w="2769"/>
          </w:tcPr>
          <w:p>
            <w:pPr>
              <w:pStyle w:val="null3"/>
            </w:pPr>
            <w:r>
              <w:rPr/>
              <w:t>6.1 服务器、网络设备、安全设备、数据库、动环系统等设备与系统的巡检，每月不少于1次</w:t>
            </w:r>
          </w:p>
        </w:tc>
      </w:tr>
      <w:tr>
        <w:tc>
          <w:tcPr>
            <w:tcW w:type="dxa" w:w="2769"/>
          </w:tcPr>
          <w:p/>
        </w:tc>
        <w:tc>
          <w:tcPr>
            <w:tcW w:type="dxa" w:w="2769"/>
          </w:tcPr>
          <w:p>
            <w:pPr>
              <w:pStyle w:val="null3"/>
            </w:pPr>
            <w:r>
              <w:rPr/>
              <w:t>33</w:t>
            </w:r>
          </w:p>
        </w:tc>
        <w:tc>
          <w:tcPr>
            <w:tcW w:type="dxa" w:w="2769"/>
          </w:tcPr>
          <w:p>
            <w:pPr>
              <w:pStyle w:val="null3"/>
            </w:pPr>
            <w:r>
              <w:rPr/>
              <w:t>6.2 故障处理记录要求每次故障处理完成后1周内</w:t>
            </w:r>
          </w:p>
        </w:tc>
      </w:tr>
      <w:tr>
        <w:tc>
          <w:tcPr>
            <w:tcW w:type="dxa" w:w="2769"/>
          </w:tcPr>
          <w:p/>
        </w:tc>
        <w:tc>
          <w:tcPr>
            <w:tcW w:type="dxa" w:w="2769"/>
          </w:tcPr>
          <w:p>
            <w:pPr>
              <w:pStyle w:val="null3"/>
            </w:pPr>
            <w:r>
              <w:rPr/>
              <w:t>34</w:t>
            </w:r>
          </w:p>
        </w:tc>
        <w:tc>
          <w:tcPr>
            <w:tcW w:type="dxa" w:w="2769"/>
          </w:tcPr>
          <w:p>
            <w:pPr>
              <w:pStyle w:val="null3"/>
            </w:pPr>
            <w:r>
              <w:rPr/>
              <w:t>6.3 每季度提交一份运维工作总结与自评表，每年运维服务期结束后提交年度运维工作总结与自评表</w:t>
            </w:r>
          </w:p>
        </w:tc>
      </w:tr>
      <w:tr>
        <w:tc>
          <w:tcPr>
            <w:tcW w:type="dxa" w:w="2769"/>
          </w:tcPr>
          <w:p/>
        </w:tc>
        <w:tc>
          <w:tcPr>
            <w:tcW w:type="dxa" w:w="2769"/>
          </w:tcPr>
          <w:p>
            <w:pPr>
              <w:pStyle w:val="null3"/>
            </w:pPr>
            <w:r>
              <w:rPr/>
              <w:t>35</w:t>
            </w:r>
          </w:p>
        </w:tc>
        <w:tc>
          <w:tcPr>
            <w:tcW w:type="dxa" w:w="2769"/>
          </w:tcPr>
          <w:p>
            <w:pPr>
              <w:pStyle w:val="null3"/>
            </w:pPr>
            <w:r>
              <w:rPr/>
              <w:t>七、人员要求</w:t>
            </w:r>
          </w:p>
        </w:tc>
      </w:tr>
      <w:tr>
        <w:tc>
          <w:tcPr>
            <w:tcW w:type="dxa" w:w="2769"/>
          </w:tcPr>
          <w:p/>
        </w:tc>
        <w:tc>
          <w:tcPr>
            <w:tcW w:type="dxa" w:w="2769"/>
          </w:tcPr>
          <w:p>
            <w:pPr>
              <w:pStyle w:val="null3"/>
            </w:pPr>
            <w:r>
              <w:rPr/>
              <w:t>36</w:t>
            </w:r>
          </w:p>
        </w:tc>
        <w:tc>
          <w:tcPr>
            <w:tcW w:type="dxa" w:w="2769"/>
          </w:tcPr>
          <w:p>
            <w:pPr>
              <w:pStyle w:val="null3"/>
            </w:pPr>
            <w:r>
              <w:rPr/>
              <w:t>7.1 ≥1名驻场人员，保持人员稳定，非特殊原因不得替换。驻场人员应具备5年以上系统集成驻场经验/具备中级或以上厂家存储或虚拟化认证（如VMware vcp或华为虚拟化中HCIE及以上认证）/熟悉aix、linux等系统维护/熟练操作华为、IBM、联想、SAN交换机等主流系统运维工作。</w:t>
            </w:r>
          </w:p>
        </w:tc>
      </w:tr>
      <w:tr>
        <w:tc>
          <w:tcPr>
            <w:tcW w:type="dxa" w:w="2769"/>
          </w:tcPr>
          <w:p/>
        </w:tc>
        <w:tc>
          <w:tcPr>
            <w:tcW w:type="dxa" w:w="2769"/>
          </w:tcPr>
          <w:p>
            <w:pPr>
              <w:pStyle w:val="null3"/>
            </w:pPr>
            <w:r>
              <w:rPr/>
              <w:t>37</w:t>
            </w:r>
          </w:p>
        </w:tc>
        <w:tc>
          <w:tcPr>
            <w:tcW w:type="dxa" w:w="2769"/>
          </w:tcPr>
          <w:p>
            <w:pPr>
              <w:pStyle w:val="null3"/>
            </w:pPr>
            <w:r>
              <w:rPr/>
              <w:t>7.2 驻场人员负责在现场完成日常巡检，设备监控，故障处理，性能优化，文档编写等日常工作</w:t>
            </w:r>
          </w:p>
        </w:tc>
      </w:tr>
      <w:tr>
        <w:tc>
          <w:tcPr>
            <w:tcW w:type="dxa" w:w="2769"/>
          </w:tcPr>
          <w:p/>
        </w:tc>
        <w:tc>
          <w:tcPr>
            <w:tcW w:type="dxa" w:w="2769"/>
          </w:tcPr>
          <w:p>
            <w:pPr>
              <w:pStyle w:val="null3"/>
            </w:pPr>
            <w:r>
              <w:rPr/>
              <w:t>38</w:t>
            </w:r>
          </w:p>
        </w:tc>
        <w:tc>
          <w:tcPr>
            <w:tcW w:type="dxa" w:w="2769"/>
          </w:tcPr>
          <w:p>
            <w:pPr>
              <w:pStyle w:val="null3"/>
            </w:pPr>
            <w:r>
              <w:rPr/>
              <w:t>7.3 驻场人员按照甲方员工的考勤制度管理</w:t>
            </w:r>
          </w:p>
        </w:tc>
      </w:tr>
      <w:tr>
        <w:tc>
          <w:tcPr>
            <w:tcW w:type="dxa" w:w="2769"/>
          </w:tcPr>
          <w:p/>
        </w:tc>
        <w:tc>
          <w:tcPr>
            <w:tcW w:type="dxa" w:w="2769"/>
          </w:tcPr>
          <w:p>
            <w:pPr>
              <w:pStyle w:val="null3"/>
            </w:pPr>
            <w:r>
              <w:rPr/>
              <w:t>39</w:t>
            </w:r>
          </w:p>
        </w:tc>
        <w:tc>
          <w:tcPr>
            <w:tcW w:type="dxa" w:w="2769"/>
          </w:tcPr>
          <w:p>
            <w:pPr>
              <w:pStyle w:val="null3"/>
            </w:pPr>
            <w:r>
              <w:rPr/>
              <w:t>7.4 驻场人员工作时间之外，保持24小时电话畅通，响应时间≤15分钟，到达现场时间≤2小时</w:t>
            </w:r>
          </w:p>
        </w:tc>
      </w:tr>
      <w:tr>
        <w:tc>
          <w:tcPr>
            <w:tcW w:type="dxa" w:w="2769"/>
          </w:tcPr>
          <w:p/>
        </w:tc>
        <w:tc>
          <w:tcPr>
            <w:tcW w:type="dxa" w:w="2769"/>
          </w:tcPr>
          <w:p>
            <w:pPr>
              <w:pStyle w:val="null3"/>
            </w:pPr>
            <w:r>
              <w:rPr/>
              <w:t>40</w:t>
            </w:r>
          </w:p>
        </w:tc>
        <w:tc>
          <w:tcPr>
            <w:tcW w:type="dxa" w:w="2769"/>
          </w:tcPr>
          <w:p>
            <w:pPr>
              <w:pStyle w:val="null3"/>
            </w:pPr>
            <w:r>
              <w:rPr/>
              <w:t>7.5二线支持：不需驻场，不少于10人的二线团队，根据需要提供定期或不定期的技术支持。二线团队应由多个技术领域的技术专家组成，领域应包含：项目管理、服务管理、服务器、存储、网络、操作系统、数据库、备份、机房环境等。二线技术专家对现场特定的事务进行有针对性的支持，和一线人员的工作互补，以满足整体运维服务的要求。（具体人员要求详见《团队人员清单》）</w:t>
            </w:r>
          </w:p>
        </w:tc>
      </w:tr>
      <w:tr>
        <w:tc>
          <w:tcPr>
            <w:tcW w:type="dxa" w:w="2769"/>
          </w:tcPr>
          <w:p/>
        </w:tc>
        <w:tc>
          <w:tcPr>
            <w:tcW w:type="dxa" w:w="2769"/>
          </w:tcPr>
          <w:p>
            <w:pPr>
              <w:pStyle w:val="null3"/>
            </w:pPr>
            <w:r>
              <w:rPr/>
              <w:t>41</w:t>
            </w:r>
          </w:p>
        </w:tc>
        <w:tc>
          <w:tcPr>
            <w:tcW w:type="dxa" w:w="2769"/>
          </w:tcPr>
          <w:p>
            <w:pPr>
              <w:pStyle w:val="null3"/>
            </w:pPr>
            <w:r>
              <w:rPr/>
              <w:t>八、运维服务范围</w:t>
            </w:r>
          </w:p>
        </w:tc>
      </w:tr>
      <w:tr>
        <w:tc>
          <w:tcPr>
            <w:tcW w:type="dxa" w:w="2769"/>
          </w:tcPr>
          <w:p/>
        </w:tc>
        <w:tc>
          <w:tcPr>
            <w:tcW w:type="dxa" w:w="2769"/>
          </w:tcPr>
          <w:p>
            <w:pPr>
              <w:pStyle w:val="null3"/>
            </w:pPr>
            <w:r>
              <w:rPr/>
              <w:t>42</w:t>
            </w:r>
          </w:p>
        </w:tc>
        <w:tc>
          <w:tcPr>
            <w:tcW w:type="dxa" w:w="2769"/>
          </w:tcPr>
          <w:p>
            <w:pPr>
              <w:pStyle w:val="null3"/>
            </w:pPr>
            <w:r>
              <w:rPr/>
              <w:t>8.1 两院区机房内所有在用及服务期内新增的设备、数据库、虚拟化平台进行日常运维，且对已过保设备提供保修服务，已过保设备详见附件2《运维服务设备清单》</w:t>
            </w:r>
          </w:p>
        </w:tc>
      </w:tr>
      <w:tr>
        <w:tc>
          <w:tcPr>
            <w:tcW w:type="dxa" w:w="2769"/>
          </w:tcPr>
          <w:p/>
        </w:tc>
        <w:tc>
          <w:tcPr>
            <w:tcW w:type="dxa" w:w="2769"/>
          </w:tcPr>
          <w:p>
            <w:pPr>
              <w:pStyle w:val="null3"/>
            </w:pPr>
            <w:r>
              <w:rPr/>
              <w:t>43</w:t>
            </w:r>
          </w:p>
        </w:tc>
        <w:tc>
          <w:tcPr>
            <w:tcW w:type="dxa" w:w="2769"/>
          </w:tcPr>
          <w:p>
            <w:pPr>
              <w:pStyle w:val="null3"/>
            </w:pPr>
            <w:r>
              <w:rPr/>
              <w:t>九、机房改造</w:t>
            </w:r>
          </w:p>
        </w:tc>
      </w:tr>
      <w:tr>
        <w:tc>
          <w:tcPr>
            <w:tcW w:type="dxa" w:w="2769"/>
          </w:tcPr>
          <w:p/>
        </w:tc>
        <w:tc>
          <w:tcPr>
            <w:tcW w:type="dxa" w:w="2769"/>
          </w:tcPr>
          <w:p>
            <w:pPr>
              <w:pStyle w:val="null3"/>
            </w:pPr>
            <w:r>
              <w:rPr/>
              <w:t>44</w:t>
            </w:r>
          </w:p>
        </w:tc>
        <w:tc>
          <w:tcPr>
            <w:tcW w:type="dxa" w:w="2769"/>
          </w:tcPr>
          <w:p>
            <w:pPr>
              <w:pStyle w:val="null3"/>
            </w:pPr>
            <w:r>
              <w:rPr/>
              <w:t>9.1 航天城院区信息机房至各楼层弱电间接入交换机单链路光纤改造为双链路，改造期间不影响现有网络</w:t>
            </w:r>
          </w:p>
        </w:tc>
      </w:tr>
      <w:tr>
        <w:tc>
          <w:tcPr>
            <w:tcW w:type="dxa" w:w="2769"/>
          </w:tcPr>
          <w:p/>
        </w:tc>
        <w:tc>
          <w:tcPr>
            <w:tcW w:type="dxa" w:w="2769"/>
          </w:tcPr>
          <w:p>
            <w:pPr>
              <w:pStyle w:val="null3"/>
            </w:pPr>
            <w:r>
              <w:rPr/>
              <w:t>45</w:t>
            </w:r>
          </w:p>
        </w:tc>
        <w:tc>
          <w:tcPr>
            <w:tcW w:type="dxa" w:w="2769"/>
          </w:tcPr>
          <w:p>
            <w:pPr>
              <w:pStyle w:val="null3"/>
            </w:pPr>
            <w:r>
              <w:rPr/>
              <w:t>9.2 大差市院区原中心机房线缆桥架改造，将原地下桥架改造为架空桥架，桥架≤20米</w:t>
            </w:r>
          </w:p>
        </w:tc>
      </w:tr>
      <w:tr>
        <w:tc>
          <w:tcPr>
            <w:tcW w:type="dxa" w:w="2769"/>
          </w:tcPr>
          <w:p/>
        </w:tc>
        <w:tc>
          <w:tcPr>
            <w:tcW w:type="dxa" w:w="2769"/>
          </w:tcPr>
          <w:p>
            <w:pPr>
              <w:pStyle w:val="null3"/>
            </w:pPr>
            <w:r>
              <w:rPr/>
              <w:t>46</w:t>
            </w:r>
          </w:p>
        </w:tc>
        <w:tc>
          <w:tcPr>
            <w:tcW w:type="dxa" w:w="2769"/>
          </w:tcPr>
          <w:p>
            <w:pPr>
              <w:pStyle w:val="null3"/>
            </w:pPr>
            <w:r>
              <w:rPr/>
              <w:t>9.3 大差市院区原中心机房在用设备迁移，退役设备下电、下架，对保留设备位置进行合并整理，提高机柜利用率，对下架的设备和线缆进行整理、利旧</w:t>
            </w:r>
          </w:p>
        </w:tc>
      </w:tr>
      <w:tr>
        <w:tc>
          <w:tcPr>
            <w:tcW w:type="dxa" w:w="2769"/>
          </w:tcPr>
          <w:p/>
        </w:tc>
        <w:tc>
          <w:tcPr>
            <w:tcW w:type="dxa" w:w="2769"/>
          </w:tcPr>
          <w:p>
            <w:pPr>
              <w:pStyle w:val="null3"/>
            </w:pPr>
            <w:r>
              <w:rPr/>
              <w:t>47</w:t>
            </w:r>
          </w:p>
        </w:tc>
        <w:tc>
          <w:tcPr>
            <w:tcW w:type="dxa" w:w="2769"/>
          </w:tcPr>
          <w:p>
            <w:pPr>
              <w:pStyle w:val="null3"/>
            </w:pPr>
            <w:r>
              <w:rPr/>
              <w:t>9.4 大差市院区原容灾机房设备搬迁</w:t>
            </w:r>
          </w:p>
        </w:tc>
      </w:tr>
      <w:tr>
        <w:tc>
          <w:tcPr>
            <w:tcW w:type="dxa" w:w="2769"/>
          </w:tcPr>
          <w:p/>
        </w:tc>
        <w:tc>
          <w:tcPr>
            <w:tcW w:type="dxa" w:w="2769"/>
          </w:tcPr>
          <w:p>
            <w:pPr>
              <w:pStyle w:val="null3"/>
            </w:pPr>
            <w:r>
              <w:rPr/>
              <w:t>48</w:t>
            </w:r>
          </w:p>
        </w:tc>
        <w:tc>
          <w:tcPr>
            <w:tcW w:type="dxa" w:w="2769"/>
          </w:tcPr>
          <w:p>
            <w:pPr>
              <w:pStyle w:val="null3"/>
            </w:pPr>
            <w:r>
              <w:rPr/>
              <w:t>9.5 配合医院楼宇整体改造工程进行楼层弱电间改造，包括但不限于楼宇弱电间设备拆除和安装、线缆整理，完善拓扑，完善标签等</w:t>
            </w:r>
          </w:p>
        </w:tc>
      </w:tr>
      <w:tr>
        <w:tc>
          <w:tcPr>
            <w:tcW w:type="dxa" w:w="2769"/>
          </w:tcPr>
          <w:p/>
        </w:tc>
        <w:tc>
          <w:tcPr>
            <w:tcW w:type="dxa" w:w="2769"/>
          </w:tcPr>
          <w:p>
            <w:pPr>
              <w:pStyle w:val="null3"/>
            </w:pPr>
            <w:r>
              <w:rPr/>
              <w:t>49</w:t>
            </w:r>
          </w:p>
        </w:tc>
        <w:tc>
          <w:tcPr>
            <w:tcW w:type="dxa" w:w="2769"/>
          </w:tcPr>
          <w:p>
            <w:pPr>
              <w:pStyle w:val="null3"/>
            </w:pPr>
            <w:r>
              <w:rPr/>
              <w:t>十、备件库及耗材保障</w:t>
            </w:r>
          </w:p>
        </w:tc>
      </w:tr>
      <w:tr>
        <w:tc>
          <w:tcPr>
            <w:tcW w:type="dxa" w:w="2769"/>
          </w:tcPr>
          <w:p/>
        </w:tc>
        <w:tc>
          <w:tcPr>
            <w:tcW w:type="dxa" w:w="2769"/>
          </w:tcPr>
          <w:p>
            <w:pPr>
              <w:pStyle w:val="null3"/>
            </w:pPr>
            <w:r>
              <w:rPr/>
              <w:t>50</w:t>
            </w:r>
          </w:p>
        </w:tc>
        <w:tc>
          <w:tcPr>
            <w:tcW w:type="dxa" w:w="2769"/>
          </w:tcPr>
          <w:p>
            <w:pPr>
              <w:pStyle w:val="null3"/>
            </w:pPr>
            <w:r>
              <w:rPr/>
              <w:t>10.1 设置本地备件库，需提供本地备件库证明文件及备件清单，备件清单包括但不限于电源、硬盘、内存、阵列卡等，还应包括采购人在用的信息设备和服务存续期间采购人新增入院的信息设备及软件所需的备件等，费用包含在维保费用内，不再增加其他额外费用。需要更换备件时，备件到场时间≤2小时。同时具备完善的备件库及低值耗材管理方案和服务流程。</w:t>
            </w:r>
          </w:p>
        </w:tc>
      </w:tr>
    </w:tbl>
    <w:p>
      <w:pPr>
        <w:pStyle w:val="null3"/>
        <w:outlineLvl w:val="2"/>
      </w:pPr>
      <w:r>
        <w:rPr>
          <w:sz w:val="28"/>
          <w:b/>
        </w:rPr>
        <w:t>3.2.3人员配置要求</w:t>
      </w:r>
    </w:p>
    <w:p>
      <w:pPr>
        <w:pStyle w:val="null3"/>
      </w:pPr>
      <w:r>
        <w:rPr/>
        <w:t>采购包1：</w:t>
      </w:r>
    </w:p>
    <w:p>
      <w:pPr>
        <w:pStyle w:val="null3"/>
      </w:pPr>
      <w:r>
        <w:rPr/>
        <w:t>根据采购文件要求及合同约定执行</w:t>
      </w:r>
    </w:p>
    <w:p>
      <w:pPr>
        <w:pStyle w:val="null3"/>
        <w:outlineLvl w:val="2"/>
      </w:pPr>
      <w:r>
        <w:rPr>
          <w:sz w:val="28"/>
          <w:b/>
        </w:rPr>
        <w:t>3.2.4设施设备要求</w:t>
      </w:r>
    </w:p>
    <w:p>
      <w:pPr>
        <w:pStyle w:val="null3"/>
      </w:pPr>
      <w:r>
        <w:rPr/>
        <w:t>采购包1：</w:t>
      </w:r>
    </w:p>
    <w:p>
      <w:pPr>
        <w:pStyle w:val="null3"/>
      </w:pPr>
      <w:r>
        <w:rPr/>
        <w:t>根据采购文件要求及合同约定执行</w:t>
      </w:r>
    </w:p>
    <w:p>
      <w:pPr>
        <w:pStyle w:val="null3"/>
        <w:outlineLvl w:val="2"/>
      </w:pPr>
      <w:r>
        <w:rPr>
          <w:sz w:val="28"/>
          <w:b/>
        </w:rPr>
        <w:t>3.2.5其他要求</w:t>
      </w:r>
    </w:p>
    <w:p>
      <w:pPr>
        <w:pStyle w:val="null3"/>
      </w:pPr>
      <w:r>
        <w:rPr/>
        <w:t>采购包1：</w:t>
      </w:r>
    </w:p>
    <w:p>
      <w:pPr>
        <w:pStyle w:val="null3"/>
      </w:pPr>
      <w:r>
        <w:rPr/>
        <w:t>根据采购文件要求及合同约定执行</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自正式入场之日起1年</w:t>
      </w:r>
    </w:p>
    <w:p>
      <w:pPr>
        <w:pStyle w:val="null3"/>
        <w:outlineLvl w:val="3"/>
      </w:pPr>
      <w:r>
        <w:rPr>
          <w:sz w:val="24"/>
          <w:b/>
        </w:rPr>
        <w:t>3.3.2服务地点</w:t>
      </w:r>
    </w:p>
    <w:p>
      <w:pPr>
        <w:pStyle w:val="null3"/>
      </w:pPr>
      <w:r>
        <w:rPr/>
        <w:t>采购包1：</w:t>
      </w:r>
    </w:p>
    <w:p>
      <w:pPr>
        <w:pStyle w:val="null3"/>
      </w:pPr>
      <w:r>
        <w:rPr/>
        <w:t>甲方指定地点（包含多院区及医院业务范围）</w:t>
      </w:r>
    </w:p>
    <w:p>
      <w:pPr>
        <w:pStyle w:val="null3"/>
        <w:outlineLvl w:val="3"/>
      </w:pPr>
      <w:r>
        <w:rPr>
          <w:sz w:val="24"/>
          <w:b/>
        </w:rPr>
        <w:t>3.3.3考核（验收）标准和方法</w:t>
      </w:r>
    </w:p>
    <w:p>
      <w:pPr>
        <w:pStyle w:val="null3"/>
      </w:pPr>
      <w:r>
        <w:rPr/>
        <w:t>采购包1：</w:t>
      </w:r>
    </w:p>
    <w:p>
      <w:pPr>
        <w:pStyle w:val="null3"/>
      </w:pPr>
      <w:r>
        <w:rPr/>
        <w:t>1.服务期到期后，乙方提出申请，共同出具项目自验报告并附带服务考核表。甲方根据招标文件、投标文件及相关文件进行验收，确认乙方是否达到服务标准和采购要求。 2.甲方组织乙方(必要时请有关专家)进行项目验收，确认项目最终执行金额，验收合格后，填写政府采购项目验收单(一式伍份)作为对项目的最终认可。 3.乙方向甲方提供维保服务过程中的所有资料，以便甲方日后管理和维护。 4.验收依据 （1）招标文件、投标文件、澄清表(函); （2）本合同及附件文本； （3）国家相应的标准、规范。 （4）总结报告、巡检单、满意度调查表等</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合同签订后，自甲方收到合同总价款40%等额发票之日起，支付合同总金额的40%款项作为预付款</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整个项目服务期间，甲方按月对服务商服务效果进行评价考核。服务期结束，乙方按照要求交付运维文档资料后30天内，甲方按每月考核结果对乙方整体服务效果进行综合评价，拟定合同最终执行金额，交予乙方确认。乙方确认执行金额后，按确认金额开具剩余发票。甲方自收到发票之日起，支付发票金额的100%。（以合同签订为准）</w:t>
      </w:r>
      <w:r>
        <w:rPr/>
        <w:t xml:space="preserve"> ，达到付款条件起 </w:t>
      </w:r>
      <w:r>
        <w:rPr/>
        <w:t>10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1、《中华人民共和国民法典》中的相关条款执行。 2、乙方存在以下情形之一： （1）合同签订超30天乙方仍未入场； （2）乙方收到预付款后未按合同要求提供服务； （3）因乙方服务质量不能满足合同技术要求，导致甲方网络或系统大面积瘫痪持续超过72小时，或服务期内累计超过7天； 则视为乙方根本违约，乙方应退还甲方预付款，并按照合同总价的30%向甲方支付违约金，若违约金不足以弥补甲方全部损失(包括但不限于重新采购产生的费用及其它由此造成的甲方对第三方的违约损失),由乙方另行支付。同时甲方有权按照《中华人民共和国招标投标法》、《中华人民共和国政府采购法》有关处罚条款报监管机构进行相应的处罚。 3、合同存续期间，如经双方协商一致决定终止合同，则双方均不视为违约。乙方应继续履行合同义务至当季度结束，甲方应按照合同约定的付款条件向乙方支付乙方履约期内的服务款项，无需支付未履行服务期期间的款项。</w:t>
      </w:r>
    </w:p>
    <w:p>
      <w:pPr>
        <w:pStyle w:val="null3"/>
        <w:outlineLvl w:val="2"/>
      </w:pPr>
      <w:r>
        <w:rPr>
          <w:sz w:val="28"/>
          <w:b/>
        </w:rPr>
        <w:t>3.4其他要求</w:t>
      </w:r>
    </w:p>
    <w:p>
      <w:pPr>
        <w:pStyle w:val="null3"/>
      </w:pPr>
      <w:r>
        <w:rPr/>
        <w:t>（一）质量保修范围和保修期： 1、乙方确定的方案科学、可行，人员配置合理，满足甲方要求。 2、符合国家有关服务规范要求，确保各项系统达到服务要求。 3、乙方所有技术人员严格遵守甲方的保密规定，签订保密协议。 4、乙方提供的服务，若发生侵权而产生的一切后果，由乙方负责，甲方保留索赔权利。 5、为保护甲方的合法权利，乙方企业法定代表人、股东对于本合同的履行须承担无限连带保证责任，并出具《网络与信息化机房设备维保服务采购项目》承担无限连带保证责任担保函。</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法人提供会计师事务所出具的完整的2023年度审计报告（成立时间至提交投标文件截止时间不足一年的可提供成立后任意时段的资产负债表)或2024年6月1日后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供应商应有良好的财务状况</w:t>
            </w:r>
          </w:p>
        </w:tc>
        <w:tc>
          <w:tcPr>
            <w:tcW w:type="dxa" w:w="3322"/>
          </w:tcPr>
          <w:p>
            <w:pPr>
              <w:pStyle w:val="null3"/>
            </w:pPr>
            <w:r>
              <w:rPr/>
              <w:t>法人提供会计师事务所出具的完整的2023年度审计报告（成立时间至提交投标文件截止时间不足一年的可提供成立后任意时段的资产负债表)或2024年6月1日后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供应商应有依法缴纳税收的良好记录</w:t>
            </w:r>
          </w:p>
        </w:tc>
        <w:tc>
          <w:tcPr>
            <w:tcW w:type="dxa" w:w="3322"/>
          </w:tcPr>
          <w:p>
            <w:pPr>
              <w:pStyle w:val="null3"/>
            </w:pPr>
            <w:r>
              <w:rPr/>
              <w:t>法人提供自2024年6月1日以来至少一个月的纳税证明或完税证明，纳税证明或完税证明上应有代收机构或税务机关的公章或业务专用章；其他组织和自然人提供自2024年6月1日以来至少一个月缴纳税收的凭据；依法免税的供应商应提供相关文件证明；并进行电子签章。</w:t>
            </w:r>
          </w:p>
        </w:tc>
        <w:tc>
          <w:tcPr>
            <w:tcW w:type="dxa" w:w="1661"/>
          </w:tcPr>
          <w:p>
            <w:pPr>
              <w:pStyle w:val="null3"/>
            </w:pPr>
            <w:r>
              <w:rPr/>
              <w:t>供应商资格证明文件</w:t>
            </w:r>
          </w:p>
        </w:tc>
      </w:tr>
      <w:tr>
        <w:tc>
          <w:tcPr>
            <w:tcW w:type="dxa" w:w="831"/>
          </w:tcPr>
          <w:p>
            <w:pPr>
              <w:pStyle w:val="null3"/>
            </w:pPr>
            <w:r>
              <w:rPr/>
              <w:t>4</w:t>
            </w:r>
          </w:p>
        </w:tc>
        <w:tc>
          <w:tcPr>
            <w:tcW w:type="dxa" w:w="2492"/>
          </w:tcPr>
          <w:p>
            <w:pPr>
              <w:pStyle w:val="null3"/>
            </w:pPr>
            <w:r>
              <w:rPr/>
              <w:t>供应商应有依法缴纳社会保障资金的良好记录</w:t>
            </w:r>
          </w:p>
        </w:tc>
        <w:tc>
          <w:tcPr>
            <w:tcW w:type="dxa" w:w="3322"/>
          </w:tcPr>
          <w:p>
            <w:pPr>
              <w:pStyle w:val="null3"/>
            </w:pPr>
            <w:r>
              <w:rPr/>
              <w:t>提供自2024年6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t>供应商资格证明文件</w:t>
            </w:r>
          </w:p>
        </w:tc>
      </w:tr>
      <w:tr>
        <w:tc>
          <w:tcPr>
            <w:tcW w:type="dxa" w:w="831"/>
          </w:tcPr>
          <w:p>
            <w:pPr>
              <w:pStyle w:val="null3"/>
            </w:pPr>
            <w:r>
              <w:rPr/>
              <w:t>5</w:t>
            </w:r>
          </w:p>
        </w:tc>
        <w:tc>
          <w:tcPr>
            <w:tcW w:type="dxa" w:w="2492"/>
          </w:tcPr>
          <w:p>
            <w:pPr>
              <w:pStyle w:val="null3"/>
            </w:pPr>
            <w:r>
              <w:rPr/>
              <w:t>法定代表人/负责人授权书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供应商资格证明文件</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供应商需在项目电子化交易系统中按要求填写《无重大违法记录声明》完成承诺；并进行电子签章。</w:t>
            </w:r>
          </w:p>
        </w:tc>
        <w:tc>
          <w:tcPr>
            <w:tcW w:type="dxa" w:w="1661"/>
          </w:tcPr>
          <w:p>
            <w:pPr>
              <w:pStyle w:val="null3"/>
            </w:pPr>
            <w:r>
              <w:rPr/>
              <w:t>供应商资格证明文件</w:t>
            </w:r>
          </w:p>
        </w:tc>
      </w:tr>
      <w:tr>
        <w:tc>
          <w:tcPr>
            <w:tcW w:type="dxa" w:w="831"/>
          </w:tcPr>
          <w:p>
            <w:pPr>
              <w:pStyle w:val="null3"/>
            </w:pPr>
            <w:r>
              <w:rPr/>
              <w:t>7</w:t>
            </w:r>
          </w:p>
        </w:tc>
        <w:tc>
          <w:tcPr>
            <w:tcW w:type="dxa" w:w="2492"/>
          </w:tcPr>
          <w:p>
            <w:pPr>
              <w:pStyle w:val="null3"/>
            </w:pPr>
            <w:r>
              <w:rPr/>
              <w:t>供应商应具有履行合同所必需的设备和专业技术能力</w:t>
            </w:r>
          </w:p>
        </w:tc>
        <w:tc>
          <w:tcPr>
            <w:tcW w:type="dxa" w:w="3322"/>
          </w:tcPr>
          <w:p>
            <w:pPr>
              <w:pStyle w:val="null3"/>
            </w:pPr>
            <w:r>
              <w:rPr/>
              <w:t>供应商需在项目电子化交易系统中按要求填写《具有履行合同所必需的设备和专业技术能力的承诺书》完成承诺；并进行电子签章。</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签章符合采购文件要求</w:t>
            </w:r>
          </w:p>
        </w:tc>
        <w:tc>
          <w:tcPr>
            <w:tcW w:type="dxa" w:w="3322"/>
          </w:tcPr>
          <w:p>
            <w:pPr>
              <w:pStyle w:val="null3"/>
            </w:pPr>
            <w:r>
              <w:rPr/>
              <w:t>供应商应当按照采购文件的要求加盖供应商（法定名称）电子印章、法人章（或签字）及委托代表签字或盖章。</w:t>
            </w:r>
          </w:p>
        </w:tc>
        <w:tc>
          <w:tcPr>
            <w:tcW w:type="dxa" w:w="1661"/>
          </w:tcPr>
          <w:p>
            <w:pPr>
              <w:pStyle w:val="null3"/>
            </w:pPr>
            <w:r>
              <w:rPr/>
              <w:t>服务响应偏离表 商务响应偏离表 中小企业声明函 供应商业绩 响应文件封面 其他材料 残疾人福利性单位声明函 供应商基本信息 服务方案 标的清单 合同响应偏离表 供应商企业关联关系说明书 供应商承诺书 响应函 监狱企业的证明文件 供应商资格证明文件</w:t>
            </w:r>
          </w:p>
        </w:tc>
      </w:tr>
      <w:tr>
        <w:tc>
          <w:tcPr>
            <w:tcW w:type="dxa" w:w="831"/>
          </w:tcPr>
          <w:p>
            <w:pPr>
              <w:pStyle w:val="null3"/>
            </w:pPr>
            <w:r>
              <w:rPr/>
              <w:t>3</w:t>
            </w:r>
          </w:p>
        </w:tc>
        <w:tc>
          <w:tcPr>
            <w:tcW w:type="dxa" w:w="2492"/>
          </w:tcPr>
          <w:p>
            <w:pPr>
              <w:pStyle w:val="null3"/>
            </w:pPr>
            <w:r>
              <w:rPr/>
              <w:t>预算金额</w:t>
            </w:r>
          </w:p>
        </w:tc>
        <w:tc>
          <w:tcPr>
            <w:tcW w:type="dxa" w:w="3322"/>
          </w:tcPr>
          <w:p>
            <w:pPr>
              <w:pStyle w:val="null3"/>
            </w:pPr>
            <w:r>
              <w:rPr/>
              <w:t>投标报价不得超过预算金额</w:t>
            </w:r>
          </w:p>
        </w:tc>
        <w:tc>
          <w:tcPr>
            <w:tcW w:type="dxa" w:w="1661"/>
          </w:tcPr>
          <w:p>
            <w:pPr>
              <w:pStyle w:val="null3"/>
            </w:pPr>
            <w:r>
              <w:rPr/>
              <w:t>标的清单</w:t>
            </w:r>
          </w:p>
        </w:tc>
      </w:tr>
      <w:tr>
        <w:tc>
          <w:tcPr>
            <w:tcW w:type="dxa" w:w="831"/>
          </w:tcPr>
          <w:p>
            <w:pPr>
              <w:pStyle w:val="null3"/>
            </w:pPr>
            <w:r>
              <w:rPr/>
              <w:t>4</w:t>
            </w:r>
          </w:p>
        </w:tc>
        <w:tc>
          <w:tcPr>
            <w:tcW w:type="dxa" w:w="2492"/>
          </w:tcPr>
          <w:p>
            <w:pPr>
              <w:pStyle w:val="null3"/>
            </w:pPr>
            <w:r>
              <w:rPr/>
              <w:t>供应商承诺书</w:t>
            </w:r>
          </w:p>
        </w:tc>
        <w:tc>
          <w:tcPr>
            <w:tcW w:type="dxa" w:w="3322"/>
          </w:tcPr>
          <w:p>
            <w:pPr>
              <w:pStyle w:val="null3"/>
            </w:pPr>
            <w:r>
              <w:rPr/>
              <w:t>供应商须提供参加政府采购活动承诺书（格式见响应文件格式附件）</w:t>
            </w:r>
          </w:p>
        </w:tc>
        <w:tc>
          <w:tcPr>
            <w:tcW w:type="dxa" w:w="1661"/>
          </w:tcPr>
          <w:p>
            <w:pPr>
              <w:pStyle w:val="null3"/>
            </w:pPr>
            <w:r>
              <w:rPr/>
              <w:t>供应商承诺书</w:t>
            </w:r>
          </w:p>
        </w:tc>
      </w:tr>
      <w:tr>
        <w:tc>
          <w:tcPr>
            <w:tcW w:type="dxa" w:w="831"/>
          </w:tcPr>
          <w:p>
            <w:pPr>
              <w:pStyle w:val="null3"/>
            </w:pPr>
            <w:r>
              <w:rPr/>
              <w:t>5</w:t>
            </w:r>
          </w:p>
        </w:tc>
        <w:tc>
          <w:tcPr>
            <w:tcW w:type="dxa" w:w="2492"/>
          </w:tcPr>
          <w:p>
            <w:pPr>
              <w:pStyle w:val="null3"/>
            </w:pPr>
            <w:r>
              <w:rPr/>
              <w:t>无其他采购文件或法规明确规定响应无效的事项</w:t>
            </w:r>
          </w:p>
        </w:tc>
        <w:tc>
          <w:tcPr>
            <w:tcW w:type="dxa" w:w="3322"/>
          </w:tcPr>
          <w:p>
            <w:pPr>
              <w:pStyle w:val="null3"/>
            </w:pPr>
            <w:r>
              <w:rPr/>
              <w:t>没有不符合采购文件规定的被视为无效响应的其他条款。</w:t>
            </w:r>
          </w:p>
        </w:tc>
        <w:tc>
          <w:tcPr>
            <w:tcW w:type="dxa" w:w="1661"/>
          </w:tcPr>
          <w:p>
            <w:pPr>
              <w:pStyle w:val="null3"/>
            </w:pPr>
            <w:r>
              <w:rPr/>
              <w:t>服务响应偏离表 商务响应偏离表 中小企业声明函 供应商业绩 响应文件封面 其他材料 残疾人福利性单位声明函 供应商基本信息 服务方案 标的清单 合同响应偏离表 供应商企业关联关系说明书 供应商承诺书 响应函 监狱企业的证明文件 供应商资格证明文件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技术参数符合性</w:t>
            </w:r>
          </w:p>
        </w:tc>
        <w:tc>
          <w:tcPr>
            <w:tcW w:type="dxa" w:w="2492"/>
          </w:tcPr>
          <w:p>
            <w:pPr>
              <w:pStyle w:val="null3"/>
            </w:pPr>
            <w:r>
              <w:rPr/>
              <w:t>供应商完全响应本采购文件第三章3.2.2《服务要求》中所有服务要求，没有负偏离得28分。 1.“★”号参数（共5项）为重要技术指标，不得出现负偏离，否则按废标处理； 2.非“★”号参数（共28项）每负偏离一项扣1分。</w:t>
            </w:r>
          </w:p>
        </w:tc>
        <w:tc>
          <w:tcPr>
            <w:tcW w:type="dxa" w:w="831"/>
          </w:tcPr>
          <w:p>
            <w:pPr>
              <w:pStyle w:val="null3"/>
              <w:jc w:val="right"/>
            </w:pPr>
            <w:r>
              <w:rPr/>
              <w:t>28.0000</w:t>
            </w:r>
          </w:p>
        </w:tc>
        <w:tc>
          <w:tcPr>
            <w:tcW w:type="dxa" w:w="831"/>
          </w:tcPr>
          <w:p>
            <w:pPr>
              <w:pStyle w:val="null3"/>
            </w:pPr>
            <w:r>
              <w:rPr/>
              <w:t>客观</w:t>
            </w:r>
          </w:p>
        </w:tc>
        <w:tc>
          <w:tcPr>
            <w:tcW w:type="dxa" w:w="1661"/>
          </w:tcPr>
          <w:p>
            <w:pPr>
              <w:pStyle w:val="null3"/>
            </w:pPr>
            <w:r>
              <w:rPr/>
              <w:t>服务响应偏离表</w:t>
            </w:r>
          </w:p>
        </w:tc>
      </w:tr>
      <w:tr>
        <w:tc>
          <w:tcPr>
            <w:tcW w:type="dxa" w:w="831"/>
            <w:vMerge/>
          </w:tcPr>
          <w:p/>
        </w:tc>
        <w:tc>
          <w:tcPr>
            <w:tcW w:type="dxa" w:w="1661"/>
          </w:tcPr>
          <w:p>
            <w:pPr>
              <w:pStyle w:val="null3"/>
            </w:pPr>
            <w:r>
              <w:rPr/>
              <w:t>维修保养服务方案</w:t>
            </w:r>
          </w:p>
        </w:tc>
        <w:tc>
          <w:tcPr>
            <w:tcW w:type="dxa" w:w="2492"/>
          </w:tcPr>
          <w:p>
            <w:pPr>
              <w:pStyle w:val="null3"/>
            </w:pPr>
            <w:r>
              <w:rPr/>
              <w:t>一、评审内容 供应商针对本项目提供技术服务及设备管理方案，内容包括：①设备日常巡检、维护、保养、维修、配件免费更换；②设备软件免费升级、质量监控、使用评价等整个设备全生命周期的管理服务。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维保措施及承诺</w:t>
            </w:r>
          </w:p>
        </w:tc>
        <w:tc>
          <w:tcPr>
            <w:tcW w:type="dxa" w:w="2492"/>
          </w:tcPr>
          <w:p>
            <w:pPr>
              <w:pStyle w:val="null3"/>
            </w:pPr>
            <w:r>
              <w:rPr/>
              <w:t>一、评审内容 供应商针对本项目提供维保措施及承诺，内容包括： ①供应商针对本项目应建立完善的维护保养管理体系，提供健全的维护管理工具与手段；②保证设备正常运行并满足医院开机率要求，按期全面维修，提高维修响应速度和维修质量，缩短停机时间。 二、评审标准 1、完整性：方案须全面合理，架构完整，对评审内容中的各项要求有详细描述； 2、可实施性：切合本项目实际情况，实施步骤清晰、合理； 3、针对性：方案能够紧扣本项目实际情况，内容科学合理。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合理化建议及承诺</w:t>
            </w:r>
          </w:p>
        </w:tc>
        <w:tc>
          <w:tcPr>
            <w:tcW w:type="dxa" w:w="2492"/>
          </w:tcPr>
          <w:p>
            <w:pPr>
              <w:pStyle w:val="null3"/>
            </w:pPr>
            <w:r>
              <w:rPr/>
              <w:t>一、评审内容 供应商针对本项目提供设备日常保养维护方法提供合理化建议，内容包括：①提高设备的可靠性、优化维护成本；②减少停机时间、延长设备使用寿命。 二、评审标准 1、完整性：方案须全面合理，架构完整对评审内容中的各项要求有详细描述； 2、可实施性：切合本项目实际情况，实施步骤清晰、合理； 3、针对性：方案能够紧扣本项目实际情况，内容科学合理。 三、赋分依据（满分4分） 1、（2分）上述2项评审内容全部满足评审标准得2分；每有一个评审内容缺项扣1分，扣完为止；每有一项评审内容存在缺陷，扣（0-1）分。 说明：缺陷是指内容没有结合项目实际需求、虽有内容但不完善、内容表述前后不一致、套用其他项目方案或与项目需求不匹配及其他不利于项目实施的等任意一种情形。 2、（2分）针对本项目服务内容及服务要求提出优于本项目基本要求的承诺，每提供一条得1分，满分2分； 未提供得0分。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一、评审内容 供应商针对设备出现不同故障等级（紧急、严重、一般）有详细的应急措施和解决方案。内容包含：①处理流程、受理方法及技术人员、响应时间；②其他应急突发状况处置措施（包括但不限于供应商内部管理流程和工具配备等环节的紧急处理方案）。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提供自2021年11月1日至响应文件递交截止时间前（以合同签订时间为准）同类项目业绩，需提供提供完整有效的合同复印件，每提供一份完整资料得1分，最多得5分。 未提供得0分。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供应商业绩</w:t>
            </w:r>
          </w:p>
        </w:tc>
      </w:tr>
      <w:tr>
        <w:tc>
          <w:tcPr>
            <w:tcW w:type="dxa" w:w="831"/>
            <w:vMerge/>
          </w:tcPr>
          <w:p/>
        </w:tc>
        <w:tc>
          <w:tcPr>
            <w:tcW w:type="dxa" w:w="1661"/>
          </w:tcPr>
          <w:p>
            <w:pPr>
              <w:pStyle w:val="null3"/>
            </w:pPr>
            <w:r>
              <w:rPr/>
              <w:t>维修零配件供货渠道</w:t>
            </w:r>
          </w:p>
        </w:tc>
        <w:tc>
          <w:tcPr>
            <w:tcW w:type="dxa" w:w="2492"/>
          </w:tcPr>
          <w:p>
            <w:pPr>
              <w:pStyle w:val="null3"/>
            </w:pPr>
            <w:r>
              <w:rPr/>
              <w:t>一、评审内容 维修配件供应渠道正常，有质量保证，内容包括：①符合相关标准，提供相关质量检测报告；②无假货、水货,检验手续合法有效（须提供维修所需配件包括但不限于销售合同或代理合同或购货发票等相关证明材料）。 二、评审标准 1、完整性：方案须全面合理，架构完整，对评审内容中的各项要求有详细描述； 2、针对性：提供针对本项目维修配件的产品来源渠道证明材料。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1、（1分）提供院内驻场工程师人员简历，包括但不限于与之相关的专业及学历证明材料，驻场工程师工作经验等；院内常驻工程师至少1人，每多增加1人加1分，最多加1分。 2、（2分）提供二线团队人员简历，包括但不限于与之相关的专业及学历证明材料、工作经验等；二线团队至少10人，每多增加1人加1分，最多加2分。 3、（1分）提供驻场人员相关资格证书得1分。 4、（10分）提供团队人员相关资格证书（详细要求见《团队人员清单》），每提供一个相对应的证书得1分，最多得10分。（每人最多得1分，同一个人具备两个以上证书不加分） 5、（1分）团队构架相对稳定，人员变动每年不能超过2人次，如派驻人员调整需要院方同意；提供承诺书，完全响应得1分，未提供或未完全响应得0分。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足采购文件要求且投标价格最低的投标报价为评标基准价，其价格分为满分。其他供应商的价格分统一按照下列公式计算：投标报价得分=(评标基准价／投标报价)×30。计算分数时四舍五入取小数点后两位。 注：1、计算分值时四舍五入取小数点后两位；2、落实政府采购政策：参见供应商须知。</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详见附件：服务响应偏离表</w:t>
      </w:r>
    </w:p>
    <w:p>
      <w:pPr>
        <w:pStyle w:val="null3"/>
        <w:ind w:firstLine="960"/>
      </w:pPr>
      <w:r>
        <w:rPr/>
        <w:t>详见附件：商务响应偏离表</w:t>
      </w:r>
    </w:p>
    <w:p>
      <w:pPr>
        <w:pStyle w:val="null3"/>
        <w:ind w:firstLine="960"/>
      </w:pPr>
      <w:r>
        <w:rPr/>
        <w:t>详见附件：合同响应偏离表</w:t>
      </w:r>
    </w:p>
    <w:p>
      <w:pPr>
        <w:pStyle w:val="null3"/>
        <w:ind w:firstLine="960"/>
      </w:pPr>
      <w:r>
        <w:rPr/>
        <w:t>详见附件：供应商承诺书</w:t>
      </w:r>
    </w:p>
    <w:p>
      <w:pPr>
        <w:pStyle w:val="null3"/>
        <w:ind w:firstLine="960"/>
      </w:pPr>
      <w:r>
        <w:rPr/>
        <w:t>详见附件：供应商基本信息</w:t>
      </w:r>
    </w:p>
    <w:p>
      <w:pPr>
        <w:pStyle w:val="null3"/>
        <w:ind w:firstLine="960"/>
      </w:pPr>
      <w:r>
        <w:rPr/>
        <w:t>详见附件：供应商企业关联关系说明书</w:t>
      </w:r>
    </w:p>
    <w:p>
      <w:pPr>
        <w:pStyle w:val="null3"/>
        <w:ind w:firstLine="960"/>
      </w:pPr>
      <w:r>
        <w:rPr/>
        <w:t>详见附件：供应商业绩</w:t>
      </w:r>
    </w:p>
    <w:p>
      <w:pPr>
        <w:pStyle w:val="null3"/>
        <w:ind w:firstLine="960"/>
      </w:pPr>
      <w:r>
        <w:rPr/>
        <w:t>详见附件：供应商资格证明文件</w:t>
      </w:r>
    </w:p>
    <w:p>
      <w:pPr>
        <w:pStyle w:val="null3"/>
        <w:ind w:firstLine="960"/>
      </w:pPr>
      <w:r>
        <w:rPr/>
        <w:t>详见附件：其他材料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