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CED71">
      <w:pPr>
        <w:jc w:val="center"/>
        <w:outlineLvl w:val="1"/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一、单价报价表（实质性要求）</w:t>
      </w:r>
    </w:p>
    <w:tbl>
      <w:tblPr>
        <w:tblStyle w:val="2"/>
        <w:tblW w:w="873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6895"/>
      </w:tblGrid>
      <w:tr w14:paraId="34257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CF48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71DE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 w14:paraId="4C2AA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3A00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EBC2C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</w:p>
        </w:tc>
      </w:tr>
      <w:tr w14:paraId="6B408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DBCC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227F4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</w:p>
        </w:tc>
      </w:tr>
      <w:tr w14:paraId="68752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83930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合同期限   （服务期限）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0C5B8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</w:p>
        </w:tc>
      </w:tr>
      <w:tr w14:paraId="1A3C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2039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</w:rPr>
              <w:t>报价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F1181">
            <w:pPr>
              <w:widowControl/>
              <w:spacing w:line="360" w:lineRule="auto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zh-CN" w:eastAsia="zh-CN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 w:val="24"/>
                <w:highlight w:val="none"/>
                <w:lang w:eastAsia="zh-CN"/>
              </w:rPr>
              <w:t>挂网</w:t>
            </w:r>
            <w:r>
              <w:rPr>
                <w:rFonts w:hint="eastAsia" w:ascii="宋体" w:hAnsi="Times New Roman" w:eastAsia="宋体" w:cs="Times New Roman"/>
                <w:color w:val="000000"/>
                <w:sz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（耗材）</w:t>
            </w:r>
            <w:r>
              <w:rPr>
                <w:rFonts w:hint="eastAsia" w:ascii="宋体" w:hAnsi="Times New Roman" w:eastAsia="宋体" w:cs="Times New Roman"/>
                <w:color w:val="000000"/>
                <w:sz w:val="24"/>
                <w:highlight w:val="none"/>
                <w:lang w:eastAsia="zh-CN"/>
              </w:rPr>
              <w:t>（下浮比例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xx%</w:t>
            </w:r>
            <w:r>
              <w:rPr>
                <w:rFonts w:hint="eastAsia" w:ascii="宋体" w:hAnsi="Times New Roman" w:eastAsia="宋体" w:cs="Times New Roman"/>
                <w:color w:val="00000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zh-CN" w:eastAsia="zh-CN"/>
              </w:rPr>
              <w:t>。</w:t>
            </w:r>
          </w:p>
          <w:p w14:paraId="606940DC">
            <w:pPr>
              <w:widowControl/>
              <w:spacing w:line="360" w:lineRule="auto"/>
              <w:rPr>
                <w:rFonts w:hint="eastAsia" w:ascii="宋体" w:hAnsi="宋体" w:eastAsia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zh-CN" w:eastAsia="zh-CN"/>
              </w:rPr>
              <w:t>。</w:t>
            </w:r>
          </w:p>
        </w:tc>
      </w:tr>
      <w:tr w14:paraId="5F3B3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ED7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9D072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挂网产品，按产品实时挂网价（单价）下浮比例（xx%）进行报价（每个产品下浮比例一致），报价包括产品价格、包装、配送服务、运输、售后服务、信息建设费、税收等完成本项目的所有费用。</w:t>
            </w:r>
          </w:p>
        </w:tc>
      </w:tr>
    </w:tbl>
    <w:p w14:paraId="233F39B2">
      <w:pPr>
        <w:outlineLvl w:val="9"/>
        <w:rPr>
          <w:rFonts w:hint="eastAsia" w:ascii="宋体" w:hAnsi="宋体" w:eastAsia="宋体" w:cs="宋体"/>
          <w:color w:val="000000"/>
          <w:sz w:val="32"/>
          <w:highlight w:val="none"/>
        </w:rPr>
      </w:pPr>
    </w:p>
    <w:p w14:paraId="1AE9F146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（盖单位公章）</w:t>
      </w:r>
    </w:p>
    <w:p w14:paraId="7AC4B80E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或授权代表（签字或者加盖个人名章）：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</w:t>
      </w:r>
    </w:p>
    <w:p w14:paraId="6D1D58C0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日  期：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日</w:t>
      </w:r>
    </w:p>
    <w:p w14:paraId="7A1FD556">
      <w:pPr>
        <w:rPr>
          <w:rFonts w:hint="eastAsia"/>
          <w:color w:val="000000"/>
          <w:highlight w:val="none"/>
          <w:lang w:val="en-US" w:eastAsia="zh-CN"/>
        </w:rPr>
      </w:pPr>
    </w:p>
    <w:p w14:paraId="37B30308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注：</w:t>
      </w:r>
    </w:p>
    <w:p w14:paraId="62A1B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1.因采购一体化系统设置原因和项目需要，本项目系统中报价表的“响应报价”仅需填写本项目最高限价金额作为合同（成交）总金额。本项目采用单价报价，投标人按照单价报价表/单价分项报价明细表格式填写。单价报价表/单价分项报价明细表的报价作为投标人价格的评审依据。其单价报价作为合同执行单价。</w:t>
      </w:r>
    </w:p>
    <w:p w14:paraId="2C996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  <w:t>.如涉及提供的相关证明材料均需加盖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  <w:t>单位公章或电子签章。</w:t>
      </w:r>
    </w:p>
    <w:p w14:paraId="606CC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</w:p>
    <w:p w14:paraId="1DAD5F38">
      <w:pPr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color w:val="00000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2"/>
          <w:sz w:val="30"/>
          <w:szCs w:val="30"/>
          <w:highlight w:val="none"/>
          <w:lang w:val="en-US" w:eastAsia="zh-CN" w:bidi="ar-SA"/>
        </w:rPr>
        <w:t>二、</w:t>
      </w:r>
      <w:r>
        <w:rPr>
          <w:rFonts w:hint="default" w:ascii="宋体" w:hAnsi="宋体" w:eastAsia="宋体" w:cs="宋体"/>
          <w:b/>
          <w:bCs/>
          <w:color w:val="000000"/>
          <w:kern w:val="2"/>
          <w:sz w:val="30"/>
          <w:szCs w:val="30"/>
          <w:highlight w:val="none"/>
          <w:lang w:val="en-US" w:eastAsia="zh-CN" w:bidi="ar-SA"/>
        </w:rPr>
        <w:t>单价分项报价明细表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（实质性要求）</w:t>
      </w:r>
    </w:p>
    <w:p w14:paraId="02D0308E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采购编号：</w:t>
      </w:r>
    </w:p>
    <w:p w14:paraId="04E06954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包    号：</w:t>
      </w:r>
    </w:p>
    <w:p w14:paraId="66C83F07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项目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名称：</w:t>
      </w:r>
    </w:p>
    <w:tbl>
      <w:tblPr>
        <w:tblStyle w:val="3"/>
        <w:tblW w:w="8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610"/>
        <w:gridCol w:w="1910"/>
        <w:gridCol w:w="1119"/>
        <w:gridCol w:w="1059"/>
        <w:gridCol w:w="1177"/>
        <w:gridCol w:w="1000"/>
      </w:tblGrid>
      <w:tr w14:paraId="6657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21841EB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序号</w:t>
            </w:r>
          </w:p>
        </w:tc>
        <w:tc>
          <w:tcPr>
            <w:tcW w:w="1610" w:type="dxa"/>
            <w:noWrap w:val="0"/>
            <w:vAlign w:val="top"/>
          </w:tcPr>
          <w:p w14:paraId="3C52251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产品名称</w:t>
            </w:r>
          </w:p>
        </w:tc>
        <w:tc>
          <w:tcPr>
            <w:tcW w:w="1910" w:type="dxa"/>
            <w:noWrap w:val="0"/>
            <w:vAlign w:val="top"/>
          </w:tcPr>
          <w:p w14:paraId="6206C71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规格型号</w:t>
            </w:r>
          </w:p>
        </w:tc>
        <w:tc>
          <w:tcPr>
            <w:tcW w:w="1119" w:type="dxa"/>
            <w:noWrap w:val="0"/>
            <w:vAlign w:val="top"/>
          </w:tcPr>
          <w:p w14:paraId="780D475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品牌</w:t>
            </w:r>
          </w:p>
        </w:tc>
        <w:tc>
          <w:tcPr>
            <w:tcW w:w="1059" w:type="dxa"/>
            <w:noWrap w:val="0"/>
            <w:vAlign w:val="top"/>
          </w:tcPr>
          <w:p w14:paraId="5267199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单位</w:t>
            </w:r>
          </w:p>
        </w:tc>
        <w:tc>
          <w:tcPr>
            <w:tcW w:w="1177" w:type="dxa"/>
            <w:noWrap w:val="0"/>
            <w:vAlign w:val="top"/>
          </w:tcPr>
          <w:p w14:paraId="50A30F5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下浮比例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（XX%）</w:t>
            </w:r>
          </w:p>
        </w:tc>
        <w:tc>
          <w:tcPr>
            <w:tcW w:w="1000" w:type="dxa"/>
            <w:noWrap w:val="0"/>
            <w:vAlign w:val="top"/>
          </w:tcPr>
          <w:p w14:paraId="396C577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备注</w:t>
            </w:r>
          </w:p>
        </w:tc>
      </w:tr>
      <w:tr w14:paraId="617C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37639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610" w:type="dxa"/>
            <w:noWrap w:val="0"/>
            <w:vAlign w:val="top"/>
          </w:tcPr>
          <w:p w14:paraId="76B27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ind w:firstLine="480" w:firstLineChars="2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910" w:type="dxa"/>
            <w:noWrap w:val="0"/>
            <w:vAlign w:val="top"/>
          </w:tcPr>
          <w:p w14:paraId="3CFD5BF7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19" w:type="dxa"/>
            <w:noWrap w:val="0"/>
            <w:vAlign w:val="top"/>
          </w:tcPr>
          <w:p w14:paraId="053F557C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59" w:type="dxa"/>
            <w:noWrap w:val="0"/>
            <w:vAlign w:val="top"/>
          </w:tcPr>
          <w:p w14:paraId="7E7236FE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7" w:type="dxa"/>
            <w:noWrap w:val="0"/>
            <w:vAlign w:val="top"/>
          </w:tcPr>
          <w:p w14:paraId="6B1961CD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00" w:type="dxa"/>
            <w:vMerge w:val="restart"/>
            <w:noWrap w:val="0"/>
            <w:vAlign w:val="top"/>
          </w:tcPr>
          <w:p w14:paraId="2565712C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  <w:t>每个产品下</w:t>
            </w: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浮比例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（XX%）须一致</w:t>
            </w:r>
          </w:p>
        </w:tc>
      </w:tr>
      <w:tr w14:paraId="31AE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7189F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610" w:type="dxa"/>
            <w:noWrap w:val="0"/>
            <w:vAlign w:val="top"/>
          </w:tcPr>
          <w:p w14:paraId="04E81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ind w:firstLine="480" w:firstLineChars="2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910" w:type="dxa"/>
            <w:noWrap w:val="0"/>
            <w:vAlign w:val="top"/>
          </w:tcPr>
          <w:p w14:paraId="49E8438A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19" w:type="dxa"/>
            <w:noWrap w:val="0"/>
            <w:vAlign w:val="top"/>
          </w:tcPr>
          <w:p w14:paraId="171E429E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59" w:type="dxa"/>
            <w:noWrap w:val="0"/>
            <w:vAlign w:val="top"/>
          </w:tcPr>
          <w:p w14:paraId="21374EC3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7" w:type="dxa"/>
            <w:noWrap w:val="0"/>
            <w:vAlign w:val="top"/>
          </w:tcPr>
          <w:p w14:paraId="2EDC9511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00" w:type="dxa"/>
            <w:vMerge w:val="continue"/>
            <w:noWrap w:val="0"/>
            <w:vAlign w:val="top"/>
          </w:tcPr>
          <w:p w14:paraId="02BBFD14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</w:tr>
      <w:tr w14:paraId="009D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542B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610" w:type="dxa"/>
            <w:noWrap w:val="0"/>
            <w:vAlign w:val="top"/>
          </w:tcPr>
          <w:p w14:paraId="5E96C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ind w:firstLine="480" w:firstLineChars="2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910" w:type="dxa"/>
            <w:noWrap w:val="0"/>
            <w:vAlign w:val="top"/>
          </w:tcPr>
          <w:p w14:paraId="3F81B662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19" w:type="dxa"/>
            <w:noWrap w:val="0"/>
            <w:vAlign w:val="top"/>
          </w:tcPr>
          <w:p w14:paraId="0D53B795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59" w:type="dxa"/>
            <w:noWrap w:val="0"/>
            <w:vAlign w:val="top"/>
          </w:tcPr>
          <w:p w14:paraId="74EE4BD1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7" w:type="dxa"/>
            <w:noWrap w:val="0"/>
            <w:vAlign w:val="top"/>
          </w:tcPr>
          <w:p w14:paraId="19DD2FFF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00" w:type="dxa"/>
            <w:vMerge w:val="continue"/>
            <w:noWrap w:val="0"/>
            <w:vAlign w:val="top"/>
          </w:tcPr>
          <w:p w14:paraId="4A7A7EBC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</w:tr>
      <w:tr w14:paraId="1DEE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7C0B3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10" w:type="dxa"/>
            <w:noWrap w:val="0"/>
            <w:vAlign w:val="top"/>
          </w:tcPr>
          <w:p w14:paraId="1815A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ind w:firstLine="480" w:firstLineChars="2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910" w:type="dxa"/>
            <w:noWrap w:val="0"/>
            <w:vAlign w:val="top"/>
          </w:tcPr>
          <w:p w14:paraId="55009DA7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19" w:type="dxa"/>
            <w:noWrap w:val="0"/>
            <w:vAlign w:val="top"/>
          </w:tcPr>
          <w:p w14:paraId="62F59749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59" w:type="dxa"/>
            <w:noWrap w:val="0"/>
            <w:vAlign w:val="top"/>
          </w:tcPr>
          <w:p w14:paraId="3DB34BAE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7" w:type="dxa"/>
            <w:noWrap w:val="0"/>
            <w:vAlign w:val="top"/>
          </w:tcPr>
          <w:p w14:paraId="4D3503C7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000" w:type="dxa"/>
            <w:vMerge w:val="continue"/>
            <w:noWrap w:val="0"/>
            <w:vAlign w:val="top"/>
          </w:tcPr>
          <w:p w14:paraId="16AA3390">
            <w:pPr>
              <w:numPr>
                <w:ilvl w:val="0"/>
                <w:numId w:val="0"/>
              </w:numPr>
              <w:spacing w:line="360" w:lineRule="auto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</w:p>
        </w:tc>
      </w:tr>
      <w:tr w14:paraId="59ED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8" w:type="dxa"/>
            <w:gridSpan w:val="7"/>
            <w:noWrap w:val="0"/>
            <w:vAlign w:val="top"/>
          </w:tcPr>
          <w:p w14:paraId="47B53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挂网产品下浮比例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XX%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zh-CN" w:eastAsia="zh-CN"/>
              </w:rPr>
              <w:t>。大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写：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zh-CN" w:eastAsia="zh-CN"/>
              </w:rPr>
              <w:t>。</w:t>
            </w:r>
          </w:p>
        </w:tc>
      </w:tr>
      <w:tr w14:paraId="7659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8" w:type="dxa"/>
            <w:gridSpan w:val="7"/>
            <w:noWrap w:val="0"/>
            <w:vAlign w:val="top"/>
          </w:tcPr>
          <w:p w14:paraId="7E9E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both"/>
              <w:textAlignment w:val="auto"/>
              <w:outlineLvl w:val="9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注：挂网产品，按产品实时挂网价（单价）下浮比例（xx%）进行报价，报价包括产品价格、包装、运输、配送服务、售后服务、信息建设费、税收等完成本项目的所有费用。</w:t>
            </w:r>
            <w:r>
              <w:rPr>
                <w:rFonts w:hint="eastAsia" w:ascii="宋体"/>
                <w:b w:val="0"/>
                <w:bCs/>
                <w:color w:val="000000"/>
                <w:sz w:val="24"/>
                <w:highlight w:val="none"/>
              </w:rPr>
              <w:t xml:space="preserve"> </w:t>
            </w:r>
            <w:r>
              <w:rPr>
                <w:rFonts w:hint="eastAsia" w:ascii="宋体"/>
                <w:b/>
                <w:color w:val="000000"/>
                <w:sz w:val="24"/>
                <w:highlight w:val="none"/>
              </w:rPr>
              <w:t xml:space="preserve">     </w:t>
            </w:r>
          </w:p>
        </w:tc>
      </w:tr>
    </w:tbl>
    <w:p w14:paraId="5C98565E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33"/>
          <w:szCs w:val="33"/>
          <w:highlight w:val="none"/>
          <w:shd w:val="clear" w:color="auto" w:fill="FFFFFF"/>
        </w:rPr>
      </w:pPr>
    </w:p>
    <w:p w14:paraId="19996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（盖单位公章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或电子签章)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）</w:t>
      </w:r>
    </w:p>
    <w:p w14:paraId="36CAC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或授权代表（签字或者加盖个人名章）：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</w:t>
      </w:r>
    </w:p>
    <w:p w14:paraId="2733A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日  期：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日</w:t>
      </w:r>
    </w:p>
    <w:p w14:paraId="37E12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  <w:t>注：</w:t>
      </w:r>
    </w:p>
    <w:p w14:paraId="1BA60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1.因采购一体化系统设置原因和项目需要，本项目系统中报价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表的“响应报价”仅需填写本项目最高限价金额作为合同（成交）总金额。本项目采用单价报价，投标人按照单价报价表/单价分项报价明细表格式填写。单价报价表/单价分项报价明细表的报价作为投标人价格的评审依据。其单价报价作为合同执行单价。</w:t>
      </w:r>
    </w:p>
    <w:p w14:paraId="63325905">
      <w:pPr>
        <w:adjustRightInd w:val="0"/>
        <w:spacing w:line="400" w:lineRule="exact"/>
        <w:ind w:firstLine="480" w:firstLineChars="200"/>
        <w:jc w:val="left"/>
        <w:outlineLvl w:val="9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  <w:t>.如涉及提供的相关证明材料均需加盖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  <w:t>单位公章或电子签章。</w:t>
      </w:r>
    </w:p>
    <w:p w14:paraId="691E1E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B5AD6"/>
    <w:rsid w:val="0C4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2025-07-15T06:51:00Z</dcterms:created>
  <dc:creator>    </dc:creator>
  <cp:lastModifiedBy>    </cp:lastModifiedBy>
  <dcterms:modified xsi:type="dcterms:W3CDTF">2025-07-15T06:51:50Z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55DB0D9EA02D4010A2D1A01C0F022B5C_11</vt:lpwstr>
  </property>
  <property fmtid="{D5CDD505-2E9C-101B-9397-08002B2CF9AE}" pid="4" name="KSOTemplateDocerSaveRecord">
    <vt:lpwstr>eyJoZGlkIjoiNDQzMDMxZDhkZWVmNjk0OTAyODk5ZDY5MDYzZGYzYWYiLCJ1c2VySWQiOiIyMTQwNTA2OTMifQ==</vt:lpwstr>
  </property>
</Properties>
</file>