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版本号：N511321202600001520260417002</w:t>
      </w:r>
    </w:p>
    <w:p>
      <w:pPr>
        <w:pStyle w:val="null3"/>
        <w:jc w:val="left"/>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2024年南部县废旧地膜回收及处置服务采购项目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N5113212026000015</w:t>
      </w:r>
    </w:p>
    <w:p>
      <w:pPr>
        <w:pStyle w:val="null3"/>
        <w:jc w:val="left"/>
        <w:outlineLvl w:val="2"/>
      </w:pPr>
      <w:r>
        <w:rPr>
          <w:rFonts w:ascii="仿宋_GB2312" w:hAnsi="仿宋_GB2312" w:cs="仿宋_GB2312" w:eastAsia="仿宋_GB2312"/>
          <w:sz w:val="28"/>
          <w:b/>
        </w:rPr>
        <w:t>南部县农业农村局</w:t>
      </w:r>
    </w:p>
    <w:p>
      <w:pPr>
        <w:pStyle w:val="null3"/>
        <w:jc w:val="center"/>
        <w:outlineLvl w:val="2"/>
      </w:pPr>
      <w:r>
        <w:rPr>
          <w:rFonts w:ascii="仿宋_GB2312" w:hAnsi="仿宋_GB2312" w:cs="仿宋_GB2312" w:eastAsia="仿宋_GB2312"/>
          <w:sz w:val="28"/>
          <w:b/>
        </w:rPr>
        <w:t>四川荣信达招标代理有限责任公司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2026年04月17日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四川荣信达招标代理有限责任公司</w:t>
      </w:r>
      <w:r>
        <w:rPr>
          <w:rFonts w:ascii="仿宋_GB2312" w:hAnsi="仿宋_GB2312" w:cs="仿宋_GB2312" w:eastAsia="仿宋_GB2312"/>
        </w:rPr>
        <w:t xml:space="preserve"> （以下简称“代理机构”）受 </w:t>
      </w:r>
      <w:r>
        <w:rPr>
          <w:rFonts w:ascii="仿宋_GB2312" w:hAnsi="仿宋_GB2312" w:cs="仿宋_GB2312" w:eastAsia="仿宋_GB2312"/>
        </w:rPr>
        <w:t>南部县农业农村局</w:t>
      </w:r>
      <w:r>
        <w:rPr>
          <w:rFonts w:ascii="仿宋_GB2312" w:hAnsi="仿宋_GB2312" w:cs="仿宋_GB2312" w:eastAsia="仿宋_GB2312"/>
        </w:rPr>
        <w:t xml:space="preserve"> 委托，拟对 </w:t>
      </w:r>
      <w:r>
        <w:rPr>
          <w:rFonts w:ascii="仿宋_GB2312" w:hAnsi="仿宋_GB2312" w:cs="仿宋_GB2312" w:eastAsia="仿宋_GB2312"/>
        </w:rPr>
        <w:t>2024年南部县废旧地膜回收及处置服务采购项目</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南充市南部县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N5113212026000015</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2024年南部县废旧地膜回收及处置服务采购项目</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2024年南部县废旧地膜回收及处置服务采购项目</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w:t>
      </w:r>
      <w:r>
        <w:rPr>
          <w:rFonts w:ascii="仿宋_GB2312" w:hAnsi="仿宋_GB2312" w:cs="仿宋_GB2312" w:eastAsia="仿宋_GB2312"/>
          <w:sz w:val="24"/>
          <w:b/>
        </w:rPr>
        <w:t>南部县农业农村局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南部县蜀北街道蜀北大道139号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637300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李女士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0817-5526323</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w:t>
      </w:r>
      <w:r>
        <w:rPr>
          <w:rFonts w:ascii="仿宋_GB2312" w:hAnsi="仿宋_GB2312" w:cs="仿宋_GB2312" w:eastAsia="仿宋_GB2312"/>
          <w:sz w:val="24"/>
          <w:b/>
        </w:rPr>
        <w:t>四川荣信达招标代理有限责任公司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南部县新华路441号5楼</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637300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邓先生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0817-5568918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采购包1：692,000.00元</w:t>
            </w:r>
          </w:p>
          <w:p>
            <w:pPr>
              <w:pStyle w:val="null3"/>
              <w:jc w:val="left"/>
            </w:pPr>
            <w:r>
              <w:rPr>
                <w:rFonts w:ascii="仿宋_GB2312" w:hAnsi="仿宋_GB2312" w:cs="仿宋_GB2312" w:eastAsia="仿宋_GB2312"/>
              </w:rPr>
              <w:t xml:space="preserve"> 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政府购买服务项目（含政府和社会资本合作项目）：是/否</w:t>
            </w:r>
          </w:p>
          <w:p>
            <w:pPr>
              <w:pStyle w:val="null3"/>
              <w:jc w:val="left"/>
            </w:pPr>
            <w:r>
              <w:rPr>
                <w:rFonts w:ascii="仿宋_GB2312" w:hAnsi="仿宋_GB2312" w:cs="仿宋_GB2312" w:eastAsia="仿宋_GB2312"/>
              </w:rPr>
              <w:t xml:space="preserve"> 市场竞争不充分的科研项目：是/否</w:t>
            </w:r>
            <w:r>
              <w:rPr>
                <w:rFonts w:ascii="仿宋_GB2312" w:hAnsi="仿宋_GB2312" w:cs="仿宋_GB2312" w:eastAsia="仿宋_GB2312"/>
              </w:rPr>
              <w:t xml:space="preserve"> 需要扶持的科技成果转化项目：是/否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代理服务费收费标准：参照国家计委计价格[2002]1980号文件规定计算收取，成交供应商在成公告发布后三个工作日内向代理机构支付。 收款单位：四川荣信达招标代理有限责任公司；账号：5105 0173 7536 0000 0385；开户银行：中国建设银行股份有限公司南部支行</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二、本磋商文件由 </w:t>
      </w:r>
      <w:r>
        <w:rPr>
          <w:rFonts w:ascii="仿宋_GB2312" w:hAnsi="仿宋_GB2312" w:cs="仿宋_GB2312" w:eastAsia="仿宋_GB2312"/>
        </w:rPr>
        <w:t>南部县农业农村局</w:t>
      </w:r>
      <w:r>
        <w:rPr>
          <w:rFonts w:ascii="仿宋_GB2312" w:hAnsi="仿宋_GB2312" w:cs="仿宋_GB2312" w:eastAsia="仿宋_GB2312"/>
        </w:rPr>
        <w:t xml:space="preserve"> 和 </w:t>
      </w:r>
      <w:r>
        <w:rPr>
          <w:rFonts w:ascii="仿宋_GB2312" w:hAnsi="仿宋_GB2312" w:cs="仿宋_GB2312" w:eastAsia="仿宋_GB2312"/>
        </w:rPr>
        <w:t>四川荣信达招标代理有限责任公司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一、“采购人”是指依法进行政府采购的国家机关、事业单位、团体组织。本次磋商的采购人是 </w:t>
      </w:r>
      <w:r>
        <w:rPr>
          <w:rFonts w:ascii="仿宋_GB2312" w:hAnsi="仿宋_GB2312" w:cs="仿宋_GB2312" w:eastAsia="仿宋_GB2312"/>
        </w:rPr>
        <w:t>南部县农业农村局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四川荣信达招标代理有限责任公司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 xml:space="preserve"> 供应商提出验收申请之日起 </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按采购文件技术部分验收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按采购文件商务部分验收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符合国家有关规定、采购文件的质量要求和技术指标、成交供应商的响应文件及承诺以及合同条款。应严格按照《财政部关于进一步加强政府采购需求和履约验收管理的指导意见》（财库〔2016〕205号）文件的要求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根据委托代理协议约定，供应商对磋商文件中采购需求的询问、质疑由 </w:t>
      </w:r>
      <w:r>
        <w:rPr>
          <w:rFonts w:ascii="仿宋_GB2312" w:hAnsi="仿宋_GB2312" w:cs="仿宋_GB2312" w:eastAsia="仿宋_GB2312"/>
        </w:rPr>
        <w:t>南部县农业农村局</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四川荣信达招标代理有限责任公司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四川荣信达招标代理有限责任公司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联系人：李女士</w:t>
      </w:r>
    </w:p>
    <w:p>
      <w:pPr>
        <w:pStyle w:val="null3"/>
        <w:jc w:val="left"/>
      </w:pPr>
      <w:r>
        <w:rPr>
          <w:rFonts w:ascii="仿宋_GB2312" w:hAnsi="仿宋_GB2312" w:cs="仿宋_GB2312" w:eastAsia="仿宋_GB2312"/>
        </w:rPr>
        <w:t>联系电话：0817-5526323</w:t>
      </w:r>
    </w:p>
    <w:p>
      <w:pPr>
        <w:pStyle w:val="null3"/>
        <w:jc w:val="left"/>
      </w:pPr>
      <w:r>
        <w:rPr>
          <w:rFonts w:ascii="仿宋_GB2312" w:hAnsi="仿宋_GB2312" w:cs="仿宋_GB2312" w:eastAsia="仿宋_GB2312"/>
        </w:rPr>
        <w:t>地址：南部县蜀北街道蜀北大道139号</w:t>
      </w:r>
    </w:p>
    <w:p>
      <w:pPr>
        <w:pStyle w:val="null3"/>
        <w:jc w:val="left"/>
      </w:pPr>
      <w:r>
        <w:rPr>
          <w:rFonts w:ascii="仿宋_GB2312" w:hAnsi="仿宋_GB2312" w:cs="仿宋_GB2312" w:eastAsia="仿宋_GB2312"/>
        </w:rPr>
        <w:t>邮编：637300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联系人：邓先生</w:t>
      </w:r>
    </w:p>
    <w:p>
      <w:pPr>
        <w:pStyle w:val="null3"/>
        <w:jc w:val="left"/>
      </w:pPr>
      <w:r>
        <w:rPr>
          <w:rFonts w:ascii="仿宋_GB2312" w:hAnsi="仿宋_GB2312" w:cs="仿宋_GB2312" w:eastAsia="仿宋_GB2312"/>
        </w:rPr>
        <w:t>联系电话：0817-5568918</w:t>
      </w:r>
    </w:p>
    <w:p>
      <w:pPr>
        <w:pStyle w:val="null3"/>
        <w:jc w:val="left"/>
      </w:pPr>
      <w:r>
        <w:rPr>
          <w:rFonts w:ascii="仿宋_GB2312" w:hAnsi="仿宋_GB2312" w:cs="仿宋_GB2312" w:eastAsia="仿宋_GB2312"/>
        </w:rPr>
        <w:t>地址：南部县新华路441号5楼</w:t>
      </w:r>
    </w:p>
    <w:p>
      <w:pPr>
        <w:pStyle w:val="null3"/>
        <w:jc w:val="left"/>
      </w:pPr>
      <w:r>
        <w:rPr>
          <w:rFonts w:ascii="仿宋_GB2312" w:hAnsi="仿宋_GB2312" w:cs="仿宋_GB2312" w:eastAsia="仿宋_GB2312"/>
        </w:rPr>
        <w:t>邮编：637300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692,000.00</w:t>
      </w:r>
    </w:p>
    <w:p>
      <w:pPr>
        <w:pStyle w:val="null3"/>
        <w:jc w:val="left"/>
      </w:pPr>
      <w:r>
        <w:rPr>
          <w:rFonts w:ascii="仿宋_GB2312" w:hAnsi="仿宋_GB2312" w:cs="仿宋_GB2312" w:eastAsia="仿宋_GB2312"/>
        </w:rPr>
        <w:t>采购包最高限价（元）: 692,000.00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C09990000 其他农林牧渔服务</w:t>
            </w:r>
          </w:p>
        </w:tc>
        <w:tc>
          <w:tcPr>
            <w:tcW w:type="dxa" w:w="821"/>
          </w:tcPr>
          <w:p>
            <w:pPr>
              <w:pStyle w:val="null3"/>
              <w:jc w:val="left"/>
            </w:pPr>
            <w:r>
              <w:rPr>
                <w:rFonts w:ascii="仿宋_GB2312" w:hAnsi="仿宋_GB2312" w:cs="仿宋_GB2312" w:eastAsia="仿宋_GB2312"/>
              </w:rPr>
              <w:t>2024年南部县废旧地膜回收及处置服务采购项目</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692,000.00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2024年南部县废旧地膜回收及处置服务采购项目</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692,000.00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标的名称：2024年南部县废旧地膜回收及处置服务采购项目</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服务内容及要求</w:t>
            </w:r>
          </w:p>
        </w:tc>
        <w:tc>
          <w:tcPr>
            <w:tcW w:type="dxa" w:w="5814"/>
          </w:tcPr>
          <w:p>
            <w:pPr>
              <w:pStyle w:val="null3"/>
              <w:ind w:firstLine="480"/>
              <w:jc w:val="both"/>
            </w:pPr>
            <w:r>
              <w:rPr>
                <w:rFonts w:ascii="仿宋_GB2312" w:hAnsi="仿宋_GB2312" w:cs="仿宋_GB2312" w:eastAsia="仿宋_GB2312"/>
                <w:sz w:val="24"/>
              </w:rPr>
              <w:t>1.为本县项目区内产生的可再利用废旧地膜、不可再利用废旧碎膜及垃圾膜等各类废旧地膜，提供涵盖回收、专业储存、高效转运及规范处置的全方位服务；计划回收并处置废旧地膜173吨，最终将依据实际回收处理量进行结算，且总量不超过173吨。</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4"/>
              </w:rPr>
              <w:t>2.对废旧地膜回收点收集的废旧地膜开展回收处置给予补助。废旧地膜回收流程如下：地膜上交者将废旧地膜上交至村级回收点；村级回收点将废旧地膜上交至镇级回收点；第三方机构在镇级回收点统一回收废旧地膜。</w:t>
            </w:r>
          </w:p>
          <w:p>
            <w:pPr>
              <w:pStyle w:val="null3"/>
              <w:ind w:firstLine="480"/>
              <w:jc w:val="both"/>
            </w:pPr>
            <w:r>
              <w:rPr>
                <w:rFonts w:ascii="仿宋_GB2312" w:hAnsi="仿宋_GB2312" w:cs="仿宋_GB2312" w:eastAsia="仿宋_GB2312"/>
                <w:sz w:val="24"/>
              </w:rPr>
              <w:t>地膜回收处置补助包含：</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第三方机构按回收量代发废旧地膜回收补助，标准为</w:t>
            </w:r>
            <w:r>
              <w:rPr>
                <w:rFonts w:ascii="仿宋_GB2312" w:hAnsi="仿宋_GB2312" w:cs="仿宋_GB2312" w:eastAsia="仿宋_GB2312"/>
                <w:sz w:val="24"/>
              </w:rPr>
              <w:t>3000元/吨。该补助包含：废旧地膜上交者补助：2000元/吨：村级回收点补助：500元/吨(包含但不限于工作人员经费，村级回收点运输废旧地膜至镇级回收点费用等村级回收点产生的费用产生的费用)：镇级回收点补助：500元/吨(包含但不限于工作人员经费等镇级回收点产生的费用)。</w:t>
            </w:r>
            <w:r>
              <w:rPr>
                <w:rFonts w:ascii="仿宋_GB2312" w:hAnsi="仿宋_GB2312" w:cs="仿宋_GB2312" w:eastAsia="仿宋_GB2312"/>
                <w:sz w:val="24"/>
              </w:rPr>
              <w:t>该项预估总补</w:t>
            </w:r>
            <w:r>
              <w:rPr>
                <w:rFonts w:ascii="仿宋_GB2312" w:hAnsi="仿宋_GB2312" w:cs="仿宋_GB2312" w:eastAsia="仿宋_GB2312"/>
                <w:sz w:val="24"/>
              </w:rPr>
              <w:t>贴费用为</w:t>
            </w:r>
            <w:r>
              <w:rPr>
                <w:rFonts w:ascii="仿宋_GB2312" w:hAnsi="仿宋_GB2312" w:cs="仿宋_GB2312" w:eastAsia="仿宋_GB2312"/>
                <w:sz w:val="24"/>
              </w:rPr>
              <w:t>519000元；该项</w:t>
            </w:r>
            <w:r>
              <w:rPr>
                <w:rFonts w:ascii="仿宋_GB2312" w:hAnsi="仿宋_GB2312" w:cs="仿宋_GB2312" w:eastAsia="仿宋_GB2312"/>
                <w:sz w:val="24"/>
              </w:rPr>
              <w:t>补贴费用由回收企业提前垫支，后期与回收处置费用一起由采购人支付。</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成交供应商须将集中收集的废旧地膜交由具有废旧地膜无害化处置资质的企业进行处置。</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4"/>
              </w:rPr>
              <w:t>3.负责协调各村及乡镇回收网点开展废旧地膜回收工作，确保组织运输、回收及处置废旧地膜等全过程符合《中华人民共和国固体废物污染环境防治法》及《中华人民共和国土壤污染防治法》。由供应商定期对镇回收点中的废旧农膜进行统一收集、称重、核实台账、填写交接单，并集中运送至符合国家规定、具备相关资质的企业或单位进行统一资源再利用及无害化处置，防止二次污染事故发生，同时做好各类记录、拍照、存放等工作。</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4"/>
              </w:rPr>
              <w:t>4.建立地膜科学使用回收处置管理台账。统一印制回收处置管理台账，要求农膜回收、处置等各环节相关主体如实记录，形成全链条台账。各回收网点、转运点、处置企业等环节均需建立回收处置记录台账各</w:t>
            </w:r>
            <w:r>
              <w:rPr>
                <w:rFonts w:ascii="仿宋_GB2312" w:hAnsi="仿宋_GB2312" w:cs="仿宋_GB2312" w:eastAsia="仿宋_GB2312"/>
                <w:sz w:val="24"/>
              </w:rPr>
              <w:t>1</w:t>
            </w:r>
            <w:r>
              <w:rPr>
                <w:rFonts w:ascii="仿宋_GB2312" w:hAnsi="仿宋_GB2312" w:cs="仿宋_GB2312" w:eastAsia="仿宋_GB2312"/>
                <w:sz w:val="24"/>
              </w:rPr>
              <w:t>本</w:t>
            </w:r>
            <w:r>
              <w:rPr>
                <w:rFonts w:ascii="仿宋_GB2312" w:hAnsi="仿宋_GB2312" w:cs="仿宋_GB2312" w:eastAsia="仿宋_GB2312"/>
                <w:sz w:val="24"/>
              </w:rPr>
              <w:t>(台账采用标准A4纸张，装订成册。需在台账上如实填写交回人、交回重量、交回日期、回收补助等信息，确保记录完整、准确，并保存2年以上)。</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4"/>
              </w:rPr>
              <w:t>5.负责收集项目镇、村农膜回收率统计表册作为印证，确保农膜回收率大于85%。</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4"/>
              </w:rPr>
              <w:t>6</w:t>
            </w:r>
            <w:r>
              <w:rPr>
                <w:rFonts w:ascii="仿宋_GB2312" w:hAnsi="仿宋_GB2312" w:cs="仿宋_GB2312" w:eastAsia="仿宋_GB2312"/>
                <w:sz w:val="24"/>
              </w:rPr>
              <w:t>.开展群众满意度调查表测评作为印证，确保群众对地膜科学使用回收试点工作的满意度≥90%。</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自合同签订之日起365日内</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南部县全域</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符合国家有关规定、采购文件的质量要求和技术指标、成交供应商的响应文件及承诺以及合同条款。应严格按照《财政部关于进一步加强政府采购需求和履约验收管理的指导意见》（财库〔2016〕205号）文件的要求进行验收。</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1、合同签订生效后，支付预付款，达到付款条件起7日内，支付合同总金额的40.00%</w:t>
            </w:r>
          </w:p>
          <w:p>
            <w:pPr>
              <w:pStyle w:val="null3"/>
              <w:jc w:val="left"/>
            </w:pPr>
            <w:r>
              <w:rPr>
                <w:rFonts w:ascii="仿宋_GB2312" w:hAnsi="仿宋_GB2312" w:cs="仿宋_GB2312" w:eastAsia="仿宋_GB2312"/>
              </w:rPr>
              <w:t>2、服务完成后，经验收合格，达到付款条件起7日内，支付合同总金额的60.00%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依据相关法律法规处理</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1、★安全: 在项目实施过程中所有参与本项目的人身安全、财产安全及民事纠纷等一律由成交供应商负全责，采购方不承担任何安全责任，也不承担如发生安全事故产生的任何责任。（提供承诺函，格式自拟）。 2、★法律责任：供应商保证响应文件中提供的所有资料及证明材料真实有效。(单独提供承诺函，格式自拟) 3、后续服务要求 : (1)供应商应配备本项目技术人员，根据采购人要求，到回收点为农户提供服务。 (2)供应商有专人负责与采购人联系售后服务事宜，做好宣传培训、回收处置、档案管理、验收等相关工作。 4、供应商根据项目实施编制服务方案及售后服务方案用于评审，同时根据评审表中履约能力、人员配置提供相关证明材料，以用于评审。</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3.2.技术要求，3.3.服务要求</w:t>
      </w:r>
    </w:p>
    <w:p>
      <w:pPr>
        <w:pStyle w:val="null3"/>
        <w:ind w:firstLine="480"/>
        <w:jc w:val="left"/>
      </w:pPr>
      <w:r>
        <w:rPr>
          <w:rFonts w:ascii="仿宋_GB2312" w:hAnsi="仿宋_GB2312" w:cs="仿宋_GB2312" w:eastAsia="仿宋_GB2312"/>
        </w:rPr>
        <w:t>二、第七章“拟签订采购合同文本”：</w:t>
      </w:r>
    </w:p>
    <w:p>
      <w:pPr>
        <w:pStyle w:val="null3"/>
        <w:ind w:firstLine="480"/>
        <w:jc w:val="left"/>
      </w:pPr>
      <w:r>
        <w:rPr>
          <w:rFonts w:ascii="仿宋_GB2312" w:hAnsi="仿宋_GB2312" w:cs="仿宋_GB2312" w:eastAsia="仿宋_GB2312"/>
          <w:sz w:val="21"/>
        </w:rPr>
        <w:t>合同范本</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提供有效的营业执照副本、组织机构代码证副本、税务登记证副本（或“三证合一”的营业执照副本），事业单位提供事业单位法人证书，自然人提供本人身份证。以上资料提供扫描件并进行电子签章。</w:t>
            </w:r>
          </w:p>
        </w:tc>
        <w:tc>
          <w:tcPr>
            <w:tcW w:type="dxa" w:w="1661"/>
          </w:tcPr>
          <w:p>
            <w:pPr>
              <w:pStyle w:val="null3"/>
              <w:jc w:val="left"/>
            </w:pPr>
            <w:r>
              <w:rPr>
                <w:rFonts w:ascii="仿宋_GB2312" w:hAnsi="仿宋_GB2312" w:cs="仿宋_GB2312" w:eastAsia="仿宋_GB2312"/>
              </w:rPr>
              <w:t>响应文件封面,供应商应提交的相关证明材料,投标（响应）函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供应商应提交的相关证明材料,投标（响应）函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投标（响应）函,采购文件要求或供应商认为应该提供的其他资料.docx</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不正当竞争预防措施（实质性要求）</w:t>
            </w:r>
          </w:p>
        </w:tc>
        <w:tc>
          <w:tcPr>
            <w:tcW w:type="dxa" w:w="3322"/>
          </w:tcPr>
          <w:p>
            <w:pPr>
              <w:pStyle w:val="null3"/>
              <w:jc w:val="left"/>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c>
          <w:tcPr>
            <w:tcW w:type="dxa" w:w="1661"/>
          </w:tcPr>
          <w:p>
            <w:pPr>
              <w:pStyle w:val="null3"/>
              <w:jc w:val="left"/>
            </w:pPr>
            <w:r>
              <w:rPr>
                <w:rFonts w:ascii="仿宋_GB2312" w:hAnsi="仿宋_GB2312" w:cs="仿宋_GB2312" w:eastAsia="仿宋_GB2312"/>
              </w:rPr>
              <w:t>报价明细表,报价表</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采购文件实质性要求</w:t>
            </w:r>
          </w:p>
        </w:tc>
        <w:tc>
          <w:tcPr>
            <w:tcW w:type="dxa" w:w="3322"/>
          </w:tcPr>
          <w:p>
            <w:pPr>
              <w:pStyle w:val="null3"/>
              <w:jc w:val="left"/>
            </w:pPr>
            <w:r>
              <w:rPr>
                <w:rFonts w:ascii="仿宋_GB2312" w:hAnsi="仿宋_GB2312" w:cs="仿宋_GB2312" w:eastAsia="仿宋_GB2312"/>
              </w:rPr>
              <w:t>供应商的响应文件符合采购文件的实质性要求，供应商按照采购文件要求上传相应证明材料。</w:t>
            </w:r>
          </w:p>
        </w:tc>
        <w:tc>
          <w:tcPr>
            <w:tcW w:type="dxa" w:w="1661"/>
          </w:tcPr>
          <w:p>
            <w:pPr>
              <w:pStyle w:val="null3"/>
              <w:jc w:val="left"/>
            </w:pPr>
            <w:r>
              <w:rPr>
                <w:rFonts w:ascii="仿宋_GB2312" w:hAnsi="仿宋_GB2312" w:cs="仿宋_GB2312" w:eastAsia="仿宋_GB2312"/>
              </w:rPr>
              <w:t>技术服务应答表（格式自拟）.docx,商务应答表（格式自拟）.docx,采购文件要求或供应商认为应该提供的其他资料.docx</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七、评审过程中出现下列情形之一的，磋商小组应当启动异常低价响应审查程序：</w:t>
      </w:r>
    </w:p>
    <w:p>
      <w:pPr>
        <w:pStyle w:val="null3"/>
        <w:ind w:firstLine="480"/>
        <w:jc w:val="left"/>
      </w:pPr>
      <w:r>
        <w:rPr>
          <w:rFonts w:ascii="仿宋_GB2312" w:hAnsi="仿宋_GB2312" w:cs="仿宋_GB2312" w:eastAsia="仿宋_GB2312"/>
        </w:rPr>
        <w:t xml:space="preserve">1.响应报价低于全部通过符合性审查供应商响应报价平均值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2.响应报价低于通过符合性审查的次低报价供应商响应报价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3.响应报价低于采购项目（采购包）最高限价 </w:t>
      </w:r>
      <w:r>
        <w:rPr>
          <w:rFonts w:ascii="仿宋_GB2312" w:hAnsi="仿宋_GB2312" w:cs="仿宋_GB2312" w:eastAsia="仿宋_GB2312"/>
        </w:rPr>
        <w:t>60</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60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4.磋商小组基于专业判断，认为供应商报价过低，有可能影响产品质量或者不能诚信履约的其他情形。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服务要求</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售后服务方案</w:t>
            </w:r>
          </w:p>
        </w:tc>
        <w:tc>
          <w:tcPr>
            <w:tcW w:type="dxa" w:w="2575"/>
          </w:tcPr>
          <w:p>
            <w:pPr>
              <w:pStyle w:val="null3"/>
              <w:jc w:val="left"/>
            </w:pPr>
            <w:r>
              <w:rPr>
                <w:rFonts w:ascii="仿宋_GB2312" w:hAnsi="仿宋_GB2312" w:cs="仿宋_GB2312" w:eastAsia="仿宋_GB2312"/>
              </w:rPr>
              <w:t>供应商根据本项目制定的售后服务方案包括但不限于：①售后服务团队建设；②地膜回收指导与技术支持；③售后应急预案等以上3项内容全部包含且满足项目实施要求的得12分，每缺少一项扣4分，每有一处内容有缺陷的扣2分，扣完为止。注：内容有缺陷是指：内容不完整或虽有内容但缺少关键节点；套用其他项目方案；凭空编造；方案中内容前后不一致；内容前后矛盾；涉及的规范及标准错误；地点区域错误；不利于项目实施；不可能实现的情形；项目名称、服务内容及要求、实施地点、涉及的规范、标准与本项目要求不一致；技术环节不规范或漏缺项；实施操作流程不规范或漏缺项；对于项目及工作的理解片面主观；方案内容文字描述错误或交叉混乱；方案内容与项目内在需求有漏项；衔接时效性差无法及时解决问题等任意一种情形。</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采购文件要求或供应商认为应该提供的其他资料.docx</w:t>
            </w:r>
          </w:p>
        </w:tc>
      </w:tr>
      <w:tr>
        <w:tc>
          <w:tcPr>
            <w:tcW w:type="dxa" w:w="831"/>
            <w:vMerge/>
          </w:tcPr>
          <w:p/>
        </w:tc>
        <w:tc>
          <w:tcPr>
            <w:tcW w:type="dxa" w:w="1661"/>
          </w:tcPr>
          <w:p>
            <w:pPr>
              <w:pStyle w:val="null3"/>
              <w:jc w:val="left"/>
            </w:pPr>
            <w:r>
              <w:rPr>
                <w:rFonts w:ascii="仿宋_GB2312" w:hAnsi="仿宋_GB2312" w:cs="仿宋_GB2312" w:eastAsia="仿宋_GB2312"/>
              </w:rPr>
              <w:t>人员配置</w:t>
            </w:r>
          </w:p>
        </w:tc>
        <w:tc>
          <w:tcPr>
            <w:tcW w:type="dxa" w:w="2575"/>
          </w:tcPr>
          <w:p>
            <w:pPr>
              <w:pStyle w:val="null3"/>
              <w:jc w:val="left"/>
            </w:pPr>
            <w:r>
              <w:rPr>
                <w:rFonts w:ascii="仿宋_GB2312" w:hAnsi="仿宋_GB2312" w:cs="仿宋_GB2312" w:eastAsia="仿宋_GB2312"/>
              </w:rPr>
              <w:t>1、项目负责人（1人）拟投入本项目的项目负责人具有农业或环境类相关专业中级职称的得2分，具有农业或环境类相关专业高级及以上职称的得4分，本项最高分为4分，未提供不得分。2、技术负责人（1人）拟投入本项目的技术负责人具有农业或环境类相关专业中级职称的得2分，具有农业或环境类相关专业高级及以上职称的得4分，本项最高分为4分，未提供不得分。3、除以上人员外，供应商为本项目配置的技术人员中，每有一人具有农业或环境类相关专业高级及以上职称证人员得4分；每有一人具有农业或环境类相关专业中级职称人员得2分；本项最高分为10分，不具备不得分。注：（1）以上同一人员不重复计分；（2）以上人员须提供相关证书扫描件或证明材料；（3）以上人员须提供身份证扫描件及在职的相关证明材料。</w:t>
            </w:r>
          </w:p>
        </w:tc>
        <w:tc>
          <w:tcPr>
            <w:tcW w:type="dxa" w:w="831"/>
          </w:tcPr>
          <w:p>
            <w:pPr>
              <w:pStyle w:val="null3"/>
              <w:jc w:val="center"/>
            </w:pPr>
            <w:r>
              <w:rPr>
                <w:rFonts w:ascii="仿宋_GB2312" w:hAnsi="仿宋_GB2312" w:cs="仿宋_GB2312" w:eastAsia="仿宋_GB2312"/>
              </w:rPr>
              <w:t>18.0000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采购文件要求或供应商认为应该提供的其他资料.docx</w:t>
            </w:r>
          </w:p>
        </w:tc>
      </w:tr>
      <w:tr>
        <w:tc>
          <w:tcPr>
            <w:tcW w:type="dxa" w:w="831"/>
            <w:vMerge/>
          </w:tcPr>
          <w:p/>
        </w:tc>
        <w:tc>
          <w:tcPr>
            <w:tcW w:type="dxa" w:w="1661"/>
          </w:tcPr>
          <w:p>
            <w:pPr>
              <w:pStyle w:val="null3"/>
              <w:jc w:val="left"/>
            </w:pPr>
            <w:r>
              <w:rPr>
                <w:rFonts w:ascii="仿宋_GB2312" w:hAnsi="仿宋_GB2312" w:cs="仿宋_GB2312" w:eastAsia="仿宋_GB2312"/>
              </w:rPr>
              <w:t>服务方案</w:t>
            </w:r>
          </w:p>
        </w:tc>
        <w:tc>
          <w:tcPr>
            <w:tcW w:type="dxa" w:w="2575"/>
          </w:tcPr>
          <w:p>
            <w:pPr>
              <w:pStyle w:val="null3"/>
              <w:jc w:val="left"/>
            </w:pPr>
            <w:r>
              <w:rPr>
                <w:rFonts w:ascii="仿宋_GB2312" w:hAnsi="仿宋_GB2312" w:cs="仿宋_GB2312" w:eastAsia="仿宋_GB2312"/>
              </w:rPr>
              <w:t>供应商根据本项目制定的服务方案包括但不限于：①项目前期准备工作；②地膜回收保障措施；③地膜储存保障措施；④服务质量保障措施；⑤服务进度计划；⑥技术培训方案；⑦地膜回收体系建设方案；⑧团队管理制度；⑨回收过程中环境处置方案；⑩安全防范等综合评审；以上10项内容全部包含且满足项目实施要求的得40分，每缺少一项扣4分，每有一处内容有缺陷的扣2分，扣完为止。注：内容有缺陷是指：内容不完整或虽有内容但缺少关键节点；套用其他项目方案；凭空编造；方案中内容前后不一致；内容前后矛盾；涉及的规范及标准错误；地点区域错误；不利于项目实施；不可能实现的情形；项目名称、服务内容及要求、实施地点、涉及的规范、标准与本项目要求不一致；技术环节不规范或漏缺项；实施操作流程不规范或漏缺项；对于项目及工作的理解片面主观；方案内容文字描述错误或交叉混乱；方案内容与项目内在需求有漏项；衔接时效性差无法及时解决问题等任意一种情形。</w:t>
            </w:r>
          </w:p>
        </w:tc>
        <w:tc>
          <w:tcPr>
            <w:tcW w:type="dxa" w:w="831"/>
          </w:tcPr>
          <w:p>
            <w:pPr>
              <w:pStyle w:val="null3"/>
              <w:jc w:val="center"/>
            </w:pPr>
            <w:r>
              <w:rPr>
                <w:rFonts w:ascii="仿宋_GB2312" w:hAnsi="仿宋_GB2312" w:cs="仿宋_GB2312" w:eastAsia="仿宋_GB2312"/>
              </w:rPr>
              <w:t>40.0000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采购文件要求或供应商认为应该提供的其他资料.docx</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1、供应商近三年来具有类似项目业绩的，每提供一个得4分，在此基础上每增加类似项目业绩加3分，本项最多得10分。（注：供应商提供成交通知书或合同扫描件并进行电子签章。）2、供应商针对本项目投入的运输回收服务货运车辆，具有载重5吨及以上车辆1辆货运车辆的得4分，在此基础上每增加一辆加3分；本项最多得10分。（注：供应商自有车辆须提供车辆行驶证扫描件并进行电子签章，租赁车辆须提供租赁协议扫描件及相应车辆的行驶证扫描件并进行电子签章。）</w:t>
            </w:r>
          </w:p>
        </w:tc>
        <w:tc>
          <w:tcPr>
            <w:tcW w:type="dxa" w:w="831"/>
          </w:tcPr>
          <w:p>
            <w:pPr>
              <w:pStyle w:val="null3"/>
              <w:jc w:val="center"/>
            </w:pPr>
            <w:r>
              <w:rPr>
                <w:rFonts w:ascii="仿宋_GB2312" w:hAnsi="仿宋_GB2312" w:cs="仿宋_GB2312" w:eastAsia="仿宋_GB2312"/>
              </w:rPr>
              <w:t>20.0000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采购文件要求或供应商认为应该提供的其他资料.docx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价格分</w:t>
            </w:r>
          </w:p>
        </w:tc>
        <w:tc>
          <w:tcPr>
            <w:tcW w:type="dxa" w:w="2575"/>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分值。评审价格=响应报价。经价格调整后的评审价格=响应报价×（1-价格调整比例）基准价=经价格调整后评审价格的最低值。</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p>
            <w:pPr>
              <w:pStyle w:val="null3"/>
              <w:jc w:val="left"/>
            </w:pPr>
            <w:r>
              <w:rPr>
                <w:rFonts w:ascii="仿宋_GB2312" w:hAnsi="仿宋_GB2312" w:cs="仿宋_GB2312" w:eastAsia="仿宋_GB2312"/>
              </w:rPr>
              <w:t>报价明细表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详见附件：报价明细表</w:t>
      </w:r>
    </w:p>
    <w:p>
      <w:pPr>
        <w:pStyle w:val="null3"/>
        <w:ind w:firstLine="960"/>
        <w:jc w:val="left"/>
      </w:pPr>
      <w:r>
        <w:rPr>
          <w:rFonts w:ascii="仿宋_GB2312" w:hAnsi="仿宋_GB2312" w:cs="仿宋_GB2312" w:eastAsia="仿宋_GB2312"/>
        </w:rPr>
        <w:t>详见附件：商务应答表（格式自拟）.docx</w:t>
      </w:r>
    </w:p>
    <w:p>
      <w:pPr>
        <w:pStyle w:val="null3"/>
        <w:ind w:firstLine="960"/>
        <w:jc w:val="left"/>
      </w:pPr>
      <w:r>
        <w:rPr>
          <w:rFonts w:ascii="仿宋_GB2312" w:hAnsi="仿宋_GB2312" w:cs="仿宋_GB2312" w:eastAsia="仿宋_GB2312"/>
        </w:rPr>
        <w:t>详见附件：采购文件要求或供应商认为应该提供的其他资料.docx</w:t>
      </w:r>
    </w:p>
    <w:p>
      <w:pPr>
        <w:pStyle w:val="null3"/>
        <w:ind w:firstLine="960"/>
        <w:jc w:val="left"/>
      </w:pPr>
      <w:r>
        <w:rPr>
          <w:rFonts w:ascii="仿宋_GB2312" w:hAnsi="仿宋_GB2312" w:cs="仿宋_GB2312" w:eastAsia="仿宋_GB2312"/>
        </w:rPr>
        <w:t>详见附件：技术服务应答表（格式自拟）.docx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