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pPr>
      <w:r>
        <w:rPr>
          <w:rFonts w:ascii="仿宋_GB2312" w:hAnsi="仿宋_GB2312" w:eastAsia="仿宋_GB2312" w:cs="仿宋_GB2312"/>
          <w:b/>
          <w:sz w:val="36"/>
        </w:rPr>
        <w:t>第三章 技术、服务及其他要求</w:t>
      </w:r>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采购包预算金额（元）: 1,616,300.00</w:t>
      </w:r>
    </w:p>
    <w:p>
      <w:pPr>
        <w:pStyle w:val="4"/>
        <w:jc w:val="left"/>
      </w:pPr>
      <w:r>
        <w:rPr>
          <w:rFonts w:ascii="仿宋_GB2312" w:hAnsi="仿宋_GB2312" w:eastAsia="仿宋_GB2312" w:cs="仿宋_GB2312"/>
        </w:rPr>
        <w:t>采购包最高限价（元）: 1,616,300.00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C18040199 其他商业保险服务</w:t>
            </w:r>
          </w:p>
        </w:tc>
        <w:tc>
          <w:tcPr>
            <w:tcW w:w="821" w:type="dxa"/>
          </w:tcPr>
          <w:p>
            <w:pPr>
              <w:pStyle w:val="4"/>
              <w:jc w:val="left"/>
            </w:pPr>
            <w:r>
              <w:rPr>
                <w:rFonts w:ascii="仿宋_GB2312" w:hAnsi="仿宋_GB2312" w:eastAsia="仿宋_GB2312" w:cs="仿宋_GB2312"/>
              </w:rPr>
              <w:t>威远县2023年高标准农田建设项目建后管护购买商业保险服务</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1,616,300.00</w:t>
            </w:r>
          </w:p>
        </w:tc>
        <w:tc>
          <w:tcPr>
            <w:tcW w:w="821" w:type="dxa"/>
          </w:tcPr>
          <w:p>
            <w:pPr>
              <w:pStyle w:val="4"/>
              <w:jc w:val="left"/>
            </w:pPr>
            <w:r>
              <w:rPr>
                <w:rFonts w:ascii="仿宋_GB2312" w:hAnsi="仿宋_GB2312" w:eastAsia="仿宋_GB2312" w:cs="仿宋_GB2312"/>
              </w:rPr>
              <w:t>其他未列明行业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pPr>
      <w:r>
        <w:rPr>
          <w:rFonts w:ascii="仿宋_GB2312" w:hAnsi="仿宋_GB2312" w:eastAsia="仿宋_GB2312" w:cs="仿宋_GB2312"/>
        </w:rPr>
        <w:t>是否适用本国产品标准：否</w:t>
      </w:r>
    </w:p>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威远县2023年高标准农田建设项目建后管护购买商业保险服务</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1,616,300.00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★超过最高限价的报价为无效响应。</w:t>
            </w:r>
          </w:p>
        </w:tc>
      </w:tr>
    </w:tbl>
    <w:p>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pPr>
        <w:pStyle w:val="4"/>
        <w:jc w:val="left"/>
      </w:pPr>
      <w:r>
        <w:rPr>
          <w:rFonts w:ascii="仿宋_GB2312" w:hAnsi="仿宋_GB2312" w:eastAsia="仿宋_GB2312" w:cs="仿宋_GB2312"/>
          <w:b/>
        </w:rPr>
        <w:t>本项目涉及核心产品：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标的名称：威远县2023年高标准农田建设项目建后管护购买商业保险服务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技术要求</w:t>
            </w:r>
          </w:p>
        </w:tc>
        <w:tc>
          <w:tcPr>
            <w:tcW w:w="5814" w:type="dxa"/>
          </w:tcPr>
          <w:p>
            <w:pPr>
              <w:pStyle w:val="4"/>
              <w:jc w:val="both"/>
            </w:pPr>
            <w:r>
              <w:rPr>
                <w:rFonts w:ascii="仿宋_GB2312" w:hAnsi="仿宋_GB2312" w:eastAsia="仿宋_GB2312" w:cs="仿宋_GB2312"/>
                <w:sz w:val="28"/>
              </w:rPr>
              <w:t>1、服务范围：对2023年高标准农田建设项目2.49万亩纳入建后管护保险，其中，新建1.89万亩，改造提升0.6万亩，地点涉及新店镇新和村、长塘村，向义镇解放村、大冲村，镇西中心村、民建村、川主村、核丰村，小河镇新同村、平乐村。</w:t>
            </w:r>
          </w:p>
          <w:p>
            <w:pPr>
              <w:pStyle w:val="4"/>
              <w:jc w:val="both"/>
            </w:pPr>
            <w:r>
              <w:rPr>
                <w:rFonts w:ascii="仿宋_GB2312" w:hAnsi="仿宋_GB2312" w:eastAsia="仿宋_GB2312" w:cs="仿宋_GB2312"/>
                <w:sz w:val="28"/>
              </w:rPr>
              <w:t>2、保险责任</w:t>
            </w:r>
          </w:p>
          <w:p>
            <w:pPr>
              <w:pStyle w:val="4"/>
              <w:jc w:val="both"/>
            </w:pPr>
            <w:r>
              <w:rPr>
                <w:rFonts w:ascii="仿宋_GB2312" w:hAnsi="仿宋_GB2312" w:eastAsia="仿宋_GB2312" w:cs="仿宋_GB2312"/>
                <w:sz w:val="28"/>
              </w:rPr>
              <w:t>2.1高标准农田建设工程质量保险：在保险赔偿责任期间内，因工程质量潜在缺陷发生下列情形，造成被保险项目物质损坏的，由保险公司按照约定负责赔偿修理、加固或重建的费用：</w:t>
            </w:r>
          </w:p>
          <w:p>
            <w:pPr>
              <w:pStyle w:val="4"/>
              <w:jc w:val="both"/>
            </w:pPr>
            <w:r>
              <w:rPr>
                <w:rFonts w:ascii="仿宋_GB2312" w:hAnsi="仿宋_GB2312" w:eastAsia="仿宋_GB2312" w:cs="仿宋_GB2312"/>
                <w:sz w:val="28"/>
              </w:rPr>
              <w:t>（1）工程结构出现影响使用安全的裂缝、变形、破损、断裂、坍塌。</w:t>
            </w:r>
          </w:p>
          <w:p>
            <w:pPr>
              <w:pStyle w:val="4"/>
              <w:jc w:val="both"/>
            </w:pPr>
            <w:r>
              <w:rPr>
                <w:rFonts w:ascii="仿宋_GB2312" w:hAnsi="仿宋_GB2312" w:eastAsia="仿宋_GB2312" w:cs="仿宋_GB2312"/>
                <w:sz w:val="28"/>
              </w:rPr>
              <w:t>（2）工程结构产生超出设计规范允许的不均匀沉降。</w:t>
            </w:r>
          </w:p>
          <w:p>
            <w:pPr>
              <w:pStyle w:val="4"/>
              <w:jc w:val="both"/>
            </w:pPr>
            <w:r>
              <w:rPr>
                <w:rFonts w:ascii="仿宋_GB2312" w:hAnsi="仿宋_GB2312" w:eastAsia="仿宋_GB2312" w:cs="仿宋_GB2312"/>
                <w:sz w:val="28"/>
              </w:rPr>
              <w:t>（3）有防渗漏要求的工程出现渗漏。</w:t>
            </w:r>
          </w:p>
          <w:p>
            <w:pPr>
              <w:pStyle w:val="4"/>
              <w:jc w:val="both"/>
            </w:pPr>
            <w:r>
              <w:rPr>
                <w:rFonts w:ascii="仿宋_GB2312" w:hAnsi="仿宋_GB2312" w:eastAsia="仿宋_GB2312" w:cs="仿宋_GB2312"/>
                <w:sz w:val="28"/>
              </w:rPr>
              <w:t>3、财产综合险：在保险赔偿责任期间内，由保险公司按照约定负责赔偿因火灾、爆炸、雷击、暴雨、洪水、暴风、龙卷风、冰雹、台风、飓风、暴雪、冰凌、突发性滑坡、崩塌、泥石流、地面突然下陷下沉或飞行物体及其他空中运行物体坠落造成被保险标的物损失。</w:t>
            </w:r>
          </w:p>
          <w:p>
            <w:pPr>
              <w:pStyle w:val="4"/>
              <w:jc w:val="both"/>
            </w:pPr>
            <w:r>
              <w:rPr>
                <w:rFonts w:ascii="仿宋_GB2312" w:hAnsi="仿宋_GB2312" w:eastAsia="仿宋_GB2312" w:cs="仿宋_GB2312"/>
                <w:sz w:val="28"/>
              </w:rPr>
              <w:t>4、保险赔偿标准</w:t>
            </w:r>
          </w:p>
          <w:p>
            <w:pPr>
              <w:pStyle w:val="4"/>
              <w:jc w:val="both"/>
            </w:pPr>
            <w:r>
              <w:rPr>
                <w:rFonts w:ascii="仿宋_GB2312" w:hAnsi="仿宋_GB2312" w:eastAsia="仿宋_GB2312" w:cs="仿宋_GB2312"/>
                <w:sz w:val="28"/>
              </w:rPr>
              <w:t>4.1高标准农田建设工程质量保险：</w:t>
            </w:r>
          </w:p>
          <w:p>
            <w:pPr>
              <w:pStyle w:val="4"/>
              <w:jc w:val="both"/>
            </w:pPr>
            <w:r>
              <w:rPr>
                <w:rFonts w:ascii="仿宋_GB2312" w:hAnsi="仿宋_GB2312" w:eastAsia="仿宋_GB2312" w:cs="仿宋_GB2312"/>
                <w:sz w:val="28"/>
              </w:rPr>
              <w:t>（1）保险赔偿责任期间内，累计事故赔偿限额：每亩累计事故赔偿限额1500元；</w:t>
            </w:r>
          </w:p>
          <w:p>
            <w:pPr>
              <w:pStyle w:val="4"/>
              <w:jc w:val="both"/>
            </w:pPr>
            <w:r>
              <w:rPr>
                <w:rFonts w:ascii="仿宋_GB2312" w:hAnsi="仿宋_GB2312" w:eastAsia="仿宋_GB2312" w:cs="仿宋_GB2312"/>
                <w:sz w:val="28"/>
              </w:rPr>
              <w:t>（2）保险赔偿责任期间内，单次事故赔偿限额：20万元。</w:t>
            </w:r>
          </w:p>
          <w:p>
            <w:pPr>
              <w:pStyle w:val="4"/>
              <w:jc w:val="both"/>
            </w:pPr>
            <w:r>
              <w:rPr>
                <w:rFonts w:ascii="仿宋_GB2312" w:hAnsi="仿宋_GB2312" w:eastAsia="仿宋_GB2312" w:cs="仿宋_GB2312"/>
                <w:sz w:val="28"/>
              </w:rPr>
              <w:t>4.2财产综合险：</w:t>
            </w:r>
          </w:p>
          <w:p>
            <w:pPr>
              <w:pStyle w:val="4"/>
              <w:jc w:val="both"/>
            </w:pPr>
            <w:r>
              <w:rPr>
                <w:rFonts w:ascii="仿宋_GB2312" w:hAnsi="仿宋_GB2312" w:eastAsia="仿宋_GB2312" w:cs="仿宋_GB2312"/>
                <w:sz w:val="28"/>
              </w:rPr>
              <w:t>（1）保险赔偿责任期间内，累计事故赔偿限额：被保险标的物成本造价总金额；</w:t>
            </w:r>
          </w:p>
          <w:p>
            <w:pPr>
              <w:pStyle w:val="4"/>
              <w:jc w:val="both"/>
            </w:pPr>
            <w:r>
              <w:rPr>
                <w:rFonts w:ascii="仿宋_GB2312" w:hAnsi="仿宋_GB2312" w:eastAsia="仿宋_GB2312" w:cs="仿宋_GB2312"/>
                <w:sz w:val="28"/>
              </w:rPr>
              <w:t>（2）保险赔偿责任期间内，单次事故赔偿限额：当次事故造成被保险标的物损失的总金额。</w:t>
            </w: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服务要求</w:t>
            </w:r>
          </w:p>
        </w:tc>
        <w:tc>
          <w:tcPr>
            <w:tcW w:w="5814" w:type="dxa"/>
          </w:tcPr>
          <w:p>
            <w:pPr>
              <w:pStyle w:val="4"/>
              <w:jc w:val="both"/>
            </w:pPr>
            <w:r>
              <w:rPr>
                <w:rFonts w:ascii="仿宋_GB2312" w:hAnsi="仿宋_GB2312" w:eastAsia="仿宋_GB2312" w:cs="仿宋_GB2312"/>
                <w:sz w:val="28"/>
              </w:rPr>
              <w:t>1、服务标准：符合《中华人民共和国保险法》、《保险公司服务评价管理办法（试行）》（保监发{2015}75号）《农业保险条例》有关要求。</w:t>
            </w:r>
          </w:p>
          <w:p>
            <w:pPr>
              <w:pStyle w:val="4"/>
              <w:jc w:val="both"/>
            </w:pPr>
            <w:r>
              <w:rPr>
                <w:rFonts w:ascii="仿宋_GB2312" w:hAnsi="仿宋_GB2312" w:eastAsia="仿宋_GB2312" w:cs="仿宋_GB2312"/>
                <w:sz w:val="28"/>
              </w:rPr>
              <w:t>2、查勘时效：</w:t>
            </w:r>
          </w:p>
          <w:p>
            <w:pPr>
              <w:pStyle w:val="4"/>
              <w:jc w:val="both"/>
            </w:pPr>
            <w:r>
              <w:rPr>
                <w:rFonts w:ascii="仿宋_GB2312" w:hAnsi="仿宋_GB2312" w:eastAsia="仿宋_GB2312" w:cs="仿宋_GB2312"/>
                <w:sz w:val="28"/>
              </w:rPr>
              <w:t>（1）设立365天无休日以及24小时报案、咨询受理电话。</w:t>
            </w:r>
          </w:p>
          <w:p>
            <w:pPr>
              <w:pStyle w:val="4"/>
              <w:jc w:val="both"/>
            </w:pPr>
            <w:r>
              <w:rPr>
                <w:rFonts w:ascii="仿宋_GB2312" w:hAnsi="仿宋_GB2312" w:eastAsia="仿宋_GB2312" w:cs="仿宋_GB2312"/>
                <w:sz w:val="28"/>
              </w:rPr>
              <w:t>（2）根据采购人投保范围和工作性质的特殊性，保险事故发生后，在理赔人员未到达现场之前，采购人可根据实际情况在与理赔人员沟通后立即进行抢险，理赔时以采购人或事发乡镇负责人员出险记录和现场图片为依据。</w:t>
            </w:r>
          </w:p>
          <w:p>
            <w:pPr>
              <w:pStyle w:val="4"/>
              <w:jc w:val="both"/>
            </w:pPr>
            <w:r>
              <w:rPr>
                <w:rFonts w:ascii="仿宋_GB2312" w:hAnsi="仿宋_GB2312" w:eastAsia="仿宋_GB2312" w:cs="仿宋_GB2312"/>
                <w:sz w:val="28"/>
              </w:rPr>
              <w:t>（3）确需现场查勘的，理赔人员应120分钟内到达现场；若理赔人员未按时到达现场查勘或未按约定履行服务的，第一次予以警告；第二次按合同价当年应付金额的5%处以罚款；第三次按违约处理，解除合同。</w:t>
            </w:r>
          </w:p>
          <w:p>
            <w:pPr>
              <w:pStyle w:val="4"/>
              <w:jc w:val="both"/>
            </w:pPr>
            <w:r>
              <w:rPr>
                <w:rFonts w:ascii="仿宋_GB2312" w:hAnsi="仿宋_GB2312" w:eastAsia="仿宋_GB2312" w:cs="仿宋_GB2312"/>
                <w:sz w:val="28"/>
              </w:rPr>
              <w:t>3、赔付时限要求：在与采购人达成赔偿协议后，赔付时限最长不超过10 个工作日，政策法规规定期限更短的，按更短的期限执行，理赔过程中产生的纠纷问题和责任由成交供应商全部处理和承担。</w:t>
            </w:r>
          </w:p>
          <w:p>
            <w:pPr>
              <w:pStyle w:val="4"/>
              <w:jc w:val="both"/>
            </w:pPr>
            <w:r>
              <w:rPr>
                <w:rFonts w:ascii="仿宋_GB2312" w:hAnsi="仿宋_GB2312" w:eastAsia="仿宋_GB2312" w:cs="仿宋_GB2312"/>
                <w:sz w:val="28"/>
              </w:rPr>
              <w:t>4、合同定价方式：固定总价合同。合同总价包含但不限于人员经费、交通费、管理费、税费以及因项目开展而产生的其他费用，除合同总价以外，采购人无需支付其他任何费用。</w:t>
            </w:r>
          </w:p>
          <w:p>
            <w:pPr>
              <w:pStyle w:val="4"/>
              <w:jc w:val="both"/>
            </w:pPr>
            <w:r>
              <w:rPr>
                <w:rFonts w:ascii="仿宋_GB2312" w:hAnsi="仿宋_GB2312" w:eastAsia="仿宋_GB2312" w:cs="仿宋_GB2312"/>
                <w:sz w:val="28"/>
              </w:rPr>
              <w:t>5、售后服务响应时效：在收到采购人通知后，成交供应商应在2小时内做出服务响应并制定方案。</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pPr>
              <w:pStyle w:val="4"/>
              <w:jc w:val="left"/>
            </w:pPr>
            <w:r>
              <w:rPr>
                <w:rFonts w:ascii="仿宋_GB2312" w:hAnsi="仿宋_GB2312" w:eastAsia="仿宋_GB2312" w:cs="仿宋_GB2312"/>
              </w:rPr>
              <w:t>序号</w:t>
            </w:r>
          </w:p>
        </w:tc>
        <w:tc>
          <w:tcPr>
            <w:tcW w:w="2076" w:type="dxa"/>
          </w:tcPr>
          <w:p>
            <w:pPr>
              <w:pStyle w:val="4"/>
              <w:jc w:val="left"/>
            </w:pPr>
            <w:r>
              <w:rPr>
                <w:rFonts w:ascii="仿宋_GB2312" w:hAnsi="仿宋_GB2312" w:eastAsia="仿宋_GB2312" w:cs="仿宋_GB2312"/>
              </w:rPr>
              <w:t>符号标识</w:t>
            </w:r>
          </w:p>
        </w:tc>
        <w:tc>
          <w:tcPr>
            <w:tcW w:w="2076" w:type="dxa"/>
          </w:tcPr>
          <w:p>
            <w:pPr>
              <w:pStyle w:val="4"/>
              <w:jc w:val="left"/>
            </w:pPr>
            <w:r>
              <w:rPr>
                <w:rFonts w:ascii="仿宋_GB2312" w:hAnsi="仿宋_GB2312" w:eastAsia="仿宋_GB2312" w:cs="仿宋_GB2312"/>
              </w:rPr>
              <w:t>商务要求名称</w:t>
            </w:r>
          </w:p>
        </w:tc>
        <w:tc>
          <w:tcPr>
            <w:tcW w:w="2076" w:type="dxa"/>
          </w:tcPr>
          <w:p>
            <w:pPr>
              <w:pStyle w:val="4"/>
              <w:jc w:val="left"/>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1</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服务期限</w:t>
            </w:r>
          </w:p>
        </w:tc>
        <w:tc>
          <w:tcPr>
            <w:tcW w:w="2076" w:type="dxa"/>
          </w:tcPr>
          <w:p>
            <w:pPr>
              <w:pStyle w:val="4"/>
              <w:jc w:val="left"/>
            </w:pPr>
            <w:r>
              <w:rPr>
                <w:rFonts w:ascii="仿宋_GB2312" w:hAnsi="仿宋_GB2312" w:eastAsia="仿宋_GB2312" w:cs="仿宋_GB2312"/>
              </w:rPr>
              <w:t>自合同签订之日起1095日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2</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服务地点</w:t>
            </w:r>
          </w:p>
        </w:tc>
        <w:tc>
          <w:tcPr>
            <w:tcW w:w="2076" w:type="dxa"/>
          </w:tcPr>
          <w:p>
            <w:pPr>
              <w:pStyle w:val="4"/>
              <w:jc w:val="left"/>
            </w:pPr>
            <w:r>
              <w:rPr>
                <w:rFonts w:ascii="仿宋_GB2312" w:hAnsi="仿宋_GB2312" w:eastAsia="仿宋_GB2312" w:cs="仿宋_GB2312"/>
              </w:rPr>
              <w:t>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3</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验收、交付标准和方法</w:t>
            </w:r>
          </w:p>
        </w:tc>
        <w:tc>
          <w:tcPr>
            <w:tcW w:w="2076" w:type="dxa"/>
          </w:tcPr>
          <w:p>
            <w:pPr>
              <w:pStyle w:val="4"/>
              <w:jc w:val="left"/>
            </w:pPr>
            <w:r>
              <w:rPr>
                <w:rFonts w:ascii="仿宋_GB2312" w:hAnsi="仿宋_GB2312" w:eastAsia="仿宋_GB2312" w:cs="仿宋_GB2312"/>
              </w:rPr>
              <w:t>1、验收方法： （1）成交供应商与采购人应严格按照《财政部关于进一步加强政府采购需求和履约验收管理的指导意见》（财库〔2016〕205 号）的要求并结合招标文件的要求、成交供应商投标响应文件、国家标准及保险类行业标准进行验收。 （2）供应商应当在当前年度服务期结束前15日，向采购人提供当前年度问题整改清单及问题整改的前、中、后的影像资料作为当前年度的验收依据。 （3）供应商年度服务过存在违反合同条款的情形的，视为验收不合格，采购人将向供应商发出限期整改通知；若整改后仍不合格的，采购人有权追究供应商的违约责任。 2、验收标准： 按照国家有关规定及采购文件质量及成果要求、技术指标、供应商投标响应文件及有关承诺、合同约定条款进行验收，其他未尽事宜严格按照政府采购相关法律法规以及《财政部关于进一步加强政府采购需求和履约验收管理的指导意见》（财库〔2016〕205 号)的要求进行验收。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4</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支付方式</w:t>
            </w:r>
          </w:p>
        </w:tc>
        <w:tc>
          <w:tcPr>
            <w:tcW w:w="2076"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5</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付款进度安排</w:t>
            </w:r>
          </w:p>
        </w:tc>
        <w:tc>
          <w:tcPr>
            <w:tcW w:w="2076" w:type="dxa"/>
          </w:tcPr>
          <w:p>
            <w:pPr>
              <w:pStyle w:val="4"/>
              <w:jc w:val="left"/>
            </w:pPr>
            <w:r>
              <w:rPr>
                <w:rFonts w:ascii="仿宋_GB2312" w:hAnsi="仿宋_GB2312" w:eastAsia="仿宋_GB2312" w:cs="仿宋_GB2312"/>
              </w:rPr>
              <w:t>1、进度款，合同签订后，达到付款条件起5个工作日内，支付合同总金额的30.00%</w:t>
            </w:r>
          </w:p>
          <w:p>
            <w:pPr>
              <w:pStyle w:val="4"/>
              <w:jc w:val="left"/>
            </w:pPr>
            <w:r>
              <w:rPr>
                <w:rFonts w:ascii="仿宋_GB2312" w:hAnsi="仿宋_GB2312" w:eastAsia="仿宋_GB2312" w:cs="仿宋_GB2312"/>
              </w:rPr>
              <w:t>2、进度款，服务期满一年，经采购人验收合格后，达到付款条件起5个工作日内，支付合同总金额的30.00%</w:t>
            </w:r>
          </w:p>
          <w:p>
            <w:pPr>
              <w:pStyle w:val="4"/>
              <w:jc w:val="left"/>
            </w:pPr>
            <w:r>
              <w:rPr>
                <w:rFonts w:ascii="仿宋_GB2312" w:hAnsi="仿宋_GB2312" w:eastAsia="仿宋_GB2312" w:cs="仿宋_GB2312"/>
              </w:rPr>
              <w:t>3、进度款，服务期满二年，经采购人验收合格后，达到付款条件起5个工作日内，支付合同总金额的30.00%</w:t>
            </w:r>
          </w:p>
          <w:p>
            <w:pPr>
              <w:pStyle w:val="4"/>
              <w:jc w:val="left"/>
            </w:pPr>
            <w:r>
              <w:rPr>
                <w:rFonts w:ascii="仿宋_GB2312" w:hAnsi="仿宋_GB2312" w:eastAsia="仿宋_GB2312" w:cs="仿宋_GB2312"/>
              </w:rPr>
              <w:t>4、尾款，服务期满三年，经采购人验收合格后，达到付款条件起5个工作日内，支付合同总金额的10.00%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6</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违约责任与解决争议的方法</w:t>
            </w:r>
          </w:p>
        </w:tc>
        <w:tc>
          <w:tcPr>
            <w:tcW w:w="2076" w:type="dxa"/>
          </w:tcPr>
          <w:p>
            <w:pPr>
              <w:pStyle w:val="4"/>
              <w:jc w:val="left"/>
            </w:pPr>
            <w:r>
              <w:rPr>
                <w:rFonts w:ascii="仿宋_GB2312" w:hAnsi="仿宋_GB2312" w:eastAsia="仿宋_GB2312" w:cs="仿宋_GB2312"/>
              </w:rPr>
              <w:t>1、违约责任： 采购人及成交供应商双方必须遵守采购合同并执行合同中的各项规定，保证采购合同的正常履行。任何一方违约给对方造成直接损失均负有赔偿责任，对方均有权视情况要求对方继续履行合同或提出解除合同。 （1）采购人违约责任： ①因采购人原因造成合同变更、中止：采购人擅自解除、中止或变更合同导致成交供应商权益受到损害时，采购人向成交供应商支付合同价款1%的违约金，并赔偿成交供应商所受全部损失。 ②采购人未按合同约定付款：采购人应当按照政府采购合同约定，自验收合同（或收到发票）之日起 20 日内向供应商支付采购资金，不得以机构变动、人员更替、政策调整等为由延迟付款。不得将采购文件和合同中未规定的义务作为向供应商付款的条件，因采购人原因延期付款的，供应商有权停止合同的履行，采购人除应及时支付外，每逾期一日应按照合同总金额的 1%向成交供应商支付逾期违约金。逾期超过 10 日，供应商有权单方面解除合同，采购人按照合同总金额的1%向供应商支付违约金，并赔偿乙方所受损失。 （2）供应商违约责任： ①供应商擅自解除、中止或变更合同导致采购人权益受到损害时，成交供应商向采购人支付合同价款1%的违约金，并赔偿采购人所受全部损失。 ②如因成交供应商在履行过程中的疏忽、失职、过错等故意或者过失原因给采购人造成损失或侵害，包括但不限于采购人本身的财产损失、由此而导致的采购人对任何第三方的法律责任等，成交供应商对此均应承担全部的赔偿责任。 ③采购人有权监督供应商服务过程，发现未按要求、标准提供服务等违约情形，采购人将下达整改通知书，供应商应在限期内整改。供应商拒绝整改或经两次整改仍未合格的，采购人有权解除合同，并由供应商承担全部赔偿责任。 ④供应商未能在合同约定的时间内完成保险赔付的，每逾期 1 日，供应商应承担合同总价的 1%作为违约金，若供应商逾期时间超过 15 日的，采购人有权解除合同，并由供应商承担全部责任。 ⑤若中标单位将本项目直接或间接转包或分包，采购人有权单方面解除合同，并由供应商承担全部责任。 注：违约方就其违约行为造成对方的损失应予以全部赔偿，包括但不限于对方直接损失、对第三方的赔偿责任及因维权所致的律师费、仲裁费、诉讼费、保全费、执行费等全部费用。供应商违约应当支付的赔偿金、违约金，采购人有权于未付款项中予以扣除。 2、解决争议的方法 在执行合同中发生的或与本合同有关的争端，双方应通过友好协商解决，经协商不能达成协议时，应提交采购人住所地法院管辖审理。</w:t>
            </w:r>
          </w:p>
        </w:tc>
      </w:tr>
    </w:tbl>
    <w:p>
      <w:pPr>
        <w:pStyle w:val="4"/>
        <w:jc w:val="left"/>
        <w:outlineLvl w:val="2"/>
      </w:pPr>
      <w:r>
        <w:rPr>
          <w:rFonts w:ascii="仿宋_GB2312" w:hAnsi="仿宋_GB2312" w:eastAsia="仿宋_GB2312" w:cs="仿宋_GB2312"/>
          <w:b/>
          <w:sz w:val="28"/>
        </w:rPr>
        <w:t>3.4.其他要求</w:t>
      </w:r>
    </w:p>
    <w:p>
      <w:pPr>
        <w:pStyle w:val="4"/>
        <w:ind w:firstLine="480"/>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1、投标人应当具备完成本次采购项目赔付的综合偿付能力。 2、投标人针对本项目提供的承保服务方案，包含：①承保服务内容；②出单、送单服务时效；③质量管理方案(包括质量保障体系、质量保障制度、质量保障措施、质量保障计划)；④承保流程；⑤档案管理及承保信息查询。 3、投标人针对本项目提供的理赔服务方案，包含：①理赔人员配置；②理赔流程；③理赔服务措施；④理赔服务时效；⑤理赔资料的收集。 4、投标人针对本项目提供的应急方案，包含：①风险应急管理服务体系；②针对大风、塌方、暴雨等自然灾害影响造成的被保险对象事故处理；③火灾或交通事故等重大事件发生的应急处理措施。 5、投标人的服务质量良好，亿元保费投诉量不高于1.5件/亿元。 6、投标人如具有类似项目履约经验，需提供中标（成交）通知书或合同（协议）复印件。 7、如果本项目采购文件中引用的相关标准有最新版本的均以最新标准执行，采购活动中已经作废失效的，在评审中和履约中自动不再适用。</w:t>
      </w:r>
    </w:p>
    <w:p>
      <w:pPr>
        <w:pStyle w:val="4"/>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08262C"/>
    <w:rsid w:val="72CD1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2026-07-14T08:13:00Z</dcterms:created>
  <dc:creator>zw</dc:creator>
  <cp:lastModifiedBy>zw</cp:lastModifiedBy>
  <dcterms:modified xsi:type="dcterms:W3CDTF">2026-07-16T08:30:10Z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76C019FCC8CF4B41B89723D3B22CE3F6</vt:lpwstr>
  </property>
</Properties>
</file>