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版本号：241023001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“2024年四川石窟数字展”项目(二次)</w:t>
      </w:r>
    </w:p>
    <w:p>
      <w:pPr>
        <w:pStyle w:val="null3"/>
        <w:jc w:val="center"/>
        <w:outlineLvl w:val="2"/>
      </w:pPr>
      <w:r>
        <w:rPr>
          <w:b/>
          <w:sz w:val="28"/>
        </w:rPr>
        <w:t>采购项目编号：</w:t>
      </w:r>
      <w:r>
        <w:rPr>
          <w:b/>
          <w:sz w:val="28"/>
        </w:rPr>
        <w:t>N5100012024002631</w:t>
      </w:r>
    </w:p>
    <w:p>
      <w:pPr>
        <w:pStyle w:val="null3"/>
        <w:jc w:val="left"/>
        <w:outlineLvl w:val="2"/>
      </w:pPr>
      <w:r>
        <w:rPr>
          <w:b/>
          <w:sz w:val="28"/>
        </w:rPr>
        <w:t>中共四川省委网络安全和信息化委员会办公室</w:t>
      </w:r>
    </w:p>
    <w:p>
      <w:pPr>
        <w:pStyle w:val="null3"/>
        <w:jc w:val="center"/>
        <w:outlineLvl w:val="2"/>
      </w:pPr>
      <w:r>
        <w:rPr>
          <w:b/>
          <w:sz w:val="28"/>
        </w:rPr>
        <w:t>四川至诚至达工程咨询有限公司</w:t>
      </w:r>
      <w:r>
        <w:rPr>
          <w:b/>
          <w:sz w:val="28"/>
        </w:rPr>
        <w:t>共同编制</w:t>
      </w:r>
    </w:p>
    <w:p>
      <w:pPr>
        <w:pStyle w:val="null3"/>
        <w:jc w:val="center"/>
      </w:pPr>
      <w:r>
        <w:rPr/>
        <w:t>2024年10月23日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四川至诚至达工程咨询有限公司</w:t>
      </w:r>
      <w:r>
        <w:rPr/>
        <w:t xml:space="preserve"> （以下简称“代理机构”）受 </w:t>
      </w:r>
      <w:r>
        <w:rPr/>
        <w:t>中共四川省委网络安全和信息化委员会办公室</w:t>
      </w:r>
      <w:r>
        <w:rPr/>
        <w:t xml:space="preserve"> 委托，拟对 </w:t>
      </w:r>
      <w:r>
        <w:rPr/>
        <w:t>“2024年四川石窟数字展”项目(二次)</w:t>
      </w:r>
      <w:r>
        <w:rPr/>
        <w:t xml:space="preserve"> 采用竞争性磋商采购方式进行采购，兹邀请符合资格条件的供应商参加磋商，本项目为四川省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N5100012024002631</w:t>
      </w:r>
    </w:p>
    <w:p>
      <w:pPr>
        <w:pStyle w:val="null3"/>
        <w:jc w:val="left"/>
        <w:outlineLvl w:val="2"/>
      </w:pPr>
      <w:r>
        <w:rPr>
          <w:b/>
          <w:sz w:val="28"/>
        </w:rPr>
        <w:t>1.2.采购项目名称</w:t>
      </w:r>
      <w:r>
        <w:rPr>
          <w:b/>
          <w:sz w:val="28"/>
        </w:rPr>
        <w:t xml:space="preserve">： </w:t>
      </w:r>
      <w:r>
        <w:rPr>
          <w:b/>
          <w:sz w:val="28"/>
        </w:rPr>
        <w:t>“2024年四川石窟数字展”项目(二次)</w:t>
      </w:r>
    </w:p>
    <w:p>
      <w:pPr>
        <w:pStyle w:val="null3"/>
        <w:jc w:val="left"/>
        <w:outlineLvl w:val="2"/>
      </w:pPr>
      <w:r>
        <w:rPr>
          <w:b/>
          <w:sz w:val="28"/>
        </w:rPr>
        <w:t>1.3.磋商项目简介</w:t>
      </w:r>
    </w:p>
    <w:p>
      <w:pPr>
        <w:pStyle w:val="null3"/>
        <w:ind w:firstLine="480"/>
        <w:jc w:val="left"/>
      </w:pPr>
      <w:r>
        <w:rPr/>
        <w:t>为切实落实国家文化数字化战略，抓实数字文物创新应用工程，策划实施2024年四川石窟数字展项目。</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中共四川省委网络安全和信息化委员会办公室</w:t>
      </w:r>
    </w:p>
    <w:p>
      <w:pPr>
        <w:pStyle w:val="null3"/>
        <w:ind w:firstLine="480"/>
        <w:jc w:val="left"/>
      </w:pPr>
      <w:r>
        <w:rPr/>
        <w:t xml:space="preserve"> 地址： </w:t>
      </w:r>
      <w:r>
        <w:rPr/>
        <w:t>成都市青羊区桂花巷21号</w:t>
      </w:r>
    </w:p>
    <w:p>
      <w:pPr>
        <w:pStyle w:val="null3"/>
        <w:jc w:val="left"/>
      </w:pPr>
      <w:r>
        <w:rPr/>
        <w:t xml:space="preserve"> 邮编： </w:t>
      </w:r>
      <w:r>
        <w:rPr/>
        <w:t>610031</w:t>
      </w:r>
    </w:p>
    <w:p>
      <w:pPr>
        <w:pStyle w:val="null3"/>
        <w:jc w:val="left"/>
      </w:pPr>
      <w:r>
        <w:rPr/>
        <w:t xml:space="preserve"> 联系人： </w:t>
      </w:r>
      <w:r>
        <w:rPr/>
        <w:t>雷老师</w:t>
      </w:r>
    </w:p>
    <w:p>
      <w:pPr>
        <w:pStyle w:val="null3"/>
        <w:jc w:val="left"/>
      </w:pPr>
      <w:r>
        <w:rPr/>
        <w:t xml:space="preserve"> 联系电话： </w:t>
      </w:r>
      <w:r>
        <w:rPr/>
        <w:t>028-86600901</w:t>
      </w:r>
    </w:p>
    <w:p>
      <w:pPr>
        <w:pStyle w:val="null3"/>
        <w:ind w:firstLine="480"/>
        <w:jc w:val="left"/>
        <w:outlineLvl w:val="3"/>
      </w:pPr>
      <w:r>
        <w:rPr>
          <w:b/>
          <w:sz w:val="24"/>
        </w:rPr>
        <w:t>代理机构</w:t>
      </w:r>
      <w:r>
        <w:rPr>
          <w:b/>
          <w:sz w:val="24"/>
        </w:rPr>
        <w:t xml:space="preserve">： </w:t>
      </w:r>
      <w:r>
        <w:rPr>
          <w:b/>
          <w:sz w:val="24"/>
        </w:rPr>
        <w:t>四川至诚至达工程咨询有限公司</w:t>
      </w:r>
    </w:p>
    <w:p>
      <w:pPr>
        <w:pStyle w:val="null3"/>
        <w:ind w:firstLine="480"/>
        <w:jc w:val="left"/>
      </w:pPr>
      <w:r>
        <w:rPr/>
        <w:t xml:space="preserve"> 地址： </w:t>
      </w:r>
      <w:r>
        <w:rPr/>
        <w:t>成都市高新区盛和一路新南中心写字楼10F</w:t>
      </w:r>
    </w:p>
    <w:p>
      <w:pPr>
        <w:pStyle w:val="null3"/>
        <w:jc w:val="left"/>
      </w:pPr>
      <w:r>
        <w:rPr/>
        <w:t xml:space="preserve"> 邮编： </w:t>
      </w:r>
      <w:r>
        <w:rPr/>
        <w:t>610041</w:t>
      </w:r>
    </w:p>
    <w:p>
      <w:pPr>
        <w:pStyle w:val="null3"/>
        <w:jc w:val="left"/>
      </w:pPr>
      <w:r>
        <w:rPr/>
        <w:t xml:space="preserve"> 联系人： </w:t>
      </w:r>
      <w:r>
        <w:rPr/>
        <w:t>张先生</w:t>
      </w:r>
    </w:p>
    <w:p>
      <w:pPr>
        <w:pStyle w:val="null3"/>
        <w:jc w:val="left"/>
      </w:pPr>
      <w:r>
        <w:rPr/>
        <w:t xml:space="preserve"> 联系电话： </w:t>
      </w:r>
      <w:r>
        <w:rPr/>
        <w:t>028-86051967</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采购包1：305,000.00元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代理服务费收费标准：根据成本加合理利润原则，定额收取代理服务费5000元。由成交供应商向采购代理机构支付。</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中共四川省委网络安全和信息化委员会办公室</w:t>
      </w:r>
      <w:r>
        <w:rPr/>
        <w:t xml:space="preserve"> 和 </w:t>
      </w:r>
      <w:r>
        <w:rPr/>
        <w:t>四川至诚至达工程咨询有限公司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中共四川省委网络安全和信息化委员会办公室</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四川至诚至达工程咨询有限公司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在成交供应商申请进行履约验收后</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详见磋商文件</w:t>
      </w:r>
    </w:p>
    <w:p>
      <w:pPr>
        <w:pStyle w:val="null3"/>
        <w:ind w:firstLine="480"/>
        <w:jc w:val="left"/>
      </w:pPr>
      <w:r>
        <w:rPr/>
        <w:t>十、商务履约验收内容：</w:t>
      </w:r>
    </w:p>
    <w:p>
      <w:pPr>
        <w:pStyle w:val="null3"/>
        <w:ind w:firstLine="480"/>
        <w:jc w:val="left"/>
      </w:pPr>
      <w:r>
        <w:rPr/>
        <w:t>采购包1：</w:t>
      </w:r>
      <w:r>
        <w:rPr/>
        <w:t>详见磋商文件</w:t>
      </w:r>
    </w:p>
    <w:p>
      <w:pPr>
        <w:pStyle w:val="null3"/>
        <w:ind w:firstLine="480"/>
        <w:jc w:val="left"/>
      </w:pPr>
      <w:r>
        <w:rPr/>
        <w:t>十一、履约验收标准：</w:t>
      </w:r>
    </w:p>
    <w:p>
      <w:pPr>
        <w:pStyle w:val="null3"/>
        <w:ind w:firstLine="480"/>
        <w:jc w:val="left"/>
      </w:pPr>
      <w:r>
        <w:rPr/>
        <w:t>采购包1：</w:t>
      </w:r>
      <w:r>
        <w:rPr/>
        <w:t>严格按照《财政部关于进一步加强政府采购需求和履约验收管理的指导意见》（财库〔2016〕205号）及政府采购相关法律法规的要求进行验收。存在国家强制规定或行业标准的遵照相关规定执行</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中共四川省委网络安全和信息化委员会办公室</w:t>
      </w:r>
      <w:r>
        <w:rPr/>
        <w:t xml:space="preserve"> 负责答复；供应商对除采购需求外的磋商文件的询问、质疑由 </w:t>
      </w:r>
      <w:r>
        <w:rPr/>
        <w:t>四川至诚至达工程咨询有限公司</w:t>
      </w:r>
      <w:r>
        <w:rPr/>
        <w:t xml:space="preserve"> 负责答复；供应商对采购过程、采购结果的询问、质疑由 </w:t>
      </w:r>
      <w:r>
        <w:rPr/>
        <w:t>四川至诚至达工程咨询有限公司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联系人：张经理</w:t>
      </w:r>
    </w:p>
    <w:p>
      <w:pPr>
        <w:pStyle w:val="null3"/>
        <w:jc w:val="left"/>
      </w:pPr>
      <w:r>
        <w:rPr/>
        <w:t>联系电话：028-86051967</w:t>
      </w:r>
    </w:p>
    <w:p>
      <w:pPr>
        <w:pStyle w:val="null3"/>
        <w:jc w:val="left"/>
      </w:pPr>
      <w:r>
        <w:rPr/>
        <w:t>地址：成都市高新区盛和一路新南中心写字楼10F</w:t>
      </w:r>
    </w:p>
    <w:p>
      <w:pPr>
        <w:pStyle w:val="null3"/>
        <w:jc w:val="left"/>
      </w:pPr>
      <w:r>
        <w:rPr/>
        <w:t>邮编：610041</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305,000.00</w:t>
      </w:r>
    </w:p>
    <w:p>
      <w:pPr>
        <w:pStyle w:val="null3"/>
        <w:jc w:val="left"/>
      </w:pPr>
      <w:r>
        <w:rPr/>
        <w:t>采购包最高限价（元）: 305,000.00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文化产品展览服务</w:t>
            </w:r>
          </w:p>
        </w:tc>
        <w:tc>
          <w:tcPr>
            <w:tcW w:type="dxa" w:w="821"/>
          </w:tcPr>
          <w:p>
            <w:pPr>
              <w:pStyle w:val="null3"/>
              <w:jc w:val="left"/>
            </w:pPr>
            <w:r>
              <w:rPr/>
              <w:t>2024年四川石窟数字展</w:t>
            </w:r>
          </w:p>
        </w:tc>
        <w:tc>
          <w:tcPr>
            <w:tcW w:type="dxa" w:w="821"/>
          </w:tcPr>
          <w:p>
            <w:pPr>
              <w:pStyle w:val="null3"/>
              <w:jc w:val="right"/>
            </w:pPr>
            <w:r>
              <w:rPr/>
              <w:t>1.00（项）</w:t>
            </w:r>
          </w:p>
        </w:tc>
        <w:tc>
          <w:tcPr>
            <w:tcW w:type="dxa" w:w="821"/>
          </w:tcPr>
          <w:p>
            <w:pPr>
              <w:pStyle w:val="null3"/>
              <w:jc w:val="right"/>
            </w:pPr>
            <w:r>
              <w:rPr/>
              <w:t>305,000.00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2024年四川石窟数字展</w:t>
            </w:r>
          </w:p>
        </w:tc>
        <w:tc>
          <w:tcPr>
            <w:tcW w:type="dxa" w:w="977"/>
          </w:tcPr>
          <w:p>
            <w:pPr>
              <w:pStyle w:val="null3"/>
              <w:jc w:val="right"/>
            </w:pPr>
            <w:r>
              <w:rPr/>
              <w:t>1.00（项）</w:t>
            </w:r>
          </w:p>
        </w:tc>
        <w:tc>
          <w:tcPr>
            <w:tcW w:type="dxa" w:w="1173"/>
          </w:tcPr>
          <w:p>
            <w:pPr>
              <w:pStyle w:val="null3"/>
              <w:jc w:val="right"/>
            </w:pPr>
            <w:r>
              <w:rPr/>
              <w:t>305,000（元）</w:t>
            </w:r>
          </w:p>
        </w:tc>
        <w:tc>
          <w:tcPr>
            <w:tcW w:type="dxa" w:w="1173"/>
          </w:tcPr>
          <w:p>
            <w:pPr>
              <w:pStyle w:val="null3"/>
              <w:jc w:val="right"/>
            </w:pPr>
            <w:r>
              <w:rPr/>
              <w:t>305,000.00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标的名称：2024年四川石窟数字展</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ind w:firstLine="479"/>
              <w:jc w:val="both"/>
            </w:pPr>
            <w:r>
              <w:rPr>
                <w:rFonts w:ascii="仿宋" w:hAnsi="仿宋" w:cs="仿宋" w:eastAsia="仿宋"/>
                <w:sz w:val="24"/>
              </w:rPr>
              <w:t>1.</w:t>
            </w:r>
            <w:r>
              <w:rPr>
                <w:rFonts w:ascii="仿宋" w:hAnsi="仿宋" w:cs="仿宋" w:eastAsia="仿宋"/>
                <w:sz w:val="24"/>
              </w:rPr>
              <w:t>展览策划</w:t>
            </w:r>
          </w:p>
          <w:p>
            <w:pPr>
              <w:pStyle w:val="null3"/>
              <w:ind w:firstLine="479"/>
              <w:jc w:val="both"/>
            </w:pPr>
            <w:r>
              <w:rPr>
                <w:rFonts w:ascii="仿宋" w:hAnsi="仿宋" w:cs="仿宋" w:eastAsia="仿宋"/>
                <w:sz w:val="24"/>
              </w:rPr>
              <w:t>项目</w:t>
            </w:r>
            <w:r>
              <w:rPr>
                <w:rFonts w:ascii="仿宋" w:hAnsi="仿宋" w:cs="仿宋" w:eastAsia="仿宋"/>
                <w:sz w:val="24"/>
              </w:rPr>
              <w:t>拟选取四川地区具有代表性的</w:t>
            </w:r>
            <w:r>
              <w:rPr>
                <w:rFonts w:ascii="仿宋" w:hAnsi="仿宋" w:cs="仿宋" w:eastAsia="仿宋"/>
                <w:sz w:val="24"/>
              </w:rPr>
              <w:t>10</w:t>
            </w:r>
            <w:r>
              <w:rPr>
                <w:rFonts w:ascii="仿宋" w:hAnsi="仿宋" w:cs="仿宋" w:eastAsia="仿宋"/>
                <w:sz w:val="24"/>
              </w:rPr>
              <w:t>处</w:t>
            </w:r>
            <w:r>
              <w:rPr>
                <w:rFonts w:ascii="仿宋" w:hAnsi="仿宋" w:cs="仿宋" w:eastAsia="仿宋"/>
                <w:sz w:val="24"/>
              </w:rPr>
              <w:t>石窟（安岳卧佛院</w:t>
            </w:r>
            <w:r>
              <w:rPr>
                <w:rFonts w:ascii="仿宋" w:hAnsi="仿宋" w:cs="仿宋" w:eastAsia="仿宋"/>
                <w:sz w:val="24"/>
              </w:rPr>
              <w:t>摩崖造像</w:t>
            </w:r>
            <w:r>
              <w:rPr>
                <w:rFonts w:ascii="仿宋" w:hAnsi="仿宋" w:cs="仿宋" w:eastAsia="仿宋"/>
                <w:sz w:val="24"/>
              </w:rPr>
              <w:t>、</w:t>
            </w:r>
            <w:r>
              <w:rPr>
                <w:rFonts w:ascii="仿宋" w:hAnsi="仿宋" w:cs="仿宋" w:eastAsia="仿宋"/>
                <w:sz w:val="24"/>
              </w:rPr>
              <w:t>安岳</w:t>
            </w:r>
            <w:r>
              <w:rPr>
                <w:rFonts w:ascii="仿宋" w:hAnsi="仿宋" w:cs="仿宋" w:eastAsia="仿宋"/>
                <w:sz w:val="24"/>
              </w:rPr>
              <w:t>毗卢洞</w:t>
            </w:r>
            <w:r>
              <w:rPr>
                <w:rFonts w:ascii="仿宋" w:hAnsi="仿宋" w:cs="仿宋" w:eastAsia="仿宋"/>
                <w:sz w:val="24"/>
              </w:rPr>
              <w:t>石刻造像、</w:t>
            </w:r>
            <w:r>
              <w:rPr>
                <w:rFonts w:ascii="仿宋" w:hAnsi="仿宋" w:cs="仿宋" w:eastAsia="仿宋"/>
                <w:sz w:val="24"/>
              </w:rPr>
              <w:t>广元千佛</w:t>
            </w:r>
            <w:r>
              <w:rPr>
                <w:rFonts w:ascii="仿宋" w:hAnsi="仿宋" w:cs="仿宋" w:eastAsia="仿宋"/>
                <w:sz w:val="24"/>
              </w:rPr>
              <w:t>崖、广元皇泽寺、内江翔龙山摩崖造像、乐山大佛、夹江千佛岩石窟、邛崃石笋山、泸县玉蟾山摩崖造像、巴中南龛摩崖造像</w:t>
            </w:r>
            <w:r>
              <w:rPr>
                <w:rFonts w:ascii="仿宋" w:hAnsi="仿宋" w:cs="仿宋" w:eastAsia="仿宋"/>
                <w:sz w:val="24"/>
              </w:rPr>
              <w:t>）进行</w:t>
            </w:r>
            <w:r>
              <w:rPr>
                <w:rFonts w:ascii="仿宋" w:hAnsi="仿宋" w:cs="仿宋" w:eastAsia="仿宋"/>
                <w:sz w:val="24"/>
              </w:rPr>
              <w:t>前期调研，对同类展览案例进行比较研究；组织专家开展项目咨询，确定展览主题，做好展陈大纲和展陈设计。</w:t>
            </w:r>
          </w:p>
          <w:p>
            <w:pPr>
              <w:pStyle w:val="null3"/>
              <w:ind w:firstLine="479"/>
              <w:jc w:val="both"/>
            </w:pPr>
            <w:r>
              <w:rPr>
                <w:rFonts w:ascii="仿宋" w:hAnsi="仿宋" w:cs="仿宋" w:eastAsia="仿宋"/>
                <w:sz w:val="24"/>
              </w:rPr>
              <w:t>2.数据采集与建模</w:t>
            </w:r>
          </w:p>
          <w:p>
            <w:pPr>
              <w:pStyle w:val="null3"/>
              <w:ind w:firstLine="479"/>
              <w:jc w:val="both"/>
            </w:pPr>
            <w:r>
              <w:rPr>
                <w:rFonts w:ascii="仿宋" w:hAnsi="仿宋" w:cs="仿宋" w:eastAsia="仿宋"/>
                <w:sz w:val="24"/>
              </w:rPr>
              <w:t>利用三维激光扫描、无人机贴近扫描、高清摄影等技术手段，</w:t>
            </w:r>
            <w:r>
              <w:rPr>
                <w:rFonts w:ascii="仿宋" w:hAnsi="仿宋" w:cs="仿宋" w:eastAsia="仿宋"/>
                <w:sz w:val="24"/>
              </w:rPr>
              <w:t>采集</w:t>
            </w:r>
            <w:r>
              <w:rPr>
                <w:rFonts w:ascii="仿宋" w:hAnsi="仿宋" w:cs="仿宋" w:eastAsia="仿宋"/>
                <w:sz w:val="24"/>
              </w:rPr>
              <w:t>石窟精确三维坐标数据和高清影像资料，真实还原石窟的立体形态和细节，完整保留石窟的原始风貌和细节特征，为</w:t>
            </w:r>
            <w:r>
              <w:rPr>
                <w:rFonts w:ascii="仿宋" w:hAnsi="仿宋" w:cs="仿宋" w:eastAsia="仿宋"/>
                <w:sz w:val="24"/>
              </w:rPr>
              <w:t>后期数字展</w:t>
            </w:r>
            <w:r>
              <w:rPr>
                <w:rFonts w:ascii="仿宋" w:hAnsi="仿宋" w:cs="仿宋" w:eastAsia="仿宋"/>
                <w:sz w:val="24"/>
              </w:rPr>
              <w:t>提供坚实的数据基础，</w:t>
            </w:r>
            <w:r>
              <w:rPr>
                <w:rFonts w:ascii="仿宋" w:hAnsi="仿宋" w:cs="仿宋" w:eastAsia="仿宋"/>
                <w:sz w:val="24"/>
              </w:rPr>
              <w:t>最终的采集数据、影像资料等版权归省委网信办所有，并将形成的数据资源汇入省文化大数据库</w:t>
            </w:r>
            <w:r>
              <w:rPr>
                <w:rFonts w:ascii="仿宋" w:hAnsi="仿宋" w:cs="仿宋" w:eastAsia="仿宋"/>
                <w:sz w:val="24"/>
              </w:rPr>
              <w:t>。</w:t>
            </w:r>
          </w:p>
          <w:p>
            <w:pPr>
              <w:pStyle w:val="null3"/>
              <w:ind w:firstLine="479"/>
              <w:jc w:val="both"/>
            </w:pPr>
            <w:r>
              <w:rPr>
                <w:rFonts w:ascii="仿宋" w:hAnsi="仿宋" w:cs="仿宋" w:eastAsia="仿宋"/>
                <w:sz w:val="24"/>
              </w:rPr>
              <w:t>3.</w:t>
            </w:r>
            <w:r>
              <w:rPr>
                <w:rFonts w:ascii="仿宋" w:hAnsi="仿宋" w:cs="仿宋" w:eastAsia="仿宋"/>
                <w:sz w:val="24"/>
              </w:rPr>
              <w:t>数字仿真</w:t>
            </w:r>
          </w:p>
          <w:p>
            <w:pPr>
              <w:pStyle w:val="null3"/>
              <w:ind w:firstLine="479"/>
              <w:jc w:val="both"/>
            </w:pPr>
            <w:r>
              <w:rPr>
                <w:rFonts w:ascii="仿宋" w:hAnsi="仿宋" w:cs="仿宋" w:eastAsia="仿宋"/>
                <w:sz w:val="24"/>
              </w:rPr>
              <w:t>基于采集</w:t>
            </w:r>
            <w:r>
              <w:rPr>
                <w:rFonts w:ascii="仿宋" w:hAnsi="仿宋" w:cs="仿宋" w:eastAsia="仿宋"/>
                <w:sz w:val="24"/>
              </w:rPr>
              <w:t>的</w:t>
            </w:r>
            <w:r>
              <w:rPr>
                <w:rFonts w:ascii="仿宋" w:hAnsi="仿宋" w:cs="仿宋" w:eastAsia="仿宋"/>
                <w:sz w:val="24"/>
              </w:rPr>
              <w:t>三维数据，</w:t>
            </w:r>
            <w:r>
              <w:rPr>
                <w:rFonts w:ascii="仿宋" w:hAnsi="仿宋" w:cs="仿宋" w:eastAsia="仿宋"/>
                <w:sz w:val="24"/>
              </w:rPr>
              <w:t>利用</w:t>
            </w:r>
            <w:r>
              <w:rPr>
                <w:rFonts w:ascii="仿宋" w:hAnsi="仿宋" w:cs="仿宋" w:eastAsia="仿宋"/>
                <w:sz w:val="24"/>
              </w:rPr>
              <w:t>3D打印制作出石窟的精确复制品，完美还原文物的精细结构和纹理细节</w:t>
            </w:r>
            <w:r>
              <w:rPr>
                <w:rFonts w:ascii="仿宋" w:hAnsi="仿宋" w:cs="仿宋" w:eastAsia="仿宋"/>
                <w:sz w:val="24"/>
              </w:rPr>
              <w:t>，</w:t>
            </w:r>
            <w:r>
              <w:rPr>
                <w:rFonts w:ascii="仿宋" w:hAnsi="仿宋" w:cs="仿宋" w:eastAsia="仿宋"/>
                <w:sz w:val="24"/>
              </w:rPr>
              <w:t>用于线下展览</w:t>
            </w:r>
            <w:r>
              <w:rPr>
                <w:rFonts w:ascii="仿宋" w:hAnsi="仿宋" w:cs="仿宋" w:eastAsia="仿宋"/>
                <w:sz w:val="24"/>
              </w:rPr>
              <w:t>。同时，配合数字孪生技术生产的三维交互页面、可视化短视频以及超高精度影像显示技术，</w:t>
            </w:r>
            <w:r>
              <w:rPr>
                <w:rFonts w:ascii="仿宋" w:hAnsi="仿宋" w:cs="仿宋" w:eastAsia="仿宋"/>
                <w:sz w:val="24"/>
              </w:rPr>
              <w:t>生产适合网络传播的融媒体产品，</w:t>
            </w:r>
            <w:r>
              <w:rPr>
                <w:rFonts w:ascii="仿宋" w:hAnsi="仿宋" w:cs="仿宋" w:eastAsia="仿宋"/>
                <w:sz w:val="24"/>
              </w:rPr>
              <w:t>同步开辟线上展区，</w:t>
            </w:r>
            <w:r>
              <w:rPr>
                <w:rFonts w:ascii="仿宋" w:hAnsi="仿宋" w:cs="仿宋" w:eastAsia="仿宋"/>
                <w:sz w:val="24"/>
              </w:rPr>
              <w:t>传播</w:t>
            </w:r>
            <w:r>
              <w:rPr>
                <w:rFonts w:ascii="仿宋" w:hAnsi="仿宋" w:cs="仿宋" w:eastAsia="仿宋"/>
                <w:sz w:val="24"/>
              </w:rPr>
              <w:t>四川</w:t>
            </w:r>
            <w:r>
              <w:rPr>
                <w:rFonts w:ascii="仿宋" w:hAnsi="仿宋" w:cs="仿宋" w:eastAsia="仿宋"/>
                <w:sz w:val="24"/>
              </w:rPr>
              <w:t>石窟的文化内涵和艺术魅力。</w:t>
            </w:r>
          </w:p>
          <w:p>
            <w:pPr>
              <w:pStyle w:val="null3"/>
              <w:ind w:firstLine="479"/>
              <w:jc w:val="both"/>
            </w:pPr>
            <w:r>
              <w:rPr>
                <w:rFonts w:ascii="仿宋" w:hAnsi="仿宋" w:cs="仿宋" w:eastAsia="仿宋"/>
                <w:sz w:val="24"/>
              </w:rPr>
              <w:t>4.线下巡展</w:t>
            </w:r>
          </w:p>
          <w:p>
            <w:pPr>
              <w:pStyle w:val="null3"/>
              <w:ind w:firstLine="479"/>
              <w:jc w:val="both"/>
            </w:pPr>
            <w:r>
              <w:rPr>
                <w:rFonts w:ascii="仿宋" w:hAnsi="仿宋" w:cs="仿宋" w:eastAsia="仿宋"/>
                <w:sz w:val="24"/>
              </w:rPr>
              <w:t>展览拟以四川报业博物馆为起点，后期选择</w:t>
            </w:r>
            <w:r>
              <w:rPr>
                <w:rFonts w:ascii="仿宋" w:hAnsi="仿宋" w:cs="仿宋" w:eastAsia="仿宋"/>
                <w:sz w:val="24"/>
              </w:rPr>
              <w:t>省内</w:t>
            </w:r>
            <w:r>
              <w:rPr>
                <w:rFonts w:ascii="仿宋" w:hAnsi="仿宋" w:cs="仿宋" w:eastAsia="仿宋"/>
                <w:sz w:val="24"/>
              </w:rPr>
              <w:t>至少一所高校、一个景区、一个城市商业中心</w:t>
            </w:r>
            <w:r>
              <w:rPr>
                <w:rFonts w:ascii="仿宋" w:hAnsi="仿宋" w:cs="仿宋" w:eastAsia="仿宋"/>
                <w:sz w:val="24"/>
              </w:rPr>
              <w:t>、一个石窟现场</w:t>
            </w:r>
            <w:r>
              <w:rPr>
                <w:rFonts w:ascii="仿宋" w:hAnsi="仿宋" w:cs="仿宋" w:eastAsia="仿宋"/>
                <w:sz w:val="24"/>
              </w:rPr>
              <w:t>进行</w:t>
            </w:r>
            <w:r>
              <w:rPr>
                <w:rFonts w:ascii="仿宋" w:hAnsi="仿宋" w:cs="仿宋" w:eastAsia="仿宋"/>
                <w:sz w:val="24"/>
              </w:rPr>
              <w:t>巡回展出，展出时间不少于一个月，</w:t>
            </w:r>
            <w:r>
              <w:rPr>
                <w:rFonts w:ascii="仿宋" w:hAnsi="仿宋" w:cs="仿宋" w:eastAsia="仿宋"/>
                <w:sz w:val="24"/>
              </w:rPr>
              <w:t>深度挖掘并传播</w:t>
            </w:r>
            <w:r>
              <w:rPr>
                <w:rFonts w:ascii="仿宋" w:hAnsi="仿宋" w:cs="仿宋" w:eastAsia="仿宋"/>
                <w:sz w:val="24"/>
              </w:rPr>
              <w:t>四川</w:t>
            </w:r>
            <w:r>
              <w:rPr>
                <w:rFonts w:ascii="仿宋" w:hAnsi="仿宋" w:cs="仿宋" w:eastAsia="仿宋"/>
                <w:sz w:val="24"/>
              </w:rPr>
              <w:t>石窟文化价值，激发社会各界对文化遗产保护与传承的关注与热情，</w:t>
            </w:r>
            <w:r>
              <w:rPr>
                <w:rFonts w:ascii="仿宋" w:hAnsi="仿宋" w:cs="仿宋" w:eastAsia="仿宋"/>
                <w:sz w:val="24"/>
              </w:rPr>
              <w:t>进一步</w:t>
            </w:r>
            <w:r>
              <w:rPr>
                <w:rFonts w:ascii="仿宋" w:hAnsi="仿宋" w:cs="仿宋" w:eastAsia="仿宋"/>
                <w:sz w:val="24"/>
              </w:rPr>
              <w:t>提升巴蜀文化影响力。</w:t>
            </w:r>
          </w:p>
        </w:tc>
      </w:tr>
      <w:tr>
        <w:tc>
          <w:tcPr>
            <w:tcW w:type="dxa" w:w="831"/>
          </w:tcPr>
          <w:p>
            <w:pPr>
              <w:pStyle w:val="null3"/>
              <w:jc w:val="left"/>
            </w:pPr>
            <w:r>
              <w:rPr/>
              <w:t>2</w:t>
            </w:r>
          </w:p>
        </w:tc>
        <w:tc>
          <w:tcPr>
            <w:tcW w:type="dxa" w:w="1246"/>
          </w:tcPr>
          <w:p/>
        </w:tc>
        <w:tc>
          <w:tcPr>
            <w:tcW w:type="dxa" w:w="2492"/>
          </w:tcPr>
          <w:p/>
        </w:tc>
        <w:tc>
          <w:tcPr>
            <w:tcW w:type="dxa" w:w="3738"/>
          </w:tcPr>
          <w:p>
            <w:pPr>
              <w:pStyle w:val="null3"/>
              <w:jc w:val="left"/>
            </w:pPr>
            <w:r>
              <w:rPr>
                <w:rFonts w:ascii="仿宋" w:hAnsi="仿宋" w:cs="仿宋" w:eastAsia="仿宋"/>
                <w:b/>
                <w:sz w:val="24"/>
              </w:rPr>
              <w:t>(一)服务方案</w:t>
            </w:r>
          </w:p>
          <w:p>
            <w:pPr>
              <w:pStyle w:val="null3"/>
              <w:ind w:firstLine="479"/>
              <w:jc w:val="both"/>
            </w:pPr>
            <w:r>
              <w:rPr>
                <w:rFonts w:ascii="仿宋" w:hAnsi="仿宋" w:cs="仿宋" w:eastAsia="仿宋"/>
                <w:sz w:val="24"/>
              </w:rPr>
              <w:t>为更好的保障项目后续履约，供应商应提供项目的服务方案，方案内容包括：</w:t>
            </w:r>
            <w:r>
              <w:rPr>
                <w:rFonts w:ascii="仿宋" w:hAnsi="仿宋" w:cs="仿宋" w:eastAsia="仿宋"/>
                <w:sz w:val="24"/>
              </w:rPr>
              <w:t>①展览策划方案；②数据采集与建模方案；③数字仿真方案；④线下巡展方案。</w:t>
            </w:r>
            <w:r>
              <w:rPr>
                <w:rFonts w:ascii="仿宋" w:hAnsi="仿宋" w:cs="仿宋" w:eastAsia="仿宋"/>
                <w:sz w:val="24"/>
              </w:rPr>
              <w:t>并根据项目实际情况进行针对性的阐述。</w:t>
            </w:r>
          </w:p>
          <w:p>
            <w:pPr>
              <w:pStyle w:val="null3"/>
              <w:jc w:val="left"/>
            </w:pPr>
            <w:r>
              <w:rPr>
                <w:rFonts w:ascii="仿宋" w:hAnsi="仿宋" w:cs="仿宋" w:eastAsia="仿宋"/>
                <w:b/>
                <w:sz w:val="24"/>
              </w:rPr>
              <w:t>(二)实施方案</w:t>
            </w:r>
          </w:p>
          <w:p>
            <w:pPr>
              <w:pStyle w:val="null3"/>
              <w:ind w:firstLine="479"/>
              <w:jc w:val="both"/>
            </w:pPr>
            <w:r>
              <w:rPr>
                <w:rFonts w:ascii="仿宋" w:hAnsi="仿宋" w:cs="仿宋" w:eastAsia="仿宋"/>
                <w:sz w:val="24"/>
              </w:rPr>
              <w:t>为更好的保障项目后续履约，供应商应提供项目的实施方案，方案内容包括：</w:t>
            </w:r>
            <w:r>
              <w:rPr>
                <w:rFonts w:ascii="仿宋" w:hAnsi="仿宋" w:cs="仿宋" w:eastAsia="仿宋"/>
                <w:sz w:val="24"/>
              </w:rPr>
              <w:t>①项目背景分析及内容理解；②项目实施进度安排；③团队人员分工及安排；④服务质量保障措施；⑤潜在突发情况分析和应对应急措施。并根据项目实际情况进行针对性的阐述。</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left"/>
            </w:pPr>
            <w:r>
              <w:rPr>
                <w:rFonts w:ascii="仿宋" w:hAnsi="仿宋" w:cs="仿宋" w:eastAsia="仿宋"/>
                <w:b/>
                <w:sz w:val="24"/>
              </w:rPr>
              <w:t>其他要求</w:t>
            </w:r>
          </w:p>
          <w:p>
            <w:pPr>
              <w:pStyle w:val="null3"/>
              <w:ind w:firstLine="479"/>
              <w:jc w:val="both"/>
            </w:pPr>
            <w:r>
              <w:rPr>
                <w:rFonts w:ascii="仿宋" w:hAnsi="仿宋" w:cs="仿宋" w:eastAsia="仿宋"/>
                <w:sz w:val="24"/>
              </w:rPr>
              <w:t>1.供应商应保证本项目所提供的所有服务、成果不涉及侵犯任何第三方的专利权、商标权或著作权等。</w:t>
            </w:r>
          </w:p>
          <w:p>
            <w:pPr>
              <w:pStyle w:val="null3"/>
              <w:ind w:firstLine="479"/>
              <w:jc w:val="both"/>
            </w:pPr>
            <w:r>
              <w:rPr>
                <w:rFonts w:ascii="仿宋" w:hAnsi="仿宋" w:cs="仿宋" w:eastAsia="仿宋"/>
                <w:sz w:val="24"/>
              </w:rPr>
              <w:t>2.成交供应商须与采购人签订保密协议，承诺对项目实施过程中的数据保密，且制定针对本项目的保密制度，加强对实施人员的管理和培训。</w:t>
            </w:r>
          </w:p>
          <w:p>
            <w:pPr>
              <w:pStyle w:val="null3"/>
              <w:ind w:firstLine="479"/>
              <w:jc w:val="both"/>
            </w:pPr>
            <w:r>
              <w:rPr>
                <w:rFonts w:ascii="仿宋" w:hAnsi="仿宋" w:cs="仿宋" w:eastAsia="仿宋"/>
                <w:sz w:val="24"/>
              </w:rPr>
              <w:t>3.最终的采集数据、影像资料等版权归省委网信办所有。</w:t>
            </w:r>
          </w:p>
          <w:p>
            <w:pPr>
              <w:pStyle w:val="null3"/>
              <w:jc w:val="left"/>
            </w:pPr>
            <w:r>
              <w:rPr>
                <w:rFonts w:ascii="仿宋" w:hAnsi="仿宋" w:cs="仿宋" w:eastAsia="仿宋"/>
                <w:b/>
                <w:sz w:val="24"/>
              </w:rPr>
              <w:t>成本补偿和风险分担约定：</w:t>
            </w:r>
          </w:p>
          <w:p>
            <w:pPr>
              <w:pStyle w:val="null3"/>
              <w:ind w:firstLine="479"/>
              <w:jc w:val="both"/>
            </w:pPr>
            <w:r>
              <w:rPr>
                <w:rFonts w:ascii="仿宋" w:hAnsi="仿宋" w:cs="仿宋" w:eastAsia="仿宋"/>
                <w:sz w:val="24"/>
              </w:rPr>
              <w:t>成交供应商应承担参加采购活动、成交的全部费用。</w:t>
            </w:r>
          </w:p>
        </w:tc>
      </w:tr>
      <w:tr>
        <w:tc>
          <w:tcPr>
            <w:tcW w:type="dxa" w:w="831"/>
          </w:tcPr>
          <w:p>
            <w:pPr>
              <w:pStyle w:val="null3"/>
              <w:jc w:val="left"/>
            </w:pPr>
            <w:r>
              <w:rPr/>
              <w:t>4</w:t>
            </w:r>
          </w:p>
        </w:tc>
        <w:tc>
          <w:tcPr>
            <w:tcW w:type="dxa" w:w="1246"/>
          </w:tcPr>
          <w:p/>
        </w:tc>
        <w:tc>
          <w:tcPr>
            <w:tcW w:type="dxa" w:w="2492"/>
          </w:tcPr>
          <w:p/>
        </w:tc>
        <w:tc>
          <w:tcPr>
            <w:tcW w:type="dxa" w:w="3738"/>
          </w:tcPr>
          <w:p>
            <w:pPr>
              <w:pStyle w:val="null3"/>
              <w:jc w:val="both"/>
            </w:pPr>
            <w:r>
              <w:rPr>
                <w:rFonts w:ascii="仿宋" w:hAnsi="仿宋" w:cs="仿宋" w:eastAsia="仿宋"/>
                <w:b/>
                <w:sz w:val="21"/>
              </w:rPr>
              <w:t>其他未尽事宜：在签订采购合同时约定。</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自合同签订之日起至2024年12月30日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严格按照《财政部关于进一步加强政府采购需求和履约验收管理的指导意见》（财库〔2016〕205号）及政府采购相关法律法规的要求进行验收。存在国家强制规定或行业标准的遵照相关规定执行</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1、合同签订，供应商向采购人出具合法有效完整的发票及凭证资料后，达到付款条件起15日内，支付合同总金额的40.00%</w:t>
            </w:r>
          </w:p>
          <w:p>
            <w:pPr>
              <w:pStyle w:val="null3"/>
              <w:jc w:val="left"/>
            </w:pPr>
            <w:r>
              <w:rPr/>
              <w:t>2、项目完成并验收合格，供应商向采购人出具合法有效完整的发票及凭证资料后，达到付款条件起15日内，支付合同总金额的60.00%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3.在执行本合同中发生的或与本合同有关的争端，双方应通过友好协商解决，经协商在60天内不能达成协议时，应提交项目所在地仲裁委员会仲裁。 4.仲裁裁决应为最终决定，并对双方具有约束力。 5.除另有裁决外，仲裁费应由败诉方负担， 6.在仲裁期间，除正在进行仲裁部分外，合同其他部分继续执行。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1.供应商需在使用投标(响应)客户端编制响应文件时，按要求填写《投标（响应）函》完成承诺并进行电子签章。</w:t>
              <w:br/>
              <w:t>2.（1）供应商为法人企业的，提供营业执照副本、税务登记证及组织机构代码证，已根据国务院办公厅关于加快推进“多证合一”改革的指导意见（国发办〔2017〕41号）等政策要求完成多证合一的，提供具有统一社会信用代码的多证合一证照副本。</w:t>
              <w:br/>
              <w:t>（2）供应商为事业法人的，提供事业单位法人证书。</w:t>
              <w:br/>
              <w:t>（3）供应商为团体组织的，提供对应法人证书。</w:t>
              <w:br/>
              <w:t>（4）供应商为其他组织的，提供对应主管部门颁发的准许执业证明文件或营业执照。</w:t>
              <w:br/>
              <w:t>（5）供应商为自然人的，提供身份证明材料。</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服务方案</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供应商提供服务方案，方案内容包含：①展览策划方案；②数据采集与建模方案；③数字仿真方案；④线下巡展方案。 以上内容充分结合项目和对应需求实际情况，描述分析准确，有具体实施计划，符合项目实施要求的每项得6分，最多得24分。缺项的，该缺项不得分。 方案中包括了对应内容，但该项内容中存在缺陷的(缺陷是指：1、项目名称、地点区域、时间错误；2、方案仅有框架或标题，没有具体内容和实施方法；3、不符合本项目涉及的现行相关标准或规范要求等情形；4、存在与本项目无关的其他行业、其他区域地点或明显无关的文字内容；5、内容自相矛盾，前后不一致；6、只是简单的复制粘贴内容或方案内容不满足项目实际需求等任意一种情形)，每有一处缺陷的扣3分，每项最多扣6分。</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实施（服务）方案</w:t>
            </w:r>
          </w:p>
        </w:tc>
      </w:tr>
      <w:tr>
        <w:tc>
          <w:tcPr>
            <w:tcW w:type="dxa" w:w="831"/>
            <w:vMerge/>
          </w:tcPr>
          <w:p/>
        </w:tc>
        <w:tc>
          <w:tcPr>
            <w:tcW w:type="dxa" w:w="1661"/>
          </w:tcPr>
          <w:p>
            <w:pPr>
              <w:pStyle w:val="null3"/>
              <w:jc w:val="left"/>
            </w:pPr>
            <w:r>
              <w:rPr/>
              <w:t>实施方案</w:t>
            </w:r>
          </w:p>
        </w:tc>
        <w:tc>
          <w:tcPr>
            <w:tcW w:type="dxa" w:w="2575"/>
          </w:tcPr>
          <w:p>
            <w:pPr>
              <w:pStyle w:val="null3"/>
              <w:jc w:val="left"/>
            </w:pPr>
            <w:r>
              <w:rPr/>
              <w:t>供应商提供实施方案，方案内容包含：①项目背景分析及内容理解；②项目实施进度安排；③团队人员分工及安排；④服务质量保障措施；⑤潜在突发情况分析和应对应急措施。 以上内容充分结合项目和对应需求实际情况，描述分析准确，有具体实施计划，符合项目实施要求的每项得6分，最多得30分。缺项的，该缺项不得分。 方案中包括了对应内容，但该项内容中存在缺陷的(缺陷是指：1、项目名称、地点区域、时间错误；2、方案仅有框架或标题，没有具体内容和实施方法；3、不符合本项目涉及的现行相关标准或规范要求等情形；4、存在与本项目无关的其他行业、其他区域地点或明显无关的文字内容；5、内容自相矛盾，前后不一致；6、只是简单的复制粘贴内容或方案内容不满足项目实际需求等任意一种情形)，每有一处缺陷的扣3分，每项最多扣6分。</w:t>
            </w:r>
          </w:p>
        </w:tc>
        <w:tc>
          <w:tcPr>
            <w:tcW w:type="dxa" w:w="831"/>
          </w:tcPr>
          <w:p>
            <w:pPr>
              <w:pStyle w:val="null3"/>
              <w:jc w:val="center"/>
            </w:pPr>
            <w:r>
              <w:rPr/>
              <w:t>30.00</w:t>
            </w:r>
          </w:p>
        </w:tc>
        <w:tc>
          <w:tcPr>
            <w:tcW w:type="dxa" w:w="748"/>
          </w:tcPr>
          <w:p>
            <w:pPr>
              <w:pStyle w:val="null3"/>
              <w:jc w:val="center"/>
            </w:pPr>
            <w:r>
              <w:rPr/>
              <w:t>主观</w:t>
            </w:r>
          </w:p>
        </w:tc>
        <w:tc>
          <w:tcPr>
            <w:tcW w:type="dxa" w:w="1661"/>
          </w:tcPr>
          <w:p>
            <w:pPr>
              <w:pStyle w:val="null3"/>
              <w:jc w:val="left"/>
            </w:pPr>
            <w:r>
              <w:rPr/>
              <w:t>实施（服务）方案</w:t>
            </w:r>
          </w:p>
        </w:tc>
      </w:tr>
      <w:tr>
        <w:tc>
          <w:tcPr>
            <w:tcW w:type="dxa" w:w="831"/>
            <w:vMerge/>
          </w:tcPr>
          <w:p/>
        </w:tc>
        <w:tc>
          <w:tcPr>
            <w:tcW w:type="dxa" w:w="1661"/>
          </w:tcPr>
          <w:p>
            <w:pPr>
              <w:pStyle w:val="null3"/>
              <w:jc w:val="left"/>
            </w:pPr>
            <w:r>
              <w:rPr/>
              <w:t>媒体资源</w:t>
            </w:r>
          </w:p>
        </w:tc>
        <w:tc>
          <w:tcPr>
            <w:tcW w:type="dxa" w:w="2575"/>
          </w:tcPr>
          <w:p>
            <w:pPr>
              <w:pStyle w:val="null3"/>
              <w:jc w:val="left"/>
            </w:pPr>
            <w:r>
              <w:rPr/>
              <w:t>供应商提供省级及以上宣传媒介平台资源或提供省级及以上宣传媒介相关合作证明的得5分。（提供相关证明材料并加盖公章）</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媒体资源</w:t>
            </w:r>
          </w:p>
        </w:tc>
      </w:tr>
      <w:tr>
        <w:tc>
          <w:tcPr>
            <w:tcW w:type="dxa" w:w="831"/>
            <w:vMerge/>
          </w:tcPr>
          <w:p/>
        </w:tc>
        <w:tc>
          <w:tcPr>
            <w:tcW w:type="dxa" w:w="1661"/>
          </w:tcPr>
          <w:p>
            <w:pPr>
              <w:pStyle w:val="null3"/>
              <w:jc w:val="left"/>
            </w:pPr>
            <w:r>
              <w:rPr/>
              <w:t>人员配置</w:t>
            </w:r>
          </w:p>
        </w:tc>
        <w:tc>
          <w:tcPr>
            <w:tcW w:type="dxa" w:w="2575"/>
          </w:tcPr>
          <w:p>
            <w:pPr>
              <w:pStyle w:val="null3"/>
              <w:jc w:val="left"/>
            </w:pPr>
            <w:r>
              <w:rPr/>
              <w:t>1.供应商为本项目拟派服务人员3人的得4分，每增加1人的加3分，最多加6分。 2.项目负责人：有文物博物专业或新闻专业或艺术专业高级职称的得6分；有文物博物专业或新闻专业或艺术专业中级职称的得3分；其余不得分。 2.项目组其他成员：有文物博物专业或新闻专业或艺术专业中级及以上职称的，每有1人得3分，最多得6分。 注：以上人员不重复得分，同时具有高级、中级职称的人员按照就高原则得分。 （提供人员清单、证书复印件等证明材料并加盖公章）</w:t>
            </w:r>
          </w:p>
        </w:tc>
        <w:tc>
          <w:tcPr>
            <w:tcW w:type="dxa" w:w="831"/>
          </w:tcPr>
          <w:p>
            <w:pPr>
              <w:pStyle w:val="null3"/>
              <w:jc w:val="center"/>
            </w:pPr>
            <w:r>
              <w:rPr/>
              <w:t>22.00</w:t>
            </w:r>
          </w:p>
        </w:tc>
        <w:tc>
          <w:tcPr>
            <w:tcW w:type="dxa" w:w="748"/>
          </w:tcPr>
          <w:p>
            <w:pPr>
              <w:pStyle w:val="null3"/>
              <w:jc w:val="center"/>
            </w:pPr>
            <w:r>
              <w:rPr/>
              <w:t>客观</w:t>
            </w:r>
          </w:p>
        </w:tc>
        <w:tc>
          <w:tcPr>
            <w:tcW w:type="dxa" w:w="1661"/>
          </w:tcPr>
          <w:p>
            <w:pPr>
              <w:pStyle w:val="null3"/>
              <w:jc w:val="left"/>
            </w:pPr>
            <w:r>
              <w:rPr/>
              <w:t>管理、技术、服务人员情况表</w:t>
            </w:r>
          </w:p>
        </w:tc>
      </w:tr>
      <w:tr>
        <w:tc>
          <w:tcPr>
            <w:tcW w:type="dxa" w:w="831"/>
            <w:vMerge/>
          </w:tcPr>
          <w:p/>
        </w:tc>
        <w:tc>
          <w:tcPr>
            <w:tcW w:type="dxa" w:w="1661"/>
          </w:tcPr>
          <w:p>
            <w:pPr>
              <w:pStyle w:val="null3"/>
              <w:jc w:val="left"/>
            </w:pPr>
            <w:r>
              <w:rPr/>
              <w:t>履约经验</w:t>
            </w:r>
          </w:p>
        </w:tc>
        <w:tc>
          <w:tcPr>
            <w:tcW w:type="dxa" w:w="2575"/>
          </w:tcPr>
          <w:p>
            <w:pPr>
              <w:pStyle w:val="null3"/>
              <w:jc w:val="left"/>
            </w:pPr>
            <w:r>
              <w:rPr/>
              <w:t>供应商2021年1月1日(含)以来，每有1个类似项目履约经验的得3分，最多得9分。（提供采购合同或协议复印件或中标(成交)通知书等相关证明材料并加盖公章）</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履约经验</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磋商小组评审，通过资格和符合性审查，且响应报价最低的供应商的响应报价作为评审基准价。2.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详见附件：供应商应提交的相关证明材料</w:t>
      </w:r>
    </w:p>
    <w:p>
      <w:pPr>
        <w:pStyle w:val="null3"/>
        <w:ind w:firstLine="960"/>
        <w:jc w:val="left"/>
      </w:pPr>
      <w:r>
        <w:rPr/>
        <w:t>详见附件：报价表</w:t>
      </w:r>
    </w:p>
    <w:p>
      <w:pPr>
        <w:pStyle w:val="null3"/>
        <w:ind w:firstLine="960"/>
        <w:jc w:val="left"/>
      </w:pPr>
      <w:r>
        <w:rPr/>
        <w:t>详见附件：实施（服务）方案</w:t>
      </w:r>
    </w:p>
    <w:p>
      <w:pPr>
        <w:pStyle w:val="null3"/>
        <w:ind w:firstLine="960"/>
        <w:jc w:val="left"/>
      </w:pPr>
      <w:r>
        <w:rPr/>
        <w:t>详见附件：管理、技术、服务人员情况表</w:t>
      </w:r>
    </w:p>
    <w:p>
      <w:pPr>
        <w:pStyle w:val="null3"/>
        <w:ind w:firstLine="960"/>
        <w:jc w:val="left"/>
      </w:pPr>
      <w:r>
        <w:rPr/>
        <w:t>详见附件：履约经验</w:t>
      </w:r>
    </w:p>
    <w:p>
      <w:pPr>
        <w:pStyle w:val="null3"/>
        <w:ind w:firstLine="960"/>
        <w:jc w:val="left"/>
      </w:pPr>
      <w:r>
        <w:rPr/>
        <w:t>详见附件：媒体资源</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