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版本号：N511024202600006220260512003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威远县观英滩镇2026年第一批财政常态化帮扶资金到户项目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N5110242026000062</w:t>
      </w:r>
    </w:p>
    <w:p>
      <w:pPr>
        <w:pStyle w:val="null3"/>
        <w:jc w:val="center"/>
        <w:outlineLvl w:val="2"/>
      </w:pPr>
      <w:r>
        <w:rPr>
          <w:rFonts w:ascii="仿宋_GB2312" w:hAnsi="仿宋_GB2312" w:cs="仿宋_GB2312" w:eastAsia="仿宋_GB2312"/>
          <w:sz w:val="28"/>
          <w:b/>
        </w:rPr>
        <w:t>威远县观英滩镇人民政府</w:t>
      </w:r>
    </w:p>
    <w:p>
      <w:pPr>
        <w:pStyle w:val="null3"/>
        <w:jc w:val="center"/>
        <w:outlineLvl w:val="2"/>
      </w:pPr>
      <w:r>
        <w:rPr>
          <w:rFonts w:ascii="仿宋_GB2312" w:hAnsi="仿宋_GB2312" w:cs="仿宋_GB2312" w:eastAsia="仿宋_GB2312"/>
          <w:sz w:val="28"/>
          <w:b/>
        </w:rPr>
        <w:t>甜投招标代理（内江）有限责任公司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甜投招标代理（内江）有限责任公司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威远县观英滩镇人民政府</w:t>
      </w:r>
      <w:r>
        <w:rPr>
          <w:rFonts w:ascii="仿宋_GB2312" w:hAnsi="仿宋_GB2312" w:cs="仿宋_GB2312" w:eastAsia="仿宋_GB2312"/>
        </w:rPr>
        <w:t xml:space="preserve"> 委托，拟对 </w:t>
      </w:r>
      <w:r>
        <w:rPr>
          <w:rFonts w:ascii="仿宋_GB2312" w:hAnsi="仿宋_GB2312" w:cs="仿宋_GB2312" w:eastAsia="仿宋_GB2312"/>
        </w:rPr>
        <w:t>威远县观英滩镇2026年第一批财政常态化帮扶资金到户项目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N5110242026000062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威远县观英滩镇2026年第一批财政常态化帮扶资金到户项目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威远县观英滩镇2026年财政常态化帮扶资金支持的到户类养殖产业项目，旨在通过采购发放优质畜禽、幼畜、雏苗，覆盖全镇245户脱贫户、监测户，支持其发展山羊、猪仔、土杂鸡、鸭、兔、牛等养殖业，增加家庭经营性收入，巩固拓展脱贫攻坚成果，助力乡村振兴。项目实施地点为威远县观英滩镇辖区各村，资金来源为财政常态化帮扶资金（乡村振兴衔接补助资金），全部用于畜禽、幼畜、雏苗采购及配送到户相关事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具有国家行政主管部门颁发且在有效期内的《动物防疫条件合格证》（描述：投标人应具有国家行政主管部门颁发且在有效期内的《动物防疫条件合格证》，投标人需在项目电子化交易系统中按要求上传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威远县观英滩镇人民政府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四川省内江市威远县观英滩镇新景街213号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139903202207</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甜投招标代理（内江）有限责任公司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四川省内江市市中区四川省内江市市中区江宁街西段153号2栋附301号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17378763515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采购包1：516,800.00元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代理服务费收费标准：供应商支付，按照成本支出加合理利润的原则，定额收取7700.00元。代理服务费账户 交款方式：公对公账户银行转账（以当地银行下账时间为准） 招标代理机构：甜投招标代理（内江）有限责任公司 联 系 人：李老师 联系电话：17378763515 收款单位：甜投招标代理（内江）有限责任公司 开 户 行：中国工商银行股份有限公司内江江华街支行 行 号：102663000540 银行账号：2307005409100128850 *特别注意：请在备注栏必须填写“采购文件项目编号”代理服务费!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威远县观英滩镇人民政府</w:t>
      </w:r>
      <w:r>
        <w:rPr>
          <w:rFonts w:ascii="仿宋_GB2312" w:hAnsi="仿宋_GB2312" w:cs="仿宋_GB2312" w:eastAsia="仿宋_GB2312"/>
        </w:rPr>
        <w:t xml:space="preserve"> 和 </w:t>
      </w:r>
      <w:r>
        <w:rPr>
          <w:rFonts w:ascii="仿宋_GB2312" w:hAnsi="仿宋_GB2312" w:cs="仿宋_GB2312" w:eastAsia="仿宋_GB2312"/>
        </w:rPr>
        <w:t>甜投招标代理（内江）有限责任公司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威远县观英滩镇人民政府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甜投招标代理（内江）有限责任公司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供应商完成全部畜禽、幼畜、雏苗供货、分发到户，提交完整的验收资料，向采购人提出验收申请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要求的履约情况，验收标准要包括所有客观、量化指标。按国家有关规定以及采购人采购文件的质量要求和技术指标、中标（成交）供应商的响应文件及承诺与本合同约定标准进行验收；采购人、中标（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商务要求的履约情况，验收标准要包括所有客观、量化指标。按国家有关规定以及采购人采购文件的质量要求和技术指标、中标（成交）供应商的响应文件及承诺与本合同约定标准进行验收；采购人、中标（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依据采购文件所列技术标准及要求，及现行国家、行业、有关标准和中标（成交）供应商的响应文件及承诺进行验收。交验时，发现中标（成交）供应商提供的服务或物资不符合采购文件要求，采购人有权取消其成交资格或取消合同，并按有关规定对中标（成交）供应商作出相应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中标（成交）供应商与采购人应严格按照《财政部关于进一步加强政府采购需求和履约验收管理的指导意见》（财库〔2016〕205号）及《政府采购需求管理办法》（财库〔2021〕22号）规定开展验收工作。</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威远县观英滩镇人民政府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甜投招标代理（内江）有限责任公司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甜投招标代理（内江）有限责任公司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联系电话：139903202207</w:t>
      </w:r>
    </w:p>
    <w:p>
      <w:pPr>
        <w:pStyle w:val="null3"/>
        <w:jc w:val="left"/>
      </w:pPr>
      <w:r>
        <w:rPr>
          <w:rFonts w:ascii="仿宋_GB2312" w:hAnsi="仿宋_GB2312" w:cs="仿宋_GB2312" w:eastAsia="仿宋_GB2312"/>
        </w:rPr>
        <w:t>地址：四川省内江市威远县观英滩镇新景街213号</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联系电话：17378763515</w:t>
      </w:r>
    </w:p>
    <w:p>
      <w:pPr>
        <w:pStyle w:val="null3"/>
        <w:jc w:val="left"/>
      </w:pPr>
      <w:r>
        <w:rPr>
          <w:rFonts w:ascii="仿宋_GB2312" w:hAnsi="仿宋_GB2312" w:cs="仿宋_GB2312" w:eastAsia="仿宋_GB2312"/>
        </w:rPr>
        <w:t>地址：四川省内江市市中区四川省内江市市中区江宁街西段153号2栋附301号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516,800.00</w:t>
      </w:r>
    </w:p>
    <w:p>
      <w:pPr>
        <w:pStyle w:val="null3"/>
        <w:jc w:val="left"/>
      </w:pPr>
      <w:r>
        <w:rPr>
          <w:rFonts w:ascii="仿宋_GB2312" w:hAnsi="仿宋_GB2312" w:cs="仿宋_GB2312" w:eastAsia="仿宋_GB2312"/>
        </w:rPr>
        <w:t>采购包最高限价（元）: 516,800.00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山羊（肉羊）</w:t>
            </w:r>
          </w:p>
        </w:tc>
        <w:tc>
          <w:tcPr>
            <w:tcW w:type="dxa" w:w="821"/>
          </w:tcPr>
          <w:p>
            <w:pPr>
              <w:pStyle w:val="null3"/>
              <w:jc w:val="right"/>
            </w:pPr>
            <w:r>
              <w:rPr>
                <w:rFonts w:ascii="仿宋_GB2312" w:hAnsi="仿宋_GB2312" w:cs="仿宋_GB2312" w:eastAsia="仿宋_GB2312"/>
              </w:rPr>
              <w:t>314.00（头/只）</w:t>
            </w:r>
          </w:p>
        </w:tc>
        <w:tc>
          <w:tcPr>
            <w:tcW w:type="dxa" w:w="821"/>
          </w:tcPr>
          <w:p>
            <w:pPr>
              <w:pStyle w:val="null3"/>
              <w:jc w:val="right"/>
            </w:pPr>
            <w:r>
              <w:rPr>
                <w:rFonts w:ascii="仿宋_GB2312" w:hAnsi="仿宋_GB2312" w:cs="仿宋_GB2312" w:eastAsia="仿宋_GB2312"/>
              </w:rPr>
              <w:t>188,400.00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鸭</w:t>
            </w:r>
          </w:p>
        </w:tc>
        <w:tc>
          <w:tcPr>
            <w:tcW w:type="dxa" w:w="821"/>
          </w:tcPr>
          <w:p>
            <w:pPr>
              <w:pStyle w:val="null3"/>
              <w:jc w:val="right"/>
            </w:pPr>
            <w:r>
              <w:rPr>
                <w:rFonts w:ascii="仿宋_GB2312" w:hAnsi="仿宋_GB2312" w:cs="仿宋_GB2312" w:eastAsia="仿宋_GB2312"/>
              </w:rPr>
              <w:t>868.00（头/只）</w:t>
            </w:r>
          </w:p>
        </w:tc>
        <w:tc>
          <w:tcPr>
            <w:tcW w:type="dxa" w:w="821"/>
          </w:tcPr>
          <w:p>
            <w:pPr>
              <w:pStyle w:val="null3"/>
              <w:jc w:val="right"/>
            </w:pPr>
            <w:r>
              <w:rPr>
                <w:rFonts w:ascii="仿宋_GB2312" w:hAnsi="仿宋_GB2312" w:cs="仿宋_GB2312" w:eastAsia="仿宋_GB2312"/>
              </w:rPr>
              <w:t>8,680.00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猪仔</w:t>
            </w:r>
          </w:p>
        </w:tc>
        <w:tc>
          <w:tcPr>
            <w:tcW w:type="dxa" w:w="821"/>
          </w:tcPr>
          <w:p>
            <w:pPr>
              <w:pStyle w:val="null3"/>
              <w:jc w:val="right"/>
            </w:pPr>
            <w:r>
              <w:rPr>
                <w:rFonts w:ascii="仿宋_GB2312" w:hAnsi="仿宋_GB2312" w:cs="仿宋_GB2312" w:eastAsia="仿宋_GB2312"/>
              </w:rPr>
              <w:t>152.00（头/只）</w:t>
            </w:r>
          </w:p>
        </w:tc>
        <w:tc>
          <w:tcPr>
            <w:tcW w:type="dxa" w:w="821"/>
          </w:tcPr>
          <w:p>
            <w:pPr>
              <w:pStyle w:val="null3"/>
              <w:jc w:val="right"/>
            </w:pPr>
            <w:r>
              <w:rPr>
                <w:rFonts w:ascii="仿宋_GB2312" w:hAnsi="仿宋_GB2312" w:cs="仿宋_GB2312" w:eastAsia="仿宋_GB2312"/>
              </w:rPr>
              <w:t>112,480.00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土杂鸡</w:t>
            </w:r>
          </w:p>
        </w:tc>
        <w:tc>
          <w:tcPr>
            <w:tcW w:type="dxa" w:w="821"/>
          </w:tcPr>
          <w:p>
            <w:pPr>
              <w:pStyle w:val="null3"/>
              <w:jc w:val="right"/>
            </w:pPr>
            <w:r>
              <w:rPr>
                <w:rFonts w:ascii="仿宋_GB2312" w:hAnsi="仿宋_GB2312" w:cs="仿宋_GB2312" w:eastAsia="仿宋_GB2312"/>
              </w:rPr>
              <w:t>2,270.00（头/只）</w:t>
            </w:r>
          </w:p>
        </w:tc>
        <w:tc>
          <w:tcPr>
            <w:tcW w:type="dxa" w:w="821"/>
          </w:tcPr>
          <w:p>
            <w:pPr>
              <w:pStyle w:val="null3"/>
              <w:jc w:val="right"/>
            </w:pPr>
            <w:r>
              <w:rPr>
                <w:rFonts w:ascii="仿宋_GB2312" w:hAnsi="仿宋_GB2312" w:cs="仿宋_GB2312" w:eastAsia="仿宋_GB2312"/>
              </w:rPr>
              <w:t>54,480.00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兔</w:t>
            </w:r>
          </w:p>
        </w:tc>
        <w:tc>
          <w:tcPr>
            <w:tcW w:type="dxa" w:w="821"/>
          </w:tcPr>
          <w:p>
            <w:pPr>
              <w:pStyle w:val="null3"/>
              <w:jc w:val="right"/>
            </w:pPr>
            <w:r>
              <w:rPr>
                <w:rFonts w:ascii="仿宋_GB2312" w:hAnsi="仿宋_GB2312" w:cs="仿宋_GB2312" w:eastAsia="仿宋_GB2312"/>
              </w:rPr>
              <w:t>664.00（头/只）</w:t>
            </w:r>
          </w:p>
        </w:tc>
        <w:tc>
          <w:tcPr>
            <w:tcW w:type="dxa" w:w="821"/>
          </w:tcPr>
          <w:p>
            <w:pPr>
              <w:pStyle w:val="null3"/>
              <w:jc w:val="right"/>
            </w:pPr>
            <w:r>
              <w:rPr>
                <w:rFonts w:ascii="仿宋_GB2312" w:hAnsi="仿宋_GB2312" w:cs="仿宋_GB2312" w:eastAsia="仿宋_GB2312"/>
              </w:rPr>
              <w:t>9,960.00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A06010200 动物良种</w:t>
            </w:r>
          </w:p>
        </w:tc>
        <w:tc>
          <w:tcPr>
            <w:tcW w:type="dxa" w:w="821"/>
          </w:tcPr>
          <w:p>
            <w:pPr>
              <w:pStyle w:val="null3"/>
              <w:jc w:val="left"/>
            </w:pPr>
            <w:r>
              <w:rPr>
                <w:rFonts w:ascii="仿宋_GB2312" w:hAnsi="仿宋_GB2312" w:cs="仿宋_GB2312" w:eastAsia="仿宋_GB2312"/>
              </w:rPr>
              <w:t>牛</w:t>
            </w:r>
          </w:p>
        </w:tc>
        <w:tc>
          <w:tcPr>
            <w:tcW w:type="dxa" w:w="821"/>
          </w:tcPr>
          <w:p>
            <w:pPr>
              <w:pStyle w:val="null3"/>
              <w:jc w:val="right"/>
            </w:pPr>
            <w:r>
              <w:rPr>
                <w:rFonts w:ascii="仿宋_GB2312" w:hAnsi="仿宋_GB2312" w:cs="仿宋_GB2312" w:eastAsia="仿宋_GB2312"/>
              </w:rPr>
              <w:t>34.00（头/只）</w:t>
            </w:r>
          </w:p>
        </w:tc>
        <w:tc>
          <w:tcPr>
            <w:tcW w:type="dxa" w:w="821"/>
          </w:tcPr>
          <w:p>
            <w:pPr>
              <w:pStyle w:val="null3"/>
              <w:jc w:val="right"/>
            </w:pPr>
            <w:r>
              <w:rPr>
                <w:rFonts w:ascii="仿宋_GB2312" w:hAnsi="仿宋_GB2312" w:cs="仿宋_GB2312" w:eastAsia="仿宋_GB2312"/>
              </w:rPr>
              <w:t>142,800.00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山羊（肉羊）</w:t>
            </w:r>
          </w:p>
        </w:tc>
        <w:tc>
          <w:tcPr>
            <w:tcW w:type="dxa" w:w="1138"/>
          </w:tcPr>
          <w:p>
            <w:pPr>
              <w:pStyle w:val="null3"/>
              <w:jc w:val="center"/>
            </w:pPr>
            <w:r>
              <w:rPr>
                <w:rFonts w:ascii="仿宋_GB2312" w:hAnsi="仿宋_GB2312" w:cs="仿宋_GB2312" w:eastAsia="仿宋_GB2312"/>
              </w:rPr>
              <w:t>314.00（头/只）</w:t>
            </w:r>
          </w:p>
        </w:tc>
        <w:tc>
          <w:tcPr>
            <w:tcW w:type="dxa" w:w="1365"/>
          </w:tcPr>
          <w:p>
            <w:pPr>
              <w:pStyle w:val="null3"/>
              <w:jc w:val="center"/>
            </w:pPr>
            <w:r>
              <w:rPr>
                <w:rFonts w:ascii="仿宋_GB2312" w:hAnsi="仿宋_GB2312" w:cs="仿宋_GB2312" w:eastAsia="仿宋_GB2312"/>
              </w:rPr>
              <w:t>188,400.00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鸭</w:t>
            </w:r>
          </w:p>
        </w:tc>
        <w:tc>
          <w:tcPr>
            <w:tcW w:type="dxa" w:w="1138"/>
          </w:tcPr>
          <w:p>
            <w:pPr>
              <w:pStyle w:val="null3"/>
              <w:jc w:val="center"/>
            </w:pPr>
            <w:r>
              <w:rPr>
                <w:rFonts w:ascii="仿宋_GB2312" w:hAnsi="仿宋_GB2312" w:cs="仿宋_GB2312" w:eastAsia="仿宋_GB2312"/>
              </w:rPr>
              <w:t>868.00（头/只）</w:t>
            </w:r>
          </w:p>
        </w:tc>
        <w:tc>
          <w:tcPr>
            <w:tcW w:type="dxa" w:w="1365"/>
          </w:tcPr>
          <w:p>
            <w:pPr>
              <w:pStyle w:val="null3"/>
              <w:jc w:val="center"/>
            </w:pPr>
            <w:r>
              <w:rPr>
                <w:rFonts w:ascii="仿宋_GB2312" w:hAnsi="仿宋_GB2312" w:cs="仿宋_GB2312" w:eastAsia="仿宋_GB2312"/>
              </w:rPr>
              <w:t>8,680.00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猪仔</w:t>
            </w:r>
          </w:p>
        </w:tc>
        <w:tc>
          <w:tcPr>
            <w:tcW w:type="dxa" w:w="1138"/>
          </w:tcPr>
          <w:p>
            <w:pPr>
              <w:pStyle w:val="null3"/>
              <w:jc w:val="center"/>
            </w:pPr>
            <w:r>
              <w:rPr>
                <w:rFonts w:ascii="仿宋_GB2312" w:hAnsi="仿宋_GB2312" w:cs="仿宋_GB2312" w:eastAsia="仿宋_GB2312"/>
              </w:rPr>
              <w:t>152.00（头/只）</w:t>
            </w:r>
          </w:p>
        </w:tc>
        <w:tc>
          <w:tcPr>
            <w:tcW w:type="dxa" w:w="1365"/>
          </w:tcPr>
          <w:p>
            <w:pPr>
              <w:pStyle w:val="null3"/>
              <w:jc w:val="center"/>
            </w:pPr>
            <w:r>
              <w:rPr>
                <w:rFonts w:ascii="仿宋_GB2312" w:hAnsi="仿宋_GB2312" w:cs="仿宋_GB2312" w:eastAsia="仿宋_GB2312"/>
              </w:rPr>
              <w:t>112,480.00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土杂鸡</w:t>
            </w:r>
          </w:p>
        </w:tc>
        <w:tc>
          <w:tcPr>
            <w:tcW w:type="dxa" w:w="1138"/>
          </w:tcPr>
          <w:p>
            <w:pPr>
              <w:pStyle w:val="null3"/>
              <w:jc w:val="center"/>
            </w:pPr>
            <w:r>
              <w:rPr>
                <w:rFonts w:ascii="仿宋_GB2312" w:hAnsi="仿宋_GB2312" w:cs="仿宋_GB2312" w:eastAsia="仿宋_GB2312"/>
              </w:rPr>
              <w:t>2,270.00（头/只）</w:t>
            </w:r>
          </w:p>
        </w:tc>
        <w:tc>
          <w:tcPr>
            <w:tcW w:type="dxa" w:w="1365"/>
          </w:tcPr>
          <w:p>
            <w:pPr>
              <w:pStyle w:val="null3"/>
              <w:jc w:val="center"/>
            </w:pPr>
            <w:r>
              <w:rPr>
                <w:rFonts w:ascii="仿宋_GB2312" w:hAnsi="仿宋_GB2312" w:cs="仿宋_GB2312" w:eastAsia="仿宋_GB2312"/>
              </w:rPr>
              <w:t>54,480.00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兔</w:t>
            </w:r>
          </w:p>
        </w:tc>
        <w:tc>
          <w:tcPr>
            <w:tcW w:type="dxa" w:w="1138"/>
          </w:tcPr>
          <w:p>
            <w:pPr>
              <w:pStyle w:val="null3"/>
              <w:jc w:val="center"/>
            </w:pPr>
            <w:r>
              <w:rPr>
                <w:rFonts w:ascii="仿宋_GB2312" w:hAnsi="仿宋_GB2312" w:cs="仿宋_GB2312" w:eastAsia="仿宋_GB2312"/>
              </w:rPr>
              <w:t>664.00（头/只）</w:t>
            </w:r>
          </w:p>
        </w:tc>
        <w:tc>
          <w:tcPr>
            <w:tcW w:type="dxa" w:w="1365"/>
          </w:tcPr>
          <w:p>
            <w:pPr>
              <w:pStyle w:val="null3"/>
              <w:jc w:val="center"/>
            </w:pPr>
            <w:r>
              <w:rPr>
                <w:rFonts w:ascii="仿宋_GB2312" w:hAnsi="仿宋_GB2312" w:cs="仿宋_GB2312" w:eastAsia="仿宋_GB2312"/>
              </w:rPr>
              <w:t>9,960.00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牛</w:t>
            </w:r>
          </w:p>
        </w:tc>
        <w:tc>
          <w:tcPr>
            <w:tcW w:type="dxa" w:w="1138"/>
          </w:tcPr>
          <w:p>
            <w:pPr>
              <w:pStyle w:val="null3"/>
              <w:jc w:val="center"/>
            </w:pPr>
            <w:r>
              <w:rPr>
                <w:rFonts w:ascii="仿宋_GB2312" w:hAnsi="仿宋_GB2312" w:cs="仿宋_GB2312" w:eastAsia="仿宋_GB2312"/>
              </w:rPr>
              <w:t>34.00（头/只）</w:t>
            </w:r>
          </w:p>
        </w:tc>
        <w:tc>
          <w:tcPr>
            <w:tcW w:type="dxa" w:w="1365"/>
          </w:tcPr>
          <w:p>
            <w:pPr>
              <w:pStyle w:val="null3"/>
              <w:jc w:val="center"/>
            </w:pPr>
            <w:r>
              <w:rPr>
                <w:rFonts w:ascii="仿宋_GB2312" w:hAnsi="仿宋_GB2312" w:cs="仿宋_GB2312" w:eastAsia="仿宋_GB2312"/>
              </w:rPr>
              <w:t>142,800.00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A06010200 动物良种</w:t>
            </w:r>
          </w:p>
        </w:tc>
        <w:tc>
          <w:tcPr>
            <w:tcW w:type="dxa" w:w="2492"/>
          </w:tcPr>
          <w:p>
            <w:pPr>
              <w:pStyle w:val="null3"/>
              <w:jc w:val="left"/>
            </w:pPr>
            <w:r>
              <w:rPr>
                <w:rFonts w:ascii="仿宋_GB2312" w:hAnsi="仿宋_GB2312" w:cs="仿宋_GB2312" w:eastAsia="仿宋_GB2312"/>
              </w:rPr>
              <w:t>山羊（肉羊）</w:t>
            </w:r>
          </w:p>
        </w:tc>
        <w:tc>
          <w:tcPr>
            <w:tcW w:type="dxa" w:w="2492"/>
          </w:tcPr>
          <w:p>
            <w:pPr>
              <w:pStyle w:val="null3"/>
              <w:jc w:val="left"/>
            </w:pPr>
            <w:r>
              <w:rPr>
                <w:rFonts w:ascii="仿宋_GB2312" w:hAnsi="仿宋_GB2312" w:cs="仿宋_GB2312" w:eastAsia="仿宋_GB2312"/>
              </w:rPr>
              <w:t>山羊（肉羊）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标的名称：山羊（肉羊）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山羊（肉羊）</w:t>
            </w:r>
          </w:p>
        </w:tc>
        <w:tc>
          <w:tcPr>
            <w:tcW w:type="dxa" w:w="5814"/>
          </w:tcPr>
          <w:p>
            <w:pPr>
              <w:pStyle w:val="null3"/>
              <w:jc w:val="left"/>
            </w:pPr>
            <w:r>
              <w:rPr>
                <w:rFonts w:ascii="仿宋_GB2312" w:hAnsi="仿宋_GB2312" w:cs="仿宋_GB2312" w:eastAsia="仿宋_GB2312"/>
                <w:sz w:val="24"/>
                <w:shd w:fill="FFFFFF" w:val="clear"/>
              </w:rPr>
              <w:t>满双月，体重</w:t>
            </w:r>
            <w:r>
              <w:rPr>
                <w:rFonts w:ascii="仿宋_GB2312" w:hAnsi="仿宋_GB2312" w:cs="仿宋_GB2312" w:eastAsia="仿宋_GB2312"/>
                <w:sz w:val="24"/>
                <w:shd w:fill="FFFFFF" w:val="clear"/>
              </w:rPr>
              <w:t>≥15公斤/只；品种优良、健康活泼、无病无伤、无传染病；附官方动物检疫合格证明，</w:t>
            </w:r>
            <w:r>
              <w:rPr>
                <w:rFonts w:ascii="仿宋_GB2312" w:hAnsi="仿宋_GB2312" w:cs="仿宋_GB2312" w:eastAsia="仿宋_GB2312"/>
                <w:sz w:val="24"/>
                <w:shd w:fill="FFFFFF" w:val="clear"/>
              </w:rPr>
              <w:t>要随货同行，证物相符</w:t>
            </w:r>
            <w:r>
              <w:rPr>
                <w:rFonts w:ascii="仿宋_GB2312" w:hAnsi="仿宋_GB2312" w:cs="仿宋_GB2312" w:eastAsia="仿宋_GB2312"/>
                <w:sz w:val="24"/>
                <w:shd w:fill="FFFFFF" w:val="clear"/>
              </w:rPr>
              <w:t>，适应观英滩镇高寒冷凉山区气候，成活率≥95%。</w:t>
            </w:r>
          </w:p>
        </w:tc>
      </w:tr>
    </w:tbl>
    <w:p>
      <w:pPr>
        <w:pStyle w:val="null3"/>
        <w:jc w:val="left"/>
      </w:pPr>
      <w:r>
        <w:rPr>
          <w:rFonts w:ascii="仿宋_GB2312" w:hAnsi="仿宋_GB2312" w:cs="仿宋_GB2312" w:eastAsia="仿宋_GB2312"/>
        </w:rPr>
        <w:t>标的名称：鸭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鸭</w:t>
            </w:r>
          </w:p>
        </w:tc>
        <w:tc>
          <w:tcPr>
            <w:tcW w:type="dxa" w:w="5814"/>
          </w:tcPr>
          <w:p>
            <w:pPr>
              <w:pStyle w:val="null3"/>
              <w:jc w:val="left"/>
            </w:pPr>
            <w:r>
              <w:rPr>
                <w:rFonts w:ascii="仿宋_GB2312" w:hAnsi="仿宋_GB2312" w:cs="仿宋_GB2312" w:eastAsia="仿宋_GB2312"/>
                <w:sz w:val="24"/>
                <w:shd w:fill="FFFFFF" w:val="clear"/>
              </w:rPr>
              <w:t>体重</w:t>
            </w:r>
            <w:r>
              <w:rPr>
                <w:rFonts w:ascii="仿宋_GB2312" w:hAnsi="仿宋_GB2312" w:cs="仿宋_GB2312" w:eastAsia="仿宋_GB2312"/>
                <w:sz w:val="24"/>
                <w:shd w:fill="FFFFFF" w:val="clear"/>
              </w:rPr>
              <w:t>≥0.25公斤/只；体格完好、行动正常、无病害，适合农村散养，成活率≥95%。</w:t>
            </w:r>
          </w:p>
        </w:tc>
      </w:tr>
    </w:tbl>
    <w:p>
      <w:pPr>
        <w:pStyle w:val="null3"/>
        <w:jc w:val="left"/>
      </w:pPr>
      <w:r>
        <w:rPr>
          <w:rFonts w:ascii="仿宋_GB2312" w:hAnsi="仿宋_GB2312" w:cs="仿宋_GB2312" w:eastAsia="仿宋_GB2312"/>
        </w:rPr>
        <w:t>标的名称：猪仔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猪仔</w:t>
            </w:r>
          </w:p>
        </w:tc>
        <w:tc>
          <w:tcPr>
            <w:tcW w:type="dxa" w:w="5814"/>
          </w:tcPr>
          <w:p>
            <w:pPr>
              <w:pStyle w:val="null3"/>
              <w:jc w:val="left"/>
            </w:pPr>
            <w:r>
              <w:rPr>
                <w:rFonts w:ascii="仿宋_GB2312" w:hAnsi="仿宋_GB2312" w:cs="仿宋_GB2312" w:eastAsia="仿宋_GB2312"/>
                <w:sz w:val="24"/>
                <w:shd w:fill="FFFFFF" w:val="clear"/>
              </w:rPr>
              <w:t>满双月，体重</w:t>
            </w:r>
            <w:r>
              <w:rPr>
                <w:rFonts w:ascii="仿宋_GB2312" w:hAnsi="仿宋_GB2312" w:cs="仿宋_GB2312" w:eastAsia="仿宋_GB2312"/>
                <w:sz w:val="24"/>
                <w:shd w:fill="FFFFFF" w:val="clear"/>
              </w:rPr>
              <w:t>≥20公斤/头；体格健壮、无疫病、无残</w:t>
            </w:r>
            <w:r>
              <w:rPr>
                <w:rFonts w:ascii="仿宋_GB2312" w:hAnsi="仿宋_GB2312" w:cs="仿宋_GB2312" w:eastAsia="仿宋_GB2312"/>
                <w:sz w:val="24"/>
                <w:shd w:fill="FFFFFF" w:val="clear"/>
              </w:rPr>
              <w:t>疾；提供检疫合格证</w:t>
            </w:r>
            <w:r>
              <w:rPr>
                <w:rFonts w:ascii="仿宋_GB2312" w:hAnsi="仿宋_GB2312" w:cs="仿宋_GB2312" w:eastAsia="仿宋_GB2312"/>
                <w:sz w:val="24"/>
                <w:shd w:fill="FFFFFF" w:val="clear"/>
              </w:rPr>
              <w:t>明，要随货同行，证物相符，杂交优</w:t>
            </w:r>
            <w:r>
              <w:rPr>
                <w:rFonts w:ascii="仿宋_GB2312" w:hAnsi="仿宋_GB2312" w:cs="仿宋_GB2312" w:eastAsia="仿宋_GB2312"/>
                <w:sz w:val="24"/>
                <w:shd w:fill="FFFFFF" w:val="clear"/>
              </w:rPr>
              <w:t>良品种，适应本地养殖环境，成活率</w:t>
            </w:r>
            <w:r>
              <w:rPr>
                <w:rFonts w:ascii="仿宋_GB2312" w:hAnsi="仿宋_GB2312" w:cs="仿宋_GB2312" w:eastAsia="仿宋_GB2312"/>
                <w:sz w:val="24"/>
                <w:shd w:fill="FFFFFF" w:val="clear"/>
              </w:rPr>
              <w:t>≥95%。</w:t>
            </w:r>
          </w:p>
        </w:tc>
      </w:tr>
    </w:tbl>
    <w:p>
      <w:pPr>
        <w:pStyle w:val="null3"/>
        <w:jc w:val="left"/>
      </w:pPr>
      <w:r>
        <w:rPr>
          <w:rFonts w:ascii="仿宋_GB2312" w:hAnsi="仿宋_GB2312" w:cs="仿宋_GB2312" w:eastAsia="仿宋_GB2312"/>
        </w:rPr>
        <w:t>标的名称：土杂鸡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土杂鸡</w:t>
            </w:r>
          </w:p>
        </w:tc>
        <w:tc>
          <w:tcPr>
            <w:tcW w:type="dxa" w:w="5814"/>
          </w:tcPr>
          <w:p>
            <w:pPr>
              <w:pStyle w:val="null3"/>
              <w:jc w:val="left"/>
            </w:pPr>
            <w:r>
              <w:rPr>
                <w:rFonts w:ascii="仿宋_GB2312" w:hAnsi="仿宋_GB2312" w:cs="仿宋_GB2312" w:eastAsia="仿宋_GB2312"/>
                <w:sz w:val="24"/>
                <w:shd w:fill="FFFFFF" w:val="clear"/>
              </w:rPr>
              <w:t>体重</w:t>
            </w:r>
            <w:r>
              <w:rPr>
                <w:rFonts w:ascii="仿宋_GB2312" w:hAnsi="仿宋_GB2312" w:cs="仿宋_GB2312" w:eastAsia="仿宋_GB2312"/>
                <w:sz w:val="24"/>
                <w:shd w:fill="FFFFFF" w:val="clear"/>
              </w:rPr>
              <w:t>≥1公斤/只；本地土杂鸡品种，精神活跃、无呼吸道疾病、无寄生虫，健康达标，适应散养模式，成活率≥95%。</w:t>
            </w:r>
          </w:p>
        </w:tc>
      </w:tr>
    </w:tbl>
    <w:p>
      <w:pPr>
        <w:pStyle w:val="null3"/>
        <w:jc w:val="left"/>
      </w:pPr>
      <w:r>
        <w:rPr>
          <w:rFonts w:ascii="仿宋_GB2312" w:hAnsi="仿宋_GB2312" w:cs="仿宋_GB2312" w:eastAsia="仿宋_GB2312"/>
        </w:rPr>
        <w:t>标的名称：兔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兔</w:t>
            </w:r>
          </w:p>
        </w:tc>
        <w:tc>
          <w:tcPr>
            <w:tcW w:type="dxa" w:w="5814"/>
          </w:tcPr>
          <w:p>
            <w:pPr>
              <w:pStyle w:val="null3"/>
              <w:jc w:val="left"/>
            </w:pPr>
            <w:r>
              <w:rPr>
                <w:rFonts w:ascii="仿宋_GB2312" w:hAnsi="仿宋_GB2312" w:cs="仿宋_GB2312" w:eastAsia="仿宋_GB2312"/>
                <w:sz w:val="24"/>
                <w:shd w:fill="FFFFFF" w:val="clear"/>
              </w:rPr>
              <w:t>体重</w:t>
            </w:r>
            <w:r>
              <w:rPr>
                <w:rFonts w:ascii="仿宋_GB2312" w:hAnsi="仿宋_GB2312" w:cs="仿宋_GB2312" w:eastAsia="仿宋_GB2312"/>
                <w:sz w:val="24"/>
                <w:shd w:fill="FFFFFF" w:val="clear"/>
              </w:rPr>
              <w:t>≥0.5公斤/只；肉用品种，体质健壮、无皮肤病、无传染病，适应本地养殖环境，成活率≥95%。</w:t>
            </w:r>
          </w:p>
        </w:tc>
      </w:tr>
    </w:tbl>
    <w:p>
      <w:pPr>
        <w:pStyle w:val="null3"/>
        <w:jc w:val="left"/>
      </w:pPr>
      <w:r>
        <w:rPr>
          <w:rFonts w:ascii="仿宋_GB2312" w:hAnsi="仿宋_GB2312" w:cs="仿宋_GB2312" w:eastAsia="仿宋_GB2312"/>
        </w:rPr>
        <w:t>标的名称：牛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牛</w:t>
            </w:r>
          </w:p>
        </w:tc>
        <w:tc>
          <w:tcPr>
            <w:tcW w:type="dxa" w:w="5814"/>
          </w:tcPr>
          <w:p>
            <w:pPr>
              <w:pStyle w:val="null3"/>
              <w:jc w:val="left"/>
            </w:pPr>
            <w:r>
              <w:rPr>
                <w:rFonts w:ascii="仿宋_GB2312" w:hAnsi="仿宋_GB2312" w:cs="仿宋_GB2312" w:eastAsia="仿宋_GB2312"/>
                <w:sz w:val="24"/>
                <w:shd w:fill="FFFFFF" w:val="clear"/>
              </w:rPr>
              <w:t>1-2岁，体重≥150公斤/头；优质杂交肉牛，健康无病，提供官方动物检疫合</w:t>
            </w:r>
            <w:r>
              <w:rPr>
                <w:rFonts w:ascii="仿宋_GB2312" w:hAnsi="仿宋_GB2312" w:cs="仿宋_GB2312" w:eastAsia="仿宋_GB2312"/>
                <w:sz w:val="24"/>
                <w:shd w:fill="FFFFFF" w:val="clear"/>
              </w:rPr>
              <w:t>格证明，要随货同行，证物相符，适应</w:t>
            </w:r>
            <w:r>
              <w:rPr>
                <w:rFonts w:ascii="仿宋_GB2312" w:hAnsi="仿宋_GB2312" w:cs="仿宋_GB2312" w:eastAsia="仿宋_GB2312"/>
                <w:sz w:val="24"/>
                <w:shd w:fill="FFFFFF" w:val="clear"/>
              </w:rPr>
              <w:t>山区养殖，成活率</w:t>
            </w:r>
            <w:r>
              <w:rPr>
                <w:rFonts w:ascii="仿宋_GB2312" w:hAnsi="仿宋_GB2312" w:cs="仿宋_GB2312" w:eastAsia="仿宋_GB2312"/>
                <w:sz w:val="24"/>
                <w:shd w:fill="FFFFFF" w:val="clear"/>
              </w:rPr>
              <w:t>≥95%。</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售后服务与培训</w:t>
            </w:r>
          </w:p>
        </w:tc>
        <w:tc>
          <w:tcPr>
            <w:tcW w:type="dxa" w:w="5814"/>
          </w:tcPr>
          <w:p>
            <w:pPr>
              <w:pStyle w:val="null3"/>
              <w:jc w:val="left"/>
            </w:pPr>
            <w:r>
              <w:rPr>
                <w:rFonts w:ascii="仿宋_GB2312" w:hAnsi="仿宋_GB2312" w:cs="仿宋_GB2312" w:eastAsia="仿宋_GB2312"/>
                <w:sz w:val="21"/>
              </w:rPr>
              <w:t>①中标人在交货同时提供7×24 小时固定的技术人员姓名和联系方式跟招标人对接售后事宜，根据情况提供现场或远程技术指导，及时处理在养殖过程中发生的疾病和突发事件。②对相关人员提供必要的使用培训、注意事项讲解。</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1、投标人针对本项目提供的实施方案应包含：①货物质量保障；②运输方案；③应急措施；④供货进度安排；⑤畜禽疾病预防措施。</w:t>
            </w:r>
          </w:p>
          <w:p>
            <w:pPr>
              <w:pStyle w:val="null3"/>
              <w:jc w:val="left"/>
            </w:pPr>
            <w:r>
              <w:rPr>
                <w:rFonts w:ascii="仿宋_GB2312" w:hAnsi="仿宋_GB2312" w:cs="仿宋_GB2312" w:eastAsia="仿宋_GB2312"/>
              </w:rPr>
              <w:t>2、投标人针对本项目提供的售后服务方案应包含：①售后人员配置；②售后服务响应时间及处置流程；③养殖技术培训方案。</w:t>
            </w:r>
          </w:p>
          <w:p>
            <w:pPr>
              <w:pStyle w:val="null3"/>
              <w:jc w:val="left"/>
            </w:pPr>
            <w:r>
              <w:rPr>
                <w:rFonts w:ascii="仿宋_GB2312" w:hAnsi="仿宋_GB2312" w:cs="仿宋_GB2312" w:eastAsia="仿宋_GB2312"/>
              </w:rPr>
              <w:t>3、履约能力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1、合同签订后，达到付款条件起10日内，支付合同总金额的20.00%</w:t>
            </w:r>
          </w:p>
          <w:p>
            <w:pPr>
              <w:pStyle w:val="null3"/>
              <w:jc w:val="left"/>
            </w:pPr>
            <w:r>
              <w:rPr>
                <w:rFonts w:ascii="仿宋_GB2312" w:hAnsi="仿宋_GB2312" w:cs="仿宋_GB2312" w:eastAsia="仿宋_GB2312"/>
              </w:rPr>
              <w:t>2、由投标人提供合格的牲畜，负责发放给养殖户并保证验收成活，中标人出具合格有效完整的完税发票及凭证资料进行支付结算，达到付款条件起10日内，支付合同总金额的80.00%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严格按照2.6.6.履约验收方案执行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自项目整体验收合格之日起 3 个月内，质保期内因畜禽、幼畜、雏苗自身疫病、体质等非人为因素造成非正常死亡，由中标供应商无条件免费补苗替换，确保约定成活率标准。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①甲方违约责任：甲方必须遵守本合同并执行合同中的各项规定，保证本合同的正常履行；如因甲方原因导致变更、中止或者终止本合同的，甲方应当依照本合同约定对乙方受到的损失予以赔偿或者补偿。 ②乙方违约责任：乙方必须遵守本合同并执行合同中的各项规定，保证本合同的正常履行；如因乙方工作人员在履行职务过程中的疏忽、失职、过错等故意或者过失原因给甲方造成损失或侵害，包括但不限于甲方本身的财产损失、由此而导致的甲方对任何第三方的法律责任等，乙方对此均应承担全部的赔偿责任；乙方偿付的违约金不足以弥补甲方损失的，还应按甲方损失尚未弥补的部分，支付赔偿金给甲方。 ③争议解决办法：合同履行期间,若双方发生争议，可协商或由有关部门调解解决，协商或调解不成的，由当事人依法维护其合法权益，并由合同履行地人民法院裁定。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采购文件中所列明的行业政策法规、技术标准、规范等可能出现过期、废除、引用错误等情形。如出现以上情形的，以国家或有关部门最新行业政策法规、技术标准、规范为准，均不影响采购文件、采购活动的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“技术、服务及其他要求”均可</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并进行电子签章） 银行、保险、石油石化、电力、电信行业由分机构参与投标的均视为具有独立承担民事责任的能力，不得因其为负责人形式而认定不符合《中华人民共和国政府采购法》第二十二条第一款规定。</w:t>
            </w:r>
          </w:p>
        </w:tc>
        <w:tc>
          <w:tcPr>
            <w:tcW w:type="dxa" w:w="1661"/>
          </w:tcPr>
          <w:p>
            <w:pPr>
              <w:pStyle w:val="null3"/>
              <w:jc w:val="left"/>
            </w:pPr>
            <w:r>
              <w:rPr>
                <w:rFonts w:ascii="仿宋_GB2312" w:hAnsi="仿宋_GB2312" w:cs="仿宋_GB2312" w:eastAsia="仿宋_GB2312"/>
              </w:rPr>
              <w:t>响应文件封面,具有独立承担民事责任能力的证明材料.docx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止响应文件递交截止日一年内银行出具的资信证明；④成立不足一年的法人或者组织以及非营利性单位或其他机关事业单位提供内部财务制度；⑤也可提供具有健全的财务会计制度的承诺函原件；（①-④复印件并进行电子签章；⑤承诺函格式自拟并进行电子签章。以上五项提供任意一项即可）</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投标人应具有国家行政主管部门颁发且在有效期内的《动物防疫条件合格证》</w:t>
            </w:r>
          </w:p>
        </w:tc>
        <w:tc>
          <w:tcPr>
            <w:tcW w:type="dxa" w:w="3322"/>
          </w:tcPr>
          <w:p>
            <w:pPr>
              <w:pStyle w:val="null3"/>
              <w:jc w:val="left"/>
            </w:pPr>
            <w:r>
              <w:rPr>
                <w:rFonts w:ascii="仿宋_GB2312" w:hAnsi="仿宋_GB2312" w:cs="仿宋_GB2312" w:eastAsia="仿宋_GB2312"/>
              </w:rPr>
              <w:t>投标人应具有国家行政主管部门颁发且在有效期内的《动物防疫条件合格证》，投标人需在项目电子化交易系统中按要求上传相应证明材料并进行电子签章。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采购文件中的明确要求进行单独响应或提供证明材料或承诺的实质性要求。 供应商在《技术、服务及其他要求应答表》中须对采购文件第3章“3.1.采购内容”、“3.2.技术要求”、“3.3服务要求”、“3.4其他要求”中的全部内容响应，并进行电子签章。要求了提供证明材料的，须按要求在《技术、服务及其他要求应答表》中逐一提供。</w:t>
            </w:r>
          </w:p>
        </w:tc>
        <w:tc>
          <w:tcPr>
            <w:tcW w:type="dxa" w:w="1661"/>
          </w:tcPr>
          <w:p>
            <w:pPr>
              <w:pStyle w:val="null3"/>
              <w:jc w:val="left"/>
            </w:pPr>
            <w:r>
              <w:rPr>
                <w:rFonts w:ascii="仿宋_GB2312" w:hAnsi="仿宋_GB2312" w:cs="仿宋_GB2312" w:eastAsia="仿宋_GB2312"/>
              </w:rPr>
              <w:t>响应文件封面,其他供应商认为需要提供的文件和资料.docx,技术、服务及其他要求应答表.docx,知识产权声明函.docx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综合评分，实施方案包含：①货物质量保障，得8分；②运输方案，得8分；③应急措施，得8分；④供货进度安排，得8分；⑤畜禽疾病预防措施，得8分。本项共40分，未提供不得分。 前述方案①②③④⑤项中，每项存在以下缺陷或错误情形之一的扣2分（注：每项同样缺陷或错误不重复扣分），直至扣完该小项分值8分为止。 注：缺陷或错误是指：1.内容交叉混乱或逻辑错误；2.方案复制评分因素提纲内容或仅有框架或标题或无正文内容；3.内容与本项目需求无关；4.方案实施地点区域错误。</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评审细则及标准中要求供应商提供的佐证资料及方案等.docx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根据投标人针对本项目提供的售后服务方案进行综合评分，售后服务方案包含：①售后人员配置，得8分；②售后服务响应时间及处置流程，得8分；③养殖技术培训方案，得8分。本项共24分，未提供不得分。 前述方案①②③项中，每项存在以下缺陷或错误情形之一的扣 2分（注：每项同样缺陷或错误不重复扣分），直至扣完该小项分值8分为止。 注：缺陷或错误是指：1.内容交叉混乱或逻辑错误；2.方案复制评分因素提纲内容或仅有框架或标题或无正文内容；3.内容与本项目需求无关；4.方案实施地点区域错误。</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评审细则及标准中要求供应商提供的佐证资料及方案等.docx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自2023年 1 月 1 日至今（以合同签订时间为准），每提供一个类似业绩得3分，本项最多得6分。 注：1.提供合同或中标(成交)通知书复印件并加盖电子签章；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p>
            <w:pPr>
              <w:pStyle w:val="null3"/>
              <w:jc w:val="left"/>
            </w:pPr>
            <w:r>
              <w:rPr>
                <w:rFonts w:ascii="仿宋_GB2312" w:hAnsi="仿宋_GB2312" w:cs="仿宋_GB2312" w:eastAsia="仿宋_GB2312"/>
              </w:rPr>
              <w:t>评审细则及标准中要求供应商提供的佐证资料及方案等.docx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详见附件：知识产权声明函.docx</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详见附件：评审细则及标准中要求供应商提供的佐证资料及方案等.docx</w:t>
      </w:r>
    </w:p>
    <w:p>
      <w:pPr>
        <w:pStyle w:val="null3"/>
        <w:ind w:firstLine="960"/>
        <w:jc w:val="left"/>
      </w:pPr>
      <w:r>
        <w:rPr>
          <w:rFonts w:ascii="仿宋_GB2312" w:hAnsi="仿宋_GB2312" w:cs="仿宋_GB2312" w:eastAsia="仿宋_GB2312"/>
        </w:rPr>
        <w:t>详见附件：其他供应商认为需要提供的文件和资料.docx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