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版本号：N513327202500007820250817001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集体牧场扩建项目（牦牛采购）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N5133272025000078</w:t>
      </w:r>
    </w:p>
    <w:p>
      <w:pPr>
        <w:pStyle w:val="null3"/>
        <w:jc w:val="left"/>
        <w:outlineLvl w:val="2"/>
      </w:pPr>
      <w:r>
        <w:rPr>
          <w:rFonts w:ascii="仿宋_GB2312" w:hAnsi="仿宋_GB2312" w:cs="仿宋_GB2312" w:eastAsia="仿宋_GB2312"/>
          <w:sz w:val="28"/>
          <w:b/>
        </w:rPr>
        <w:t>炉霍县宗塔乡人民政府</w:t>
      </w:r>
    </w:p>
    <w:p>
      <w:pPr>
        <w:pStyle w:val="null3"/>
        <w:jc w:val="center"/>
        <w:outlineLvl w:val="2"/>
      </w:pPr>
      <w:r>
        <w:rPr>
          <w:rFonts w:ascii="仿宋_GB2312" w:hAnsi="仿宋_GB2312" w:cs="仿宋_GB2312" w:eastAsia="仿宋_GB2312"/>
          <w:sz w:val="28"/>
          <w:b/>
        </w:rPr>
        <w:t>四川盛世鼎发工程项目管理有限公司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四川盛世鼎发工程项目管理有限公司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炉霍县宗塔乡人民政府</w:t>
      </w:r>
      <w:r>
        <w:rPr>
          <w:rFonts w:ascii="仿宋_GB2312" w:hAnsi="仿宋_GB2312" w:cs="仿宋_GB2312" w:eastAsia="仿宋_GB2312"/>
        </w:rPr>
        <w:t xml:space="preserve"> 委托，拟对 </w:t>
      </w:r>
      <w:r>
        <w:rPr>
          <w:rFonts w:ascii="仿宋_GB2312" w:hAnsi="仿宋_GB2312" w:cs="仿宋_GB2312" w:eastAsia="仿宋_GB2312"/>
        </w:rPr>
        <w:t>集体牧场扩建项目（牦牛采购）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甘孜藏族自治州炉霍县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N5133272025000078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集体牧场扩建项目（牦牛采购）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（一）项目名称：宗塔乡集体牧场扩建项目（牦牛采购） （二）预算金额： 1000000.00元 （三）项目概况：购买品种牦母牛36头；购买品种牦公牛80头。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本次政府采购活动前3年来，投标人及其法定代表人（主要负责人）无行贿犯罪记录。（描述：参加本次政府采购活动前3年来，投标人及其法定代表人（主要负责人）无行贿犯罪记录，提供承诺函（格式自拟）。）</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炉霍县宗塔乡人民政府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四川省甘孜州炉霍县宗塔乡人民政府</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08368855200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四川盛世鼎发工程项目管理有限公司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成都市青羊区鼓楼南街117号世界贸易中心A座2206号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028-67387618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代理服务费收费标准：参照《招标代理服务收费管理暂行办法》(计价格(2002)1980号)文件规定标准收取。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炉霍县宗塔乡人民政府</w:t>
      </w:r>
      <w:r>
        <w:rPr>
          <w:rFonts w:ascii="仿宋_GB2312" w:hAnsi="仿宋_GB2312" w:cs="仿宋_GB2312" w:eastAsia="仿宋_GB2312"/>
        </w:rPr>
        <w:t xml:space="preserve"> 和 </w:t>
      </w:r>
      <w:r>
        <w:rPr>
          <w:rFonts w:ascii="仿宋_GB2312" w:hAnsi="仿宋_GB2312" w:cs="仿宋_GB2312" w:eastAsia="仿宋_GB2312"/>
        </w:rPr>
        <w:t>四川盛世鼎发工程项目管理有限公司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炉霍县宗塔乡人民政府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四川盛世鼎发工程项目管理有限公司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满足招标文件要求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满足招标文件要求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满足招标文件要求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炉霍县宗塔乡人民政府</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四川盛世鼎发工程项目管理有限公司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四川盛世鼎发工程项目管理有限公司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联系电话：08368855200</w:t>
      </w:r>
    </w:p>
    <w:p>
      <w:pPr>
        <w:pStyle w:val="null3"/>
        <w:jc w:val="left"/>
      </w:pPr>
      <w:r>
        <w:rPr>
          <w:rFonts w:ascii="仿宋_GB2312" w:hAnsi="仿宋_GB2312" w:cs="仿宋_GB2312" w:eastAsia="仿宋_GB2312"/>
        </w:rPr>
        <w:t>地址：四川省甘孜州炉霍县宗塔乡人民政府</w:t>
      </w:r>
    </w:p>
    <w:p>
      <w:pPr>
        <w:pStyle w:val="null3"/>
        <w:jc w:val="left"/>
      </w:pPr>
      <w:r>
        <w:rPr>
          <w:rFonts w:ascii="仿宋_GB2312" w:hAnsi="仿宋_GB2312" w:cs="仿宋_GB2312" w:eastAsia="仿宋_GB2312"/>
        </w:rPr>
        <w:t>邮编：626500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联系人：邓先生</w:t>
      </w:r>
    </w:p>
    <w:p>
      <w:pPr>
        <w:pStyle w:val="null3"/>
        <w:jc w:val="left"/>
      </w:pPr>
      <w:r>
        <w:rPr>
          <w:rFonts w:ascii="仿宋_GB2312" w:hAnsi="仿宋_GB2312" w:cs="仿宋_GB2312" w:eastAsia="仿宋_GB2312"/>
        </w:rPr>
        <w:t>联系电话：028-67387618</w:t>
      </w:r>
    </w:p>
    <w:p>
      <w:pPr>
        <w:pStyle w:val="null3"/>
        <w:jc w:val="left"/>
      </w:pPr>
      <w:r>
        <w:rPr>
          <w:rFonts w:ascii="仿宋_GB2312" w:hAnsi="仿宋_GB2312" w:cs="仿宋_GB2312" w:eastAsia="仿宋_GB2312"/>
        </w:rPr>
        <w:t>地址：成都市青羊区鼓楼南街117号世界贸易中心A座2206号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A07031902 牛</w:t>
            </w:r>
          </w:p>
        </w:tc>
        <w:tc>
          <w:tcPr>
            <w:tcW w:type="dxa" w:w="821"/>
          </w:tcPr>
          <w:p>
            <w:pPr>
              <w:pStyle w:val="null3"/>
              <w:jc w:val="left"/>
            </w:pPr>
            <w:r>
              <w:rPr>
                <w:rFonts w:ascii="仿宋_GB2312" w:hAnsi="仿宋_GB2312" w:cs="仿宋_GB2312" w:eastAsia="仿宋_GB2312"/>
              </w:rPr>
              <w:t>品种牦母牛</w:t>
            </w:r>
          </w:p>
        </w:tc>
        <w:tc>
          <w:tcPr>
            <w:tcW w:type="dxa" w:w="821"/>
          </w:tcPr>
          <w:p>
            <w:pPr>
              <w:pStyle w:val="null3"/>
              <w:jc w:val="right"/>
            </w:pPr>
            <w:r>
              <w:rPr>
                <w:rFonts w:ascii="仿宋_GB2312" w:hAnsi="仿宋_GB2312" w:cs="仿宋_GB2312" w:eastAsia="仿宋_GB2312"/>
              </w:rPr>
              <w:t>36.00（个）</w:t>
            </w:r>
          </w:p>
        </w:tc>
        <w:tc>
          <w:tcPr>
            <w:tcW w:type="dxa" w:w="821"/>
          </w:tcPr>
          <w:p>
            <w:pPr>
              <w:pStyle w:val="null3"/>
              <w:jc w:val="right"/>
            </w:pPr>
            <w:r>
              <w:rPr>
                <w:rFonts w:ascii="仿宋_GB2312" w:hAnsi="仿宋_GB2312" w:cs="仿宋_GB2312" w:eastAsia="仿宋_GB2312"/>
              </w:rPr>
              <w:t>288,000.00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A07031902 牛</w:t>
            </w:r>
          </w:p>
        </w:tc>
        <w:tc>
          <w:tcPr>
            <w:tcW w:type="dxa" w:w="821"/>
          </w:tcPr>
          <w:p>
            <w:pPr>
              <w:pStyle w:val="null3"/>
              <w:jc w:val="left"/>
            </w:pPr>
            <w:r>
              <w:rPr>
                <w:rFonts w:ascii="仿宋_GB2312" w:hAnsi="仿宋_GB2312" w:cs="仿宋_GB2312" w:eastAsia="仿宋_GB2312"/>
              </w:rPr>
              <w:t>品种牦公牛</w:t>
            </w:r>
          </w:p>
        </w:tc>
        <w:tc>
          <w:tcPr>
            <w:tcW w:type="dxa" w:w="821"/>
          </w:tcPr>
          <w:p>
            <w:pPr>
              <w:pStyle w:val="null3"/>
              <w:jc w:val="right"/>
            </w:pPr>
            <w:r>
              <w:rPr>
                <w:rFonts w:ascii="仿宋_GB2312" w:hAnsi="仿宋_GB2312" w:cs="仿宋_GB2312" w:eastAsia="仿宋_GB2312"/>
              </w:rPr>
              <w:t>80.00（个）</w:t>
            </w:r>
          </w:p>
        </w:tc>
        <w:tc>
          <w:tcPr>
            <w:tcW w:type="dxa" w:w="821"/>
          </w:tcPr>
          <w:p>
            <w:pPr>
              <w:pStyle w:val="null3"/>
              <w:jc w:val="right"/>
            </w:pPr>
            <w:r>
              <w:rPr>
                <w:rFonts w:ascii="仿宋_GB2312" w:hAnsi="仿宋_GB2312" w:cs="仿宋_GB2312" w:eastAsia="仿宋_GB2312"/>
              </w:rPr>
              <w:t>712,000.00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品种牦母牛</w:t>
            </w:r>
          </w:p>
        </w:tc>
        <w:tc>
          <w:tcPr>
            <w:tcW w:type="dxa" w:w="1138"/>
          </w:tcPr>
          <w:p>
            <w:pPr>
              <w:pStyle w:val="null3"/>
              <w:jc w:val="center"/>
            </w:pPr>
            <w:r>
              <w:rPr>
                <w:rFonts w:ascii="仿宋_GB2312" w:hAnsi="仿宋_GB2312" w:cs="仿宋_GB2312" w:eastAsia="仿宋_GB2312"/>
              </w:rPr>
              <w:t>36.00（个）</w:t>
            </w:r>
          </w:p>
        </w:tc>
        <w:tc>
          <w:tcPr>
            <w:tcW w:type="dxa" w:w="1365"/>
          </w:tcPr>
          <w:p>
            <w:pPr>
              <w:pStyle w:val="null3"/>
              <w:jc w:val="center"/>
            </w:pPr>
            <w:r>
              <w:rPr>
                <w:rFonts w:ascii="仿宋_GB2312" w:hAnsi="仿宋_GB2312" w:cs="仿宋_GB2312" w:eastAsia="仿宋_GB2312"/>
              </w:rPr>
              <w:t>288,000.00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品种牦公牛</w:t>
            </w:r>
          </w:p>
        </w:tc>
        <w:tc>
          <w:tcPr>
            <w:tcW w:type="dxa" w:w="1138"/>
          </w:tcPr>
          <w:p>
            <w:pPr>
              <w:pStyle w:val="null3"/>
              <w:jc w:val="center"/>
            </w:pPr>
            <w:r>
              <w:rPr>
                <w:rFonts w:ascii="仿宋_GB2312" w:hAnsi="仿宋_GB2312" w:cs="仿宋_GB2312" w:eastAsia="仿宋_GB2312"/>
              </w:rPr>
              <w:t>80.00（个）</w:t>
            </w:r>
          </w:p>
        </w:tc>
        <w:tc>
          <w:tcPr>
            <w:tcW w:type="dxa" w:w="1365"/>
          </w:tcPr>
          <w:p>
            <w:pPr>
              <w:pStyle w:val="null3"/>
              <w:jc w:val="center"/>
            </w:pPr>
            <w:r>
              <w:rPr>
                <w:rFonts w:ascii="仿宋_GB2312" w:hAnsi="仿宋_GB2312" w:cs="仿宋_GB2312" w:eastAsia="仿宋_GB2312"/>
              </w:rPr>
              <w:t>712,000.00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A07031902 牛</w:t>
            </w:r>
          </w:p>
        </w:tc>
        <w:tc>
          <w:tcPr>
            <w:tcW w:type="dxa" w:w="2492"/>
          </w:tcPr>
          <w:p>
            <w:pPr>
              <w:pStyle w:val="null3"/>
              <w:jc w:val="left"/>
            </w:pPr>
            <w:r>
              <w:rPr>
                <w:rFonts w:ascii="仿宋_GB2312" w:hAnsi="仿宋_GB2312" w:cs="仿宋_GB2312" w:eastAsia="仿宋_GB2312"/>
              </w:rPr>
              <w:t>品种牦公牛</w:t>
            </w:r>
          </w:p>
        </w:tc>
        <w:tc>
          <w:tcPr>
            <w:tcW w:type="dxa" w:w="2492"/>
          </w:tcPr>
          <w:p>
            <w:pPr>
              <w:pStyle w:val="null3"/>
              <w:jc w:val="left"/>
            </w:pPr>
            <w:r>
              <w:rPr>
                <w:rFonts w:ascii="仿宋_GB2312" w:hAnsi="仿宋_GB2312" w:cs="仿宋_GB2312" w:eastAsia="仿宋_GB2312"/>
              </w:rPr>
              <w:t>品种牦公牛</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标的名称：品种牦母牛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年岁要求</w:t>
            </w: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年岁</w:t>
            </w:r>
            <w:r>
              <w:rPr>
                <w:rFonts w:ascii="仿宋_GB2312" w:hAnsi="仿宋_GB2312" w:cs="仿宋_GB2312" w:eastAsia="仿宋_GB2312"/>
                <w:sz w:val="24"/>
              </w:rPr>
              <w:t>:3</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周岁；</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其他技术要求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体重</w:t>
            </w:r>
            <w:r>
              <w:rPr>
                <w:rFonts w:ascii="仿宋_GB2312" w:hAnsi="仿宋_GB2312" w:cs="仿宋_GB2312" w:eastAsia="仿宋_GB2312"/>
                <w:sz w:val="24"/>
              </w:rPr>
              <w:t>≥400斤；</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前胸发达，体躯较长，额宽平，额毛丛生卷曲。</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牛角对称无损害，颈较薄。</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背腰平直，腹大不下垂，尻部较窄略倾斜，四肢较短，蹄较小，蹄质坚实。</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乳房发育良好，无外生殖系统疾病。</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能适应在海拔</w:t>
            </w:r>
            <w:r>
              <w:rPr>
                <w:rFonts w:ascii="仿宋_GB2312" w:hAnsi="仿宋_GB2312" w:cs="仿宋_GB2312" w:eastAsia="仿宋_GB2312"/>
                <w:sz w:val="24"/>
              </w:rPr>
              <w:t>3</w:t>
            </w:r>
            <w:r>
              <w:rPr>
                <w:rFonts w:ascii="仿宋_GB2312" w:hAnsi="仿宋_GB2312" w:cs="仿宋_GB2312" w:eastAsia="仿宋_GB2312"/>
                <w:sz w:val="24"/>
              </w:rPr>
              <w:t>6</w:t>
            </w:r>
            <w:r>
              <w:rPr>
                <w:rFonts w:ascii="仿宋_GB2312" w:hAnsi="仿宋_GB2312" w:cs="仿宋_GB2312" w:eastAsia="仿宋_GB2312"/>
                <w:sz w:val="24"/>
              </w:rPr>
              <w:t>00米以上高原地区生存。</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佩戴耳标，并能正常识读相关资料。</w:t>
            </w:r>
          </w:p>
        </w:tc>
      </w:tr>
    </w:tbl>
    <w:p>
      <w:pPr>
        <w:pStyle w:val="null3"/>
        <w:jc w:val="left"/>
      </w:pPr>
      <w:r>
        <w:rPr>
          <w:rFonts w:ascii="仿宋_GB2312" w:hAnsi="仿宋_GB2312" w:cs="仿宋_GB2312" w:eastAsia="仿宋_GB2312"/>
        </w:rPr>
        <w:t>标的名称：品种牦公牛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年岁要求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年岁：</w:t>
            </w:r>
            <w:r>
              <w:rPr>
                <w:rFonts w:ascii="仿宋_GB2312" w:hAnsi="仿宋_GB2312" w:cs="仿宋_GB2312" w:eastAsia="仿宋_GB2312"/>
                <w:sz w:val="24"/>
              </w:rPr>
              <w:t>3</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周岁</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其他技术要求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体重</w:t>
            </w:r>
            <w:r>
              <w:rPr>
                <w:rFonts w:ascii="仿宋_GB2312" w:hAnsi="仿宋_GB2312" w:cs="仿宋_GB2312" w:eastAsia="仿宋_GB2312"/>
                <w:sz w:val="24"/>
              </w:rPr>
              <w:t>≥400斤；</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额宽头较短，额毛丛生卷曲</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牛角对称无损害，颈粗短，耆甲高耸</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背腰平直，腹大不下垂，尻欠宽略斜，臀部丰满，四肢结实</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无外生殖系统疾病，爬跨反应明显</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能适应在海拔</w:t>
            </w:r>
            <w:r>
              <w:rPr>
                <w:rFonts w:ascii="仿宋_GB2312" w:hAnsi="仿宋_GB2312" w:cs="仿宋_GB2312" w:eastAsia="仿宋_GB2312"/>
                <w:sz w:val="24"/>
              </w:rPr>
              <w:t>3</w:t>
            </w:r>
            <w:r>
              <w:rPr>
                <w:rFonts w:ascii="仿宋_GB2312" w:hAnsi="仿宋_GB2312" w:cs="仿宋_GB2312" w:eastAsia="仿宋_GB2312"/>
                <w:sz w:val="24"/>
              </w:rPr>
              <w:t>6</w:t>
            </w:r>
            <w:r>
              <w:rPr>
                <w:rFonts w:ascii="仿宋_GB2312" w:hAnsi="仿宋_GB2312" w:cs="仿宋_GB2312" w:eastAsia="仿宋_GB2312"/>
                <w:sz w:val="24"/>
              </w:rPr>
              <w:t>00米以上高原地区生存</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佩戴耳标，并能正常识读相关资料</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sz w:val="24"/>
              </w:rPr>
              <w:t>1、为保障牦牛质量，每头已按照免疫程序实施免疫保障接种疫苗，供货时提供该批次牦牛免疫预防档案（至少包含牦牛口蹄疫病的免疫）和《动物防疫条件合格证》。</w:t>
            </w:r>
            <w:r>
              <w:rPr>
                <w:rFonts w:ascii="仿宋_GB2312" w:hAnsi="仿宋_GB2312" w:cs="仿宋_GB2312" w:eastAsia="仿宋_GB2312"/>
                <w:sz w:val="24"/>
                <w:b/>
              </w:rPr>
              <w:t>（单独提供承诺函并进行电子签章，格式自拟）</w:t>
            </w:r>
          </w:p>
          <w:p>
            <w:pPr>
              <w:pStyle w:val="null3"/>
              <w:jc w:val="both"/>
            </w:pPr>
            <w:r>
              <w:rPr>
                <w:rFonts w:ascii="仿宋_GB2312" w:hAnsi="仿宋_GB2312" w:cs="仿宋_GB2312" w:eastAsia="仿宋_GB2312"/>
                <w:sz w:val="24"/>
              </w:rPr>
              <w:t>2、牦牛无《动物防疫法》规定的动物疫病，检疫证齐全。投标人所提供的牦牛、服务均需符合国家有关质量标准，所供牦牛在21天隔离观察期内不发生重大动物传染病，如有发生视为该批牦牛验收不合格。</w:t>
            </w:r>
            <w:r>
              <w:rPr>
                <w:rFonts w:ascii="仿宋_GB2312" w:hAnsi="仿宋_GB2312" w:cs="仿宋_GB2312" w:eastAsia="仿宋_GB2312"/>
                <w:sz w:val="24"/>
                <w:b/>
              </w:rPr>
              <w:t>（单独提供承诺函并进行电子签章，格式自拟）</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、安全责任：交付前牦牛安全、运输安全由投标人负责，运输工具、押运人员在运输过程中的一切人身安全、财产安全、路途伤亡、损失由投标人承担。</w:t>
            </w:r>
            <w:r>
              <w:rPr>
                <w:rFonts w:ascii="仿宋_GB2312" w:hAnsi="仿宋_GB2312" w:cs="仿宋_GB2312" w:eastAsia="仿宋_GB2312"/>
                <w:sz w:val="24"/>
                <w:b/>
              </w:rPr>
              <w:t>（单独提供承诺函并进行电子签章，格式自拟）</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由采购人组织专业人员会同投标人依据提供的清单、合格证书及相关的质量标准资料共同验收；如有规格不符、资料不全或虚假等，由此带来的一切后果由投标人承担。送达的牦牛逐一过磅验收，体重不达标视为验收不合格，由投标人承担一切退换费用。</w:t>
            </w:r>
            <w:r>
              <w:rPr>
                <w:rFonts w:ascii="仿宋_GB2312" w:hAnsi="仿宋_GB2312" w:cs="仿宋_GB2312" w:eastAsia="仿宋_GB2312"/>
                <w:sz w:val="24"/>
                <w:b/>
              </w:rPr>
              <w:t>（单独提供承诺函并进行电子签章，格式自拟）</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both"/>
            </w:pPr>
            <w:r>
              <w:rPr>
                <w:rFonts w:ascii="仿宋_GB2312" w:hAnsi="仿宋_GB2312" w:cs="仿宋_GB2312" w:eastAsia="仿宋_GB2312"/>
                <w:sz w:val="24"/>
              </w:rPr>
              <w:t>1、交货验收完成之日起，投标人需委派</w:t>
            </w:r>
            <w:r>
              <w:rPr>
                <w:rFonts w:ascii="仿宋_GB2312" w:hAnsi="仿宋_GB2312" w:cs="仿宋_GB2312" w:eastAsia="仿宋_GB2312"/>
                <w:sz w:val="24"/>
              </w:rPr>
              <w:t>至少</w:t>
            </w:r>
            <w:r>
              <w:rPr>
                <w:rFonts w:ascii="仿宋_GB2312" w:hAnsi="仿宋_GB2312" w:cs="仿宋_GB2312" w:eastAsia="仿宋_GB2312"/>
                <w:sz w:val="24"/>
              </w:rPr>
              <w:t>1名</w:t>
            </w:r>
            <w:r>
              <w:rPr>
                <w:rFonts w:ascii="仿宋_GB2312" w:hAnsi="仿宋_GB2312" w:cs="仿宋_GB2312" w:eastAsia="仿宋_GB2312"/>
                <w:sz w:val="24"/>
              </w:rPr>
              <w:t>技术人员常驻采购人指定地点</w:t>
            </w:r>
            <w:r>
              <w:rPr>
                <w:rFonts w:ascii="仿宋_GB2312" w:hAnsi="仿宋_GB2312" w:cs="仿宋_GB2312" w:eastAsia="仿宋_GB2312"/>
                <w:sz w:val="24"/>
              </w:rPr>
              <w:t>（</w:t>
            </w:r>
            <w:r>
              <w:rPr>
                <w:rFonts w:ascii="仿宋_GB2312" w:hAnsi="仿宋_GB2312" w:cs="仿宋_GB2312" w:eastAsia="仿宋_GB2312"/>
                <w:sz w:val="24"/>
              </w:rPr>
              <w:t>宗塔乡集体牧场</w:t>
            </w:r>
            <w:r>
              <w:rPr>
                <w:rFonts w:ascii="仿宋_GB2312" w:hAnsi="仿宋_GB2312" w:cs="仿宋_GB2312" w:eastAsia="仿宋_GB2312"/>
                <w:sz w:val="24"/>
              </w:rPr>
              <w:t>）</w:t>
            </w:r>
            <w:r>
              <w:rPr>
                <w:rFonts w:ascii="仿宋_GB2312" w:hAnsi="仿宋_GB2312" w:cs="仿宋_GB2312" w:eastAsia="仿宋_GB2312"/>
                <w:sz w:val="24"/>
              </w:rPr>
              <w:t>2个月，并在此期间进行技术指导、开展养殖技术培训、驻场跟踪观察、处理发生的疾病并负责妥善医治。严格按照《动物防疫法》的相关规定和养殖要求进行技术指导。</w:t>
            </w:r>
          </w:p>
          <w:p>
            <w:pPr>
              <w:pStyle w:val="null3"/>
              <w:jc w:val="both"/>
            </w:pPr>
            <w:r>
              <w:rPr>
                <w:rFonts w:ascii="仿宋_GB2312" w:hAnsi="仿宋_GB2312" w:cs="仿宋_GB2312" w:eastAsia="仿宋_GB2312"/>
                <w:sz w:val="24"/>
              </w:rPr>
              <w:t>2、验收完成后若感染疾病，如出现非人为死亡或疾病，投标人应48小时内完成医治或更换健康的牦牛，并承担相应的费用，问题解决后48小时内，向采购人提交问题处理报告，说明问题种类、问题原因、问题解决中使用的方法及造成的损失等情况，并在完成服务后2天内提供所有的病历记录和病死牲畜去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4"/>
              </w:rPr>
              <w:t>1、报价要求：本报价是投标人全部完成本项目所有的内容的为包干报价，包括投标人履约过程中的采购费、配送费、培训费、售后服务费、交通费用、通讯费用、税金、风险等完成本项目所涉及的一切费用。采购人在项目结算时不再向投标人支付其他任何费用。如出现在报价估算错误等引起的损失由投标人自行承担。</w:t>
            </w:r>
            <w:r>
              <w:rPr>
                <w:rFonts w:ascii="仿宋_GB2312" w:hAnsi="仿宋_GB2312" w:cs="仿宋_GB2312" w:eastAsia="仿宋_GB2312"/>
                <w:sz w:val="24"/>
                <w:b/>
              </w:rPr>
              <w:t>（投标人单独提供承诺函并进行电子签章，格式自拟）</w:t>
            </w:r>
          </w:p>
          <w:p>
            <w:pPr>
              <w:pStyle w:val="null3"/>
              <w:jc w:val="both"/>
            </w:pPr>
            <w:r>
              <w:rPr>
                <w:rFonts w:ascii="仿宋_GB2312" w:hAnsi="仿宋_GB2312" w:cs="仿宋_GB2312" w:eastAsia="仿宋_GB2312"/>
                <w:sz w:val="24"/>
              </w:rPr>
              <w:t>2、国家或行业主管部门对投标人和采购产品的技术标准、质量标准和资格资质条件等有强制性规定的，必须符合其要求。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、项目实施方案编制要求：投标人针对本项目要求提供项目实施方案，方案内容包括但不限于：</w:t>
            </w:r>
            <w:r>
              <w:rPr>
                <w:rFonts w:ascii="仿宋_GB2312" w:hAnsi="仿宋_GB2312" w:cs="仿宋_GB2312" w:eastAsia="仿宋_GB2312"/>
                <w:sz w:val="24"/>
              </w:rPr>
              <w:t>①实施人员安排；②货源组织；③运输方案；④项目时间进度安排；⑤质量控制措施；⑥项目应急措施等。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、售后服务方案编制要求：投标人针对本项目要求提供售后服务方案，方案内容包括但不限于：</w:t>
            </w:r>
            <w:r>
              <w:rPr>
                <w:rFonts w:ascii="仿宋_GB2312" w:hAnsi="仿宋_GB2312" w:cs="仿宋_GB2312" w:eastAsia="仿宋_GB2312"/>
                <w:sz w:val="24"/>
              </w:rPr>
              <w:t>①售后服务内容及响应时间；②售后服务响应体系及保障措施；③养育培训方案；④退换货方案；⑤售后服务人员配置安排等。</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宗塔乡集体牧场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1、签订合同后，达到付款条件起10日内，支付合同总金额的50.00%</w:t>
            </w:r>
          </w:p>
          <w:p>
            <w:pPr>
              <w:pStyle w:val="null3"/>
              <w:jc w:val="left"/>
            </w:pPr>
            <w:r>
              <w:rPr>
                <w:rFonts w:ascii="仿宋_GB2312" w:hAnsi="仿宋_GB2312" w:cs="仿宋_GB2312" w:eastAsia="仿宋_GB2312"/>
              </w:rPr>
              <w:t>2、牦牛全部送到指定地点后，达到付款条件起10日内，支付合同总金额的30.00%</w:t>
            </w:r>
          </w:p>
          <w:p>
            <w:pPr>
              <w:pStyle w:val="null3"/>
              <w:jc w:val="left"/>
            </w:pPr>
            <w:r>
              <w:rPr>
                <w:rFonts w:ascii="仿宋_GB2312" w:hAnsi="仿宋_GB2312" w:cs="仿宋_GB2312" w:eastAsia="仿宋_GB2312"/>
              </w:rPr>
              <w:t>3、存活保障期满且服务质量达标后，达到付款条件起10日内，支付合同总金额的20.00%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严格按照《财政部关于进一步加强政府采购需求和履约验收管理的指导意见》(财库〔2016〕205号)文件及本项目要求的质量标准进行验收。符合国家相关规定，并按照相关技术要求进行开展，并完全满足采购需求。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（1）应保证所供货物是全新的、未经使用的，并完全符合国家及行业的规范、规定和有关法律法规、技术指标的要求，以及满足采购人就本项目提出的相关要求。 （2）售后质保：1年（自验收合格之日起计）（涉及其他行业标准的按相关行业标准执行）。 （3）供应商须指派专人负责与采购人联系售后服务事宜。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供应商必须遵守采购合同并执行合同中的各项规定，保证采购合同的正常履行。（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3）供应商必须遵守采购合同按时完成合同相关工作，若由于供应商原因导致合同迟延履行，供应商应承担采购合同中约定的违约金。（4）供应商应当遵守采购人的相关项目需求及相关要求及实质性条款，实施完成采购合同应当完全满足相关项目需求及相关要求及实质性条款，若供应商瑕疵履行采购合同，采购人有权向供应商要求赔偿，若造成相关损失的，采购人有权要求供应商承担所有赔偿责任。 （二）解决争议的方法：（1）因服务的质量问题发生争议，由采购人或其指定的第三方机构进行质量鉴定。服务符合标准的，鉴定费由采购人承担；服务不符合质量标准的，鉴定费由供应商承担。（2）合同履行期间，若双方发生争议，可协商或由有关部门调解解决，协商或调解不成的，向采购人住所地有管辖权的法院裁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参加本次政府采购活动前3年来，投标人及其法定代表人（主要负责人）无行贿犯罪记录。</w:t>
            </w:r>
          </w:p>
        </w:tc>
        <w:tc>
          <w:tcPr>
            <w:tcW w:type="dxa" w:w="3322"/>
          </w:tcPr>
          <w:p>
            <w:pPr>
              <w:pStyle w:val="null3"/>
              <w:jc w:val="left"/>
            </w:pPr>
            <w:r>
              <w:rPr>
                <w:rFonts w:ascii="仿宋_GB2312" w:hAnsi="仿宋_GB2312" w:cs="仿宋_GB2312" w:eastAsia="仿宋_GB2312"/>
              </w:rPr>
              <w:t>参加本次政府采购活动前3年来，投标人及其法定代表人（主要负责人）无行贿犯罪记录，提供承诺函（格式自拟）。</w:t>
            </w:r>
          </w:p>
        </w:tc>
        <w:tc>
          <w:tcPr>
            <w:tcW w:type="dxa" w:w="1910"/>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投标文件封面</w:t>
            </w:r>
          </w:p>
        </w:tc>
        <w:tc>
          <w:tcPr>
            <w:tcW w:type="dxa" w:w="3322"/>
          </w:tcPr>
          <w:p>
            <w:pPr>
              <w:pStyle w:val="null3"/>
              <w:jc w:val="left"/>
            </w:pPr>
            <w:r>
              <w:rPr>
                <w:rFonts w:ascii="仿宋_GB2312" w:hAnsi="仿宋_GB2312" w:cs="仿宋_GB2312" w:eastAsia="仿宋_GB2312"/>
              </w:rPr>
              <w:t>按招标文件要求提供响应文件封面</w:t>
            </w:r>
          </w:p>
        </w:tc>
        <w:tc>
          <w:tcPr>
            <w:tcW w:type="dxa" w:w="1910"/>
          </w:tcPr>
          <w:p>
            <w:pPr>
              <w:pStyle w:val="null3"/>
              <w:jc w:val="left"/>
            </w:pPr>
            <w:r>
              <w:rPr>
                <w:rFonts w:ascii="仿宋_GB2312" w:hAnsi="仿宋_GB2312" w:cs="仿宋_GB2312" w:eastAsia="仿宋_GB2312"/>
              </w:rPr>
              <w:t>投标文件封面</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服务要求要求应答</w:t>
            </w:r>
          </w:p>
        </w:tc>
        <w:tc>
          <w:tcPr>
            <w:tcW w:type="dxa" w:w="3322"/>
          </w:tcPr>
          <w:p>
            <w:pPr>
              <w:pStyle w:val="null3"/>
              <w:jc w:val="left"/>
            </w:pPr>
            <w:r>
              <w:rPr>
                <w:rFonts w:ascii="仿宋_GB2312" w:hAnsi="仿宋_GB2312" w:cs="仿宋_GB2312" w:eastAsia="仿宋_GB2312"/>
              </w:rPr>
              <w:t>按照招标文件服务要求逐项响应</w:t>
            </w:r>
          </w:p>
        </w:tc>
        <w:tc>
          <w:tcPr>
            <w:tcW w:type="dxa" w:w="1910"/>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投标产品的技术参数根据以下情况进行评分：完全符合招标文件3.2条技术参数要求的得16分；每有一项“▲”项技术参数负偏离每项扣2分（共2项），每有一项非“▲、★”项技术参数负偏离每项扣1分（共12项），扣完为止，但不视为投标文件无效。 注：1、★项参数为实质性要求，不允许负偏离，且不作为评审因素；2、如果招标文件中对技术支撑材料有要求的则按要求提供，否则对应条款将视为不满足，无要求的响应即视为满足。</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的实际情况制定的项目实施方案包括：①实施人员安排；②货源组织；③运输方案；④项目时间进度安排；⑤质量控制措施；⑥项目应急措施。以上6项内容完整且完全满足项目需求得30分，每缺一项扣5分，每有一项有缺陷扣2.5分，扣完为止，无方案不得分。 【注：缺陷是指方案存在不符合项目特征和特点、与项目无关的文字描述、方案中内容前后矛盾、涉及的规范及标准错误、地点区域错误、方案标题与实际内容不相符合、引用法律法规、标准等错误等情况】</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的实际情况制定的售后服务方案包括：①售后服务内容及响应时间；②售后服务响应体系及保障措施；③养育培训方案；④退换货方案；⑤售后服务人员配置安排。以上5项内容完整且完全满足项目需求得20分，每缺一项扣4分，每有一项有缺陷扣2分，扣完为止，无方案不得分。 【注：缺陷是指方案存在不符合项目特征和特点、与项目无关的文字描述、方案中内容前后矛盾、涉及的规范及标准错误、地点区域错误、方案标题与实际内容不相符合、引用法律法规、标准等错误等情况】</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投标人自2022年1月1日（含1日）以来至递交投标文件截止之日止，投标人提供一个类似项目业绩得4分，本项最多得4分，不提供不得分。 注：以合同签订时间为准，须提供相关业绩合同复印件加盖单位公章或扫描件，未按要求提供相关证明材料的不得分。若为联合体参与，联合体任意一方提供均认可。</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详见附件：履约能力</w:t>
      </w:r>
    </w:p>
    <w:p>
      <w:pPr>
        <w:pStyle w:val="null3"/>
        <w:ind w:firstLine="960"/>
        <w:jc w:val="left"/>
      </w:pPr>
      <w:r>
        <w:rPr>
          <w:rFonts w:ascii="仿宋_GB2312" w:hAnsi="仿宋_GB2312" w:cs="仿宋_GB2312" w:eastAsia="仿宋_GB2312"/>
        </w:rPr>
        <w:t>详见附件：售后服务方案</w:t>
      </w:r>
    </w:p>
    <w:p>
      <w:pPr>
        <w:pStyle w:val="null3"/>
        <w:ind w:firstLine="960"/>
        <w:jc w:val="left"/>
      </w:pPr>
      <w:r>
        <w:rPr>
          <w:rFonts w:ascii="仿宋_GB2312" w:hAnsi="仿宋_GB2312" w:cs="仿宋_GB2312" w:eastAsia="仿宋_GB2312"/>
        </w:rPr>
        <w:t>详见附件：项目实施方案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