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441881-2025-00996</w:t>
      </w:r>
    </w:p>
    <w:p>
      <w:pPr>
        <w:pStyle w:val="null3"/>
        <w:jc w:val="center"/>
        <w:outlineLvl w:val="3"/>
      </w:pPr>
      <w:r>
        <w:rPr>
          <w:sz w:val="24"/>
          <w:b/>
        </w:rPr>
        <w:t>采购项目编号：</w:t>
      </w:r>
      <w:r>
        <w:rPr>
          <w:sz w:val="24"/>
          <w:b/>
        </w:rPr>
        <w:t>HYGZ25XZ01C0604</w:t>
      </w:r>
    </w:p>
    <w:p>
      <w:pPr>
        <w:pStyle w:val="null3"/>
        <w:jc w:val="center"/>
        <w:outlineLvl w:val="3"/>
      </w:pPr>
      <w:r>
        <w:rPr>
          <w:sz w:val="24"/>
          <w:b/>
        </w:rPr>
        <w:t>项目名称：</w:t>
      </w:r>
      <w:r>
        <w:rPr>
          <w:sz w:val="24"/>
          <w:b/>
        </w:rPr>
        <w:t>英德市市场监督管理局2025年食用农产品快速检测服务采购项目（含试剂）</w:t>
      </w:r>
    </w:p>
    <w:p>
      <w:pPr>
        <w:pStyle w:val="null3"/>
        <w:jc w:val="center"/>
        <w:outlineLvl w:val="3"/>
      </w:pPr>
      <w:r>
        <w:rPr>
          <w:sz w:val="24"/>
          <w:b/>
        </w:rPr>
        <w:t>采购人：</w:t>
      </w:r>
      <w:r>
        <w:rPr>
          <w:sz w:val="24"/>
          <w:b/>
        </w:rPr>
        <w:t>英德市市场监督管理局</w:t>
      </w:r>
    </w:p>
    <w:p>
      <w:pPr>
        <w:pStyle w:val="null3"/>
        <w:jc w:val="center"/>
        <w:outlineLvl w:val="3"/>
      </w:pPr>
      <w:r>
        <w:rPr>
          <w:sz w:val="24"/>
          <w:b/>
        </w:rPr>
        <w:t>采购代理机构：</w:t>
      </w:r>
      <w:r>
        <w:rPr>
          <w:sz w:val="24"/>
          <w:b/>
        </w:rPr>
        <w:t>广东弘烨项目管理有限公司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广东弘烨项目管理有限公司</w:t>
      </w:r>
      <w:r>
        <w:rPr/>
        <w:t>受</w:t>
      </w:r>
      <w:r>
        <w:rPr/>
        <w:t>英德市市场监督管理局</w:t>
      </w:r>
      <w:r>
        <w:rPr/>
        <w:t>的委托，采用</w:t>
      </w:r>
      <w:r>
        <w:rPr/>
        <w:t>竞争性磋商</w:t>
      </w:r>
      <w:r>
        <w:rPr/>
        <w:t>方式组织采购</w:t>
      </w:r>
      <w:r>
        <w:rPr/>
        <w:t>英德市市场监督管理局2025年食用农产品快速检测服务采购项目（含试剂）</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英德市市场监督管理局2025年食用农产品快速检测服务采购项目（含试剂）</w:t>
      </w:r>
    </w:p>
    <w:p>
      <w:pPr>
        <w:pStyle w:val="null3"/>
        <w:ind w:firstLine="480"/>
      </w:pPr>
      <w:r>
        <w:rPr/>
        <w:t>采购计划编号：</w:t>
      </w:r>
      <w:r>
        <w:rPr/>
        <w:t>441881-2025-00996</w:t>
      </w:r>
    </w:p>
    <w:p>
      <w:pPr>
        <w:pStyle w:val="null3"/>
        <w:ind w:firstLine="480"/>
      </w:pPr>
      <w:r>
        <w:rPr/>
        <w:t>采购项目编号：</w:t>
      </w:r>
      <w:r>
        <w:rPr/>
        <w:t>HYGZ25XZ01C0604</w:t>
      </w:r>
    </w:p>
    <w:p>
      <w:pPr>
        <w:pStyle w:val="null3"/>
        <w:ind w:firstLine="480"/>
      </w:pPr>
      <w:r>
        <w:rPr/>
        <w:t>采购方式：</w:t>
      </w:r>
      <w:r>
        <w:rPr/>
        <w:t>竞争性磋商</w:t>
      </w:r>
    </w:p>
    <w:p>
      <w:pPr>
        <w:pStyle w:val="null3"/>
        <w:ind w:firstLine="480"/>
      </w:pPr>
      <w:r>
        <w:rPr/>
        <w:t>预算金额：</w:t>
      </w:r>
      <w:r>
        <w:rPr/>
        <w:t>1,408,200.00</w:t>
      </w:r>
      <w:r>
        <w:rPr/>
        <w:t>元</w:t>
      </w:r>
    </w:p>
    <w:p>
      <w:pPr>
        <w:pStyle w:val="null3"/>
        <w:outlineLvl w:val="3"/>
      </w:pPr>
      <w:r>
        <w:rPr>
          <w:sz w:val="24"/>
          <w:b/>
        </w:rPr>
        <w:t>2.项目内容及需求情况（采购项目技术规格、参数及要求）</w:t>
      </w:r>
    </w:p>
    <w:p>
      <w:pPr>
        <w:pStyle w:val="null3"/>
      </w:pPr>
      <w:r>
        <w:rPr/>
        <w:t>采购包1(食用农产品快筛快检服务采购(含试剂)):</w:t>
      </w:r>
    </w:p>
    <w:p>
      <w:pPr>
        <w:pStyle w:val="null3"/>
      </w:pPr>
      <w:r>
        <w:rPr/>
        <w:t>采购包预算金额：1,408,200.00元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其他专业技术服务</w:t>
            </w:r>
          </w:p>
        </w:tc>
        <w:tc>
          <w:tcPr>
            <w:tcW w:type="dxa" w:w="2136"/>
          </w:tcPr>
          <w:p>
            <w:pPr>
              <w:pStyle w:val="null3"/>
            </w:pPr>
            <w:r>
              <w:rPr/>
              <w:t>食用农产品快筛快检服务采购(含试剂)</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合同履行期限：2025年05月01日至2026年04月30日止。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2）有依法缴纳税收和社会保障资金的良好记录：提供声明函。</w:t>
      </w:r>
    </w:p>
    <w:p>
      <w:pPr>
        <w:pStyle w:val="null3"/>
      </w:pPr>
      <w:r>
        <w:rPr/>
        <w:t>3）具有良好的商业信誉和健全的财务会计制度：提供声明函。</w:t>
      </w:r>
    </w:p>
    <w:p>
      <w:pPr>
        <w:pStyle w:val="null3"/>
      </w:pPr>
      <w:r>
        <w:rPr/>
        <w:t>4）履行合同所必需的设备和专业技术能力：提供声明函。</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采购包1（食用农产品快筛快检服务采购(含试剂)）：</w:t>
      </w:r>
      <w:r>
        <w:rPr/>
        <w:t>本项目不属于专门面向中小企业采购的项目（本项目采购标的所属行业：其他未列明行业）。</w:t>
      </w:r>
    </w:p>
    <w:p>
      <w:pPr>
        <w:pStyle w:val="null3"/>
        <w:outlineLvl w:val="3"/>
      </w:pPr>
      <w:r>
        <w:rPr>
          <w:sz w:val="24"/>
          <w:b/>
        </w:rPr>
        <w:t>3.本项目特定的资格要求：</w:t>
      </w:r>
    </w:p>
    <w:p>
      <w:pPr>
        <w:pStyle w:val="null3"/>
      </w:pPr>
      <w:r>
        <w:rPr/>
        <w:t>采购包1（食用农产品快筛快检服务采购(含试剂)）：</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英德市市场监督管理局</w:t>
      </w:r>
    </w:p>
    <w:p>
      <w:pPr>
        <w:pStyle w:val="null3"/>
        <w:ind w:firstLine="480"/>
      </w:pPr>
      <w:r>
        <w:rPr/>
        <w:t>地址：</w:t>
      </w:r>
      <w:r>
        <w:rPr/>
        <w:t>英德市金子山大道行政服务中心科技馆6楼</w:t>
      </w:r>
    </w:p>
    <w:p>
      <w:pPr>
        <w:pStyle w:val="null3"/>
        <w:ind w:firstLine="480"/>
      </w:pPr>
      <w:r>
        <w:rPr/>
        <w:t>联系方式：</w:t>
      </w:r>
      <w:r>
        <w:rPr/>
        <w:t>0763-2286168</w:t>
      </w:r>
    </w:p>
    <w:p>
      <w:pPr>
        <w:pStyle w:val="null3"/>
        <w:outlineLvl w:val="3"/>
      </w:pPr>
      <w:r>
        <w:rPr>
          <w:sz w:val="24"/>
          <w:b/>
        </w:rPr>
        <w:t>2.采购代理机构信息</w:t>
      </w:r>
    </w:p>
    <w:p>
      <w:pPr>
        <w:pStyle w:val="null3"/>
        <w:ind w:firstLine="480"/>
      </w:pPr>
      <w:r>
        <w:rPr/>
        <w:t>名称：</w:t>
      </w:r>
      <w:r>
        <w:rPr/>
        <w:t>广东弘烨项目管理有限公司</w:t>
      </w:r>
    </w:p>
    <w:p>
      <w:pPr>
        <w:pStyle w:val="null3"/>
        <w:ind w:firstLine="480"/>
      </w:pPr>
      <w:r>
        <w:rPr/>
        <w:t xml:space="preserve"> 地址：</w:t>
      </w:r>
      <w:r>
        <w:rPr/>
        <w:t>广东省广州市海珠区广州市海珠区南洲路宝兴街88号202房之H018房</w:t>
      </w:r>
    </w:p>
    <w:p>
      <w:pPr>
        <w:pStyle w:val="null3"/>
        <w:ind w:firstLine="480"/>
      </w:pPr>
      <w:r>
        <w:rPr/>
        <w:t xml:space="preserve"> 联系方式：</w:t>
      </w:r>
      <w:r>
        <w:rPr/>
        <w:t>020-83526065</w:t>
      </w:r>
    </w:p>
    <w:p>
      <w:pPr>
        <w:pStyle w:val="null3"/>
        <w:outlineLvl w:val="3"/>
      </w:pPr>
      <w:r>
        <w:rPr>
          <w:sz w:val="24"/>
          <w:b/>
        </w:rPr>
        <w:t xml:space="preserve"> 3.项目联系方式</w:t>
      </w:r>
    </w:p>
    <w:p>
      <w:pPr>
        <w:pStyle w:val="null3"/>
        <w:ind w:firstLine="480"/>
      </w:pPr>
      <w:r>
        <w:rPr/>
        <w:t xml:space="preserve"> 项目联系人：</w:t>
      </w:r>
      <w:r>
        <w:rPr/>
        <w:t>张先生</w:t>
      </w:r>
    </w:p>
    <w:p>
      <w:pPr>
        <w:pStyle w:val="null3"/>
        <w:ind w:firstLine="480"/>
      </w:pPr>
      <w:r>
        <w:rPr/>
        <w:t xml:space="preserve"> 电话：</w:t>
      </w:r>
      <w:r>
        <w:rPr/>
        <w:t>020-83526065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广东弘烨项目管理有限公司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根据《清远市市场监督管理局关于印发</w:t>
      </w:r>
      <w:r>
        <w:rPr>
          <w:sz w:val="24"/>
        </w:rPr>
        <w:t>2025年全市食用农产品快速检测工作方案的通知》要求，英德市需完成不少于64800批次的食用农产品快筛快检任务。需满足的要求：根据英德市市场监督管理局《2025年英德市食用农产品快速检测工作方案》，按进度要求完成快检任务。</w:t>
      </w:r>
    </w:p>
    <w:p>
      <w:pPr>
        <w:pStyle w:val="null3"/>
        <w:ind w:firstLine="480"/>
        <w:jc w:val="both"/>
      </w:pPr>
      <w:r>
        <w:rPr>
          <w:sz w:val="24"/>
        </w:rPr>
        <w:t>通过对英德市农贸市场、大型超市、生鲜店等场所开展重点品种食用农产品快速检测，及时筛查发现不合格食用农产品，公示快检信息，依法处置不合格食用农产品，充分发挥快检筛查的</w:t>
      </w:r>
      <w:r>
        <w:rPr>
          <w:sz w:val="24"/>
        </w:rPr>
        <w:t>“防火墙”“过滤网”作用，为英德市花生油小作坊集聚区提供花生油快检服务，为中高考等政府重要活动提供农产品快检服务，强化市场准入把关，构建全市食用农产品快检筛查网络，切实提升英德市市场销售食用农产品质量安全水平，保障人民群众日常消费安全。</w:t>
      </w:r>
    </w:p>
    <w:p>
      <w:pPr>
        <w:pStyle w:val="null3"/>
        <w:jc w:val="both"/>
      </w:pPr>
      <w:r>
        <w:rPr>
          <w:sz w:val="24"/>
          <w:b/>
        </w:rPr>
        <w:t>附表一：</w:t>
      </w:r>
    </w:p>
    <w:p>
      <w:pPr>
        <w:pStyle w:val="null3"/>
        <w:jc w:val="center"/>
      </w:pPr>
      <w:r>
        <w:rPr>
          <w:sz w:val="24"/>
          <w:b/>
        </w:rPr>
        <w:t>202</w:t>
      </w:r>
      <w:r>
        <w:rPr>
          <w:sz w:val="24"/>
          <w:b/>
        </w:rPr>
        <w:t>4</w:t>
      </w:r>
      <w:r>
        <w:rPr>
          <w:sz w:val="24"/>
          <w:b/>
        </w:rPr>
        <w:t>年</w:t>
      </w:r>
      <w:r>
        <w:rPr>
          <w:sz w:val="24"/>
          <w:b/>
        </w:rPr>
        <w:t>农贸市场快检重点项目清单</w:t>
      </w:r>
    </w:p>
    <w:tbl>
      <w:tblPr>
        <w:tblW w:w="0" w:type="auto"/>
        <w:tblBorders>
          <w:top w:val="none" w:color="000000" w:sz="4"/>
          <w:left w:val="none" w:color="000000" w:sz="4"/>
          <w:bottom w:val="none" w:color="000000" w:sz="4"/>
          <w:right w:val="none" w:color="000000" w:sz="4"/>
          <w:insideH w:val="none"/>
          <w:insideV w:val="none"/>
        </w:tblBorders>
      </w:tblPr>
      <w:tblGrid>
        <w:gridCol w:w="571"/>
        <w:gridCol w:w="2078"/>
        <w:gridCol w:w="2865"/>
        <w:gridCol w:w="1350"/>
        <w:gridCol w:w="1437"/>
      </w:tblGrid>
      <w:tr>
        <w:tc>
          <w:tcPr>
            <w:tcW w:type="dxa" w:w="5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20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快检项目</w:t>
            </w:r>
          </w:p>
          <w:p>
            <w:pPr>
              <w:pStyle w:val="null3"/>
              <w:jc w:val="center"/>
            </w:pPr>
            <w:r>
              <w:rPr>
                <w:sz w:val="24"/>
                <w:b/>
              </w:rPr>
              <w:t>及参数</w:t>
            </w:r>
          </w:p>
        </w:tc>
        <w:tc>
          <w:tcPr>
            <w:tcW w:type="dxa" w:w="28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适用范围</w:t>
            </w:r>
          </w:p>
        </w:tc>
        <w:tc>
          <w:tcPr>
            <w:tcW w:type="dxa" w:w="1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重点品种</w:t>
            </w:r>
          </w:p>
        </w:tc>
        <w:tc>
          <w:tcPr>
            <w:tcW w:type="dxa" w:w="14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酶抑制率法农药残留（分光光度法）</w:t>
            </w:r>
          </w:p>
          <w:p>
            <w:pPr>
              <w:pStyle w:val="null3"/>
              <w:jc w:val="center"/>
            </w:pPr>
            <w:r>
              <w:rPr>
                <w:sz w:val="24"/>
              </w:rPr>
              <w:t>敌百虫</w:t>
            </w:r>
            <w:r>
              <w:rPr>
                <w:sz w:val="24"/>
              </w:rPr>
              <w:t>0.1mg/kg，丙溴磷0.5mg/kg，灭多威0.2mg/kg，克百威0.02mg/kg，敌敌畏0.2mg/kg</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油菜、菠菜、芹菜、韭菜等</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菠菜、芹菜、韭菜、普通白菜等</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丙溴磷</w:t>
            </w:r>
          </w:p>
          <w:p>
            <w:pPr>
              <w:pStyle w:val="null3"/>
              <w:jc w:val="center"/>
            </w:pPr>
            <w:r>
              <w:rPr>
                <w:sz w:val="24"/>
              </w:rPr>
              <w:t>0.2mg/kg</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柑、橘、橙</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啶虫脒</w:t>
            </w:r>
          </w:p>
          <w:p>
            <w:pPr>
              <w:pStyle w:val="null3"/>
              <w:jc w:val="center"/>
            </w:pPr>
            <w:r>
              <w:rPr>
                <w:sz w:val="24"/>
              </w:rPr>
              <w:t>0.2mg/kg</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韭菜、葱、青蒜、蒜薹、结球甘蓝、花椰菜、芥蓝、菜薹（菜心）、叶菜类蔬菜、茄果类蔬菜、黄瓜、西葫芦、节瓜、苦瓜、冬瓜、南瓜、豆类蔬菜、芦笋、茎用莴苣、萝卜、豆瓣菜</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花椰菜、普通白菜、大白菜、豇豆、菜豆（四季豆）、食荚豌豆、辣椒、菜薹（菜心）</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检测时需按具体品种的限量值进行稀释。</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毒死蜱</w:t>
            </w:r>
          </w:p>
          <w:p>
            <w:pPr>
              <w:pStyle w:val="null3"/>
              <w:jc w:val="center"/>
            </w:pPr>
            <w:r>
              <w:rPr>
                <w:sz w:val="24"/>
              </w:rPr>
              <w:t>0.02mg/kg</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蔬菜（食荚豌豆除外）</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芹菜、菠菜、普通白菜、豇豆、菜薹（菜心）、辣椒、葱</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检测时需按具体品种的限量值进行稀释。</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多菌灵</w:t>
            </w:r>
          </w:p>
          <w:p>
            <w:pPr>
              <w:pStyle w:val="null3"/>
              <w:jc w:val="center"/>
            </w:pPr>
            <w:r>
              <w:rPr>
                <w:sz w:val="24"/>
              </w:rPr>
              <w:t>0.5mg/kg</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韭菜、抱子甘蓝、结球莴苣、叶芥菜、番茄、茄子、辣椒、黄瓜、西葫芦、菜豆（四季豆）、芦笋、根芥菜</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菜豆（四季豆）、韭菜</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检测时需按具体品种的限量值进行稀释。</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氟虫腈</w:t>
            </w:r>
          </w:p>
          <w:p>
            <w:pPr>
              <w:pStyle w:val="null3"/>
              <w:jc w:val="center"/>
            </w:pPr>
            <w:r>
              <w:rPr>
                <w:sz w:val="24"/>
              </w:rPr>
              <w:t>0.02mg/kg</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蔬菜</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普通白菜、油麦菜、叶芥菜、豇豆、菠菜、菜薹（菜心）</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甲基异柳磷</w:t>
            </w:r>
          </w:p>
          <w:p>
            <w:pPr>
              <w:pStyle w:val="null3"/>
              <w:jc w:val="center"/>
            </w:pPr>
            <w:r>
              <w:rPr>
                <w:sz w:val="24"/>
              </w:rPr>
              <w:t>0.01mg/kg</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蔬菜</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豇豆、普通白菜、葱、结球甘蓝、芹菜</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葱、芹菜易出现假阳性，制样时不可均质。</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克百威</w:t>
            </w:r>
          </w:p>
          <w:p>
            <w:pPr>
              <w:pStyle w:val="null3"/>
              <w:jc w:val="center"/>
            </w:pPr>
            <w:r>
              <w:rPr>
                <w:sz w:val="24"/>
              </w:rPr>
              <w:t>0.02mg/kg</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蔬菜、水果</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豇豆、韭菜、菠菜、茄子、辣椒、普通白菜、芹菜、菜豆（四季豆）、柑、橘、橙</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灭蝇胺</w:t>
            </w:r>
          </w:p>
          <w:p>
            <w:pPr>
              <w:pStyle w:val="null3"/>
              <w:jc w:val="center"/>
            </w:pPr>
            <w:r>
              <w:rPr>
                <w:sz w:val="24"/>
              </w:rPr>
              <w:t>0.5mg/kg</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葱、青花菜、叶用莴苣、结球莴苣、油麦菜、叶芥菜、茎用莴苣叶、芹菜、甜椒、黄瓜、西葫芦、苦瓜、丝瓜、豇豆、菜豆、食荚豌豆、扁豆、蚕豆、豌豆、朝鲜蓟、茎用莴苣、姜</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豇豆、菜豆（四季豆）、食荚豌豆、扁豆、蚕豆、豌豆</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个别厂家豆类蔬菜制样均质会出现假阳性。</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三唑磷</w:t>
            </w:r>
          </w:p>
          <w:p>
            <w:pPr>
              <w:pStyle w:val="null3"/>
              <w:jc w:val="center"/>
            </w:pPr>
            <w:r>
              <w:rPr>
                <w:sz w:val="24"/>
              </w:rPr>
              <w:t>0.05mg/kg</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蔬菜</w:t>
            </w:r>
          </w:p>
          <w:p>
            <w:pPr>
              <w:pStyle w:val="null3"/>
              <w:jc w:val="center"/>
            </w:pPr>
            <w:r>
              <w:rPr>
                <w:sz w:val="24"/>
              </w:rPr>
              <w:t>柑、橘、橙、苹果、荔枝</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豇豆、柑、橘、橙</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检测时需按具体品种的限量值进行稀释。</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水胺硫磷</w:t>
            </w:r>
          </w:p>
          <w:p>
            <w:pPr>
              <w:pStyle w:val="null3"/>
              <w:jc w:val="center"/>
            </w:pPr>
            <w:r>
              <w:rPr>
                <w:sz w:val="24"/>
              </w:rPr>
              <w:t>0.05mg/kg</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蔬菜、水果</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豇豆、葱、菠菜、芹菜、柑、橘、橙</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葱、芹菜易出现假阳性，制样时不可均质。</w:t>
            </w:r>
          </w:p>
        </w:tc>
      </w:tr>
      <w:tr>
        <w:tc>
          <w:tcPr>
            <w:tcW w:type="dxa" w:w="5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207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孔雀石绿</w:t>
            </w:r>
          </w:p>
          <w:p>
            <w:pPr>
              <w:pStyle w:val="null3"/>
              <w:jc w:val="center"/>
            </w:pPr>
            <w:r>
              <w:rPr>
                <w:sz w:val="24"/>
              </w:rPr>
              <w:t>2.0μg/kg</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鱼类：黄颡鱼（黄骨鱼）、鳜（桂花鱼）、大菱鲆（多宝鱼）、乌鳢（生鱼）、草鱼（鲩鱼）、胡子鲶（塘鲺）、花鲈（海鲈）、大口黑鲈（加洲鲈）、泥猛鱼、鲫鱼、罗非鱼（福寿鱼）、鳙鱼（大头鱼、花鲢）、鲟鱼、石斑鱼、黄鳝、泥鳅、黄鳍鲷（黄立脚）、卵形鲳鲹（金鲳）、淡水鲳鱼等</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鱼类</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1"/>
            <w:vMerge/>
            <w:tcBorders>
              <w:top w:val="none" w:color="000000" w:sz="4"/>
              <w:left w:val="single" w:color="000000" w:sz="4"/>
              <w:bottom w:val="single" w:color="000000" w:sz="4"/>
              <w:right w:val="single" w:color="000000" w:sz="4"/>
            </w:tcBorders>
          </w:tcPr>
          <w:p/>
        </w:tc>
        <w:tc>
          <w:tcPr>
            <w:tcW w:type="dxa" w:w="2078"/>
            <w:vMerge/>
            <w:tcBorders>
              <w:top w:val="none" w:color="000000" w:sz="4"/>
              <w:left w:val="none" w:color="000000" w:sz="4"/>
              <w:bottom w:val="single" w:color="000000" w:sz="4"/>
              <w:right w:val="single" w:color="000000" w:sz="4"/>
            </w:tcBorders>
          </w:tcP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其他水产品：牛蛙</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牛蛙</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207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氯霉素</w:t>
            </w:r>
          </w:p>
          <w:p>
            <w:pPr>
              <w:pStyle w:val="null3"/>
              <w:jc w:val="center"/>
            </w:pPr>
            <w:r>
              <w:rPr>
                <w:sz w:val="24"/>
              </w:rPr>
              <w:t>0.1μg/kg</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贝类：菲律宾蛤仔（花甲、花蛤）、波纹巴菲蛤（花甲）、白贝、蛏子（竹蛏、縊蛏两类）、方斑东风螺（花螺）、贻贝（青口）、鲍鱼等</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贝类</w:t>
            </w:r>
          </w:p>
        </w:tc>
        <w:tc>
          <w:tcPr>
            <w:tcW w:type="dxa" w:w="1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1"/>
            <w:vMerge/>
            <w:tcBorders>
              <w:top w:val="none" w:color="000000" w:sz="4"/>
              <w:left w:val="single" w:color="000000" w:sz="4"/>
              <w:bottom w:val="single" w:color="000000" w:sz="4"/>
              <w:right w:val="single" w:color="000000" w:sz="4"/>
            </w:tcBorders>
          </w:tcPr>
          <w:p/>
        </w:tc>
        <w:tc>
          <w:tcPr>
            <w:tcW w:type="dxa" w:w="2078"/>
            <w:vMerge/>
            <w:tcBorders>
              <w:top w:val="none" w:color="000000" w:sz="4"/>
              <w:left w:val="none" w:color="000000" w:sz="4"/>
              <w:bottom w:val="single" w:color="000000" w:sz="4"/>
              <w:right w:val="single" w:color="000000" w:sz="4"/>
            </w:tcBorders>
          </w:tcP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鱼类：黄颡鱼（黄骨鱼）、鳜（桂花鱼）、大菱鲆（多宝鱼）、乌鳢（生鱼）、草鱼（鲩鱼）、胡子鲶（塘鲺）、花鲈（海鲈）、大口黑鲈（加洲鲈）、泥猛鱼、鲫鱼、罗非鱼（福寿鱼）、鳙鱼（大头鱼、花鲢）、鲟鱼、石斑鱼、黄鳝、泥鳅、黄鳍鲷（黄立脚）、卵形鲳鲹（金鲳）、淡水鲳鱼等</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鱼类</w:t>
            </w:r>
          </w:p>
        </w:tc>
        <w:tc>
          <w:tcPr>
            <w:tcW w:type="dxa" w:w="1437"/>
            <w:vMerge/>
            <w:tcBorders>
              <w:top w:val="none" w:color="000000" w:sz="4"/>
              <w:left w:val="none" w:color="000000" w:sz="4"/>
              <w:bottom w:val="single" w:color="000000" w:sz="4"/>
              <w:right w:val="single" w:color="000000" w:sz="4"/>
            </w:tcBorders>
          </w:tcPr>
          <w:p/>
        </w:tc>
      </w:tr>
      <w:tr>
        <w:tc>
          <w:tcPr>
            <w:tcW w:type="dxa" w:w="571"/>
            <w:vMerge/>
            <w:tcBorders>
              <w:top w:val="none" w:color="000000" w:sz="4"/>
              <w:left w:val="single" w:color="000000" w:sz="4"/>
              <w:bottom w:val="single" w:color="000000" w:sz="4"/>
              <w:right w:val="single" w:color="000000" w:sz="4"/>
            </w:tcBorders>
          </w:tcPr>
          <w:p/>
        </w:tc>
        <w:tc>
          <w:tcPr>
            <w:tcW w:type="dxa" w:w="2078"/>
            <w:vMerge/>
            <w:tcBorders>
              <w:top w:val="none" w:color="000000" w:sz="4"/>
              <w:left w:val="none" w:color="000000" w:sz="4"/>
              <w:bottom w:val="single" w:color="000000" w:sz="4"/>
              <w:right w:val="single" w:color="000000" w:sz="4"/>
            </w:tcBorders>
          </w:tcP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虾类：南美白对虾（白对虾）、斑节对虾（草虾、竹节虾）、罗氏沼虾（大头虾）等</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虾类</w:t>
            </w:r>
          </w:p>
        </w:tc>
        <w:tc>
          <w:tcPr>
            <w:tcW w:type="dxa" w:w="1437"/>
            <w:vMerge/>
            <w:tcBorders>
              <w:top w:val="none" w:color="000000" w:sz="4"/>
              <w:left w:val="none" w:color="000000" w:sz="4"/>
              <w:bottom w:val="single" w:color="000000" w:sz="4"/>
              <w:right w:val="single" w:color="000000" w:sz="4"/>
            </w:tcBorders>
          </w:tcPr>
          <w:p/>
        </w:tc>
      </w:tr>
      <w:tr>
        <w:tc>
          <w:tcPr>
            <w:tcW w:type="dxa" w:w="571"/>
            <w:vMerge/>
            <w:tcBorders>
              <w:top w:val="none" w:color="000000" w:sz="4"/>
              <w:left w:val="single" w:color="000000" w:sz="4"/>
              <w:bottom w:val="single" w:color="000000" w:sz="4"/>
              <w:right w:val="single" w:color="000000" w:sz="4"/>
            </w:tcBorders>
          </w:tcPr>
          <w:p/>
        </w:tc>
        <w:tc>
          <w:tcPr>
            <w:tcW w:type="dxa" w:w="2078"/>
            <w:vMerge/>
            <w:tcBorders>
              <w:top w:val="none" w:color="000000" w:sz="4"/>
              <w:left w:val="none" w:color="000000" w:sz="4"/>
              <w:bottom w:val="single" w:color="000000" w:sz="4"/>
              <w:right w:val="single" w:color="000000" w:sz="4"/>
            </w:tcBorders>
          </w:tcP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其他水产品：牛蛙</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牛蛙</w:t>
            </w:r>
          </w:p>
        </w:tc>
        <w:tc>
          <w:tcPr>
            <w:tcW w:type="dxa" w:w="1437"/>
            <w:vMerge/>
            <w:tcBorders>
              <w:top w:val="none" w:color="000000" w:sz="4"/>
              <w:left w:val="none" w:color="000000" w:sz="4"/>
              <w:bottom w:val="single" w:color="000000" w:sz="4"/>
              <w:right w:val="single" w:color="000000" w:sz="4"/>
            </w:tcBorders>
          </w:tcPr>
          <w:p/>
        </w:tc>
      </w:tr>
      <w:tr>
        <w:tc>
          <w:tcPr>
            <w:tcW w:type="dxa" w:w="571"/>
            <w:vMerge/>
            <w:tcBorders>
              <w:top w:val="none" w:color="000000" w:sz="4"/>
              <w:left w:val="single" w:color="000000" w:sz="4"/>
              <w:bottom w:val="single" w:color="000000" w:sz="4"/>
              <w:right w:val="single" w:color="000000" w:sz="4"/>
            </w:tcBorders>
          </w:tcPr>
          <w:p/>
        </w:tc>
        <w:tc>
          <w:tcPr>
            <w:tcW w:type="dxa" w:w="2078"/>
            <w:vMerge/>
            <w:tcBorders>
              <w:top w:val="none" w:color="000000" w:sz="4"/>
              <w:left w:val="none" w:color="000000" w:sz="4"/>
              <w:bottom w:val="single" w:color="000000" w:sz="4"/>
              <w:right w:val="single" w:color="000000" w:sz="4"/>
            </w:tcBorders>
          </w:tcP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禽畜肉：猪肉、牛肉、羊肉、鸡肉、鸭肉等</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禽畜肉</w:t>
            </w:r>
          </w:p>
        </w:tc>
        <w:tc>
          <w:tcPr>
            <w:tcW w:type="dxa" w:w="1437"/>
            <w:vMerge/>
            <w:tcBorders>
              <w:top w:val="none" w:color="000000" w:sz="4"/>
              <w:left w:val="none" w:color="000000" w:sz="4"/>
              <w:bottom w:val="single" w:color="000000" w:sz="4"/>
              <w:right w:val="single" w:color="000000" w:sz="4"/>
            </w:tcBorders>
          </w:tcPr>
          <w:p/>
        </w:tc>
      </w:tr>
      <w:tr>
        <w:tc>
          <w:tcPr>
            <w:tcW w:type="dxa" w:w="5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207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呋喃唑酮代谢物</w:t>
            </w:r>
          </w:p>
          <w:p>
            <w:pPr>
              <w:pStyle w:val="null3"/>
              <w:jc w:val="center"/>
            </w:pPr>
            <w:r>
              <w:rPr>
                <w:sz w:val="24"/>
              </w:rPr>
              <w:t>0.5μg/kg</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鱼类：黄颡鱼（黄骨鱼）、鳜（桂花鱼）、大菱鲆（多宝鱼）、乌鳢（生鱼）、草鱼（鲩鱼）、胡子鲶（塘鲺）、花鲈（海鲈）、大口黑鲈（加洲鲈）、泥猛鱼、鲫鱼、罗非鱼（福寿鱼）、鳙鱼（大头鱼、花鲢）、鲟鱼、石斑鱼、黄鳝、泥鳅、黄鳍鲷（黄立脚）、卵形鲳鲹（金鲳）、淡水鲳鱼等</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鱼类</w:t>
            </w:r>
          </w:p>
        </w:tc>
        <w:tc>
          <w:tcPr>
            <w:tcW w:type="dxa" w:w="1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1"/>
            <w:vMerge/>
            <w:tcBorders>
              <w:top w:val="none" w:color="000000" w:sz="4"/>
              <w:left w:val="single" w:color="000000" w:sz="4"/>
              <w:bottom w:val="single" w:color="000000" w:sz="4"/>
              <w:right w:val="single" w:color="000000" w:sz="4"/>
            </w:tcBorders>
          </w:tcPr>
          <w:p/>
        </w:tc>
        <w:tc>
          <w:tcPr>
            <w:tcW w:type="dxa" w:w="2078"/>
            <w:vMerge/>
            <w:tcBorders>
              <w:top w:val="none" w:color="000000" w:sz="4"/>
              <w:left w:val="none" w:color="000000" w:sz="4"/>
              <w:bottom w:val="single" w:color="000000" w:sz="4"/>
              <w:right w:val="single" w:color="000000" w:sz="4"/>
            </w:tcBorders>
          </w:tcP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虾类：南美白对虾（白对虾）、斑节对虾（草虾、竹节虾）、罗氏沼虾（大头虾）等</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虾类</w:t>
            </w:r>
          </w:p>
        </w:tc>
        <w:tc>
          <w:tcPr>
            <w:tcW w:type="dxa" w:w="1437"/>
            <w:vMerge/>
            <w:tcBorders>
              <w:top w:val="none" w:color="000000" w:sz="4"/>
              <w:left w:val="none" w:color="000000" w:sz="4"/>
              <w:bottom w:val="single" w:color="000000" w:sz="4"/>
              <w:right w:val="single" w:color="000000" w:sz="4"/>
            </w:tcBorders>
          </w:tcPr>
          <w:p/>
        </w:tc>
      </w:tr>
      <w:tr>
        <w:tc>
          <w:tcPr>
            <w:tcW w:type="dxa" w:w="571"/>
            <w:vMerge/>
            <w:tcBorders>
              <w:top w:val="none" w:color="000000" w:sz="4"/>
              <w:left w:val="single" w:color="000000" w:sz="4"/>
              <w:bottom w:val="single" w:color="000000" w:sz="4"/>
              <w:right w:val="single" w:color="000000" w:sz="4"/>
            </w:tcBorders>
          </w:tcPr>
          <w:p/>
        </w:tc>
        <w:tc>
          <w:tcPr>
            <w:tcW w:type="dxa" w:w="2078"/>
            <w:vMerge/>
            <w:tcBorders>
              <w:top w:val="none" w:color="000000" w:sz="4"/>
              <w:left w:val="none" w:color="000000" w:sz="4"/>
              <w:bottom w:val="single" w:color="000000" w:sz="4"/>
              <w:right w:val="single" w:color="000000" w:sz="4"/>
            </w:tcBorders>
          </w:tcP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其他水产品：牛蛙</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牛蛙</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207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呋喃西林代谢物</w:t>
            </w:r>
          </w:p>
          <w:p>
            <w:pPr>
              <w:pStyle w:val="null3"/>
              <w:jc w:val="center"/>
            </w:pPr>
            <w:r>
              <w:rPr>
                <w:sz w:val="24"/>
              </w:rPr>
              <w:t>0.5μg/kg</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鱼类：黄颡鱼（黄骨鱼）、鳜（桂花鱼）、大菱鲆（多宝鱼）、乌鳢（生鱼）、草鱼（鲩鱼）、胡子鲶（塘鲺）、花鲈（海鲈）、大口黑鲈（加洲鲈）、泥猛鱼、鲫鱼、罗非鱼（福寿鱼）、鳙鱼（大头鱼、花鲢）、鲟鱼、石斑鱼、黄鳝、泥鳅、黄鳍鲷（黄立脚）、卵形鲳鲹（金鲳）、淡水鲳鱼等</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鱼类</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1"/>
            <w:vMerge/>
            <w:tcBorders>
              <w:top w:val="none" w:color="000000" w:sz="4"/>
              <w:left w:val="single" w:color="000000" w:sz="4"/>
              <w:bottom w:val="single" w:color="000000" w:sz="4"/>
              <w:right w:val="single" w:color="000000" w:sz="4"/>
            </w:tcBorders>
          </w:tcPr>
          <w:p/>
        </w:tc>
        <w:tc>
          <w:tcPr>
            <w:tcW w:type="dxa" w:w="2078"/>
            <w:vMerge/>
            <w:tcBorders>
              <w:top w:val="none" w:color="000000" w:sz="4"/>
              <w:left w:val="none" w:color="000000" w:sz="4"/>
              <w:bottom w:val="single" w:color="000000" w:sz="4"/>
              <w:right w:val="single" w:color="000000" w:sz="4"/>
            </w:tcBorders>
          </w:tcP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其他水产品：牛蛙</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牛蛙</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克伦特罗</w:t>
            </w:r>
          </w:p>
          <w:p>
            <w:pPr>
              <w:pStyle w:val="null3"/>
              <w:jc w:val="center"/>
            </w:pPr>
            <w:r>
              <w:rPr>
                <w:sz w:val="24"/>
              </w:rPr>
              <w:t>0.5μg/kg</w:t>
            </w:r>
          </w:p>
        </w:tc>
        <w:tc>
          <w:tcPr>
            <w:tcW w:type="dxa" w:w="28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畜肉及副产品：牛肉、羊肉、猪肉及副产品</w:t>
            </w:r>
          </w:p>
        </w:tc>
        <w:tc>
          <w:tcPr>
            <w:tcW w:type="dxa" w:w="13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牛肉、羊肉、猪肉及副产品</w:t>
            </w:r>
          </w:p>
        </w:tc>
        <w:tc>
          <w:tcPr>
            <w:tcW w:type="dxa" w:w="1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莱克多巴胺</w:t>
            </w:r>
          </w:p>
          <w:p>
            <w:pPr>
              <w:pStyle w:val="null3"/>
              <w:jc w:val="center"/>
            </w:pPr>
            <w:r>
              <w:rPr>
                <w:sz w:val="24"/>
              </w:rPr>
              <w:t>0.5μg/kg</w:t>
            </w:r>
          </w:p>
        </w:tc>
        <w:tc>
          <w:tcPr>
            <w:tcW w:type="dxa" w:w="2865"/>
            <w:vMerge/>
            <w:tcBorders>
              <w:top w:val="none" w:color="000000" w:sz="4"/>
              <w:left w:val="none" w:color="000000" w:sz="4"/>
              <w:bottom w:val="single" w:color="000000" w:sz="4"/>
              <w:right w:val="single" w:color="000000" w:sz="4"/>
            </w:tcBorders>
          </w:tcPr>
          <w:p/>
        </w:tc>
        <w:tc>
          <w:tcPr>
            <w:tcW w:type="dxa" w:w="1350"/>
            <w:vMerge/>
            <w:tcBorders>
              <w:top w:val="none" w:color="000000" w:sz="4"/>
              <w:left w:val="none" w:color="000000" w:sz="4"/>
              <w:bottom w:val="single" w:color="000000" w:sz="4"/>
              <w:right w:val="single" w:color="000000" w:sz="4"/>
            </w:tcBorders>
          </w:tcPr>
          <w:p/>
        </w:tc>
        <w:tc>
          <w:tcPr>
            <w:tcW w:type="dxa" w:w="1437"/>
            <w:vMerge/>
            <w:tcBorders>
              <w:top w:val="none" w:color="000000" w:sz="4"/>
              <w:left w:val="none" w:color="000000" w:sz="4"/>
              <w:bottom w:val="single" w:color="000000" w:sz="4"/>
              <w:right w:val="single" w:color="000000" w:sz="4"/>
            </w:tcBorders>
          </w:tcP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沙丁胺醇</w:t>
            </w:r>
          </w:p>
          <w:p>
            <w:pPr>
              <w:pStyle w:val="null3"/>
              <w:jc w:val="center"/>
            </w:pPr>
            <w:r>
              <w:rPr>
                <w:sz w:val="24"/>
              </w:rPr>
              <w:t>0.5μg/kg</w:t>
            </w:r>
          </w:p>
        </w:tc>
        <w:tc>
          <w:tcPr>
            <w:tcW w:type="dxa" w:w="2865"/>
            <w:vMerge/>
            <w:tcBorders>
              <w:top w:val="none" w:color="000000" w:sz="4"/>
              <w:left w:val="none" w:color="000000" w:sz="4"/>
              <w:bottom w:val="single" w:color="000000" w:sz="4"/>
              <w:right w:val="single" w:color="000000" w:sz="4"/>
            </w:tcBorders>
          </w:tcPr>
          <w:p/>
        </w:tc>
        <w:tc>
          <w:tcPr>
            <w:tcW w:type="dxa" w:w="1350"/>
            <w:vMerge/>
            <w:tcBorders>
              <w:top w:val="none" w:color="000000" w:sz="4"/>
              <w:left w:val="none" w:color="000000" w:sz="4"/>
              <w:bottom w:val="single" w:color="000000" w:sz="4"/>
              <w:right w:val="single" w:color="000000" w:sz="4"/>
            </w:tcBorders>
          </w:tcPr>
          <w:p/>
        </w:tc>
        <w:tc>
          <w:tcPr>
            <w:tcW w:type="dxa" w:w="1437"/>
            <w:vMerge/>
            <w:tcBorders>
              <w:top w:val="none" w:color="000000" w:sz="4"/>
              <w:left w:val="none" w:color="000000" w:sz="4"/>
              <w:bottom w:val="single" w:color="000000" w:sz="4"/>
              <w:right w:val="single" w:color="000000" w:sz="4"/>
            </w:tcBorders>
          </w:tcPr>
          <w:p/>
        </w:tc>
      </w:tr>
      <w:tr>
        <w:tc>
          <w:tcPr>
            <w:tcW w:type="dxa" w:w="5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207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恩诺沙星</w:t>
            </w:r>
          </w:p>
          <w:p>
            <w:pPr>
              <w:pStyle w:val="null3"/>
              <w:jc w:val="center"/>
            </w:pPr>
            <w:r>
              <w:rPr>
                <w:sz w:val="24"/>
              </w:rPr>
              <w:t>100μg/kg</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鱼类：黄颡鱼（黄骨鱼）、鳜（桂花鱼）、大菱鲆（多宝鱼）、乌鳢（生鱼）、草鱼（鲩鱼）、胡子鲶（塘鲺）、花鲈（海鲈）、大口黑鲈（加洲鲈）、泥猛鱼、鲫鱼、罗非鱼（福寿鱼）、鳙鱼（大头鱼、花鲢）、鲟鱼、石斑鱼、黄鳝、泥鳅、黄鳍鲷（黄立脚）、卵形鲳鲹（金鲳）、淡水鲳鱼等</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鱼类</w:t>
            </w:r>
          </w:p>
        </w:tc>
        <w:tc>
          <w:tcPr>
            <w:tcW w:type="dxa" w:w="1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1"/>
            <w:vMerge/>
            <w:tcBorders>
              <w:top w:val="none" w:color="000000" w:sz="4"/>
              <w:left w:val="single" w:color="000000" w:sz="4"/>
              <w:bottom w:val="single" w:color="000000" w:sz="4"/>
              <w:right w:val="single" w:color="000000" w:sz="4"/>
            </w:tcBorders>
          </w:tcPr>
          <w:p/>
        </w:tc>
        <w:tc>
          <w:tcPr>
            <w:tcW w:type="dxa" w:w="2078"/>
            <w:vMerge/>
            <w:tcBorders>
              <w:top w:val="none" w:color="000000" w:sz="4"/>
              <w:left w:val="none" w:color="000000" w:sz="4"/>
              <w:bottom w:val="single" w:color="000000" w:sz="4"/>
              <w:right w:val="single" w:color="000000" w:sz="4"/>
            </w:tcBorders>
          </w:tcP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贝类：菲律宾蛤仔（花甲、花蛤）、波纹巴菲蛤（花甲）、白贝、蛏子（竹蛏、縊蛏两类）、方斑东风螺（花螺）、贻贝（青口）、鲍鱼等</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贝类</w:t>
            </w:r>
          </w:p>
        </w:tc>
        <w:tc>
          <w:tcPr>
            <w:tcW w:type="dxa" w:w="1437"/>
            <w:vMerge/>
            <w:tcBorders>
              <w:top w:val="none" w:color="000000" w:sz="4"/>
              <w:left w:val="none" w:color="000000" w:sz="4"/>
              <w:bottom w:val="single" w:color="000000" w:sz="4"/>
              <w:right w:val="single" w:color="000000" w:sz="4"/>
            </w:tcBorders>
          </w:tcPr>
          <w:p/>
        </w:tc>
      </w:tr>
      <w:tr>
        <w:tc>
          <w:tcPr>
            <w:tcW w:type="dxa" w:w="571"/>
            <w:vMerge/>
            <w:tcBorders>
              <w:top w:val="none" w:color="000000" w:sz="4"/>
              <w:left w:val="single" w:color="000000" w:sz="4"/>
              <w:bottom w:val="single" w:color="000000" w:sz="4"/>
              <w:right w:val="single" w:color="000000" w:sz="4"/>
            </w:tcBorders>
          </w:tcPr>
          <w:p/>
        </w:tc>
        <w:tc>
          <w:tcPr>
            <w:tcW w:type="dxa" w:w="2078"/>
            <w:vMerge/>
            <w:tcBorders>
              <w:top w:val="none" w:color="000000" w:sz="4"/>
              <w:left w:val="none" w:color="000000" w:sz="4"/>
              <w:bottom w:val="single" w:color="000000" w:sz="4"/>
              <w:right w:val="single" w:color="000000" w:sz="4"/>
            </w:tcBorders>
          </w:tcP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虾类：南美白对虾（白对虾）、斑节对虾（草虾、竹节虾）、罗氏沼虾（大头虾）等</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虾类</w:t>
            </w:r>
          </w:p>
        </w:tc>
        <w:tc>
          <w:tcPr>
            <w:tcW w:type="dxa" w:w="1437"/>
            <w:vMerge/>
            <w:tcBorders>
              <w:top w:val="none" w:color="000000" w:sz="4"/>
              <w:left w:val="none" w:color="000000" w:sz="4"/>
              <w:bottom w:val="single" w:color="000000" w:sz="4"/>
              <w:right w:val="single" w:color="000000" w:sz="4"/>
            </w:tcBorders>
          </w:tcPr>
          <w:p/>
        </w:tc>
      </w:tr>
      <w:tr>
        <w:tc>
          <w:tcPr>
            <w:tcW w:type="dxa" w:w="571"/>
            <w:vMerge/>
            <w:tcBorders>
              <w:top w:val="none" w:color="000000" w:sz="4"/>
              <w:left w:val="single" w:color="000000" w:sz="4"/>
              <w:bottom w:val="single" w:color="000000" w:sz="4"/>
              <w:right w:val="single" w:color="000000" w:sz="4"/>
            </w:tcBorders>
          </w:tcPr>
          <w:p/>
        </w:tc>
        <w:tc>
          <w:tcPr>
            <w:tcW w:type="dxa" w:w="2078"/>
            <w:vMerge/>
            <w:tcBorders>
              <w:top w:val="none" w:color="000000" w:sz="4"/>
              <w:left w:val="none" w:color="000000" w:sz="4"/>
              <w:bottom w:val="single" w:color="000000" w:sz="4"/>
              <w:right w:val="single" w:color="000000" w:sz="4"/>
            </w:tcBorders>
          </w:tcP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其他水产品：牛蛙、中华鳖（甲鱼）等</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牛蛙</w:t>
            </w:r>
          </w:p>
        </w:tc>
        <w:tc>
          <w:tcPr>
            <w:tcW w:type="dxa" w:w="1437"/>
            <w:vMerge/>
            <w:tcBorders>
              <w:top w:val="none" w:color="000000" w:sz="4"/>
              <w:left w:val="none" w:color="000000" w:sz="4"/>
              <w:bottom w:val="single" w:color="000000" w:sz="4"/>
              <w:right w:val="single" w:color="000000" w:sz="4"/>
            </w:tcBorders>
          </w:tcPr>
          <w:p/>
        </w:tc>
      </w:tr>
      <w:tr>
        <w:tc>
          <w:tcPr>
            <w:tcW w:type="dxa" w:w="571"/>
            <w:vMerge/>
            <w:tcBorders>
              <w:top w:val="none" w:color="000000" w:sz="4"/>
              <w:left w:val="single" w:color="000000" w:sz="4"/>
              <w:bottom w:val="single" w:color="000000" w:sz="4"/>
              <w:right w:val="single" w:color="000000" w:sz="4"/>
            </w:tcBorders>
          </w:tcPr>
          <w:p/>
        </w:tc>
        <w:tc>
          <w:tcPr>
            <w:tcW w:type="dxa" w:w="2078"/>
            <w:vMerge/>
            <w:tcBorders>
              <w:top w:val="none" w:color="000000" w:sz="4"/>
              <w:left w:val="none" w:color="000000" w:sz="4"/>
              <w:bottom w:val="single" w:color="000000" w:sz="4"/>
              <w:right w:val="single" w:color="000000" w:sz="4"/>
            </w:tcBorders>
          </w:tcP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禽畜肉：猪肉、牛肉、羊肉、鸡肉、鸭肉等</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鸡肉、乌鸡</w:t>
            </w:r>
          </w:p>
        </w:tc>
        <w:tc>
          <w:tcPr>
            <w:tcW w:type="dxa" w:w="1437"/>
            <w:vMerge/>
            <w:tcBorders>
              <w:top w:val="none" w:color="000000" w:sz="4"/>
              <w:left w:val="none" w:color="000000" w:sz="4"/>
              <w:bottom w:val="single" w:color="000000" w:sz="4"/>
              <w:right w:val="single" w:color="000000" w:sz="4"/>
            </w:tcBorders>
          </w:tcP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氟苯尼考</w:t>
            </w:r>
          </w:p>
          <w:p>
            <w:pPr>
              <w:pStyle w:val="null3"/>
              <w:jc w:val="center"/>
            </w:pPr>
            <w:r>
              <w:rPr>
                <w:sz w:val="24"/>
              </w:rPr>
              <w:t>10μg/kg</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蛋类：鹌鹑蛋、鸭蛋、鹅蛋、鸡蛋等</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蛋类</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氟苯尼考</w:t>
            </w:r>
          </w:p>
          <w:p>
            <w:pPr>
              <w:pStyle w:val="null3"/>
              <w:jc w:val="center"/>
            </w:pPr>
            <w:r>
              <w:rPr>
                <w:sz w:val="24"/>
              </w:rPr>
              <w:t>100μg/kg</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贝类：菲律宾蛤仔（花甲、花蛤）、波纹巴菲蛤（花甲）、白贝、蛏子（竹蛏、縊蛏两类）、方斑东风螺（花螺）、贻贝（青口）、鲍鱼等</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贝类</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207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氧氟沙星</w:t>
            </w:r>
          </w:p>
          <w:p>
            <w:pPr>
              <w:pStyle w:val="null3"/>
              <w:jc w:val="center"/>
            </w:pPr>
            <w:r>
              <w:rPr>
                <w:sz w:val="24"/>
              </w:rPr>
              <w:t>2.0μg/kg</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鱼类：黄颡鱼（黄骨鱼）、鳜（桂花鱼）、大菱鲆（多宝鱼）、乌鳢（生鱼）、草鱼（鲩鱼）、胡子鲶（塘鲺）、花鲈（海鲈）、大口黑鲈（加洲鲈）、泥猛鱼、鲫鱼、罗非鱼（福寿鱼）、鳙鱼（大头鱼、花鲢）、鲟鱼、石斑鱼、黄鳝、泥鳅、黄鳍鲷（黄立脚）、卵形鲳鲹（金鲳）、淡水鲳鱼等</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鱼类</w:t>
            </w:r>
          </w:p>
        </w:tc>
        <w:tc>
          <w:tcPr>
            <w:tcW w:type="dxa" w:w="1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1"/>
            <w:vMerge/>
            <w:tcBorders>
              <w:top w:val="none" w:color="000000" w:sz="4"/>
              <w:left w:val="single" w:color="000000" w:sz="4"/>
              <w:bottom w:val="single" w:color="000000" w:sz="4"/>
              <w:right w:val="single" w:color="000000" w:sz="4"/>
            </w:tcBorders>
          </w:tcPr>
          <w:p/>
        </w:tc>
        <w:tc>
          <w:tcPr>
            <w:tcW w:type="dxa" w:w="2078"/>
            <w:vMerge/>
            <w:tcBorders>
              <w:top w:val="none" w:color="000000" w:sz="4"/>
              <w:left w:val="none" w:color="000000" w:sz="4"/>
              <w:bottom w:val="single" w:color="000000" w:sz="4"/>
              <w:right w:val="single" w:color="000000" w:sz="4"/>
            </w:tcBorders>
          </w:tcP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其他水产品：牛蛙</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牛蛙</w:t>
            </w:r>
          </w:p>
        </w:tc>
        <w:tc>
          <w:tcPr>
            <w:tcW w:type="dxa" w:w="1437"/>
            <w:vMerge/>
            <w:tcBorders>
              <w:top w:val="none" w:color="000000" w:sz="4"/>
              <w:left w:val="none" w:color="000000" w:sz="4"/>
              <w:bottom w:val="single" w:color="000000" w:sz="4"/>
              <w:right w:val="single" w:color="000000" w:sz="4"/>
            </w:tcBorders>
          </w:tcP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喹乙醇代谢物</w:t>
            </w:r>
          </w:p>
          <w:p>
            <w:pPr>
              <w:pStyle w:val="null3"/>
              <w:jc w:val="center"/>
            </w:pPr>
            <w:r>
              <w:rPr>
                <w:sz w:val="24"/>
              </w:rPr>
              <w:t>4.0μg/kg</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猪肉</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猪肉</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地西泮</w:t>
            </w:r>
          </w:p>
          <w:p>
            <w:pPr>
              <w:pStyle w:val="null3"/>
              <w:jc w:val="center"/>
            </w:pPr>
            <w:r>
              <w:rPr>
                <w:sz w:val="24"/>
              </w:rPr>
              <w:t>0.5μg/kg</w:t>
            </w:r>
          </w:p>
        </w:tc>
        <w:tc>
          <w:tcPr>
            <w:tcW w:type="dxa" w:w="2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鲫鱼、草鱼（鲩鱼）、罗非鱼（福寿鱼）、淡水鲳鱼</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鲫鱼、草鱼（鲩鱼）、罗非鱼（福寿鱼）、淡水鲳鱼</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4"/>
        </w:rPr>
        <w:t>快检重点品种建议：</w:t>
      </w:r>
    </w:p>
    <w:p>
      <w:pPr>
        <w:pStyle w:val="null3"/>
        <w:jc w:val="both"/>
      </w:pPr>
      <w:r>
        <w:rPr>
          <w:sz w:val="24"/>
        </w:rPr>
        <w:t>（</w:t>
      </w:r>
      <w:r>
        <w:rPr>
          <w:sz w:val="24"/>
        </w:rPr>
        <w:t>1）蔬菜：韭菜、菠菜、普通白菜、大白菜、芹菜、黄瓜、菜豆、辣椒、油麦菜、生姜、豇豆、结球甘蓝、西兰花、芥菜、莴苣、菜心、芥蓝、菜薹等品种。</w:t>
      </w:r>
    </w:p>
    <w:p>
      <w:pPr>
        <w:pStyle w:val="null3"/>
        <w:jc w:val="both"/>
      </w:pPr>
      <w:r>
        <w:rPr>
          <w:sz w:val="24"/>
        </w:rPr>
        <w:t>（</w:t>
      </w:r>
      <w:r>
        <w:rPr>
          <w:sz w:val="24"/>
        </w:rPr>
        <w:t>2）水产品：鳜（桂花鱼）、大菱鲆（多宝鱼）、乌鳢（生鱼）、石斑鱼、黄颡鱼（黄骨鱼）、鲫鱼、罗非鱼、草鱼（鲩鱼）、花鲈、大口黑鲈（加洲鲈）、鳙鱼（大头鱼、花鲢），鲟鱼、黄鳝等鱼类、南美白对虾（白对虾）、斑节对虾、（草虾、竹节虾）、罗氏沼虾（大头虾）等虾类；花甲、白贝、花蛤、蛏子、螺、青口、鲍鱼等贝类。</w:t>
      </w:r>
    </w:p>
    <w:p>
      <w:pPr>
        <w:pStyle w:val="null3"/>
        <w:jc w:val="both"/>
      </w:pPr>
      <w:r>
        <w:rPr>
          <w:sz w:val="24"/>
        </w:rPr>
        <w:t>（</w:t>
      </w:r>
      <w:r>
        <w:rPr>
          <w:sz w:val="24"/>
        </w:rPr>
        <w:t>3）鸡蛋。</w:t>
      </w:r>
    </w:p>
    <w:p>
      <w:pPr>
        <w:pStyle w:val="null3"/>
      </w:pPr>
      <w:r>
        <w:rPr/>
        <w:t>采购包1（食用农产品快筛快检服务采购(含试剂)）</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2025年05月01日至2026年04月30日止。</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第1期为(预付款)：支付比例30%，签订试剂合同、服务合同及服务人员到达服务地30天内，采购人支付成交供应商试剂合同金额的100%、支付成交供应商服务合同金额的30%。</w:t>
            </w:r>
          </w:p>
          <w:p>
            <w:pPr>
              <w:pStyle w:val="null3"/>
            </w:pPr>
            <w:r>
              <w:rPr/>
              <w:t>第2期为(进度款)：支付比例30%，实际完成批次量达到合同签订批次总量的40%，并由成交供应商将完成的农药残留检测、水产品和畜禽产品兽药残留检测总批次汇总形成对账清单交于采购人确认后，采购人支付成交供应商服务合同金额的30%。</w:t>
            </w:r>
          </w:p>
          <w:p>
            <w:pPr>
              <w:pStyle w:val="null3"/>
            </w:pPr>
            <w:r>
              <w:rPr/>
              <w:t>第3期为(尾款)：支付比例40%，实际完成批次量达到服务合同签订总批次总量，且由成交供应商将完成的农药残留检测、水产品和畜禽产品兽药残留检测总批次汇总形成对账清单交于采购人确认后，采购人支付成交供应商服务合同金额的40%。（1）每笔支付款项采购人均应收到成交供应商的服务验收单（首期除外）、等额合法合规增值税发票，在15个工作日内安排付款。 （2）检验费包含检测费（含试剂）、购样费、不合格复检费用和税费等。在总费用不变的情况下，采购人可以根据实际情况对检验计划作调整，成交供应商必须无偿的配合。 （3）因采购人使用的是财政资金，采购人在请款规定的付款时间为向政府采购支付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1期：验收内容 （1）评估工作报告； （2）抽样和检验数据； （3）其他要求的相关资料。</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（一）报价要求，(1)供应商所有价格均应以人民币报价，金额单位为元。 (2)供应商应按照磋商文件采购需求的内容、责任范围以及合同条款进行报价，采购人不再支付除此之外的其它任何费用。</w:t>
            </w:r>
          </w:p>
          <w:p>
            <w:pPr>
              <w:pStyle w:val="null3"/>
            </w:pPr>
            <w:r>
              <w:rPr/>
              <w:t>（二）保密要求，(1)成交供应商在项目实施过程中，对采购人所提供的所有相关资料、数据，未经采购人书面同意不得向任何第三方泄露。且保密责任不因合同的终止或解除而失效。采购人保留因成交供应商泄密而造成的一切损失的追究权利。 (2)成果的归属，本项目的所有成果著作权等知识产权和所有权益归采购人所有。成交供应商不得引用、发表和向第三者提供。 (3)无论发生何种情形（包括但不限于合同提前终止或解除），采购人均有权利用成交供应商的阶段性工作成果，并且采购人引用成交供应商的阶段性工作成果所完成的新的技术成果，属于采购人所有，采购人可依法享有就该项技术成果取得的精神权利、经济权利和其他权利。</w:t>
            </w:r>
          </w:p>
          <w:p>
            <w:pPr>
              <w:pStyle w:val="null3"/>
            </w:pPr>
            <w:r>
              <w:rPr/>
              <w:t>（三）责任义务，（1）严格依据相关法律、法规和国家标准，在委托权范围内开展工作。 （2）本项目涉及的所有检验数据、评估报告只能对采购人提供，成交供应商不得自行对外公布任何评估相关的检验数据和结论性信息，不得将受委托事项再行委托其他单位实施。 （3）主动向采购人提供进度报告、发布进度信息，自觉接受社会各界监督，协助采购人对相关举报投诉进行调查处理。 （4）不得故意隐瞒、修改检验结果。 （5）对评估结果发现存在严重事故隐患和重大安全风险的，应及时向监管机构进行通报。 （6）出现违约行为的，采购人可单方面中止采购，两年内不予委托；出现违法违规行为的，依法追究成交供应商和相关责任人的法律责任。</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食用农产品快筛快检服务采购(含试剂)</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1,408,200.00</w:t>
            </w:r>
          </w:p>
        </w:tc>
        <w:tc>
          <w:tcPr>
            <w:tcW w:type="dxa" w:w="933"/>
          </w:tcPr>
          <w:p>
            <w:pPr>
              <w:pStyle w:val="null3"/>
              <w:jc w:val="right"/>
            </w:pPr>
            <w:r>
              <w:rPr/>
              <w:t>1,408,200.00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食用农产品快筛快检服务采购(含试剂)</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一、工作内容</w:t>
            </w:r>
            <w:r>
              <w:rPr>
                <w:sz w:val="24"/>
              </w:rPr>
              <w:t>根据英德市食用农产品安全状况，按照</w:t>
            </w:r>
            <w:r>
              <w:rPr>
                <w:sz w:val="24"/>
              </w:rPr>
              <w:t>“突出重点、覆盖全面、规范标准、监督落实、追溯责任、数据应用”的工作要求，进一步规范快检工作流程，提升快检工作质量，强化后续跟进处理，督促责任落实，利用大数据分析掌握食用农产品质量安全状况，提升监管工作效能。</w:t>
            </w:r>
          </w:p>
        </w:tc>
      </w:tr>
      <w:tr>
        <w:tc>
          <w:tcPr>
            <w:tcW w:type="dxa" w:w="2076"/>
          </w:tcPr>
          <w:p/>
        </w:tc>
        <w:tc>
          <w:tcPr>
            <w:tcW w:type="dxa" w:w="415"/>
          </w:tcPr>
          <w:p>
            <w:pPr>
              <w:pStyle w:val="null3"/>
            </w:pPr>
            <w:r>
              <w:rPr/>
              <w:t>2</w:t>
            </w:r>
          </w:p>
        </w:tc>
        <w:tc>
          <w:tcPr>
            <w:tcW w:type="dxa" w:w="5814"/>
          </w:tcPr>
          <w:p>
            <w:pPr>
              <w:pStyle w:val="null3"/>
              <w:jc w:val="left"/>
            </w:pPr>
            <w:r>
              <w:rPr>
                <w:sz w:val="24"/>
              </w:rPr>
              <w:t>（一）</w:t>
            </w:r>
            <w:r>
              <w:rPr>
                <w:sz w:val="24"/>
              </w:rPr>
              <w:t>开展快检的经营户和数量计划。</w:t>
            </w:r>
            <w:r>
              <w:rPr>
                <w:sz w:val="24"/>
              </w:rPr>
              <w:t>202</w:t>
            </w:r>
            <w:r>
              <w:rPr>
                <w:sz w:val="24"/>
              </w:rPr>
              <w:t>5</w:t>
            </w:r>
            <w:r>
              <w:rPr>
                <w:sz w:val="24"/>
              </w:rPr>
              <w:t>年开展快检抽查原则上覆盖辖区内所有食用农产品零售市场（无固定开办者或管理者的市场、圩日市场除外），可以扩大至大中型超市、连锁食用农产品销售企业、电商仓储（含配送中心、前置仓）、大型社区周边食用农产品销售者等开展快检抽查。开展快检抽查的经营户计划如下：</w:t>
            </w:r>
          </w:p>
          <w:tbl>
            <w:tblPr>
              <w:tblBorders>
                <w:top w:val="none" w:color="000000" w:sz="4"/>
                <w:left w:val="none" w:color="000000" w:sz="4"/>
                <w:bottom w:val="none" w:color="000000" w:sz="4"/>
                <w:right w:val="none" w:color="000000" w:sz="4"/>
                <w:insideH w:val="none"/>
                <w:insideV w:val="none"/>
              </w:tblBorders>
            </w:tblPr>
            <w:tblGrid>
              <w:gridCol w:w="465"/>
              <w:gridCol w:w="1051"/>
              <w:gridCol w:w="1532"/>
              <w:gridCol w:w="1828"/>
              <w:gridCol w:w="719"/>
            </w:tblGrid>
            <w:tr>
              <w:tc>
                <w:tcPr>
                  <w:tcW w:type="dxa" w:w="465"/>
                  <w:tcBorders>
                    <w:top w:val="single" w:color="000000" w:sz="4"/>
                    <w:left w:val="single" w:color="000000" w:sz="4"/>
                    <w:bottom w:val="single" w:color="000000" w:sz="4"/>
                    <w:right w:val="single" w:color="000000" w:sz="4"/>
                  </w:tcBorders>
                  <w:shd w:fill="DDD9C4"/>
                  <w:tcMar>
                    <w:top w:type="dxa" w:w="0"/>
                    <w:left w:type="dxa" w:w="105"/>
                    <w:bottom w:type="dxa" w:w="0"/>
                    <w:right w:type="dxa" w:w="105"/>
                  </w:tcMar>
                  <w:vAlign w:val="top"/>
                </w:tcPr>
                <w:p>
                  <w:pPr>
                    <w:pStyle w:val="null3"/>
                    <w:jc w:val="center"/>
                  </w:pPr>
                  <w:r>
                    <w:rPr>
                      <w:sz w:val="24"/>
                    </w:rPr>
                    <w:t>序号</w:t>
                  </w:r>
                </w:p>
              </w:tc>
              <w:tc>
                <w:tcPr>
                  <w:tcW w:type="dxa" w:w="1051"/>
                  <w:tcBorders>
                    <w:top w:val="single" w:color="000000" w:sz="4"/>
                    <w:left w:val="none" w:color="000000" w:sz="4"/>
                    <w:bottom w:val="single" w:color="000000" w:sz="4"/>
                    <w:right w:val="single" w:color="000000" w:sz="4"/>
                  </w:tcBorders>
                  <w:shd w:fill="DDD9C4"/>
                  <w:tcMar>
                    <w:top w:type="dxa" w:w="0"/>
                    <w:left w:type="dxa" w:w="105"/>
                    <w:bottom w:type="dxa" w:w="0"/>
                    <w:right w:type="dxa" w:w="105"/>
                  </w:tcMar>
                  <w:vAlign w:val="top"/>
                </w:tcPr>
                <w:p>
                  <w:pPr>
                    <w:pStyle w:val="null3"/>
                    <w:jc w:val="center"/>
                  </w:pPr>
                  <w:r>
                    <w:rPr>
                      <w:sz w:val="24"/>
                    </w:rPr>
                    <w:t>类型</w:t>
                  </w:r>
                </w:p>
              </w:tc>
              <w:tc>
                <w:tcPr>
                  <w:tcW w:type="dxa" w:w="1532"/>
                  <w:tcBorders>
                    <w:top w:val="single" w:color="000000" w:sz="4"/>
                    <w:left w:val="none" w:color="000000" w:sz="4"/>
                    <w:bottom w:val="single" w:color="000000" w:sz="4"/>
                    <w:right w:val="single" w:color="000000" w:sz="4"/>
                  </w:tcBorders>
                  <w:shd w:fill="DDD9C4"/>
                  <w:tcMar>
                    <w:top w:type="dxa" w:w="0"/>
                    <w:left w:type="dxa" w:w="105"/>
                    <w:bottom w:type="dxa" w:w="0"/>
                    <w:right w:type="dxa" w:w="105"/>
                  </w:tcMar>
                  <w:vAlign w:val="top"/>
                </w:tcPr>
                <w:p>
                  <w:pPr>
                    <w:pStyle w:val="null3"/>
                    <w:jc w:val="center"/>
                  </w:pPr>
                  <w:r>
                    <w:rPr>
                      <w:sz w:val="24"/>
                    </w:rPr>
                    <w:t>名称</w:t>
                  </w:r>
                </w:p>
              </w:tc>
              <w:tc>
                <w:tcPr>
                  <w:tcW w:type="dxa" w:w="1828"/>
                  <w:tcBorders>
                    <w:top w:val="single" w:color="000000" w:sz="4"/>
                    <w:left w:val="none" w:color="000000" w:sz="4"/>
                    <w:bottom w:val="single" w:color="000000" w:sz="4"/>
                    <w:right w:val="single" w:color="000000" w:sz="4"/>
                  </w:tcBorders>
                  <w:shd w:fill="DDD9C4"/>
                  <w:tcMar>
                    <w:top w:type="dxa" w:w="0"/>
                    <w:left w:type="dxa" w:w="105"/>
                    <w:bottom w:type="dxa" w:w="0"/>
                    <w:right w:type="dxa" w:w="105"/>
                  </w:tcMar>
                  <w:vAlign w:val="top"/>
                </w:tcPr>
                <w:p>
                  <w:pPr>
                    <w:pStyle w:val="null3"/>
                    <w:jc w:val="center"/>
                  </w:pPr>
                  <w:r>
                    <w:rPr>
                      <w:sz w:val="24"/>
                    </w:rPr>
                    <w:t>地址</w:t>
                  </w:r>
                </w:p>
              </w:tc>
              <w:tc>
                <w:tcPr>
                  <w:tcW w:type="dxa" w:w="719"/>
                  <w:tcBorders>
                    <w:top w:val="single" w:color="000000" w:sz="4"/>
                    <w:left w:val="none" w:color="000000" w:sz="4"/>
                    <w:bottom w:val="single" w:color="000000" w:sz="4"/>
                    <w:right w:val="single" w:color="000000" w:sz="4"/>
                  </w:tcBorders>
                  <w:shd w:fill="DDD9C4"/>
                  <w:tcMar>
                    <w:top w:type="dxa" w:w="0"/>
                    <w:left w:type="dxa" w:w="105"/>
                    <w:bottom w:type="dxa" w:w="0"/>
                    <w:right w:type="dxa" w:w="105"/>
                  </w:tcMar>
                  <w:vAlign w:val="top"/>
                </w:tcPr>
                <w:p>
                  <w:pPr>
                    <w:pStyle w:val="null3"/>
                    <w:jc w:val="center"/>
                  </w:pPr>
                  <w:r>
                    <w:rPr>
                      <w:sz w:val="24"/>
                    </w:rPr>
                    <w:t>辖区所</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零售市场</w:t>
                  </w: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英德市连江口镇爱民豪肉菜市场</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连江口镇浈阳中路</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连江口</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零售市场</w:t>
                  </w: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英德市富民市场</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英城镇富强路</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城中</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零售市场</w:t>
                  </w: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英德市峰光赞传肉菜市场</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英德市峰光路仙水塘村</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城中</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零售市场</w:t>
                  </w: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英德市城西农贸市场</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清远市英德市仙水路</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城中</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零售市场</w:t>
                  </w: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英德市百花市场</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英德市英城百花路</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城中</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零售市场</w:t>
                  </w: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英德市君玉市场</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英德市英城君玉街东长线局西</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城中</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零售市场</w:t>
                  </w: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英德市石灰铺市场</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石灰铺镇德政路</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浛洸</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零售市场</w:t>
                  </w: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英德市浛洸肉菜市场</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浛洸镇聚源西路</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浛洸</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零售市场</w:t>
                  </w: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英德市广英市场</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仙水中路与仙水北路交叉口西北</w:t>
                  </w:r>
                  <w:r>
                    <w:rPr>
                      <w:sz w:val="24"/>
                    </w:rPr>
                    <w:t>200米</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城北</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零售市场</w:t>
                  </w: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英德市仙泉农贸市场</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英德市茶园路</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城北</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零售市场</w:t>
                  </w: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英德市城北肉菜市场</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英德市英城和平北路</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城北</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零售市场</w:t>
                  </w: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英德市黎溪镇黎溪市场</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英德市黎溪镇幸福路</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连江口</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零售市场</w:t>
                  </w: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英德市西牛沿江市场</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西牛镇沿江路</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西牛</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零售市场</w:t>
                  </w: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英德市英华肉菜市场（鸿华市场）</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东华镇英华社区新市场</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东华</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零售市场</w:t>
                  </w: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英德市桥头镇桥新市场</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桥头镇沿江东路</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东华</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零售市场</w:t>
                  </w: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英德市英红为民市场</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英红镇为民路</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英红</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零售市场</w:t>
                  </w: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英德市白沙太平花果山市场</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白沙镇太平街</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白沙</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零售市场</w:t>
                  </w: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英德市望埠肉菜市场</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望埠镇长河大街</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望埠</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零售市场</w:t>
                  </w: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英德市青塘镇青塘市场</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英德市青塘镇利民路</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白沙</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零售市场</w:t>
                  </w: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英德市九龙南门市场</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英德市九龙镇</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九龙</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1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零售市场</w:t>
                  </w: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英德市城南市场</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英德市英城和平南路</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城南</w:t>
                  </w:r>
                </w:p>
              </w:tc>
            </w:tr>
          </w:tbl>
          <w:p>
            <w:pPr>
              <w:pStyle w:val="null3"/>
              <w:jc w:val="both"/>
            </w:pPr>
            <w:r>
              <w:rPr>
                <w:sz w:val="24"/>
              </w:rPr>
              <w:t>注意：快检抽查范围包含但不限于以上经营户。</w:t>
            </w:r>
            <w:r>
              <w:rPr>
                <w:sz w:val="24"/>
              </w:rPr>
              <w:t>2025年5月～2026年4月共需完成食用农产品快检64800批次，每月按进度需完成5400批次食用农产品快筛快检任务。</w:t>
            </w:r>
          </w:p>
        </w:tc>
      </w:tr>
      <w:tr>
        <w:tc>
          <w:tcPr>
            <w:tcW w:type="dxa" w:w="2076"/>
          </w:tcPr>
          <w:p/>
        </w:tc>
        <w:tc>
          <w:tcPr>
            <w:tcW w:type="dxa" w:w="415"/>
          </w:tcPr>
          <w:p>
            <w:pPr>
              <w:pStyle w:val="null3"/>
            </w:pPr>
            <w:r>
              <w:rPr/>
              <w:t>3</w:t>
            </w:r>
          </w:p>
        </w:tc>
        <w:tc>
          <w:tcPr>
            <w:tcW w:type="dxa" w:w="5814"/>
          </w:tcPr>
          <w:p>
            <w:pPr>
              <w:pStyle w:val="null3"/>
              <w:jc w:val="both"/>
            </w:pPr>
            <w:r>
              <w:rPr>
                <w:sz w:val="24"/>
              </w:rPr>
              <w:t>（二）</w:t>
            </w:r>
            <w:r>
              <w:rPr>
                <w:sz w:val="24"/>
              </w:rPr>
              <w:t>开展快检的重点品种和重点项目。参考省局在相关文件中明确的《</w:t>
            </w:r>
            <w:r>
              <w:rPr>
                <w:sz w:val="24"/>
              </w:rPr>
              <w:t>2024年农贸市场</w:t>
            </w:r>
            <w:r>
              <w:rPr>
                <w:sz w:val="24"/>
              </w:rPr>
              <w:t>快检重点项目清单》组织开展快检，原则上检测项目对应重点品种快检批次所占总批次数比例不少</w:t>
            </w:r>
            <w:r>
              <w:rPr>
                <w:sz w:val="24"/>
              </w:rPr>
              <w:t>50%。每个水产品样品原则上检测1个项目，最多不超过2个项目。水产品抽检品种应覆盖市场内售卖的鱼、虾、贝等重点品种。果蔬类产品快检要结合运用酶抑制率法（分光光度法）和胶体金免疫层析法（胶体金试纸条），采取胶体金免疫层析法检测果蔬的批次数量原则上应不少于果蔬实际完成批次数量的50%</w:t>
            </w:r>
          </w:p>
        </w:tc>
      </w:tr>
      <w:tr>
        <w:tc>
          <w:tcPr>
            <w:tcW w:type="dxa" w:w="2076"/>
          </w:tcPr>
          <w:p/>
        </w:tc>
        <w:tc>
          <w:tcPr>
            <w:tcW w:type="dxa" w:w="415"/>
          </w:tcPr>
          <w:p>
            <w:pPr>
              <w:pStyle w:val="null3"/>
            </w:pPr>
            <w:r>
              <w:rPr/>
              <w:t>4</w:t>
            </w:r>
          </w:p>
        </w:tc>
        <w:tc>
          <w:tcPr>
            <w:tcW w:type="dxa" w:w="5814"/>
          </w:tcPr>
          <w:p>
            <w:pPr>
              <w:pStyle w:val="null3"/>
              <w:jc w:val="both"/>
            </w:pPr>
            <w:r>
              <w:rPr>
                <w:sz w:val="24"/>
              </w:rPr>
              <w:t>（三）</w:t>
            </w:r>
            <w:r>
              <w:rPr>
                <w:sz w:val="24"/>
              </w:rPr>
              <w:t>开展快检的任务批次数量要求。</w:t>
            </w:r>
          </w:p>
          <w:p>
            <w:pPr>
              <w:pStyle w:val="null3"/>
              <w:jc w:val="both"/>
            </w:pPr>
            <w:r>
              <w:rPr>
                <w:sz w:val="24"/>
              </w:rPr>
              <w:t>快检总任务批次数量以检验项次统计。</w:t>
            </w:r>
          </w:p>
          <w:p>
            <w:pPr>
              <w:pStyle w:val="null3"/>
              <w:jc w:val="both"/>
            </w:pPr>
            <w:r>
              <w:rPr>
                <w:sz w:val="24"/>
              </w:rPr>
              <w:t>1.</w:t>
            </w:r>
            <w:r>
              <w:rPr>
                <w:sz w:val="24"/>
              </w:rPr>
              <w:t>集中交易市场快检任务批次要求。市场内发现无进货凭证和无承诺达标合格证或者其他质量合格凭证（市场开办者已落实入场查验快检合格除外）的产品，快检人员应当立即报告所在地市场监管部门责令市场开办者依法处理，不得开展快检。零售市场，每月快检任务量原则上不少于</w:t>
            </w:r>
            <w:r>
              <w:rPr>
                <w:sz w:val="24"/>
              </w:rPr>
              <w:t>100批次，长期销售者数量较少的结合实际调整任务批次。零售市场原则上每周开展快检不少于3天。（以上均不含市场开办者自行快检数量） 2．其他食用农产品经营主体快检任务批次要求。在按要求完成对零售市场快检任务的基础上，可以扩大至大中型超市、连锁食用农产品销售企业、电商仓储（含配送中心、前置仓）、大型社区周边食用农产品销售者等开展快检，确保完成计划任务总批次数量。</w:t>
            </w:r>
          </w:p>
          <w:p>
            <w:pPr>
              <w:pStyle w:val="null3"/>
              <w:jc w:val="both"/>
            </w:pPr>
            <w:r>
              <w:rPr>
                <w:sz w:val="24"/>
              </w:rPr>
              <w:t>3.为英德市花生油小作坊集聚区提供花生油快检服务，服务要求：每家每周送检不超过2批次（即总数每周不超过36批次），快检项目包括黄曲霉素B1、酸价和过氧化值3项。</w:t>
            </w:r>
          </w:p>
        </w:tc>
      </w:tr>
      <w:tr>
        <w:tc>
          <w:tcPr>
            <w:tcW w:type="dxa" w:w="2076"/>
          </w:tcPr>
          <w:p/>
        </w:tc>
        <w:tc>
          <w:tcPr>
            <w:tcW w:type="dxa" w:w="415"/>
          </w:tcPr>
          <w:p>
            <w:pPr>
              <w:pStyle w:val="null3"/>
            </w:pPr>
            <w:r>
              <w:rPr/>
              <w:t>5</w:t>
            </w:r>
          </w:p>
        </w:tc>
        <w:tc>
          <w:tcPr>
            <w:tcW w:type="dxa" w:w="5814"/>
          </w:tcPr>
          <w:p>
            <w:pPr>
              <w:pStyle w:val="null3"/>
              <w:jc w:val="both"/>
            </w:pPr>
            <w:r>
              <w:rPr>
                <w:sz w:val="24"/>
              </w:rPr>
              <w:t>（四）</w:t>
            </w:r>
            <w:r>
              <w:rPr>
                <w:sz w:val="24"/>
              </w:rPr>
              <w:t>规范快检操作。</w:t>
            </w:r>
          </w:p>
          <w:p>
            <w:pPr>
              <w:pStyle w:val="null3"/>
              <w:jc w:val="both"/>
            </w:pPr>
            <w:r>
              <w:rPr>
                <w:sz w:val="24"/>
              </w:rPr>
              <w:t>1．组织开展快检技术培训。受委托开展快检的第三方检验机构应做好人员培训工作情况的留存归档。清远市局将对全市监管人员开展快检操作和快检系统上报培训。第三方快检机构要对派出人员上岗前进行相关法律法规、食品采样、操作规程、质量控制以及省快检系统应用等培训，经考核合格后上岗。</w:t>
            </w:r>
          </w:p>
          <w:p>
            <w:pPr>
              <w:pStyle w:val="null3"/>
              <w:jc w:val="both"/>
            </w:pPr>
            <w:r>
              <w:rPr>
                <w:sz w:val="24"/>
              </w:rPr>
              <w:t>2．严格按规范要求开展快检工作。快检第三方根据《关于进一步规范农贸市场快检工作的通知》（粤食药监办食农〔2016〕389号）以及快检设备、快检试剂操作使用方法（有国家规定快速检测方法的不得使用其他方法），按程序、依步骤开展快检，做好抽样、检验、结果记录和公示结果照片记录，做好留样工作，准确填写和妥善保存相关信息记录，确保数据溯源性，以备核查。其中，抽样量原则上不得少于50g，留样时间不得少于48小时。定期对快检设备进行维护或校准，确保快检设备正常工作。</w:t>
            </w:r>
          </w:p>
          <w:p>
            <w:pPr>
              <w:pStyle w:val="null3"/>
              <w:jc w:val="both"/>
            </w:pPr>
            <w:r>
              <w:rPr>
                <w:sz w:val="24"/>
              </w:rPr>
              <w:t>3．严格按标准要求报送快检数据。快检第三方将快检抽查数据、市场开办者的入场查验快检和抽样检验数据于当天内上传至广东省食用农产品市场销售质量安全监管系统，由于停电、设备故障等特殊原因，可在48小时内补录。</w:t>
            </w:r>
          </w:p>
          <w:p>
            <w:pPr>
              <w:pStyle w:val="null3"/>
              <w:jc w:val="both"/>
            </w:pPr>
            <w:r>
              <w:rPr>
                <w:sz w:val="24"/>
              </w:rPr>
              <w:t>4．省局将委托专业机构对快检工作开展监督和质量评价，快检第三方要对质量评价工作中发现的问题及时进行整改，并提交整改报告。</w:t>
            </w:r>
          </w:p>
        </w:tc>
      </w:tr>
      <w:tr>
        <w:tc>
          <w:tcPr>
            <w:tcW w:type="dxa" w:w="2076"/>
          </w:tcPr>
          <w:p/>
        </w:tc>
        <w:tc>
          <w:tcPr>
            <w:tcW w:type="dxa" w:w="415"/>
          </w:tcPr>
          <w:p>
            <w:pPr>
              <w:pStyle w:val="null3"/>
            </w:pPr>
            <w:r>
              <w:rPr/>
              <w:t>6</w:t>
            </w:r>
          </w:p>
        </w:tc>
        <w:tc>
          <w:tcPr>
            <w:tcW w:type="dxa" w:w="5814"/>
          </w:tcPr>
          <w:p>
            <w:pPr>
              <w:pStyle w:val="null3"/>
              <w:jc w:val="both"/>
            </w:pPr>
            <w:r>
              <w:rPr>
                <w:sz w:val="24"/>
              </w:rPr>
              <w:t>（五）</w:t>
            </w:r>
            <w:r>
              <w:rPr>
                <w:sz w:val="24"/>
              </w:rPr>
              <w:t>及时公示快检信息。</w:t>
            </w:r>
          </w:p>
          <w:p>
            <w:pPr>
              <w:pStyle w:val="null3"/>
              <w:jc w:val="both"/>
            </w:pPr>
            <w:r>
              <w:rPr>
                <w:sz w:val="24"/>
              </w:rPr>
              <w:t>原则上应在每天上午</w:t>
            </w:r>
            <w:r>
              <w:rPr>
                <w:sz w:val="24"/>
              </w:rPr>
              <w:t>10:00前完成快检，并将结果送达至相关市场开办者、销售者并及时公示快检结果。协助市场开办者在人流密集的市场出入口等显著位置通过公示栏或电子屏幕等及时公示食用农产品快检结果，包括样品名称、被检测单位名称、生产者或者供应商、检测日期、检测项目（注明俗称）、检测结果、判定结论等信息，应真实、客观、易懂，不得误导消费者，督促经营者自觉把好食用农产品质量安全关。其他市场外的销售者，督促其在门店显著位置进行结果公示。</w:t>
            </w:r>
          </w:p>
        </w:tc>
      </w:tr>
      <w:tr>
        <w:tc>
          <w:tcPr>
            <w:tcW w:type="dxa" w:w="2076"/>
          </w:tcPr>
          <w:p/>
        </w:tc>
        <w:tc>
          <w:tcPr>
            <w:tcW w:type="dxa" w:w="415"/>
          </w:tcPr>
          <w:p>
            <w:pPr>
              <w:pStyle w:val="null3"/>
            </w:pPr>
            <w:r>
              <w:rPr/>
              <w:t>7</w:t>
            </w:r>
          </w:p>
        </w:tc>
        <w:tc>
          <w:tcPr>
            <w:tcW w:type="dxa" w:w="5814"/>
          </w:tcPr>
          <w:p>
            <w:pPr>
              <w:pStyle w:val="null3"/>
              <w:jc w:val="both"/>
            </w:pPr>
            <w:r>
              <w:rPr>
                <w:sz w:val="24"/>
              </w:rPr>
              <w:t>（六）</w:t>
            </w:r>
            <w:r>
              <w:rPr>
                <w:sz w:val="24"/>
              </w:rPr>
              <w:t>加强后续处理。</w:t>
            </w:r>
          </w:p>
          <w:p>
            <w:pPr>
              <w:pStyle w:val="null3"/>
              <w:jc w:val="both"/>
            </w:pPr>
            <w:r>
              <w:rPr>
                <w:sz w:val="24"/>
              </w:rPr>
              <w:t>1．依法处置快检问题产品。集中交易市场内被抽样产品快检结果不合格的，快检第三方应会同市场开办者向经营者送达快检结果告知书，通知经营者立即暂停销售。经营者认可快检结果的，将由市场开办者根据集中交易市场管理规定或者与入场销售者签订的协议进行销毁或者无害化处理，如实记录不合格食用农产品数量、产地、销售者、销毁方式等内容，留存不合格食用农产品销毁影像信息。经营者提出异议的，须在收到快检结果4小时内向监管部门提出，复检应采用监督抽检；申请复检及检验期间，经营者不得继续销售。 集中交易市场外被抽样产品快检结果不合格的，由快检第三方送达不合格结果告知书、按要求公示快检结果并告知其停止销售，经营者认可快检结果的，应当现场监督销毁并记录留存；经营者不认可快检结果的，须在收到快检结果4小时内向监管部门提出，应当委托符合法律规定的检验机构开展检验，检验期间不得继续销售。</w:t>
            </w:r>
          </w:p>
          <w:p>
            <w:pPr>
              <w:pStyle w:val="null3"/>
              <w:jc w:val="both"/>
            </w:pPr>
            <w:r>
              <w:rPr>
                <w:sz w:val="24"/>
              </w:rPr>
              <w:t>2．督促主体责任落实。第三方检测机构要督促快检人员抽样或配合处置快检问题产品时如实记录来源信息，督促食用农产品销售者落实进货查验记录制度，提供承诺达标合格证等合格证明。对有明确来源地、供货者信息和采用国家规定快速检测方法快检发现的问题产品，要及时上报市场监管部门进行信息共享。</w:t>
            </w:r>
          </w:p>
          <w:p>
            <w:pPr>
              <w:pStyle w:val="null3"/>
              <w:jc w:val="both"/>
            </w:pPr>
            <w:r>
              <w:rPr>
                <w:sz w:val="24"/>
              </w:rPr>
              <w:t>3</w:t>
            </w:r>
            <w:r>
              <w:rPr>
                <w:sz w:val="24"/>
              </w:rPr>
              <w:t>.协助市场开办者将市场内食用农产品经营者进销货台账信息及时录入广东省食用农产品市场销售质量安全监管系统。</w:t>
            </w:r>
          </w:p>
          <w:p>
            <w:pPr>
              <w:pStyle w:val="null3"/>
              <w:jc w:val="both"/>
            </w:pPr>
            <w:r>
              <w:rPr>
                <w:sz w:val="24"/>
              </w:rPr>
              <w:t>4</w:t>
            </w:r>
            <w:r>
              <w:rPr>
                <w:sz w:val="24"/>
              </w:rPr>
              <w:t>.协助食用农产品经营者实施承诺达标合格证开具。</w:t>
            </w:r>
          </w:p>
        </w:tc>
      </w:tr>
      <w:tr>
        <w:tc>
          <w:tcPr>
            <w:tcW w:type="dxa" w:w="2076"/>
          </w:tcPr>
          <w:p/>
        </w:tc>
        <w:tc>
          <w:tcPr>
            <w:tcW w:type="dxa" w:w="415"/>
          </w:tcPr>
          <w:p>
            <w:pPr>
              <w:pStyle w:val="null3"/>
            </w:pPr>
            <w:r>
              <w:rPr/>
              <w:t>8</w:t>
            </w:r>
          </w:p>
        </w:tc>
        <w:tc>
          <w:tcPr>
            <w:tcW w:type="dxa" w:w="5814"/>
          </w:tcPr>
          <w:p>
            <w:pPr>
              <w:pStyle w:val="null3"/>
              <w:jc w:val="both"/>
            </w:pPr>
            <w:r>
              <w:rPr>
                <w:sz w:val="24"/>
              </w:rPr>
              <w:t>（七）</w:t>
            </w:r>
            <w:r>
              <w:rPr>
                <w:sz w:val="24"/>
              </w:rPr>
              <w:t>工作承诺</w:t>
            </w:r>
          </w:p>
          <w:p>
            <w:pPr>
              <w:pStyle w:val="null3"/>
              <w:jc w:val="both"/>
            </w:pPr>
            <w:r>
              <w:rPr>
                <w:sz w:val="24"/>
              </w:rPr>
              <w:t>（</w:t>
            </w:r>
            <w:r>
              <w:rPr>
                <w:sz w:val="24"/>
              </w:rPr>
              <w:t>1）加强宣传，营造社会共治氛围，协助英德市市场监督管理局开展食用农产品快检工作及接受市民送检等便民为民服务。每年度开展宣传活动1-2次，因地制宜在重点市场中选择中心城区、人流量大的市场举办推行“快检开放日”活动，更好落实“你点我检”、“你送我检”等工作要求，因时制宜针对如“3.15消费者权益日”等节日推出主题开放活动宣传食品安全快捡工作。(宣传活动所需试剂、人员、耗材、场地布置费等均由供应商承担)</w:t>
            </w:r>
          </w:p>
          <w:p>
            <w:pPr>
              <w:pStyle w:val="null3"/>
              <w:jc w:val="both"/>
            </w:pPr>
            <w:r>
              <w:rPr>
                <w:sz w:val="24"/>
              </w:rPr>
              <w:t>（</w:t>
            </w:r>
            <w:r>
              <w:rPr>
                <w:sz w:val="24"/>
              </w:rPr>
              <w:t>2）其他快检服务内容：为中高考等政府重要活动提供农产品快检服务。为英德市花生油小作坊集聚区提供花生油快检服务，服务要求：每家每周送检不超过2批次（即总数每周不超过36批次），且送检时间规定在上午；快检项目包括黄曲霉素B1、酸价和过氧化值3项。为英德市城南防洪堤食用农产品集散地提供快检服务，服务要求：每个月完成食用农产品快检30批次，且抽样检测需在当天凌晨5点前完成。（此费用包含在总报价中）</w:t>
            </w:r>
          </w:p>
          <w:p>
            <w:pPr>
              <w:pStyle w:val="null3"/>
              <w:jc w:val="both"/>
            </w:pPr>
            <w:r>
              <w:rPr>
                <w:sz w:val="24"/>
              </w:rPr>
              <w:t>（</w:t>
            </w:r>
            <w:r>
              <w:rPr>
                <w:sz w:val="24"/>
              </w:rPr>
              <w:t>3）合同期内重要节日及在采购人辖区内开展的重大活动，供应商无偿配合采购人开展食品应急处置工作。</w:t>
            </w:r>
          </w:p>
          <w:p>
            <w:pPr>
              <w:pStyle w:val="null3"/>
              <w:jc w:val="both"/>
            </w:pPr>
            <w:r>
              <w:rPr>
                <w:sz w:val="24"/>
              </w:rPr>
              <w:t>（</w:t>
            </w:r>
            <w:r>
              <w:rPr>
                <w:sz w:val="24"/>
              </w:rPr>
              <w:t>4）快检工作中采购人可无偿提供快检室现有的设备及工作场地，但是快检设备运行中如出现故障，均由供应商进行维护。快检室所用的水电费、快检结果公示显示屏所产生电费等费用由供应商承担。</w:t>
            </w:r>
          </w:p>
          <w:p>
            <w:pPr>
              <w:pStyle w:val="null3"/>
              <w:jc w:val="both"/>
            </w:pPr>
            <w:r>
              <w:rPr>
                <w:sz w:val="24"/>
              </w:rPr>
              <w:t>（</w:t>
            </w:r>
            <w:r>
              <w:rPr>
                <w:sz w:val="24"/>
              </w:rPr>
              <w:t>5）供应商必须无条件满足检验工作人员购样的费用，购样费用需独立核算，不得与快检工作人员的工资打包统一发放。</w:t>
            </w:r>
          </w:p>
          <w:p>
            <w:pPr>
              <w:pStyle w:val="null3"/>
              <w:jc w:val="both"/>
            </w:pPr>
            <w:r>
              <w:rPr>
                <w:sz w:val="24"/>
              </w:rPr>
              <w:t>（6）留样要求：供应商对当天检测的样品必须按要求进行留样，留样时间不得少于48小时。</w:t>
            </w:r>
          </w:p>
          <w:p>
            <w:pPr>
              <w:pStyle w:val="null3"/>
              <w:jc w:val="both"/>
            </w:pPr>
            <w:r>
              <w:rPr>
                <w:sz w:val="24"/>
              </w:rPr>
              <w:t>（</w:t>
            </w:r>
            <w:r>
              <w:rPr>
                <w:sz w:val="24"/>
              </w:rPr>
              <w:t>7）供应商在参加省级及以上政府部门组织的农贸市场食用农产品快检工作监督及质量评价中，单个市场质量评价不可出现否决项。</w:t>
            </w:r>
          </w:p>
        </w:tc>
      </w:tr>
      <w:tr>
        <w:tc>
          <w:tcPr>
            <w:tcW w:type="dxa" w:w="2076"/>
          </w:tcPr>
          <w:p/>
        </w:tc>
        <w:tc>
          <w:tcPr>
            <w:tcW w:type="dxa" w:w="415"/>
          </w:tcPr>
          <w:p>
            <w:pPr>
              <w:pStyle w:val="null3"/>
            </w:pPr>
            <w:r>
              <w:rPr/>
              <w:t>9</w:t>
            </w:r>
          </w:p>
        </w:tc>
        <w:tc>
          <w:tcPr>
            <w:tcW w:type="dxa" w:w="5814"/>
          </w:tcPr>
          <w:p>
            <w:pPr>
              <w:pStyle w:val="null3"/>
              <w:jc w:val="both"/>
            </w:pPr>
            <w:r>
              <w:rPr>
                <w:sz w:val="24"/>
              </w:rPr>
              <w:t>（八）</w:t>
            </w:r>
            <w:r>
              <w:rPr>
                <w:sz w:val="24"/>
              </w:rPr>
              <w:t>其他要求</w:t>
            </w:r>
          </w:p>
          <w:p>
            <w:pPr>
              <w:pStyle w:val="null3"/>
              <w:jc w:val="both"/>
            </w:pPr>
            <w:r>
              <w:rPr>
                <w:sz w:val="24"/>
              </w:rPr>
              <w:t>1.台账资料：</w:t>
            </w:r>
          </w:p>
          <w:p>
            <w:pPr>
              <w:pStyle w:val="null3"/>
              <w:jc w:val="both"/>
            </w:pPr>
            <w:r>
              <w:rPr>
                <w:sz w:val="24"/>
              </w:rPr>
              <w:t>（</w:t>
            </w:r>
            <w:r>
              <w:rPr>
                <w:sz w:val="24"/>
              </w:rPr>
              <w:t>1）工作报告：每月1日前将前一个月的抽样快检结果进行统计分析，收集问题集中的重点品种、重点区域情况并分析汇总整理成工作月报后报送英德市市场监督管理局。</w:t>
            </w:r>
          </w:p>
          <w:p>
            <w:pPr>
              <w:pStyle w:val="null3"/>
              <w:jc w:val="both"/>
            </w:pPr>
            <w:r>
              <w:rPr>
                <w:sz w:val="24"/>
              </w:rPr>
              <w:t>（</w:t>
            </w:r>
            <w:r>
              <w:rPr>
                <w:sz w:val="24"/>
              </w:rPr>
              <w:t>2）供应商定期检查核对抽样记录，检测记录，阳性产品销毁记录，留样记录。核实无误后每个市场按月份做好装订并保存。</w:t>
            </w:r>
          </w:p>
          <w:p>
            <w:pPr>
              <w:pStyle w:val="null3"/>
              <w:jc w:val="both"/>
            </w:pPr>
            <w:r>
              <w:rPr>
                <w:sz w:val="24"/>
              </w:rPr>
              <w:t>（</w:t>
            </w:r>
            <w:r>
              <w:rPr>
                <w:sz w:val="24"/>
              </w:rPr>
              <w:t>3）销毁后的阳性食用农产品，供应商需对该批次产品整理记录文档，记录好检测结果、经营档口、销毁数量等，并按省局文件要求附上销毁过程照片，做好电子存档。</w:t>
            </w:r>
          </w:p>
          <w:p>
            <w:pPr>
              <w:pStyle w:val="null3"/>
              <w:jc w:val="both"/>
            </w:pPr>
            <w:r>
              <w:rPr>
                <w:sz w:val="24"/>
              </w:rPr>
              <w:t>2.服务标准：（1）供应商应提供详细可操作的项目实施方案与技术设计响应。</w:t>
            </w:r>
          </w:p>
          <w:p>
            <w:pPr>
              <w:pStyle w:val="null3"/>
              <w:jc w:val="both"/>
            </w:pPr>
            <w:r>
              <w:rPr>
                <w:sz w:val="24"/>
              </w:rPr>
              <w:t>（</w:t>
            </w:r>
            <w:r>
              <w:rPr>
                <w:sz w:val="24"/>
              </w:rPr>
              <w:t>2）质量要求：抽检工作体现科学、客观原则，结论客观、公正。被检单位对检查无有效投诉。同时，厉行节约杜绝浪费，提高财政资金使用绩效。</w:t>
            </w:r>
          </w:p>
          <w:p>
            <w:pPr>
              <w:pStyle w:val="null3"/>
              <w:jc w:val="both"/>
            </w:pPr>
            <w:r>
              <w:rPr>
                <w:sz w:val="24"/>
              </w:rPr>
              <w:t>（</w:t>
            </w:r>
            <w:r>
              <w:rPr>
                <w:sz w:val="24"/>
              </w:rPr>
              <w:t>3）工作要求：</w:t>
            </w:r>
          </w:p>
          <w:p>
            <w:pPr>
              <w:pStyle w:val="null3"/>
              <w:jc w:val="both"/>
            </w:pPr>
            <w:r>
              <w:rPr>
                <w:sz w:val="24"/>
              </w:rPr>
              <w:t>3.1为保障服务质量，便于贯彻各项工作要求，供应商需在英德市组建完善的项目团队，投入此项</w:t>
            </w:r>
            <w:r>
              <w:rPr>
                <w:sz w:val="24"/>
              </w:rPr>
              <w:t>目团队</w:t>
            </w:r>
            <w:r>
              <w:rPr>
                <w:sz w:val="24"/>
              </w:rPr>
              <w:t>人员不少于</w:t>
            </w:r>
            <w:r>
              <w:rPr>
                <w:sz w:val="24"/>
              </w:rPr>
              <w:t>18人；3.2快速检验工作小组研究制定具体的工作方案以及实施细则；</w:t>
            </w:r>
          </w:p>
          <w:p>
            <w:pPr>
              <w:pStyle w:val="null3"/>
              <w:jc w:val="both"/>
            </w:pPr>
            <w:r>
              <w:rPr>
                <w:sz w:val="24"/>
              </w:rPr>
              <w:t>3.3对参与该项目的抽样员、检验员及相关工作人员进行培训。</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1.采购代理机构：本项目是指广东弘烨项目管理有限公司，负责整个采购活动的组织，依法负责编制和发布磋商文件，对磋商文件拥有最终的解释权，不以任何身份出任磋商小组成员。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英德市市场监督管理局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代理服务费以本项目预算金额作为计算基数，参考原国家发展计划委员会颁发的计价格[2002]1980号文《招标代理服务收费管理暂行办法》及国家发改委[2003]857号文及发改价格[2011]534号文规定的标准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成交供应商在本项目发布结果公告后3天内，须提供与递交响应文件电子标书内容一致且每页加盖单位公章的纸质文件1套（1正1副）及非加密电子版投标文件U盘（或光盘）1份给采购人（邮寄地址：英德市金子山大道行政服务中心科技馆6楼，联系人：陈小姐，0763-2286168），邮寄外包裹须注明项目名称、项目编号、包号（如有）、供应商名称等能识别其身份的信息，请合理安排时间并及时将快递单号发送至采购代理机构邮箱（gdonghongye@163.com）。</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广东弘烨项目管理有限公司</w:t>
      </w:r>
      <w:r>
        <w:rPr/>
        <w:t>代收。具体操作要求详见</w:t>
      </w:r>
      <w:r>
        <w:rPr/>
        <w:t>广东弘烨项目管理有限公司</w:t>
      </w:r>
      <w:r>
        <w:rPr/>
        <w:t>有关指引，递交事宜请自行咨询</w:t>
      </w:r>
      <w:r>
        <w:rPr/>
        <w:t>广东弘烨项目管理有限公司</w:t>
      </w:r>
      <w:r>
        <w:rPr/>
        <w:t>；请各供应商在响应文件递交截止时间前按须知前附表规定的金额递交至</w:t>
      </w:r>
      <w:r>
        <w:rPr/>
        <w:t>广东弘烨项目管理有限公司</w:t>
      </w:r>
      <w:r>
        <w:rPr/>
        <w:t>，到账情况以开启时</w:t>
      </w:r>
      <w:r>
        <w:rPr/>
        <w:t>广东弘烨项目管理有限公司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张先生</w:t>
      </w:r>
    </w:p>
    <w:p>
      <w:pPr>
        <w:pStyle w:val="null3"/>
        <w:ind w:firstLine="480"/>
      </w:pPr>
      <w:r>
        <w:rPr/>
        <w:t>电话：</w:t>
      </w:r>
      <w:r>
        <w:rPr/>
        <w:t>020-83526065</w:t>
      </w:r>
    </w:p>
    <w:p>
      <w:pPr>
        <w:pStyle w:val="null3"/>
        <w:ind w:firstLine="480"/>
      </w:pPr>
      <w:r>
        <w:rPr/>
        <w:t>传真：</w:t>
      </w:r>
      <w:r>
        <w:rPr/>
        <w:t>020-83526065</w:t>
      </w:r>
    </w:p>
    <w:p>
      <w:pPr>
        <w:pStyle w:val="null3"/>
        <w:ind w:firstLine="480"/>
      </w:pPr>
      <w:r>
        <w:rPr/>
        <w:t>邮箱：</w:t>
      </w:r>
      <w:r>
        <w:rPr/>
        <w:t>guangdonghy@163.com</w:t>
      </w:r>
    </w:p>
    <w:p>
      <w:pPr>
        <w:pStyle w:val="null3"/>
        <w:ind w:firstLine="480"/>
      </w:pPr>
      <w:r>
        <w:rPr/>
        <w:t>地址：</w:t>
      </w:r>
      <w:r>
        <w:rPr/>
        <w:t>广州市越秀区东风中路501-507号东建大厦东部14楼南侧1401-1406房</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政府采购监督管理机构名称：英德市财政局政府采购管理股</w:t>
      </w:r>
    </w:p>
    <w:p>
      <w:pPr>
        <w:pStyle w:val="null3"/>
      </w:pPr>
      <w:r>
        <w:rPr/>
        <w:t>地 址：广东省英德市金子大道一号路财政局大楼903</w:t>
      </w:r>
    </w:p>
    <w:p>
      <w:pPr>
        <w:pStyle w:val="null3"/>
      </w:pPr>
      <w:r>
        <w:rPr/>
        <w:t>电 话：0763-2230007</w:t>
      </w:r>
    </w:p>
    <w:p>
      <w:pPr>
        <w:pStyle w:val="null3"/>
      </w:pPr>
      <w:r>
        <w:rPr/>
        <w:t>邮 编：513000</w:t>
      </w:r>
    </w:p>
    <w:p>
      <w:pPr>
        <w:pStyle w:val="null3"/>
      </w:pPr>
      <w:r>
        <w:rPr/>
        <w:t>传 真：0763-2230007</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食用农产品快筛快检服务采购(含试剂))：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广东弘烨项目管理有限公司</w:t>
      </w:r>
      <w:r>
        <w:rPr/>
        <w:t>统一对外发布。</w:t>
      </w:r>
    </w:p>
    <w:p>
      <w:pPr>
        <w:pStyle w:val="null3"/>
        <w:ind w:firstLine="480"/>
      </w:pPr>
      <w:r>
        <w:rPr/>
        <w:t>（2）对</w:t>
      </w:r>
      <w:r>
        <w:rPr/>
        <w:t>广东弘烨项目管理有限公司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采购包1（食用农产品快筛快检服务采购(含试剂)）：</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采购包1（食用农产品快筛快检服务采购(含试剂)）：</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本项目不属于专门面向中小企业采购的项目（本项目采购标的所属行业：其他未列明行业）。</w:t>
            </w:r>
          </w:p>
        </w:tc>
      </w:tr>
    </w:tbl>
    <w:p>
      <w:pPr>
        <w:pStyle w:val="null3"/>
        <w:ind w:firstLine="480"/>
      </w:pPr>
      <w:r>
        <w:rPr/>
        <w:t>表二符合性审查表：</w:t>
      </w:r>
    </w:p>
    <w:p>
      <w:pPr>
        <w:pStyle w:val="null3"/>
      </w:pPr>
      <w:r>
        <w:rPr/>
        <w:t>采购包1（食用农产品快筛快检服务采购(含试剂)）：</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法定代表人证明书或法定代表人授权书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最后报价是固定价且是唯一的，最后报价未超出最高限价。</w:t>
            </w:r>
          </w:p>
        </w:tc>
      </w:tr>
      <w:tr>
        <w:tc>
          <w:tcPr>
            <w:tcW w:type="dxa" w:w="890"/>
          </w:tcPr>
          <w:p>
            <w:pPr>
              <w:pStyle w:val="null3"/>
            </w:pPr>
            <w:r>
              <w:rPr/>
              <w:t>4</w:t>
            </w:r>
          </w:p>
        </w:tc>
        <w:tc>
          <w:tcPr>
            <w:tcW w:type="dxa" w:w="3178"/>
          </w:tcPr>
          <w:p>
            <w:pPr>
              <w:pStyle w:val="null3"/>
            </w:pPr>
            <w:r>
              <w:rPr/>
              <w:t>代理服务费缴纳承诺函</w:t>
            </w:r>
          </w:p>
        </w:tc>
        <w:tc>
          <w:tcPr>
            <w:tcW w:type="dxa" w:w="4238"/>
          </w:tcPr>
          <w:p>
            <w:pPr>
              <w:pStyle w:val="null3"/>
            </w:pPr>
            <w:r>
              <w:rPr/>
              <w:t>已按磋商文件要求提交代理服务费缴纳承诺函。</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法律、法规和磋商文件规定的其他投标无效情形。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采购包1(食用农产品快筛快检服务采购(含试剂)):</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供应商项目实施方案(针对本项目各项服务管理、组织实施方案、运作流程等进行评分） (12.0分)</w:t>
            </w:r>
          </w:p>
        </w:tc>
        <w:tc>
          <w:tcPr>
            <w:tcW w:type="dxa" w:w="5076"/>
          </w:tcPr>
          <w:p>
            <w:pPr>
              <w:pStyle w:val="null3"/>
              <w:jc w:val="left"/>
            </w:pPr>
            <w:r>
              <w:rPr/>
              <w:t>根据供应商提供的抽检服务实施方案，包括但不限于细则编制、抽样、检验、总结分析、后续服务、人员培训等流程内容进行综合评审： 1.管理、实施方案内容详细，运作流程清晰，人员培训方案合理可行，有利于政府部门监督快检工作，得12分； 2.管理方案基本合理、运作流程基本清晰、人员培训方案基本可行，得10分； 3.管理方案不太合理、运作流程不太清晰、人员培训方案具有一定可行性，得8分； 4.管理方案不清晰、运作流程不清晰、人员培训方案可行性低，得6分； 5.不提供不得分。</w:t>
            </w:r>
          </w:p>
        </w:tc>
      </w:tr>
      <w:tr>
        <w:tc>
          <w:tcPr>
            <w:tcW w:type="dxa" w:w="922"/>
            <w:gridSpan w:val="2"/>
            <w:vMerge/>
          </w:tcPr>
          <w:p/>
        </w:tc>
        <w:tc>
          <w:tcPr>
            <w:tcW w:type="dxa" w:w="2307"/>
          </w:tcPr>
          <w:p>
            <w:pPr>
              <w:pStyle w:val="null3"/>
              <w:jc w:val="left"/>
            </w:pPr>
            <w:r>
              <w:rPr/>
              <w:t>服务承诺和质量保证措施 (10.0分)</w:t>
            </w:r>
          </w:p>
        </w:tc>
        <w:tc>
          <w:tcPr>
            <w:tcW w:type="dxa" w:w="5076"/>
          </w:tcPr>
          <w:p>
            <w:pPr>
              <w:pStyle w:val="null3"/>
              <w:jc w:val="left"/>
            </w:pPr>
            <w:r>
              <w:rPr/>
              <w:t>根据供应商提供的服务承诺和质量保证措施进行评审（服务内容包括：（1）为当地市场监管部门开展中高考等政府重要活动、重大活动提供农产品快检服务；（2）为英德市花生油小作坊集聚区提供花生油快检服务，服务要求：每家每周送检不超过2批次（即总数每周不超过36批次），快检项目包括黄曲霉素B1、酸价和过氧化值3项；服务时间为1年；（3）为英德市城南防洪堤食用农产品集散地提供快检服务，服务要求：每个月完成食用农产品快检30批次，且抽样检测需在当天凌晨5点前完成： 1.提供的服务承诺完善和质量保证措施可靠的得10分； 2.提供的服务承诺基本完善，质量保证措施基本可靠，基本可行的得8分； 3.提供的服务承诺不太完善，质量保证措施不太可靠，具有一定可行的得6分； 4.提供的服务承诺简单，质量保证措施不可靠的得4分。 5.不提供不得分。</w:t>
            </w:r>
          </w:p>
        </w:tc>
      </w:tr>
      <w:tr>
        <w:tc>
          <w:tcPr>
            <w:tcW w:type="dxa" w:w="922"/>
            <w:gridSpan w:val="2"/>
            <w:vMerge/>
          </w:tcPr>
          <w:p/>
        </w:tc>
        <w:tc>
          <w:tcPr>
            <w:tcW w:type="dxa" w:w="2307"/>
          </w:tcPr>
          <w:p>
            <w:pPr>
              <w:pStyle w:val="null3"/>
              <w:jc w:val="left"/>
            </w:pPr>
            <w:r>
              <w:rPr/>
              <w:t>设备配备能力 (7.0分)</w:t>
            </w:r>
          </w:p>
        </w:tc>
        <w:tc>
          <w:tcPr>
            <w:tcW w:type="dxa" w:w="5076"/>
          </w:tcPr>
          <w:p>
            <w:pPr>
              <w:pStyle w:val="null3"/>
              <w:jc w:val="left"/>
            </w:pPr>
            <w:r>
              <w:rPr/>
              <w:t>供应商具有相应的实验室定量确证的检验检测仪设备，满足食品安全检测的：液相色谱-质谱联用仪、气相色谱-质谱联用仪、液相色谱仪、气相色谱仪、电感耦合等离子体质谱仪、原子荧光光度计、原子吸收分光光度计，设备齐全的得7分；设备每缺一种类型的扣1分，扣至0分为止。 评分要求：提供设备发票或租赁证明文件复印件，并加盖供应商公章。</w:t>
            </w:r>
          </w:p>
        </w:tc>
      </w:tr>
      <w:tr>
        <w:tc>
          <w:tcPr>
            <w:tcW w:type="dxa" w:w="922"/>
            <w:gridSpan w:val="2"/>
            <w:vMerge/>
          </w:tcPr>
          <w:p/>
        </w:tc>
        <w:tc>
          <w:tcPr>
            <w:tcW w:type="dxa" w:w="2307"/>
          </w:tcPr>
          <w:p>
            <w:pPr>
              <w:pStyle w:val="null3"/>
              <w:jc w:val="left"/>
            </w:pPr>
            <w:r>
              <w:rPr/>
              <w:t>项目团队人员情况1 (13.0分)</w:t>
            </w:r>
          </w:p>
        </w:tc>
        <w:tc>
          <w:tcPr>
            <w:tcW w:type="dxa" w:w="5076"/>
          </w:tcPr>
          <w:p>
            <w:pPr>
              <w:pStyle w:val="null3"/>
              <w:jc w:val="left"/>
            </w:pPr>
            <w:r>
              <w:rPr/>
              <w:t>1.根据拟派项目负责人素质进行评分： 项目负责人取得食品或农产品质量相关行业高级职称得4分；取得食品或农产品质量相关行业中级职称得2分。 （注：须提供人员相关职称证书和资格证明文件（提供有效的证书复印件或有效的网络查询途径并加盖公章），以及提供本项目响应截止日之前三个月以内任意一个月供应商为其缴纳的社保证明材料复印件，或单位代缴个人所得税税单的复印件，作为证明材料，否则不得分。） 2.拟投入项目团队人员（项目负责人除外）与本项目相关专业（食品类专业、与食品相关质量类、生物类、化学类专业）职称情况评分： （1）投入本项目达10人或以上获得中级职称或以上的，得9分； （2）投入本项目达6-9人获得中级职称或以上的，得6分； （3）投入本项目达3-5人获得中级职称或以上的，得3分； （4）其他情况不得分。 （评分要求：提供①拟投入人员供应商用工证明的复印件（提供以下任意一项即可）： a）由供应商为其购买的本项目投标截止日近三个月以内的任意1个月的社保证明（代缴个税税单或参加社会保险的《投保单》或《社会保险参保人员证明》等证明均可）；b）如果该人员入职供应商单位不足1个月，则提供劳动合同；②提供以上人员职称证明材料。）</w:t>
            </w:r>
          </w:p>
        </w:tc>
      </w:tr>
      <w:tr>
        <w:tc>
          <w:tcPr>
            <w:tcW w:type="dxa" w:w="922"/>
            <w:gridSpan w:val="2"/>
            <w:vMerge/>
          </w:tcPr>
          <w:p/>
        </w:tc>
        <w:tc>
          <w:tcPr>
            <w:tcW w:type="dxa" w:w="2307"/>
          </w:tcPr>
          <w:p>
            <w:pPr>
              <w:pStyle w:val="null3"/>
              <w:jc w:val="left"/>
            </w:pPr>
            <w:r>
              <w:rPr/>
              <w:t>项目团队人员情况2 (3.0分)</w:t>
            </w:r>
          </w:p>
        </w:tc>
        <w:tc>
          <w:tcPr>
            <w:tcW w:type="dxa" w:w="5076"/>
          </w:tcPr>
          <w:p>
            <w:pPr>
              <w:pStyle w:val="null3"/>
              <w:jc w:val="left"/>
            </w:pPr>
            <w:r>
              <w:rPr/>
              <w:t>拟投入项目团队人员情况（项目负责人除外）： 1.拟投入本项目人员达18人或以上，且均获得检验员证的，得3分； 2.拟投入本项目人员达11-17人的，且均获得检验员证的，得2分； 3. 拟投入本项目人员达6～10人的，且均获得检验员证的，得1分； 4.其他情况，不得分。 评分要求：提供①拟投入人员供应商用工证明的复印件（提供以下任意一项即可）： a）由供应商为其购买的本项目投标截止日近三个月以内的任意1个月的社保证明（代缴个税税单或参加社会保险的《投保单》或《社会保险参保人员证明》等证明均可）；b）如果该人员入职供应商单位不足1个月，则提供劳动合同；②提供以上人员检验员证明材料。</w:t>
            </w:r>
          </w:p>
        </w:tc>
      </w:tr>
      <w:tr>
        <w:tc>
          <w:tcPr>
            <w:tcW w:type="dxa" w:w="922"/>
            <w:gridSpan w:val="2"/>
            <w:vMerge/>
          </w:tcPr>
          <w:p/>
        </w:tc>
        <w:tc>
          <w:tcPr>
            <w:tcW w:type="dxa" w:w="2307"/>
          </w:tcPr>
          <w:p>
            <w:pPr>
              <w:pStyle w:val="null3"/>
              <w:jc w:val="left"/>
            </w:pPr>
            <w:r>
              <w:rPr/>
              <w:t>应急服务能力 (5.0分)</w:t>
            </w:r>
          </w:p>
        </w:tc>
        <w:tc>
          <w:tcPr>
            <w:tcW w:type="dxa" w:w="5076"/>
          </w:tcPr>
          <w:p>
            <w:pPr>
              <w:pStyle w:val="null3"/>
              <w:jc w:val="left"/>
            </w:pPr>
            <w:r>
              <w:rPr/>
              <w:t>根据供应商提供的项目应急服务方案（包括但不限于突发事件应急抽检、夜间紧急抽检、突击抽检、特殊情况抽检、专项抽检、服务响应速度等项目内容）进行综合评审： 1.应急服务方案包括以上所提到的所有内容，且方案详细、合理、完整，针对性、可操作性强；服务响应速度快，能及时有效地为采购人提供应急抽检等服务的，得5分； 2.应急服务方案包括以上所提到的所有内容，且方案基本详细、合理、完整，具有基本可操作性；服务响应速度一般的，能满足采购人应急抽检等服务的，得3分； 3.应急服务方案不全或方案单一、内容不够详细、不够全面，服务响应速度不够快的，得1分； 4.没有提供方案的，不得分。</w:t>
            </w:r>
          </w:p>
        </w:tc>
      </w:tr>
      <w:tr>
        <w:tc>
          <w:tcPr>
            <w:tcW w:type="dxa" w:w="922"/>
            <w:gridSpan w:val="2"/>
            <w:vMerge/>
          </w:tcPr>
          <w:p/>
        </w:tc>
        <w:tc>
          <w:tcPr>
            <w:tcW w:type="dxa" w:w="2307"/>
          </w:tcPr>
          <w:p>
            <w:pPr>
              <w:pStyle w:val="null3"/>
              <w:jc w:val="left"/>
            </w:pPr>
            <w:r>
              <w:rPr/>
              <w:t>企业认证证书 (5.0分)</w:t>
            </w:r>
          </w:p>
        </w:tc>
        <w:tc>
          <w:tcPr>
            <w:tcW w:type="dxa" w:w="5076"/>
          </w:tcPr>
          <w:p>
            <w:pPr>
              <w:pStyle w:val="null3"/>
              <w:jc w:val="left"/>
            </w:pPr>
            <w:r>
              <w:rPr/>
              <w:t>供应商取得CMA证书的，得1分；（该项评分以供应商提供有效期内CMA证书复印件为评审依据，否则，该项得分为0） 供应商取得CATL资质的，得1分；（供应商提供证书复印件、官网查询截图，否则不得分） 供应商具有有效期内的质量管理体系（ISO 9001）、食品安全管理体系认证（ISO 22000或HACCP）、售后服务认证（范围包含检测服务），每提供一个得1分，最高得3分。（以上每项需提供证书复印件、官网查询/认证机构确认函，提供不全或不提供的不得分）。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2022年1月1日至今（以合同签订时间为准），供应商具有食用农产品快速检测服务项目业绩，每提供1个得1分，最高得6分。 评分要求：提供快检服务合同复印件。</w:t>
            </w:r>
          </w:p>
        </w:tc>
      </w:tr>
      <w:tr>
        <w:tc>
          <w:tcPr>
            <w:tcW w:type="dxa" w:w="922"/>
            <w:gridSpan w:val="2"/>
            <w:vMerge/>
          </w:tcPr>
          <w:p/>
        </w:tc>
        <w:tc>
          <w:tcPr>
            <w:tcW w:type="dxa" w:w="2307"/>
          </w:tcPr>
          <w:p>
            <w:pPr>
              <w:pStyle w:val="null3"/>
              <w:jc w:val="left"/>
            </w:pPr>
            <w:r>
              <w:rPr/>
              <w:t>快速检测能力 (10.0分)</w:t>
            </w:r>
          </w:p>
        </w:tc>
        <w:tc>
          <w:tcPr>
            <w:tcW w:type="dxa" w:w="5076"/>
          </w:tcPr>
          <w:p>
            <w:pPr>
              <w:pStyle w:val="null3"/>
              <w:jc w:val="left"/>
            </w:pPr>
            <w:r>
              <w:rPr/>
              <w:t>2022年1月1日至今，供应商具备农贸市场快检服务能力。 （1）所服务的单个项目快检工作总量≥64800批次的，得10分； （2）所服务的单个项目快检工作总量≥25000批次，＜64800批次的，得7分； （3）所服务的单个项目快检工作总量≥10000批次，＜25000批次的，得4分； （4）其他情况，得0分。 评分要求：提供①开展项目合同复印件；②年度快检任务完成量的证明材料（信息化系统截图凭证，截图内容包括市场名称、快检任务完成量、时间等信息）。缺两项中任何一项不得分。最高得本项满分。</w:t>
            </w:r>
          </w:p>
        </w:tc>
      </w:tr>
      <w:tr>
        <w:tc>
          <w:tcPr>
            <w:tcW w:type="dxa" w:w="922"/>
            <w:gridSpan w:val="2"/>
            <w:vMerge/>
          </w:tcPr>
          <w:p/>
        </w:tc>
        <w:tc>
          <w:tcPr>
            <w:tcW w:type="dxa" w:w="2307"/>
          </w:tcPr>
          <w:p>
            <w:pPr>
              <w:pStyle w:val="null3"/>
              <w:jc w:val="left"/>
            </w:pPr>
            <w:r>
              <w:rPr/>
              <w:t>供应商能力考核 (10.0分)</w:t>
            </w:r>
          </w:p>
        </w:tc>
        <w:tc>
          <w:tcPr>
            <w:tcW w:type="dxa" w:w="5076"/>
          </w:tcPr>
          <w:p>
            <w:pPr>
              <w:pStyle w:val="null3"/>
              <w:jc w:val="left"/>
            </w:pPr>
            <w:r>
              <w:rPr/>
              <w:t>2022年至今，供应商有参加省级（不含副省级）及以上政府部门组织的农贸市场食用农产品快检工作监督及质量评价，且综合得分≥90分，得10分；2.综合得分≥80＜90，得7分；3.综合得分＜80，得4分；4.其他情况不得分。 评分要求：①政府部门的评价证明文件复印件；②佐证材料能体现得分情况，缺二项中任何一项不得分，最高得10分。</w:t>
            </w:r>
          </w:p>
        </w:tc>
      </w:tr>
      <w:tr>
        <w:tc>
          <w:tcPr>
            <w:tcW w:type="dxa" w:w="922"/>
            <w:gridSpan w:val="2"/>
            <w:vMerge/>
          </w:tcPr>
          <w:p/>
        </w:tc>
        <w:tc>
          <w:tcPr>
            <w:tcW w:type="dxa" w:w="2307"/>
          </w:tcPr>
          <w:p>
            <w:pPr>
              <w:pStyle w:val="null3"/>
              <w:jc w:val="left"/>
            </w:pPr>
            <w:r>
              <w:rPr/>
              <w:t>供应商能力考核 (6.0分)</w:t>
            </w:r>
          </w:p>
        </w:tc>
        <w:tc>
          <w:tcPr>
            <w:tcW w:type="dxa" w:w="5076"/>
          </w:tcPr>
          <w:p>
            <w:pPr>
              <w:pStyle w:val="null3"/>
              <w:jc w:val="left"/>
            </w:pPr>
            <w:r>
              <w:rPr/>
              <w:t>2022年至今，供应商参加省级农产品质量安全检测技术能力验证，考核等级达4个A的，获得1次得2分，最高可得6分。评分要求：提供考核结果证明文件。未提供的，不得分。</w:t>
            </w:r>
          </w:p>
        </w:tc>
      </w:tr>
      <w:tr>
        <w:tc>
          <w:tcPr>
            <w:tcW w:type="dxa" w:w="922"/>
            <w:gridSpan w:val="2"/>
            <w:vMerge/>
          </w:tcPr>
          <w:p/>
        </w:tc>
        <w:tc>
          <w:tcPr>
            <w:tcW w:type="dxa" w:w="2307"/>
          </w:tcPr>
          <w:p>
            <w:pPr>
              <w:pStyle w:val="null3"/>
              <w:jc w:val="left"/>
            </w:pPr>
            <w:r>
              <w:rPr/>
              <w:t>拟投入项目车辆保障 (3.0分)</w:t>
            </w:r>
          </w:p>
        </w:tc>
        <w:tc>
          <w:tcPr>
            <w:tcW w:type="dxa" w:w="5076"/>
          </w:tcPr>
          <w:p>
            <w:pPr>
              <w:pStyle w:val="null3"/>
              <w:jc w:val="left"/>
            </w:pPr>
            <w:r>
              <w:rPr/>
              <w:t>（1）供应商为本项目拟投入车辆3台及以上，得3分； （2）不够3台的，每少一台车辆扣1分， （3）不提供的得0分。 评分要求：提供①供应商自有的，需提供行驶证复印件；租赁的需提供有效的车辆租赁协议复印件、租赁公司的《道路运输经营许可证》或汽车租赁经营备案证明的复印件，车辆年检有效期内的证明文件复印件。租赁协议应当是供应商名义订立；②车辆或快速检测车需提供车辆内外观图片及车牌照片。缺二项中任何一项不得分。快速检测车的发票能体现该车辆是检测车，或行驶证中的信息能体现是专项作业车。</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磋商小组采取随机抽取的方式确定。排名第一的磋商供应商为第一成交候选人，排名第二的磋商供应商为第二成交候选人，排名第三的磋商供应商为第三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both"/>
      </w:pPr>
      <w:r>
        <w:rPr>
          <w:sz w:val="21"/>
        </w:rPr>
        <w:t xml:space="preserve"> </w:t>
      </w:r>
    </w:p>
    <w:p>
      <w:pPr>
        <w:pStyle w:val="null3"/>
        <w:jc w:val="center"/>
      </w:pPr>
      <w:r>
        <w:rPr>
          <w:sz w:val="52"/>
          <w:b/>
        </w:rPr>
        <w:t>合　同　书</w:t>
      </w:r>
    </w:p>
    <w:tbl>
      <w:tblPr>
        <w:tblW w:w="0" w:type="auto"/>
        <w:tblBorders>
          <w:top w:val="none" w:color="000000" w:sz="4"/>
          <w:left w:val="none" w:color="000000" w:sz="4"/>
          <w:bottom w:val="none" w:color="000000" w:sz="4"/>
          <w:right w:val="none" w:color="000000" w:sz="4"/>
          <w:insideH w:val="none"/>
          <w:insideV w:val="none"/>
        </w:tblBorders>
      </w:tblPr>
      <w:tblGrid>
        <w:gridCol w:w="5400"/>
      </w:tblGrid>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采购编号：</w:t>
            </w:r>
            <w:r>
              <w:rPr>
                <w:sz w:val="21"/>
                <w:b/>
                <w:u w:val="single"/>
              </w:rPr>
              <w:t xml:space="preserve">                          </w:t>
            </w: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项目名称：</w:t>
            </w:r>
            <w:r>
              <w:rPr>
                <w:sz w:val="21"/>
                <w:b/>
                <w:u w:val="single"/>
              </w:rPr>
              <w:t xml:space="preserve">                          </w:t>
            </w: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1"/>
          <w:b/>
        </w:rPr>
        <w:t>注：本合同仅为合同的参考文本，合同签订双方可根据项目的具体要求进行修订</w:t>
      </w:r>
      <w:r>
        <w:rPr>
          <w:sz w:val="21"/>
          <w:b/>
        </w:rPr>
        <w:t>，但不得修改实质性条款</w:t>
      </w:r>
      <w:r>
        <w:rPr>
          <w:sz w:val="21"/>
          <w:b/>
        </w:rPr>
        <w:t>。</w:t>
      </w:r>
    </w:p>
    <w:p>
      <w:pPr>
        <w:pStyle w:val="null3"/>
        <w:jc w:val="both"/>
      </w:pPr>
      <w:r>
        <w:rPr>
          <w:sz w:val="24"/>
        </w:rPr>
        <w:t>甲　　方：</w:t>
      </w:r>
    </w:p>
    <w:p>
      <w:pPr>
        <w:pStyle w:val="null3"/>
        <w:jc w:val="both"/>
      </w:pPr>
      <w:r>
        <w:rPr>
          <w:sz w:val="24"/>
        </w:rPr>
        <w:t>电　　话：　</w:t>
      </w:r>
    </w:p>
    <w:p>
      <w:pPr>
        <w:pStyle w:val="null3"/>
        <w:jc w:val="both"/>
      </w:pPr>
      <w:r>
        <w:rPr>
          <w:sz w:val="24"/>
        </w:rPr>
        <w:t>传　　真：</w:t>
      </w:r>
    </w:p>
    <w:p>
      <w:pPr>
        <w:pStyle w:val="null3"/>
        <w:jc w:val="both"/>
      </w:pPr>
      <w:r>
        <w:rPr>
          <w:sz w:val="24"/>
        </w:rPr>
        <w:t>地　　址：</w:t>
      </w:r>
    </w:p>
    <w:p>
      <w:pPr>
        <w:pStyle w:val="null3"/>
        <w:jc w:val="both"/>
      </w:pPr>
      <w:r>
        <w:rPr>
          <w:sz w:val="24"/>
        </w:rPr>
        <w:t>乙　　方：　　　　　　　　　　</w:t>
      </w:r>
    </w:p>
    <w:p>
      <w:pPr>
        <w:pStyle w:val="null3"/>
        <w:jc w:val="both"/>
      </w:pPr>
      <w:r>
        <w:rPr>
          <w:sz w:val="24"/>
        </w:rPr>
        <w:t>电　　话：　　　　　　　　</w:t>
      </w:r>
    </w:p>
    <w:p>
      <w:pPr>
        <w:pStyle w:val="null3"/>
        <w:jc w:val="both"/>
      </w:pPr>
      <w:r>
        <w:rPr>
          <w:sz w:val="24"/>
        </w:rPr>
        <w:t>传　　真：　　　　　　　　</w:t>
      </w:r>
    </w:p>
    <w:p>
      <w:pPr>
        <w:pStyle w:val="null3"/>
        <w:jc w:val="both"/>
      </w:pPr>
      <w:r>
        <w:rPr>
          <w:sz w:val="24"/>
        </w:rPr>
        <w:t>地　　址：　　　　　　　　　　</w:t>
      </w:r>
    </w:p>
    <w:p>
      <w:pPr>
        <w:pStyle w:val="null3"/>
        <w:jc w:val="both"/>
      </w:pPr>
      <w:r>
        <w:rPr>
          <w:sz w:val="24"/>
        </w:rPr>
        <w:t>项目名称：　　　　　　　　　　　　　　　　　　　　　</w:t>
      </w:r>
    </w:p>
    <w:p>
      <w:pPr>
        <w:pStyle w:val="null3"/>
        <w:jc w:val="both"/>
      </w:pPr>
      <w:r>
        <w:rPr>
          <w:sz w:val="24"/>
        </w:rPr>
        <w:t>采购编号：</w:t>
      </w:r>
    </w:p>
    <w:p>
      <w:pPr>
        <w:pStyle w:val="null3"/>
        <w:ind w:firstLine="480"/>
        <w:jc w:val="both"/>
      </w:pPr>
      <w:r>
        <w:rPr>
          <w:sz w:val="24"/>
        </w:rPr>
        <w:t>根据</w:t>
      </w:r>
      <w:r>
        <w:rPr>
          <w:sz w:val="24"/>
          <w:u w:val="single"/>
        </w:rPr>
        <w:t xml:space="preserve">              </w:t>
      </w:r>
      <w:r>
        <w:rPr>
          <w:sz w:val="24"/>
          <w:u w:val="single"/>
        </w:rPr>
        <w:t>项目</w:t>
      </w:r>
      <w:r>
        <w:rPr>
          <w:sz w:val="24"/>
        </w:rPr>
        <w:t>的采购结果，按照《</w:t>
      </w:r>
      <w:r>
        <w:rPr>
          <w:sz w:val="24"/>
        </w:rPr>
        <w:t>中华人民共和国民法典</w:t>
      </w:r>
      <w:r>
        <w:rPr>
          <w:sz w:val="24"/>
        </w:rPr>
        <w:t>》的规定，</w:t>
      </w:r>
      <w:r>
        <w:rPr>
          <w:sz w:val="24"/>
        </w:rPr>
        <w:t>经双方协商，</w:t>
      </w:r>
      <w:r>
        <w:rPr>
          <w:sz w:val="24"/>
        </w:rPr>
        <w:t>本着平等互利和诚实信用的原则，</w:t>
      </w:r>
      <w:r>
        <w:rPr>
          <w:sz w:val="24"/>
        </w:rPr>
        <w:t>一致同意签订本合同如下</w:t>
      </w:r>
      <w:r>
        <w:rPr>
          <w:sz w:val="24"/>
        </w:rPr>
        <w:t>。</w:t>
      </w:r>
    </w:p>
    <w:p>
      <w:pPr>
        <w:pStyle w:val="null3"/>
        <w:jc w:val="both"/>
      </w:pPr>
      <w:r>
        <w:rPr>
          <w:sz w:val="24"/>
          <w:b/>
        </w:rPr>
        <w:t>一、</w:t>
      </w:r>
      <w:r>
        <w:rPr>
          <w:sz w:val="24"/>
          <w:b/>
        </w:rPr>
        <w:t>合同金额</w:t>
      </w:r>
    </w:p>
    <w:p>
      <w:pPr>
        <w:pStyle w:val="null3"/>
        <w:ind w:firstLine="480"/>
        <w:jc w:val="both"/>
      </w:pPr>
      <w:r>
        <w:rPr>
          <w:sz w:val="24"/>
        </w:rPr>
        <w:t>合同金额为（大写）：</w:t>
      </w:r>
      <w:r>
        <w:rPr>
          <w:sz w:val="24"/>
        </w:rPr>
        <w:t>_________________元（￥_______________元）人民币。</w:t>
      </w:r>
    </w:p>
    <w:p>
      <w:pPr>
        <w:pStyle w:val="null3"/>
        <w:jc w:val="both"/>
      </w:pPr>
      <w:r>
        <w:rPr>
          <w:sz w:val="24"/>
          <w:b/>
        </w:rPr>
        <w:t>二、</w:t>
      </w:r>
      <w:r>
        <w:rPr>
          <w:sz w:val="24"/>
          <w:b/>
        </w:rPr>
        <w:t>工作内容</w:t>
      </w:r>
    </w:p>
    <w:p>
      <w:pPr>
        <w:pStyle w:val="null3"/>
        <w:ind w:firstLine="480"/>
        <w:jc w:val="both"/>
      </w:pPr>
      <w:r>
        <w:rPr>
          <w:sz w:val="24"/>
        </w:rPr>
        <w:t>根据英德市食用农产品安全状况，按照</w:t>
      </w:r>
      <w:r>
        <w:rPr>
          <w:sz w:val="24"/>
        </w:rPr>
        <w:t>“突出重点、覆盖全面、规范标准、监督落实、追溯责任、数据应用”的工作要求，进一步规范快检工作流程，提升快检工作质量，强化后续跟进处理，督促责任落实，利用大数据分析掌握食用农产品质量安全状况，提升监管工作效能。</w:t>
      </w:r>
    </w:p>
    <w:p>
      <w:pPr>
        <w:pStyle w:val="null3"/>
        <w:jc w:val="left"/>
      </w:pPr>
      <w:r>
        <w:rPr>
          <w:sz w:val="24"/>
        </w:rPr>
        <w:t>（一）</w:t>
      </w:r>
      <w:r>
        <w:rPr>
          <w:sz w:val="24"/>
        </w:rPr>
        <w:t>开展快检的经营户和数量计划。</w:t>
      </w:r>
      <w:r>
        <w:rPr>
          <w:sz w:val="24"/>
        </w:rPr>
        <w:t>202</w:t>
      </w:r>
      <w:r>
        <w:rPr>
          <w:sz w:val="24"/>
        </w:rPr>
        <w:t>5</w:t>
      </w:r>
      <w:r>
        <w:rPr>
          <w:sz w:val="24"/>
        </w:rPr>
        <w:t>年开展快检抽查原则上覆盖辖区内所有食用农产品零售市场（无固定开办者或管理者的市场、圩日市场除外），可以扩大至大中型超市、连锁食用农产品销售企业、电商仓储（含配送中心、前置仓）、大型社区周边食用农产品销售者等开展快检抽查。开展快检抽查的经营户计划如下：</w:t>
      </w:r>
    </w:p>
    <w:tbl>
      <w:tblPr>
        <w:tblW w:w="0" w:type="auto"/>
        <w:tblBorders>
          <w:top w:val="none" w:color="000000" w:sz="4"/>
          <w:left w:val="none" w:color="000000" w:sz="4"/>
          <w:bottom w:val="none" w:color="000000" w:sz="4"/>
          <w:right w:val="none" w:color="000000" w:sz="4"/>
          <w:insideH w:val="none"/>
          <w:insideV w:val="none"/>
        </w:tblBorders>
      </w:tblPr>
      <w:tblGrid>
        <w:gridCol w:w="689"/>
        <w:gridCol w:w="1560"/>
        <w:gridCol w:w="2274"/>
        <w:gridCol w:w="2713"/>
        <w:gridCol w:w="1066"/>
      </w:tblGrid>
      <w:tr>
        <w:tc>
          <w:tcPr>
            <w:tcW w:type="dxa" w:w="689"/>
            <w:tcBorders>
              <w:top w:val="single" w:color="000000" w:sz="4"/>
              <w:left w:val="single" w:color="000000" w:sz="4"/>
              <w:bottom w:val="single" w:color="000000" w:sz="4"/>
              <w:right w:val="single" w:color="000000" w:sz="4"/>
            </w:tcBorders>
            <w:shd w:fill="DDD9C4"/>
            <w:tcMar>
              <w:top w:type="dxa" w:w="0"/>
              <w:left w:type="dxa" w:w="105"/>
              <w:bottom w:type="dxa" w:w="0"/>
              <w:right w:type="dxa" w:w="105"/>
            </w:tcMar>
            <w:vAlign w:val="top"/>
          </w:tcPr>
          <w:p>
            <w:pPr>
              <w:pStyle w:val="null3"/>
              <w:jc w:val="center"/>
            </w:pPr>
            <w:r>
              <w:rPr>
                <w:sz w:val="24"/>
              </w:rPr>
              <w:t>序号</w:t>
            </w:r>
          </w:p>
        </w:tc>
        <w:tc>
          <w:tcPr>
            <w:tcW w:type="dxa" w:w="1560"/>
            <w:tcBorders>
              <w:top w:val="single" w:color="000000" w:sz="4"/>
              <w:left w:val="none" w:color="000000" w:sz="4"/>
              <w:bottom w:val="single" w:color="000000" w:sz="4"/>
              <w:right w:val="single" w:color="000000" w:sz="4"/>
            </w:tcBorders>
            <w:shd w:fill="DDD9C4"/>
            <w:tcMar>
              <w:top w:type="dxa" w:w="0"/>
              <w:left w:type="dxa" w:w="105"/>
              <w:bottom w:type="dxa" w:w="0"/>
              <w:right w:type="dxa" w:w="105"/>
            </w:tcMar>
            <w:vAlign w:val="top"/>
          </w:tcPr>
          <w:p>
            <w:pPr>
              <w:pStyle w:val="null3"/>
              <w:jc w:val="center"/>
            </w:pPr>
            <w:r>
              <w:rPr>
                <w:sz w:val="24"/>
              </w:rPr>
              <w:t>类型</w:t>
            </w:r>
          </w:p>
        </w:tc>
        <w:tc>
          <w:tcPr>
            <w:tcW w:type="dxa" w:w="2274"/>
            <w:tcBorders>
              <w:top w:val="single" w:color="000000" w:sz="4"/>
              <w:left w:val="none" w:color="000000" w:sz="4"/>
              <w:bottom w:val="single" w:color="000000" w:sz="4"/>
              <w:right w:val="single" w:color="000000" w:sz="4"/>
            </w:tcBorders>
            <w:shd w:fill="DDD9C4"/>
            <w:tcMar>
              <w:top w:type="dxa" w:w="0"/>
              <w:left w:type="dxa" w:w="105"/>
              <w:bottom w:type="dxa" w:w="0"/>
              <w:right w:type="dxa" w:w="105"/>
            </w:tcMar>
            <w:vAlign w:val="top"/>
          </w:tcPr>
          <w:p>
            <w:pPr>
              <w:pStyle w:val="null3"/>
              <w:jc w:val="center"/>
            </w:pPr>
            <w:r>
              <w:rPr>
                <w:sz w:val="24"/>
              </w:rPr>
              <w:t>名称</w:t>
            </w:r>
          </w:p>
        </w:tc>
        <w:tc>
          <w:tcPr>
            <w:tcW w:type="dxa" w:w="2713"/>
            <w:tcBorders>
              <w:top w:val="single" w:color="000000" w:sz="4"/>
              <w:left w:val="none" w:color="000000" w:sz="4"/>
              <w:bottom w:val="single" w:color="000000" w:sz="4"/>
              <w:right w:val="single" w:color="000000" w:sz="4"/>
            </w:tcBorders>
            <w:shd w:fill="DDD9C4"/>
            <w:tcMar>
              <w:top w:type="dxa" w:w="0"/>
              <w:left w:type="dxa" w:w="105"/>
              <w:bottom w:type="dxa" w:w="0"/>
              <w:right w:type="dxa" w:w="105"/>
            </w:tcMar>
            <w:vAlign w:val="top"/>
          </w:tcPr>
          <w:p>
            <w:pPr>
              <w:pStyle w:val="null3"/>
              <w:jc w:val="center"/>
            </w:pPr>
            <w:r>
              <w:rPr>
                <w:sz w:val="24"/>
              </w:rPr>
              <w:t>地址</w:t>
            </w:r>
          </w:p>
        </w:tc>
        <w:tc>
          <w:tcPr>
            <w:tcW w:type="dxa" w:w="1066"/>
            <w:tcBorders>
              <w:top w:val="single" w:color="000000" w:sz="4"/>
              <w:left w:val="none" w:color="000000" w:sz="4"/>
              <w:bottom w:val="single" w:color="000000" w:sz="4"/>
              <w:right w:val="single" w:color="000000" w:sz="4"/>
            </w:tcBorders>
            <w:shd w:fill="DDD9C4"/>
            <w:tcMar>
              <w:top w:type="dxa" w:w="0"/>
              <w:left w:type="dxa" w:w="105"/>
              <w:bottom w:type="dxa" w:w="0"/>
              <w:right w:type="dxa" w:w="105"/>
            </w:tcMar>
            <w:vAlign w:val="top"/>
          </w:tcPr>
          <w:p>
            <w:pPr>
              <w:pStyle w:val="null3"/>
              <w:jc w:val="center"/>
            </w:pPr>
            <w:r>
              <w:rPr>
                <w:sz w:val="24"/>
              </w:rPr>
              <w:t>辖区所</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零售市场</w:t>
            </w:r>
          </w:p>
        </w:tc>
        <w:tc>
          <w:tcPr>
            <w:tcW w:type="dxa" w:w="2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英德市连江口镇爱民豪肉菜市场</w:t>
            </w:r>
          </w:p>
        </w:tc>
        <w:tc>
          <w:tcPr>
            <w:tcW w:type="dxa" w:w="2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连江口镇浈阳中路</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连江口</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零售市场</w:t>
            </w:r>
          </w:p>
        </w:tc>
        <w:tc>
          <w:tcPr>
            <w:tcW w:type="dxa" w:w="2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英德市富民市场</w:t>
            </w:r>
          </w:p>
        </w:tc>
        <w:tc>
          <w:tcPr>
            <w:tcW w:type="dxa" w:w="2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英城镇富强路</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城中</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零售市场</w:t>
            </w:r>
          </w:p>
        </w:tc>
        <w:tc>
          <w:tcPr>
            <w:tcW w:type="dxa" w:w="2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英德市峰光赞传肉菜市场</w:t>
            </w:r>
          </w:p>
        </w:tc>
        <w:tc>
          <w:tcPr>
            <w:tcW w:type="dxa" w:w="2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英德市峰光路仙水塘村</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城中</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零售市场</w:t>
            </w:r>
          </w:p>
        </w:tc>
        <w:tc>
          <w:tcPr>
            <w:tcW w:type="dxa" w:w="2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英德市城西农贸市场</w:t>
            </w:r>
          </w:p>
        </w:tc>
        <w:tc>
          <w:tcPr>
            <w:tcW w:type="dxa" w:w="2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清远市英德市仙水路</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城中</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零售市场</w:t>
            </w:r>
          </w:p>
        </w:tc>
        <w:tc>
          <w:tcPr>
            <w:tcW w:type="dxa" w:w="2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英德市百花市场</w:t>
            </w:r>
          </w:p>
        </w:tc>
        <w:tc>
          <w:tcPr>
            <w:tcW w:type="dxa" w:w="2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英德市英城百花路</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城中</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零售市场</w:t>
            </w:r>
          </w:p>
        </w:tc>
        <w:tc>
          <w:tcPr>
            <w:tcW w:type="dxa" w:w="2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英德市君玉市场</w:t>
            </w:r>
          </w:p>
        </w:tc>
        <w:tc>
          <w:tcPr>
            <w:tcW w:type="dxa" w:w="2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英德市英城君玉街东长线局西</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城中</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零售市场</w:t>
            </w:r>
          </w:p>
        </w:tc>
        <w:tc>
          <w:tcPr>
            <w:tcW w:type="dxa" w:w="2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英德市石灰铺市场</w:t>
            </w:r>
          </w:p>
        </w:tc>
        <w:tc>
          <w:tcPr>
            <w:tcW w:type="dxa" w:w="2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石灰铺镇德政路</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浛洸</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零售市场</w:t>
            </w:r>
          </w:p>
        </w:tc>
        <w:tc>
          <w:tcPr>
            <w:tcW w:type="dxa" w:w="2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英德市浛洸肉菜市场</w:t>
            </w:r>
          </w:p>
        </w:tc>
        <w:tc>
          <w:tcPr>
            <w:tcW w:type="dxa" w:w="2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浛洸镇聚源西路</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浛洸</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零售市场</w:t>
            </w:r>
          </w:p>
        </w:tc>
        <w:tc>
          <w:tcPr>
            <w:tcW w:type="dxa" w:w="2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英德市广英市场</w:t>
            </w:r>
          </w:p>
        </w:tc>
        <w:tc>
          <w:tcPr>
            <w:tcW w:type="dxa" w:w="2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仙水中路与仙水北路交叉口西北</w:t>
            </w:r>
            <w:r>
              <w:rPr>
                <w:sz w:val="24"/>
              </w:rPr>
              <w:t>200米</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城北</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零售市场</w:t>
            </w:r>
          </w:p>
        </w:tc>
        <w:tc>
          <w:tcPr>
            <w:tcW w:type="dxa" w:w="2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英德市仙泉农贸市场</w:t>
            </w:r>
          </w:p>
        </w:tc>
        <w:tc>
          <w:tcPr>
            <w:tcW w:type="dxa" w:w="2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英德市茶园路</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城北</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零售市场</w:t>
            </w:r>
          </w:p>
        </w:tc>
        <w:tc>
          <w:tcPr>
            <w:tcW w:type="dxa" w:w="2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英德市城北肉菜市场</w:t>
            </w:r>
          </w:p>
        </w:tc>
        <w:tc>
          <w:tcPr>
            <w:tcW w:type="dxa" w:w="2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英德市英城和平北路</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城北</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零售市场</w:t>
            </w:r>
          </w:p>
        </w:tc>
        <w:tc>
          <w:tcPr>
            <w:tcW w:type="dxa" w:w="2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英德市黎溪镇黎溪市场</w:t>
            </w:r>
          </w:p>
        </w:tc>
        <w:tc>
          <w:tcPr>
            <w:tcW w:type="dxa" w:w="2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英德市黎溪镇幸福路</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连江口</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零售市场</w:t>
            </w:r>
          </w:p>
        </w:tc>
        <w:tc>
          <w:tcPr>
            <w:tcW w:type="dxa" w:w="2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英德市西牛沿江市场</w:t>
            </w:r>
          </w:p>
        </w:tc>
        <w:tc>
          <w:tcPr>
            <w:tcW w:type="dxa" w:w="2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西牛镇沿江路</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西牛</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零售市场</w:t>
            </w:r>
          </w:p>
        </w:tc>
        <w:tc>
          <w:tcPr>
            <w:tcW w:type="dxa" w:w="2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英德市英华肉菜市场（鸿华市场）</w:t>
            </w:r>
          </w:p>
        </w:tc>
        <w:tc>
          <w:tcPr>
            <w:tcW w:type="dxa" w:w="2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东华镇英华社区新市场</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东华</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零售市场</w:t>
            </w:r>
          </w:p>
        </w:tc>
        <w:tc>
          <w:tcPr>
            <w:tcW w:type="dxa" w:w="2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英德市桥头镇桥新市场</w:t>
            </w:r>
          </w:p>
        </w:tc>
        <w:tc>
          <w:tcPr>
            <w:tcW w:type="dxa" w:w="2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桥头镇沿江东路</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东华</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零售市场</w:t>
            </w:r>
          </w:p>
        </w:tc>
        <w:tc>
          <w:tcPr>
            <w:tcW w:type="dxa" w:w="2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英德市英红为民市场</w:t>
            </w:r>
          </w:p>
        </w:tc>
        <w:tc>
          <w:tcPr>
            <w:tcW w:type="dxa" w:w="2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英红镇为民路</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英红</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零售市场</w:t>
            </w:r>
          </w:p>
        </w:tc>
        <w:tc>
          <w:tcPr>
            <w:tcW w:type="dxa" w:w="2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英德市白沙太平花果山市场</w:t>
            </w:r>
          </w:p>
        </w:tc>
        <w:tc>
          <w:tcPr>
            <w:tcW w:type="dxa" w:w="2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白沙镇太平街</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白沙</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零售市场</w:t>
            </w:r>
          </w:p>
        </w:tc>
        <w:tc>
          <w:tcPr>
            <w:tcW w:type="dxa" w:w="2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英德市望埠肉菜市场</w:t>
            </w:r>
          </w:p>
        </w:tc>
        <w:tc>
          <w:tcPr>
            <w:tcW w:type="dxa" w:w="2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望埠镇长河大街</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望埠</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零售市场</w:t>
            </w:r>
          </w:p>
        </w:tc>
        <w:tc>
          <w:tcPr>
            <w:tcW w:type="dxa" w:w="2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英德市青塘镇青塘市场</w:t>
            </w:r>
          </w:p>
        </w:tc>
        <w:tc>
          <w:tcPr>
            <w:tcW w:type="dxa" w:w="2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英德市青塘镇利民路</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白沙</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零售市场</w:t>
            </w:r>
          </w:p>
        </w:tc>
        <w:tc>
          <w:tcPr>
            <w:tcW w:type="dxa" w:w="2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英德市九龙南门市场</w:t>
            </w:r>
          </w:p>
        </w:tc>
        <w:tc>
          <w:tcPr>
            <w:tcW w:type="dxa" w:w="2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英德市九龙镇</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九龙</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零售市场</w:t>
            </w:r>
          </w:p>
        </w:tc>
        <w:tc>
          <w:tcPr>
            <w:tcW w:type="dxa" w:w="2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英德市城南市场</w:t>
            </w:r>
          </w:p>
        </w:tc>
        <w:tc>
          <w:tcPr>
            <w:tcW w:type="dxa" w:w="2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英德市英城和平南路</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城南</w:t>
            </w:r>
          </w:p>
        </w:tc>
      </w:tr>
    </w:tbl>
    <w:p>
      <w:pPr>
        <w:pStyle w:val="null3"/>
        <w:jc w:val="both"/>
      </w:pPr>
      <w:r>
        <w:rPr>
          <w:sz w:val="24"/>
        </w:rPr>
        <w:t>注意：快检抽查范围包含但不限于以上经营户。</w:t>
      </w:r>
      <w:r>
        <w:rPr>
          <w:sz w:val="24"/>
        </w:rPr>
        <w:t>2025年5月～2026年4月共需完成食用农产品快检64800批次，每月按进度需完成5400批次食用农产品快筛快检任务。</w:t>
      </w:r>
    </w:p>
    <w:p>
      <w:pPr>
        <w:pStyle w:val="null3"/>
        <w:ind w:firstLine="480"/>
        <w:jc w:val="both"/>
      </w:pPr>
      <w:r>
        <w:rPr>
          <w:sz w:val="24"/>
        </w:rPr>
        <w:t>（二）开展快检的重点品种和重点项目。</w:t>
      </w:r>
      <w:r>
        <w:rPr>
          <w:sz w:val="24"/>
        </w:rPr>
        <w:t>参考省局在相关文件中明确的《</w:t>
      </w:r>
      <w:r>
        <w:rPr>
          <w:sz w:val="24"/>
        </w:rPr>
        <w:t>2024年农贸市场</w:t>
      </w:r>
      <w:r>
        <w:rPr>
          <w:sz w:val="24"/>
        </w:rPr>
        <w:t>快检重点项目清单</w:t>
      </w:r>
      <w:r>
        <w:rPr>
          <w:sz w:val="24"/>
        </w:rPr>
        <w:t>》组织开展快检，原则上检测项目对应重点品种快检批次所占总批次数比例不少</w:t>
      </w:r>
      <w:r>
        <w:rPr>
          <w:sz w:val="24"/>
        </w:rPr>
        <w:t>50%。每个水产品样品原则上检测1个项目，最多不超过2个项目。水产品抽检品种应覆盖市场内售卖的鱼、虾、贝等重点品种。果蔬类产品快检要结合运用酶抑制率法（分光光度法）和胶体金免疫层析法（胶体金试纸条），采取胶体金免疫层析法检测果蔬的批次数量原则上应不少于果蔬实际完成批次数量的50%</w:t>
      </w:r>
    </w:p>
    <w:p>
      <w:pPr>
        <w:pStyle w:val="null3"/>
        <w:ind w:firstLine="480"/>
        <w:jc w:val="both"/>
      </w:pPr>
      <w:r>
        <w:rPr>
          <w:sz w:val="24"/>
        </w:rPr>
        <w:t>（三）开展快检的任务批次数量要求。</w:t>
      </w:r>
    </w:p>
    <w:p>
      <w:pPr>
        <w:pStyle w:val="null3"/>
        <w:ind w:firstLine="480"/>
        <w:jc w:val="both"/>
      </w:pPr>
      <w:r>
        <w:rPr>
          <w:sz w:val="24"/>
        </w:rPr>
        <w:t>快检总任务批次数量以检验项次统计。</w:t>
      </w:r>
    </w:p>
    <w:p>
      <w:pPr>
        <w:pStyle w:val="null3"/>
        <w:ind w:firstLine="480"/>
        <w:jc w:val="both"/>
      </w:pPr>
      <w:r>
        <w:rPr>
          <w:sz w:val="24"/>
        </w:rPr>
        <w:t>1.集中交易市场快检任务批次要求。市场内发现无进货凭证和无承诺达标合格证或者其他质量合格凭证（市场开办者已落实入场查验快检合格除外）的产品，快检人员应当立即报告所在地市场监管部门责令市场开办者依法处理，不得开展快检。零售市场，每月快检任务量原则上不少于100批次，长期销售者数量较少的结合实际调整任务批次。零售市场原则上每周开展快检不少于3天。（以上均不含市场开办者自行快检数量） 2．其他食用农产品经营主体快检任务批次要求。在按要求完成对零售市场快检任务的基础上，可以扩大至大中型超市、连锁食用农产品销售企业、电商仓储（含配送中心、前置仓）、大型社区周边食用农产品销售者等开展快检，确保完成计划任务总批次数量。</w:t>
      </w:r>
    </w:p>
    <w:p>
      <w:pPr>
        <w:pStyle w:val="null3"/>
        <w:ind w:firstLine="480"/>
        <w:jc w:val="both"/>
      </w:pPr>
      <w:r>
        <w:rPr>
          <w:sz w:val="24"/>
        </w:rPr>
        <w:t>3.为英德市花生油小作坊集聚区提供花生油快检服务，服务要求：每家每周送检不超过2批次（即总数每周不超过36批次），快检项目包括黄曲霉素B1、酸价和过氧化值3项。</w:t>
      </w:r>
    </w:p>
    <w:p>
      <w:pPr>
        <w:pStyle w:val="null3"/>
        <w:ind w:firstLine="480"/>
        <w:jc w:val="both"/>
      </w:pPr>
      <w:r>
        <w:rPr>
          <w:sz w:val="24"/>
        </w:rPr>
        <w:t>（四）规范快检操作。</w:t>
      </w:r>
    </w:p>
    <w:p>
      <w:pPr>
        <w:pStyle w:val="null3"/>
        <w:ind w:firstLine="480"/>
        <w:jc w:val="both"/>
      </w:pPr>
      <w:r>
        <w:rPr>
          <w:sz w:val="24"/>
        </w:rPr>
        <w:t>1．组织开展快检技术培训。受委托开展快检的第三方检验机构应做好人员培训工作情况的留存归档。清远市局将对全市监管人员开展快检操作和快检系统上报培训。第三方快检机构要对派出人员上岗前进行相关法律法规、食品采样、操作规程、质量控制以及省快检系统应用等培训，经考核合格后上岗。</w:t>
      </w:r>
    </w:p>
    <w:p>
      <w:pPr>
        <w:pStyle w:val="null3"/>
        <w:ind w:firstLine="480"/>
        <w:jc w:val="both"/>
      </w:pPr>
      <w:r>
        <w:rPr>
          <w:sz w:val="24"/>
        </w:rPr>
        <w:t>2．严格按规范要求开展快检工作。快检第三方根据《关于进一步规范农贸市场快检工作的通知》（粤食药监办食农〔2016〕389号）以及快检设备、快检试剂操作使用方法（有国家规定快速检测方法的不得使用其他方法），按程序、依步骤开展快检，做好抽样、检验、结果记录和公示结果照片记录，做好留样工作，准确填写和妥善保存相关信息记录，确保数据溯源性，以备核查。其中，抽样量原则上不得少于50g，留样时间不得少于48小时。定期对快检设备进行维护或校准，确保快检设备正常工作。</w:t>
      </w:r>
    </w:p>
    <w:p>
      <w:pPr>
        <w:pStyle w:val="null3"/>
        <w:ind w:firstLine="480"/>
        <w:jc w:val="both"/>
      </w:pPr>
      <w:r>
        <w:rPr>
          <w:sz w:val="24"/>
        </w:rPr>
        <w:t>3．严格按标准要求报送快检数据。快检第三方将快检抽查数据、市场开办者的入场查验快检和抽样检验数据于当天内上传至广东省食用农产品市场销售质量安全监管系统，由于停电、设备故障等特殊原因，可在48小时内补录。</w:t>
      </w:r>
    </w:p>
    <w:p>
      <w:pPr>
        <w:pStyle w:val="null3"/>
        <w:ind w:firstLine="480"/>
        <w:jc w:val="both"/>
      </w:pPr>
      <w:r>
        <w:rPr>
          <w:sz w:val="24"/>
        </w:rPr>
        <w:t>4．省局将委托专业机构对快检工作开展监督和质量评价，快检第三方要对质量评价工作中发现的问题及时进行整改，并提交整改报告。</w:t>
      </w:r>
    </w:p>
    <w:p>
      <w:pPr>
        <w:pStyle w:val="null3"/>
        <w:ind w:firstLine="480"/>
        <w:jc w:val="both"/>
      </w:pPr>
      <w:r>
        <w:rPr>
          <w:sz w:val="24"/>
        </w:rPr>
        <w:t>（五）及时公示快检信息。</w:t>
      </w:r>
    </w:p>
    <w:p>
      <w:pPr>
        <w:pStyle w:val="null3"/>
        <w:ind w:firstLine="480"/>
        <w:jc w:val="both"/>
      </w:pPr>
      <w:r>
        <w:rPr>
          <w:sz w:val="24"/>
        </w:rPr>
        <w:t>原则上应在每天上午</w:t>
      </w:r>
      <w:r>
        <w:rPr>
          <w:sz w:val="24"/>
        </w:rPr>
        <w:t>10:00前完成快检，并将结果送达至相关市场开办者、销售者并及时公示快检结果。协助市场开办者在人流密集的市场出入口等显著位置通过公示栏或电子屏幕等及时公示食用农产品快检结果，包括样品名称、被检测单位名称、生产者或者</w:t>
      </w:r>
      <w:r>
        <w:rPr>
          <w:sz w:val="24"/>
        </w:rPr>
        <w:t>乙方</w:t>
      </w:r>
      <w:r>
        <w:rPr>
          <w:sz w:val="24"/>
        </w:rPr>
        <w:t>、检测日期、检测项目（注明俗称）、检测结果、判定结论等信息，应真实、客观、易懂，不得误导消费者，督促经营者自觉把好食用农产品质量安全关。其他市场外的销售者，督促其在门店显著位置进行结果公示。</w:t>
      </w:r>
    </w:p>
    <w:p>
      <w:pPr>
        <w:pStyle w:val="null3"/>
        <w:ind w:firstLine="480"/>
        <w:jc w:val="both"/>
      </w:pPr>
      <w:r>
        <w:rPr>
          <w:sz w:val="24"/>
        </w:rPr>
        <w:t>（六）加强后续处理。</w:t>
      </w:r>
    </w:p>
    <w:p>
      <w:pPr>
        <w:pStyle w:val="null3"/>
        <w:ind w:firstLine="480"/>
        <w:jc w:val="both"/>
      </w:pPr>
      <w:r>
        <w:rPr>
          <w:sz w:val="24"/>
        </w:rPr>
        <w:t>1．依法处置快检问题产品。集中交易市场内被抽样产品快检结果不合格的，快检第三方应会同市场开办者向经营者送达快检结果告知书，通知经营者立即暂停销售。经营者认可快检结果的，将由市场开办者根据集中交易市场管理规定或者与入场销售者签订的协议进行销毁或者无害化处理，如实记录不合格食用农产品数量、产地、销售者、销毁方式等内容，留存不合格食用农产品销毁影像信息。经营者提出异议的，须在收到快检结果4小时内向监管部门提出，复检应采用监督抽检；申请复检及检验期间，经营者不得继续销售。 集中交易市场外被抽样产品快检结果不合格的，由快检第三方送达不合格结果告知书、按要求公示快检结果并告知其停止销售，经营者认可快检结果的，应当现场监督销毁并记录留存；经营者不认可快检结果的，须在收到快检结果4小时内向监管部门提出，应当委托符合法律规定的检验机构开展检验，检验期间不得继续销售。</w:t>
      </w:r>
    </w:p>
    <w:p>
      <w:pPr>
        <w:pStyle w:val="null3"/>
        <w:ind w:firstLine="480"/>
        <w:jc w:val="both"/>
      </w:pPr>
      <w:r>
        <w:rPr>
          <w:sz w:val="24"/>
        </w:rPr>
        <w:t>2．督促主体责任落实。第三方检测机构要督促快检人员抽样或配合处置快检问题产品时如实记录来源信息，督促食用农产品销售者落实进货查验记录制度，提供承诺达标合格证等合格证明。对有明确来源地、供货者信息和采用国家规定快速检测方法快检发现的问题产品，要及时上报市场监管部门进行信息共享。</w:t>
      </w:r>
    </w:p>
    <w:p>
      <w:pPr>
        <w:pStyle w:val="null3"/>
        <w:ind w:firstLine="480"/>
        <w:jc w:val="both"/>
      </w:pPr>
      <w:r>
        <w:rPr>
          <w:sz w:val="24"/>
        </w:rPr>
        <w:t>3.协助市场开办者将市场内食用农产品经营者进销货台账信息及时录入广东省食用农产品市场销售质量安全监管系统。 4.协助食用农产品经营者实施承诺达标合格证开具。</w:t>
      </w:r>
    </w:p>
    <w:p>
      <w:pPr>
        <w:pStyle w:val="null3"/>
        <w:ind w:firstLine="480"/>
        <w:jc w:val="both"/>
      </w:pPr>
      <w:r>
        <w:rPr>
          <w:sz w:val="24"/>
        </w:rPr>
        <w:t>（七）工作承诺</w:t>
      </w:r>
    </w:p>
    <w:p>
      <w:pPr>
        <w:pStyle w:val="null3"/>
        <w:ind w:firstLine="480"/>
        <w:jc w:val="both"/>
      </w:pPr>
      <w:r>
        <w:rPr>
          <w:sz w:val="24"/>
        </w:rPr>
        <w:t>（</w:t>
      </w:r>
      <w:r>
        <w:rPr>
          <w:sz w:val="24"/>
        </w:rPr>
        <w:t>1）加强宣传，营造社会共治氛围，协助英德市市场监督管理局开展食用农产品快检工作及接受市民送检等便民为民服务。每年度开展宣传活动1-2次，因地制宜在重点市场中选择中心城区、人流量大的市场举办推行“快检开放日”活动，更好落实“你点我检”、“你送我检”等工作要求，因时制宜针对如“3.15消费者权益日”等节日推出主题开放活动宣传食品安全快捡工作。(宣传活动所需试剂、人员、耗材、场地布置费等均由</w:t>
      </w:r>
      <w:r>
        <w:rPr>
          <w:sz w:val="24"/>
        </w:rPr>
        <w:t>乙方</w:t>
      </w:r>
      <w:r>
        <w:rPr>
          <w:sz w:val="24"/>
        </w:rPr>
        <w:t>承担</w:t>
      </w:r>
      <w:r>
        <w:rPr>
          <w:sz w:val="24"/>
        </w:rPr>
        <w:t>)</w:t>
      </w:r>
    </w:p>
    <w:p>
      <w:pPr>
        <w:pStyle w:val="null3"/>
        <w:ind w:firstLine="480"/>
        <w:jc w:val="both"/>
      </w:pPr>
      <w:r>
        <w:rPr>
          <w:sz w:val="24"/>
        </w:rPr>
        <w:t>（</w:t>
      </w:r>
      <w:r>
        <w:rPr>
          <w:sz w:val="24"/>
        </w:rPr>
        <w:t>2）其他快检服务内容：为中高考等政府重要活动提供农产品快检服务。为英德市花生油小作坊集聚区提供花生油快检服务，服务要求：每家每周送检不超过2批次（即总数每周不超过36批次），且送检时间规定在上午；快检项目包括黄曲霉素B1、酸价和过氧化值3项。为英德市城南防洪堤食用农产品集散地提供快检服务，服务要求：每个月完成食用农产品快检30批次，且抽样检测需在当天凌晨5点前完成。（此费用包含在总报价中）</w:t>
      </w:r>
    </w:p>
    <w:p>
      <w:pPr>
        <w:pStyle w:val="null3"/>
        <w:ind w:firstLine="480"/>
        <w:jc w:val="both"/>
      </w:pPr>
      <w:r>
        <w:rPr>
          <w:sz w:val="24"/>
        </w:rPr>
        <w:t>（</w:t>
      </w:r>
      <w:r>
        <w:rPr>
          <w:sz w:val="24"/>
        </w:rPr>
        <w:t>3）合同期内重要节日及在</w:t>
      </w:r>
      <w:r>
        <w:rPr>
          <w:sz w:val="24"/>
        </w:rPr>
        <w:t>甲方</w:t>
      </w:r>
      <w:r>
        <w:rPr>
          <w:sz w:val="24"/>
        </w:rPr>
        <w:t>辖区内开展的重大活动，</w:t>
      </w:r>
      <w:r>
        <w:rPr>
          <w:sz w:val="24"/>
        </w:rPr>
        <w:t>乙方</w:t>
      </w:r>
      <w:r>
        <w:rPr>
          <w:sz w:val="24"/>
        </w:rPr>
        <w:t>无偿配合</w:t>
      </w:r>
      <w:r>
        <w:rPr>
          <w:sz w:val="24"/>
        </w:rPr>
        <w:t>甲方</w:t>
      </w:r>
      <w:r>
        <w:rPr>
          <w:sz w:val="24"/>
        </w:rPr>
        <w:t>开展食品应急处置工作。</w:t>
      </w:r>
    </w:p>
    <w:p>
      <w:pPr>
        <w:pStyle w:val="null3"/>
        <w:ind w:firstLine="480"/>
        <w:jc w:val="both"/>
      </w:pPr>
      <w:r>
        <w:rPr>
          <w:sz w:val="24"/>
        </w:rPr>
        <w:t>（</w:t>
      </w:r>
      <w:r>
        <w:rPr>
          <w:sz w:val="24"/>
        </w:rPr>
        <w:t>4）快检工作中</w:t>
      </w:r>
      <w:r>
        <w:rPr>
          <w:sz w:val="24"/>
        </w:rPr>
        <w:t>甲方</w:t>
      </w:r>
      <w:r>
        <w:rPr>
          <w:sz w:val="24"/>
        </w:rPr>
        <w:t>可无偿提供快检室现有的设备及工作场地，但是快检设备运行中如出现故障，均由</w:t>
      </w:r>
      <w:r>
        <w:rPr>
          <w:sz w:val="24"/>
        </w:rPr>
        <w:t>乙方</w:t>
      </w:r>
      <w:r>
        <w:rPr>
          <w:sz w:val="24"/>
        </w:rPr>
        <w:t>进行维护。快检室所用的水电费、快检结果公示显示屏所产生电费等费用由</w:t>
      </w:r>
      <w:r>
        <w:rPr>
          <w:sz w:val="24"/>
        </w:rPr>
        <w:t>乙方</w:t>
      </w:r>
      <w:r>
        <w:rPr>
          <w:sz w:val="24"/>
        </w:rPr>
        <w:t>承担。</w:t>
      </w:r>
    </w:p>
    <w:p>
      <w:pPr>
        <w:pStyle w:val="null3"/>
        <w:ind w:firstLine="480"/>
        <w:jc w:val="both"/>
      </w:pPr>
      <w:r>
        <w:rPr>
          <w:sz w:val="24"/>
        </w:rPr>
        <w:t>（</w:t>
      </w:r>
      <w:r>
        <w:rPr>
          <w:sz w:val="24"/>
        </w:rPr>
        <w:t>5）</w:t>
      </w:r>
      <w:r>
        <w:rPr>
          <w:sz w:val="24"/>
        </w:rPr>
        <w:t>乙方</w:t>
      </w:r>
      <w:r>
        <w:rPr>
          <w:sz w:val="24"/>
        </w:rPr>
        <w:t>必须无条件满足检验工作人员购样的费用，购样费用需独立核算，不得与快检工作人员的工资打包统一发放。</w:t>
      </w:r>
      <w:r>
        <w:rPr>
          <w:sz w:val="24"/>
        </w:rPr>
        <w:t>（</w:t>
      </w:r>
      <w:r>
        <w:rPr>
          <w:sz w:val="24"/>
        </w:rPr>
        <w:t>6）留样要求：</w:t>
      </w:r>
      <w:r>
        <w:rPr>
          <w:sz w:val="24"/>
        </w:rPr>
        <w:t>乙方</w:t>
      </w:r>
      <w:r>
        <w:rPr>
          <w:sz w:val="24"/>
        </w:rPr>
        <w:t>对当天检测的样品必须按要求进行留样，留样时间不得少于</w:t>
      </w:r>
      <w:r>
        <w:rPr>
          <w:sz w:val="24"/>
        </w:rPr>
        <w:t>48小时。</w:t>
      </w:r>
    </w:p>
    <w:p>
      <w:pPr>
        <w:pStyle w:val="null3"/>
        <w:ind w:firstLine="480"/>
        <w:jc w:val="both"/>
      </w:pPr>
      <w:r>
        <w:rPr>
          <w:sz w:val="24"/>
        </w:rPr>
        <w:t>（</w:t>
      </w:r>
      <w:r>
        <w:rPr>
          <w:sz w:val="24"/>
        </w:rPr>
        <w:t>7）</w:t>
      </w:r>
      <w:r>
        <w:rPr>
          <w:sz w:val="24"/>
        </w:rPr>
        <w:t>乙方</w:t>
      </w:r>
      <w:r>
        <w:rPr>
          <w:sz w:val="24"/>
        </w:rPr>
        <w:t>在参加省级及以上政府部门组织的农贸市场食用农产品快检工作监督及质量评价中，单个市场质量评价不可出现否决项。</w:t>
      </w:r>
    </w:p>
    <w:p>
      <w:pPr>
        <w:pStyle w:val="null3"/>
        <w:ind w:firstLine="480"/>
        <w:jc w:val="both"/>
      </w:pPr>
      <w:r>
        <w:rPr>
          <w:sz w:val="24"/>
        </w:rPr>
        <w:t>（八）其他要求</w:t>
      </w:r>
    </w:p>
    <w:p>
      <w:pPr>
        <w:pStyle w:val="null3"/>
        <w:ind w:firstLine="480"/>
        <w:jc w:val="both"/>
      </w:pPr>
      <w:r>
        <w:rPr>
          <w:sz w:val="24"/>
        </w:rPr>
        <w:t>1.台账资料：</w:t>
      </w:r>
    </w:p>
    <w:p>
      <w:pPr>
        <w:pStyle w:val="null3"/>
        <w:ind w:firstLine="480"/>
        <w:jc w:val="both"/>
      </w:pPr>
      <w:r>
        <w:rPr>
          <w:sz w:val="24"/>
        </w:rPr>
        <w:t>（</w:t>
      </w:r>
      <w:r>
        <w:rPr>
          <w:sz w:val="24"/>
        </w:rPr>
        <w:t>1）工作报告：每月1日前将前一个月的抽样快检结果进行统计分析，收集问题集中的重点品种、重点区域情况并分析汇总整理成工作月报后报送英德市市场监督管理局。</w:t>
      </w:r>
    </w:p>
    <w:p>
      <w:pPr>
        <w:pStyle w:val="null3"/>
        <w:ind w:firstLine="480"/>
        <w:jc w:val="both"/>
      </w:pPr>
      <w:r>
        <w:rPr>
          <w:sz w:val="24"/>
        </w:rPr>
        <w:t>（</w:t>
      </w:r>
      <w:r>
        <w:rPr>
          <w:sz w:val="24"/>
        </w:rPr>
        <w:t>2）</w:t>
      </w:r>
      <w:r>
        <w:rPr>
          <w:sz w:val="24"/>
        </w:rPr>
        <w:t>乙方</w:t>
      </w:r>
      <w:r>
        <w:rPr>
          <w:sz w:val="24"/>
        </w:rPr>
        <w:t>定期检查核对抽样记录，检测记录，阳性产品销毁记录，留样记录。核实无误后每个市场按月份做好装订并保存。</w:t>
      </w:r>
    </w:p>
    <w:p>
      <w:pPr>
        <w:pStyle w:val="null3"/>
        <w:ind w:firstLine="480"/>
        <w:jc w:val="both"/>
      </w:pPr>
      <w:r>
        <w:rPr>
          <w:sz w:val="24"/>
        </w:rPr>
        <w:t>（</w:t>
      </w:r>
      <w:r>
        <w:rPr>
          <w:sz w:val="24"/>
        </w:rPr>
        <w:t>3）销毁后的阳性食用农产品，</w:t>
      </w:r>
      <w:r>
        <w:rPr>
          <w:sz w:val="24"/>
        </w:rPr>
        <w:t>乙方</w:t>
      </w:r>
      <w:r>
        <w:rPr>
          <w:sz w:val="24"/>
        </w:rPr>
        <w:t>需对该批次产品整理记录文档，记录好检测结果、经营档口、销毁数量等，并按省局文件要求附上销毁过程照片，做好电子存档。</w:t>
      </w:r>
    </w:p>
    <w:p>
      <w:pPr>
        <w:pStyle w:val="null3"/>
        <w:ind w:firstLine="480"/>
        <w:jc w:val="both"/>
      </w:pPr>
      <w:r>
        <w:rPr>
          <w:sz w:val="24"/>
        </w:rPr>
        <w:t>2.服务标准：（1）</w:t>
      </w:r>
      <w:r>
        <w:rPr>
          <w:sz w:val="24"/>
        </w:rPr>
        <w:t>乙方</w:t>
      </w:r>
      <w:r>
        <w:rPr>
          <w:sz w:val="24"/>
        </w:rPr>
        <w:t>应提供详细可操作的项目实施方案与技术设计响应。</w:t>
      </w:r>
    </w:p>
    <w:p>
      <w:pPr>
        <w:pStyle w:val="null3"/>
        <w:ind w:firstLine="480"/>
        <w:jc w:val="both"/>
      </w:pPr>
      <w:r>
        <w:rPr>
          <w:sz w:val="24"/>
        </w:rPr>
        <w:t>（</w:t>
      </w:r>
      <w:r>
        <w:rPr>
          <w:sz w:val="24"/>
        </w:rPr>
        <w:t>2）质量要求：抽检工作体现科学、客观原则，结论客观、公正。被检单位对检查无有效投诉。同时，厉行节约杜绝浪费，提高财政资金使用绩效。</w:t>
      </w:r>
    </w:p>
    <w:p>
      <w:pPr>
        <w:pStyle w:val="null3"/>
        <w:ind w:firstLine="480"/>
        <w:jc w:val="both"/>
      </w:pPr>
      <w:r>
        <w:rPr>
          <w:sz w:val="24"/>
        </w:rPr>
        <w:t>（</w:t>
      </w:r>
      <w:r>
        <w:rPr>
          <w:sz w:val="24"/>
        </w:rPr>
        <w:t>3）工作要求：</w:t>
      </w:r>
    </w:p>
    <w:p>
      <w:pPr>
        <w:pStyle w:val="null3"/>
        <w:ind w:firstLine="480"/>
        <w:jc w:val="both"/>
      </w:pPr>
      <w:r>
        <w:rPr>
          <w:sz w:val="24"/>
        </w:rPr>
        <w:t>3.1为保障服务质量，便于贯彻各项工作要求，</w:t>
      </w:r>
      <w:r>
        <w:rPr>
          <w:sz w:val="24"/>
        </w:rPr>
        <w:t>乙方</w:t>
      </w:r>
      <w:r>
        <w:rPr>
          <w:sz w:val="24"/>
        </w:rPr>
        <w:t>需在英德市组建完善的项目团队，</w:t>
      </w:r>
      <w:r>
        <w:rPr>
          <w:sz w:val="24"/>
        </w:rPr>
        <w:t>投入此项</w:t>
      </w:r>
      <w:r>
        <w:rPr>
          <w:sz w:val="24"/>
        </w:rPr>
        <w:t>目团队</w:t>
      </w:r>
      <w:r>
        <w:rPr>
          <w:sz w:val="24"/>
        </w:rPr>
        <w:t>人员不少于</w:t>
      </w:r>
      <w:r>
        <w:rPr>
          <w:sz w:val="24"/>
        </w:rPr>
        <w:t>18人</w:t>
      </w:r>
      <w:r>
        <w:rPr>
          <w:sz w:val="24"/>
        </w:rPr>
        <w:t>；</w:t>
      </w:r>
    </w:p>
    <w:p>
      <w:pPr>
        <w:pStyle w:val="null3"/>
        <w:ind w:firstLine="480"/>
        <w:jc w:val="both"/>
      </w:pPr>
      <w:r>
        <w:rPr>
          <w:sz w:val="24"/>
        </w:rPr>
        <w:t>3.2快速检验工作小组研究制定具体的工作方案以及实施细则；</w:t>
      </w:r>
    </w:p>
    <w:p>
      <w:pPr>
        <w:pStyle w:val="null3"/>
        <w:ind w:firstLine="480"/>
        <w:jc w:val="both"/>
      </w:pPr>
      <w:r>
        <w:rPr>
          <w:sz w:val="24"/>
        </w:rPr>
        <w:t>3.3对参与该项目的抽样员、检验员及相关工作人员进行培训。</w:t>
      </w:r>
    </w:p>
    <w:p>
      <w:pPr>
        <w:pStyle w:val="null3"/>
        <w:jc w:val="both"/>
      </w:pPr>
      <w:r>
        <w:rPr>
          <w:sz w:val="24"/>
          <w:b/>
        </w:rPr>
        <w:t>三、付款方式</w:t>
      </w:r>
    </w:p>
    <w:p>
      <w:pPr>
        <w:pStyle w:val="null3"/>
        <w:ind w:firstLine="480"/>
        <w:jc w:val="both"/>
      </w:pPr>
      <w:r>
        <w:rPr>
          <w:sz w:val="24"/>
        </w:rPr>
        <w:t>1、签订试剂合同、服务合同</w:t>
      </w:r>
      <w:r>
        <w:rPr>
          <w:sz w:val="24"/>
        </w:rPr>
        <w:t>及服务人员到达服务地</w:t>
      </w:r>
      <w:r>
        <w:rPr>
          <w:sz w:val="24"/>
        </w:rPr>
        <w:t>30天内，</w:t>
      </w:r>
      <w:r>
        <w:rPr>
          <w:sz w:val="24"/>
        </w:rPr>
        <w:t>甲方支付乙方试剂合同金额的</w:t>
      </w:r>
      <w:r>
        <w:rPr>
          <w:sz w:val="24"/>
        </w:rPr>
        <w:t>100%、</w:t>
      </w:r>
      <w:r>
        <w:rPr>
          <w:sz w:val="24"/>
        </w:rPr>
        <w:t>支付</w:t>
      </w:r>
      <w:r>
        <w:rPr>
          <w:sz w:val="24"/>
        </w:rPr>
        <w:t>乙方服务</w:t>
      </w:r>
      <w:r>
        <w:rPr>
          <w:sz w:val="24"/>
        </w:rPr>
        <w:t>合同金额的</w:t>
      </w:r>
      <w:r>
        <w:rPr>
          <w:sz w:val="24"/>
        </w:rPr>
        <w:t>30%；</w:t>
      </w:r>
    </w:p>
    <w:p>
      <w:pPr>
        <w:pStyle w:val="null3"/>
        <w:ind w:firstLine="480"/>
        <w:jc w:val="both"/>
      </w:pPr>
      <w:r>
        <w:rPr>
          <w:sz w:val="24"/>
        </w:rPr>
        <w:t>2、</w:t>
      </w:r>
      <w:r>
        <w:rPr>
          <w:sz w:val="24"/>
        </w:rPr>
        <w:t>实际完成批次量达到合同签订批次总量的</w:t>
      </w:r>
      <w:r>
        <w:rPr>
          <w:sz w:val="24"/>
        </w:rPr>
        <w:t>4</w:t>
      </w:r>
      <w:r>
        <w:rPr>
          <w:sz w:val="24"/>
        </w:rPr>
        <w:t>0%，并由</w:t>
      </w:r>
      <w:r>
        <w:rPr>
          <w:sz w:val="24"/>
        </w:rPr>
        <w:t>乙方</w:t>
      </w:r>
      <w:r>
        <w:rPr>
          <w:sz w:val="24"/>
        </w:rPr>
        <w:t>将完成的农药残留检测、水产品和畜禽产品兽药残留检测总批次汇总形成对账清单交于</w:t>
      </w:r>
      <w:r>
        <w:rPr>
          <w:sz w:val="24"/>
        </w:rPr>
        <w:t>甲方</w:t>
      </w:r>
      <w:r>
        <w:rPr>
          <w:sz w:val="24"/>
        </w:rPr>
        <w:t>确认后，</w:t>
      </w:r>
      <w:r>
        <w:rPr>
          <w:sz w:val="24"/>
        </w:rPr>
        <w:t>甲方</w:t>
      </w:r>
      <w:r>
        <w:rPr>
          <w:sz w:val="24"/>
        </w:rPr>
        <w:t>支付</w:t>
      </w:r>
      <w:r>
        <w:rPr>
          <w:sz w:val="24"/>
        </w:rPr>
        <w:t>乙方服务</w:t>
      </w:r>
      <w:r>
        <w:rPr>
          <w:sz w:val="24"/>
        </w:rPr>
        <w:t>合同金额的</w:t>
      </w:r>
      <w:r>
        <w:rPr>
          <w:sz w:val="24"/>
        </w:rPr>
        <w:t>30%；</w:t>
      </w:r>
    </w:p>
    <w:p>
      <w:pPr>
        <w:pStyle w:val="null3"/>
        <w:ind w:firstLine="480"/>
        <w:jc w:val="both"/>
      </w:pPr>
      <w:r>
        <w:rPr>
          <w:sz w:val="24"/>
        </w:rPr>
        <w:t>3、</w:t>
      </w:r>
      <w:r>
        <w:rPr>
          <w:sz w:val="24"/>
        </w:rPr>
        <w:t>实际完成批次量达到</w:t>
      </w:r>
      <w:r>
        <w:rPr>
          <w:sz w:val="24"/>
        </w:rPr>
        <w:t>服务</w:t>
      </w:r>
      <w:r>
        <w:rPr>
          <w:sz w:val="24"/>
        </w:rPr>
        <w:t>合同签订总批次总量，且由</w:t>
      </w:r>
      <w:r>
        <w:rPr>
          <w:sz w:val="24"/>
        </w:rPr>
        <w:t>乙方</w:t>
      </w:r>
      <w:r>
        <w:rPr>
          <w:sz w:val="24"/>
        </w:rPr>
        <w:t>将完成的农药残留检测、水产品和畜禽产品兽药残留检测总批次汇总形成对账清单交于</w:t>
      </w:r>
      <w:r>
        <w:rPr>
          <w:sz w:val="24"/>
        </w:rPr>
        <w:t>甲方</w:t>
      </w:r>
      <w:r>
        <w:rPr>
          <w:sz w:val="24"/>
        </w:rPr>
        <w:t>确认后，</w:t>
      </w:r>
      <w:r>
        <w:rPr>
          <w:sz w:val="24"/>
        </w:rPr>
        <w:t>甲方</w:t>
      </w:r>
      <w:r>
        <w:rPr>
          <w:sz w:val="24"/>
        </w:rPr>
        <w:t>支付</w:t>
      </w:r>
      <w:r>
        <w:rPr>
          <w:sz w:val="24"/>
        </w:rPr>
        <w:t>乙方服务</w:t>
      </w:r>
      <w:r>
        <w:rPr>
          <w:sz w:val="24"/>
        </w:rPr>
        <w:t>合同金额的</w:t>
      </w:r>
      <w:r>
        <w:rPr>
          <w:sz w:val="24"/>
        </w:rPr>
        <w:t>40%。</w:t>
      </w:r>
    </w:p>
    <w:p>
      <w:pPr>
        <w:pStyle w:val="null3"/>
        <w:ind w:firstLine="480"/>
        <w:jc w:val="both"/>
      </w:pPr>
      <w:r>
        <w:rPr>
          <w:sz w:val="24"/>
        </w:rPr>
        <w:t>（</w:t>
      </w:r>
      <w:r>
        <w:rPr>
          <w:sz w:val="24"/>
        </w:rPr>
        <w:t>1）</w:t>
      </w:r>
      <w:r>
        <w:rPr>
          <w:sz w:val="24"/>
        </w:rPr>
        <w:t>每笔支付款项</w:t>
      </w:r>
      <w:r>
        <w:rPr>
          <w:sz w:val="24"/>
        </w:rPr>
        <w:t>甲方</w:t>
      </w:r>
      <w:r>
        <w:rPr>
          <w:sz w:val="24"/>
        </w:rPr>
        <w:t>均应收到</w:t>
      </w:r>
      <w:r>
        <w:rPr>
          <w:sz w:val="24"/>
        </w:rPr>
        <w:t>乙方</w:t>
      </w:r>
      <w:r>
        <w:rPr>
          <w:sz w:val="24"/>
        </w:rPr>
        <w:t>的服务验收单（首期除外）、等额合法合规增值税发票，在</w:t>
      </w:r>
      <w:r>
        <w:rPr>
          <w:sz w:val="24"/>
        </w:rPr>
        <w:t>15个工作日内安排付款。</w:t>
      </w:r>
    </w:p>
    <w:p>
      <w:pPr>
        <w:pStyle w:val="null3"/>
        <w:ind w:firstLine="480"/>
        <w:jc w:val="both"/>
      </w:pPr>
      <w:r>
        <w:rPr>
          <w:sz w:val="24"/>
        </w:rPr>
        <w:t>（</w:t>
      </w:r>
      <w:r>
        <w:rPr>
          <w:sz w:val="24"/>
        </w:rPr>
        <w:t>2）</w:t>
      </w:r>
      <w:r>
        <w:rPr>
          <w:sz w:val="24"/>
        </w:rPr>
        <w:t>检验费包含检测费（含试剂）、购样费、不合格复检费用和税费等。在总费用不变的情况下，</w:t>
      </w:r>
      <w:r>
        <w:rPr>
          <w:sz w:val="24"/>
        </w:rPr>
        <w:t>甲方</w:t>
      </w:r>
      <w:r>
        <w:rPr>
          <w:sz w:val="24"/>
        </w:rPr>
        <w:t>可以根据实际情况对检验计划作调整，</w:t>
      </w:r>
      <w:r>
        <w:rPr>
          <w:sz w:val="24"/>
        </w:rPr>
        <w:t>乙方</w:t>
      </w:r>
      <w:r>
        <w:rPr>
          <w:sz w:val="24"/>
        </w:rPr>
        <w:t>必须无偿的配合。</w:t>
      </w:r>
    </w:p>
    <w:p>
      <w:pPr>
        <w:pStyle w:val="null3"/>
        <w:ind w:firstLine="480"/>
        <w:jc w:val="both"/>
      </w:pPr>
      <w:r>
        <w:rPr>
          <w:sz w:val="24"/>
        </w:rPr>
        <w:t>（</w:t>
      </w:r>
      <w:r>
        <w:rPr>
          <w:sz w:val="24"/>
        </w:rPr>
        <w:t>3）因</w:t>
      </w:r>
      <w:r>
        <w:rPr>
          <w:sz w:val="24"/>
        </w:rPr>
        <w:t>甲方</w:t>
      </w:r>
      <w:r>
        <w:rPr>
          <w:sz w:val="24"/>
        </w:rPr>
        <w:t>使用的是财政资金，</w:t>
      </w:r>
      <w:r>
        <w:rPr>
          <w:sz w:val="24"/>
        </w:rPr>
        <w:t>甲方</w:t>
      </w:r>
      <w:r>
        <w:rPr>
          <w:sz w:val="24"/>
        </w:rPr>
        <w:t>在请款规定的付款时间为向政府采购支付部门提出办理财政支付申请手续的时间（不含政府财政支付部门审核的时间），在规定时间内提出支付申请手续后即视为</w:t>
      </w:r>
      <w:r>
        <w:rPr>
          <w:sz w:val="24"/>
        </w:rPr>
        <w:t>甲方</w:t>
      </w:r>
      <w:r>
        <w:rPr>
          <w:sz w:val="24"/>
        </w:rPr>
        <w:t>已经按期支付。</w:t>
      </w:r>
    </w:p>
    <w:p>
      <w:pPr>
        <w:pStyle w:val="null3"/>
        <w:jc w:val="both"/>
      </w:pPr>
      <w:r>
        <w:rPr>
          <w:sz w:val="24"/>
          <w:b/>
        </w:rPr>
        <w:t>四、验收要求</w:t>
      </w:r>
    </w:p>
    <w:p>
      <w:pPr>
        <w:pStyle w:val="null3"/>
        <w:ind w:firstLine="480"/>
        <w:jc w:val="both"/>
      </w:pPr>
      <w:r>
        <w:rPr>
          <w:sz w:val="24"/>
        </w:rPr>
        <w:t>验收内容</w:t>
      </w:r>
    </w:p>
    <w:p>
      <w:pPr>
        <w:pStyle w:val="null3"/>
        <w:ind w:firstLine="480"/>
        <w:jc w:val="both"/>
      </w:pPr>
      <w:r>
        <w:rPr>
          <w:sz w:val="24"/>
        </w:rPr>
        <w:t>（</w:t>
      </w:r>
      <w:r>
        <w:rPr>
          <w:sz w:val="24"/>
        </w:rPr>
        <w:t>1）</w:t>
      </w:r>
      <w:r>
        <w:rPr>
          <w:sz w:val="24"/>
        </w:rPr>
        <w:t>评估工作报告；</w:t>
      </w:r>
    </w:p>
    <w:p>
      <w:pPr>
        <w:pStyle w:val="null3"/>
        <w:ind w:firstLine="480"/>
        <w:jc w:val="both"/>
      </w:pPr>
      <w:r>
        <w:rPr>
          <w:sz w:val="24"/>
        </w:rPr>
        <w:t>（</w:t>
      </w:r>
      <w:r>
        <w:rPr>
          <w:sz w:val="24"/>
        </w:rPr>
        <w:t>2）抽样和检验数据；</w:t>
      </w:r>
    </w:p>
    <w:p>
      <w:pPr>
        <w:pStyle w:val="null3"/>
        <w:ind w:firstLine="480"/>
        <w:jc w:val="both"/>
      </w:pPr>
      <w:r>
        <w:rPr>
          <w:sz w:val="24"/>
        </w:rPr>
        <w:t>（</w:t>
      </w:r>
      <w:r>
        <w:rPr>
          <w:sz w:val="24"/>
        </w:rPr>
        <w:t>3）其他要求的相关资料。</w:t>
      </w:r>
    </w:p>
    <w:p>
      <w:pPr>
        <w:pStyle w:val="null3"/>
        <w:jc w:val="both"/>
      </w:pPr>
      <w:r>
        <w:rPr>
          <w:sz w:val="24"/>
          <w:b/>
        </w:rPr>
        <w:t>五、</w:t>
      </w:r>
      <w:r>
        <w:rPr>
          <w:sz w:val="24"/>
          <w:b/>
        </w:rPr>
        <w:t>其他要求</w:t>
      </w:r>
    </w:p>
    <w:p>
      <w:pPr>
        <w:pStyle w:val="null3"/>
        <w:ind w:firstLine="480"/>
        <w:jc w:val="both"/>
      </w:pPr>
      <w:r>
        <w:rPr>
          <w:sz w:val="24"/>
        </w:rPr>
        <w:t>（</w:t>
      </w:r>
      <w:r>
        <w:rPr>
          <w:sz w:val="24"/>
        </w:rPr>
        <w:t>一</w:t>
      </w:r>
      <w:r>
        <w:rPr>
          <w:sz w:val="24"/>
        </w:rPr>
        <w:t>）保密要求</w:t>
      </w:r>
    </w:p>
    <w:p>
      <w:pPr>
        <w:pStyle w:val="null3"/>
        <w:ind w:firstLine="480"/>
        <w:jc w:val="both"/>
      </w:pPr>
      <w:r>
        <w:rPr>
          <w:sz w:val="24"/>
        </w:rPr>
        <w:t>(</w:t>
      </w:r>
      <w:r>
        <w:rPr>
          <w:sz w:val="24"/>
        </w:rPr>
        <w:t>1</w:t>
      </w:r>
      <w:r>
        <w:rPr>
          <w:sz w:val="24"/>
        </w:rPr>
        <w:t>)</w:t>
      </w:r>
      <w:r>
        <w:rPr>
          <w:sz w:val="24"/>
        </w:rPr>
        <w:t>乙方</w:t>
      </w:r>
      <w:r>
        <w:rPr>
          <w:sz w:val="24"/>
        </w:rPr>
        <w:t>在项目实施过程中，对</w:t>
      </w:r>
      <w:r>
        <w:rPr>
          <w:sz w:val="24"/>
        </w:rPr>
        <w:t>甲方</w:t>
      </w:r>
      <w:r>
        <w:rPr>
          <w:sz w:val="24"/>
        </w:rPr>
        <w:t>所提供的所有相关资料、数据，未经</w:t>
      </w:r>
      <w:r>
        <w:rPr>
          <w:sz w:val="24"/>
        </w:rPr>
        <w:t>甲方</w:t>
      </w:r>
      <w:r>
        <w:rPr>
          <w:sz w:val="24"/>
        </w:rPr>
        <w:t>书面同意不得向任何第三方泄露。且保密责任不因合同的终止或解除而失效。</w:t>
      </w:r>
      <w:r>
        <w:rPr>
          <w:sz w:val="24"/>
        </w:rPr>
        <w:t>甲方</w:t>
      </w:r>
      <w:r>
        <w:rPr>
          <w:sz w:val="24"/>
        </w:rPr>
        <w:t>保留因</w:t>
      </w:r>
      <w:r>
        <w:rPr>
          <w:sz w:val="24"/>
        </w:rPr>
        <w:t>乙方</w:t>
      </w:r>
      <w:r>
        <w:rPr>
          <w:sz w:val="24"/>
        </w:rPr>
        <w:t>泄密而造成的一切损失的追究权利。</w:t>
      </w:r>
    </w:p>
    <w:p>
      <w:pPr>
        <w:pStyle w:val="null3"/>
        <w:ind w:firstLine="480"/>
        <w:jc w:val="both"/>
      </w:pPr>
      <w:r>
        <w:rPr>
          <w:sz w:val="24"/>
        </w:rPr>
        <w:t>(2)成果的归属，本项目的所有成果著作权等知识产权和所有权益归</w:t>
      </w:r>
      <w:r>
        <w:rPr>
          <w:sz w:val="24"/>
        </w:rPr>
        <w:t>甲方</w:t>
      </w:r>
      <w:r>
        <w:rPr>
          <w:sz w:val="24"/>
        </w:rPr>
        <w:t>所有。</w:t>
      </w:r>
      <w:r>
        <w:rPr>
          <w:sz w:val="24"/>
        </w:rPr>
        <w:t>乙方</w:t>
      </w:r>
      <w:r>
        <w:rPr>
          <w:sz w:val="24"/>
        </w:rPr>
        <w:t>不得引用、发表和向第三者提供。</w:t>
      </w:r>
    </w:p>
    <w:p>
      <w:pPr>
        <w:pStyle w:val="null3"/>
        <w:ind w:firstLine="480"/>
        <w:jc w:val="both"/>
      </w:pPr>
      <w:r>
        <w:rPr>
          <w:sz w:val="24"/>
        </w:rPr>
        <w:t>(3)无论发生何种情形（包括但不限于合同提前终止或解除），</w:t>
      </w:r>
      <w:r>
        <w:rPr>
          <w:sz w:val="24"/>
        </w:rPr>
        <w:t>甲方</w:t>
      </w:r>
      <w:r>
        <w:rPr>
          <w:sz w:val="24"/>
        </w:rPr>
        <w:t>均有权利用</w:t>
      </w:r>
      <w:r>
        <w:rPr>
          <w:sz w:val="24"/>
        </w:rPr>
        <w:t>乙方</w:t>
      </w:r>
      <w:r>
        <w:rPr>
          <w:sz w:val="24"/>
        </w:rPr>
        <w:t>的阶段性工作成果，并且</w:t>
      </w:r>
      <w:r>
        <w:rPr>
          <w:sz w:val="24"/>
        </w:rPr>
        <w:t>甲方</w:t>
      </w:r>
      <w:r>
        <w:rPr>
          <w:sz w:val="24"/>
        </w:rPr>
        <w:t>引用</w:t>
      </w:r>
      <w:r>
        <w:rPr>
          <w:sz w:val="24"/>
        </w:rPr>
        <w:t>乙方</w:t>
      </w:r>
      <w:r>
        <w:rPr>
          <w:sz w:val="24"/>
        </w:rPr>
        <w:t>的阶段性工作成果所完成的新的技术成果，属于</w:t>
      </w:r>
      <w:r>
        <w:rPr>
          <w:sz w:val="24"/>
        </w:rPr>
        <w:t>甲方</w:t>
      </w:r>
      <w:r>
        <w:rPr>
          <w:sz w:val="24"/>
        </w:rPr>
        <w:t>所有，</w:t>
      </w:r>
      <w:r>
        <w:rPr>
          <w:sz w:val="24"/>
        </w:rPr>
        <w:t>甲方</w:t>
      </w:r>
      <w:r>
        <w:rPr>
          <w:sz w:val="24"/>
        </w:rPr>
        <w:t>可依法享有就该项技术成果取得的精神权利、经济权利和其他权利。</w:t>
      </w:r>
    </w:p>
    <w:p>
      <w:pPr>
        <w:pStyle w:val="null3"/>
        <w:ind w:firstLine="480"/>
        <w:jc w:val="both"/>
      </w:pPr>
      <w:r>
        <w:rPr>
          <w:sz w:val="24"/>
        </w:rPr>
        <w:t>（</w:t>
      </w:r>
      <w:r>
        <w:rPr>
          <w:sz w:val="24"/>
        </w:rPr>
        <w:t>二</w:t>
      </w:r>
      <w:r>
        <w:rPr>
          <w:sz w:val="24"/>
        </w:rPr>
        <w:t>）责任义务：</w:t>
      </w:r>
    </w:p>
    <w:p>
      <w:pPr>
        <w:pStyle w:val="null3"/>
        <w:ind w:firstLine="480"/>
        <w:jc w:val="both"/>
      </w:pPr>
      <w:r>
        <w:rPr>
          <w:sz w:val="24"/>
        </w:rPr>
        <w:t>（</w:t>
      </w:r>
      <w:r>
        <w:rPr>
          <w:sz w:val="24"/>
        </w:rPr>
        <w:t>1）严格依据相关法律、法规和国家标准，在委托权范围内开展工作。</w:t>
      </w:r>
    </w:p>
    <w:p>
      <w:pPr>
        <w:pStyle w:val="null3"/>
        <w:ind w:firstLine="480"/>
        <w:jc w:val="both"/>
      </w:pPr>
      <w:r>
        <w:rPr>
          <w:sz w:val="24"/>
        </w:rPr>
        <w:t>（</w:t>
      </w:r>
      <w:r>
        <w:rPr>
          <w:sz w:val="24"/>
        </w:rPr>
        <w:t>2）本项目涉及的所有检验数据、评估报告只能对</w:t>
      </w:r>
      <w:r>
        <w:rPr>
          <w:sz w:val="24"/>
        </w:rPr>
        <w:t>甲方</w:t>
      </w:r>
      <w:r>
        <w:rPr>
          <w:sz w:val="24"/>
        </w:rPr>
        <w:t>提供，</w:t>
      </w:r>
      <w:r>
        <w:rPr>
          <w:sz w:val="24"/>
        </w:rPr>
        <w:t>乙方</w:t>
      </w:r>
      <w:r>
        <w:rPr>
          <w:sz w:val="24"/>
        </w:rPr>
        <w:t>不得自行对外公布任何评估相关的检验数据和结论性信息，不得将受委托事项再行委托其他单位实施。</w:t>
      </w:r>
    </w:p>
    <w:p>
      <w:pPr>
        <w:pStyle w:val="null3"/>
        <w:ind w:firstLine="480"/>
        <w:jc w:val="both"/>
      </w:pPr>
      <w:r>
        <w:rPr>
          <w:sz w:val="24"/>
        </w:rPr>
        <w:t>（</w:t>
      </w:r>
      <w:r>
        <w:rPr>
          <w:sz w:val="24"/>
        </w:rPr>
        <w:t>3）主动向</w:t>
      </w:r>
      <w:r>
        <w:rPr>
          <w:sz w:val="24"/>
        </w:rPr>
        <w:t>甲方</w:t>
      </w:r>
      <w:r>
        <w:rPr>
          <w:sz w:val="24"/>
        </w:rPr>
        <w:t>提供进度报告、发布进度信息，自觉接受社会各界监督，协助</w:t>
      </w:r>
      <w:r>
        <w:rPr>
          <w:sz w:val="24"/>
        </w:rPr>
        <w:t>甲方</w:t>
      </w:r>
      <w:r>
        <w:rPr>
          <w:sz w:val="24"/>
        </w:rPr>
        <w:t>对相关举报投诉进行调查处理。</w:t>
      </w:r>
    </w:p>
    <w:p>
      <w:pPr>
        <w:pStyle w:val="null3"/>
        <w:ind w:firstLine="480"/>
        <w:jc w:val="both"/>
      </w:pPr>
      <w:r>
        <w:rPr>
          <w:sz w:val="24"/>
        </w:rPr>
        <w:t>（</w:t>
      </w:r>
      <w:r>
        <w:rPr>
          <w:sz w:val="24"/>
        </w:rPr>
        <w:t>4）不得故意隐瞒、修改检验结果。</w:t>
      </w:r>
    </w:p>
    <w:p>
      <w:pPr>
        <w:pStyle w:val="null3"/>
        <w:ind w:firstLine="480"/>
        <w:jc w:val="both"/>
      </w:pPr>
      <w:r>
        <w:rPr>
          <w:sz w:val="24"/>
        </w:rPr>
        <w:t>（</w:t>
      </w:r>
      <w:r>
        <w:rPr>
          <w:sz w:val="24"/>
        </w:rPr>
        <w:t>5）对评估结果发现存在严重事故隐患和重大安全风险的，应及时向监管机构进行通报。</w:t>
      </w:r>
    </w:p>
    <w:p>
      <w:pPr>
        <w:pStyle w:val="null3"/>
        <w:ind w:firstLine="480"/>
        <w:jc w:val="both"/>
      </w:pPr>
      <w:r>
        <w:rPr>
          <w:sz w:val="24"/>
        </w:rPr>
        <w:t>（</w:t>
      </w:r>
      <w:r>
        <w:rPr>
          <w:sz w:val="24"/>
        </w:rPr>
        <w:t>6）出现违约行为的，</w:t>
      </w:r>
      <w:r>
        <w:rPr>
          <w:sz w:val="24"/>
        </w:rPr>
        <w:t>甲方</w:t>
      </w:r>
      <w:r>
        <w:rPr>
          <w:sz w:val="24"/>
        </w:rPr>
        <w:t>可单方面中止采购，两年内不予委托；出现违法违规行为的，依法追究</w:t>
      </w:r>
      <w:r>
        <w:rPr>
          <w:sz w:val="24"/>
        </w:rPr>
        <w:t>乙方</w:t>
      </w:r>
      <w:r>
        <w:rPr>
          <w:sz w:val="24"/>
        </w:rPr>
        <w:t>和相关责任人的法律责任。</w:t>
      </w:r>
    </w:p>
    <w:p>
      <w:pPr>
        <w:pStyle w:val="null3"/>
        <w:jc w:val="both"/>
      </w:pPr>
      <w:r>
        <w:rPr>
          <w:sz w:val="24"/>
          <w:b/>
        </w:rPr>
        <w:t>六、</w:t>
      </w:r>
      <w:r>
        <w:rPr>
          <w:sz w:val="24"/>
          <w:b/>
        </w:rPr>
        <w:t>违约责任与赔偿损失</w:t>
      </w:r>
    </w:p>
    <w:p>
      <w:pPr>
        <w:pStyle w:val="null3"/>
        <w:numPr>
          <w:ilvl w:val="0"/>
          <w:numId w:val="1"/>
        </w:numPr>
        <w:jc w:val="both"/>
      </w:pPr>
      <w:r>
        <w:rPr>
          <w:sz w:val="24"/>
        </w:rPr>
        <w:t>乙方提供的服务不符合</w:t>
      </w:r>
      <w:r>
        <w:rPr>
          <w:sz w:val="24"/>
        </w:rPr>
        <w:t>磋商文件</w:t>
      </w:r>
      <w:r>
        <w:rPr>
          <w:sz w:val="24"/>
        </w:rPr>
        <w:t>、</w:t>
      </w:r>
      <w:r>
        <w:rPr>
          <w:sz w:val="24"/>
        </w:rPr>
        <w:t>响应</w:t>
      </w:r>
      <w:r>
        <w:rPr>
          <w:sz w:val="24"/>
        </w:rPr>
        <w:t>文件或本合同规定的，甲方有权拒收，并且乙方须向甲方支付本合同总价</w:t>
      </w:r>
      <w:r>
        <w:rPr>
          <w:sz w:val="24"/>
        </w:rPr>
        <w:t>5%的违约金。</w:t>
      </w:r>
    </w:p>
    <w:p>
      <w:pPr>
        <w:pStyle w:val="null3"/>
        <w:numPr>
          <w:ilvl w:val="0"/>
          <w:numId w:val="1"/>
        </w:numPr>
        <w:ind w:right="210"/>
        <w:jc w:val="both"/>
      </w:pPr>
      <w:r>
        <w:rPr>
          <w:sz w:val="24"/>
        </w:rPr>
        <w:t>乙方未能按本合同规定的交货时间提供服务，从逾期之日起每日按本合同总价</w:t>
      </w:r>
      <w:r>
        <w:rPr>
          <w:sz w:val="24"/>
        </w:rPr>
        <w:t>3‰的数额向甲方支付违约金；逾期半个月以上的，甲方有权终止合同，由此造成的甲方经济损失由乙方承担。</w:t>
      </w:r>
    </w:p>
    <w:p>
      <w:pPr>
        <w:pStyle w:val="null3"/>
        <w:numPr>
          <w:ilvl w:val="0"/>
          <w:numId w:val="1"/>
        </w:numPr>
        <w:jc w:val="both"/>
      </w:pPr>
      <w:r>
        <w:rPr>
          <w:sz w:val="24"/>
        </w:rPr>
        <w:t>甲方无正当理由拒收接受服务，到期拒付服务款项的，甲方向乙方偿付本合同总的</w:t>
      </w:r>
      <w:r>
        <w:rPr>
          <w:sz w:val="24"/>
        </w:rPr>
        <w:t>5%的违约金。甲方人逾期付款，则每日按本合同总价的3‰向乙方偿付违约金。</w:t>
      </w:r>
    </w:p>
    <w:p>
      <w:pPr>
        <w:pStyle w:val="null3"/>
        <w:numPr>
          <w:ilvl w:val="0"/>
          <w:numId w:val="1"/>
        </w:numPr>
        <w:jc w:val="both"/>
      </w:pPr>
      <w:r>
        <w:rPr>
          <w:sz w:val="24"/>
        </w:rPr>
        <w:t>其它违约责任按《</w:t>
      </w:r>
      <w:r>
        <w:rPr>
          <w:sz w:val="24"/>
        </w:rPr>
        <w:t>中华人民共和国民法典</w:t>
      </w:r>
      <w:r>
        <w:rPr>
          <w:sz w:val="24"/>
        </w:rPr>
        <w:t>》处理。</w:t>
      </w:r>
    </w:p>
    <w:p>
      <w:pPr>
        <w:pStyle w:val="null3"/>
        <w:jc w:val="both"/>
      </w:pPr>
      <w:r>
        <w:rPr>
          <w:sz w:val="24"/>
          <w:b/>
        </w:rPr>
        <w:t>七、</w:t>
      </w:r>
      <w:r>
        <w:rPr>
          <w:sz w:val="24"/>
          <w:b/>
        </w:rPr>
        <w:t>争端的解决</w:t>
      </w:r>
    </w:p>
    <w:p>
      <w:pPr>
        <w:pStyle w:val="null3"/>
        <w:jc w:val="both"/>
      </w:pPr>
      <w:r>
        <w:rPr>
          <w:sz w:val="24"/>
        </w:rPr>
        <w:t xml:space="preserve">    </w:t>
      </w:r>
      <w:r>
        <w:rPr>
          <w:sz w:val="24"/>
        </w:rPr>
        <w:t>合同执行过程中发生的任何争议，如双方不能通过友好协商解决，按相关法律法规处理。</w:t>
      </w:r>
    </w:p>
    <w:p>
      <w:pPr>
        <w:pStyle w:val="null3"/>
        <w:jc w:val="both"/>
      </w:pPr>
      <w:r>
        <w:rPr>
          <w:sz w:val="24"/>
          <w:b/>
        </w:rPr>
        <w:t>八、</w:t>
      </w:r>
      <w:r>
        <w:rPr>
          <w:sz w:val="24"/>
          <w:b/>
        </w:rPr>
        <w:t>不可抗力：</w:t>
      </w:r>
    </w:p>
    <w:p>
      <w:pPr>
        <w:pStyle w:val="null3"/>
        <w:jc w:val="both"/>
      </w:pPr>
      <w:r>
        <w:rPr>
          <w:sz w:val="24"/>
        </w:rPr>
        <w:t xml:space="preserve">    </w:t>
      </w: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九、</w:t>
      </w:r>
      <w:r>
        <w:rPr>
          <w:sz w:val="24"/>
          <w:b/>
        </w:rPr>
        <w:t>税费：</w:t>
      </w:r>
    </w:p>
    <w:p>
      <w:pPr>
        <w:pStyle w:val="null3"/>
        <w:jc w:val="both"/>
      </w:pPr>
      <w:r>
        <w:rPr>
          <w:sz w:val="24"/>
        </w:rPr>
        <w:t xml:space="preserve">   </w:t>
      </w:r>
      <w:r>
        <w:rPr>
          <w:sz w:val="24"/>
        </w:rPr>
        <w:t>在中国境内、外发生的与本合同执行有关的一切税费均由乙方负担。</w:t>
      </w:r>
    </w:p>
    <w:p>
      <w:pPr>
        <w:pStyle w:val="null3"/>
        <w:jc w:val="both"/>
      </w:pPr>
      <w:r>
        <w:rPr>
          <w:sz w:val="24"/>
          <w:b/>
        </w:rPr>
        <w:t>十、</w:t>
      </w:r>
      <w:r>
        <w:rPr>
          <w:sz w:val="24"/>
          <w:b/>
        </w:rPr>
        <w:t>其它</w:t>
      </w:r>
    </w:p>
    <w:p>
      <w:pPr>
        <w:pStyle w:val="null3"/>
        <w:numPr>
          <w:ilvl w:val="0"/>
          <w:numId w:val="1"/>
        </w:numPr>
        <w:jc w:val="both"/>
      </w:pPr>
      <w:r>
        <w:rPr>
          <w:sz w:val="24"/>
        </w:rPr>
        <w:t>本合同所有附件、</w:t>
      </w:r>
      <w:r>
        <w:rPr>
          <w:sz w:val="24"/>
        </w:rPr>
        <w:t>磋商文件</w:t>
      </w:r>
      <w:r>
        <w:rPr>
          <w:sz w:val="24"/>
        </w:rPr>
        <w:t>、</w:t>
      </w:r>
      <w:r>
        <w:rPr>
          <w:sz w:val="24"/>
        </w:rPr>
        <w:t>响应</w:t>
      </w:r>
      <w:r>
        <w:rPr>
          <w:sz w:val="24"/>
        </w:rPr>
        <w:t>文件、</w:t>
      </w:r>
      <w:r>
        <w:rPr>
          <w:sz w:val="24"/>
        </w:rPr>
        <w:t>成交</w:t>
      </w:r>
      <w:r>
        <w:rPr>
          <w:sz w:val="24"/>
        </w:rPr>
        <w:t>通知书均为合同的有效组成部分，与本合同具有同等法律效力。</w:t>
      </w:r>
    </w:p>
    <w:p>
      <w:pPr>
        <w:pStyle w:val="null3"/>
        <w:numPr>
          <w:ilvl w:val="0"/>
          <w:numId w:val="1"/>
        </w:numPr>
        <w:jc w:val="both"/>
      </w:pPr>
      <w:r>
        <w:rPr>
          <w:sz w:val="24"/>
        </w:rPr>
        <w:t>在执行本合同的过程中，所有经双方签署确认的文件（包括会议纪要、补充协议、往来信函）即成为本合同的有效组成部分。</w:t>
      </w:r>
    </w:p>
    <w:p>
      <w:pPr>
        <w:pStyle w:val="null3"/>
        <w:numPr>
          <w:ilvl w:val="0"/>
          <w:numId w:val="1"/>
        </w:numPr>
        <w:jc w:val="both"/>
      </w:pPr>
      <w:r>
        <w:rPr>
          <w:sz w:val="24"/>
        </w:rPr>
        <w:t>如一方地址、电话、传真号码有变更，应在变更当日内书面通知对方，否则，应承担相应责任。</w:t>
      </w:r>
    </w:p>
    <w:p>
      <w:pPr>
        <w:pStyle w:val="null3"/>
        <w:numPr>
          <w:ilvl w:val="0"/>
          <w:numId w:val="1"/>
        </w:numPr>
        <w:jc w:val="both"/>
      </w:pPr>
      <w:r>
        <w:rPr>
          <w:sz w:val="24"/>
        </w:rPr>
        <w:t>除甲方事先书面同意外，乙方不得部分或全部转让其应履行的合同项下的义务。</w:t>
      </w:r>
    </w:p>
    <w:p>
      <w:pPr>
        <w:pStyle w:val="null3"/>
        <w:jc w:val="both"/>
      </w:pPr>
      <w:r>
        <w:rPr>
          <w:sz w:val="24"/>
          <w:b/>
        </w:rPr>
        <w:t>十一、</w:t>
      </w:r>
      <w:r>
        <w:rPr>
          <w:sz w:val="24"/>
          <w:b/>
        </w:rPr>
        <w:t>合同生效：</w:t>
      </w:r>
    </w:p>
    <w:p>
      <w:pPr>
        <w:pStyle w:val="null3"/>
        <w:numPr>
          <w:ilvl w:val="0"/>
          <w:numId w:val="1"/>
        </w:numPr>
        <w:jc w:val="both"/>
      </w:pPr>
      <w:r>
        <w:rPr>
          <w:sz w:val="24"/>
        </w:rPr>
        <w:t>本合同在甲乙双方法人代表或其授权代表签字盖章后生效。</w:t>
      </w:r>
    </w:p>
    <w:p>
      <w:pPr>
        <w:pStyle w:val="null3"/>
        <w:numPr>
          <w:ilvl w:val="0"/>
          <w:numId w:val="1"/>
        </w:numPr>
        <w:jc w:val="both"/>
      </w:pPr>
      <w:r>
        <w:rPr>
          <w:sz w:val="24"/>
        </w:rPr>
        <w:t>合同一式</w:t>
      </w:r>
      <w:r>
        <w:rPr>
          <w:sz w:val="21"/>
          <w:u w:val="single"/>
        </w:rPr>
        <w:t xml:space="preserve">    </w:t>
      </w:r>
      <w:r>
        <w:rPr>
          <w:sz w:val="24"/>
        </w:rPr>
        <w:t>份，甲、乙双方各执</w:t>
      </w:r>
      <w:r>
        <w:rPr>
          <w:sz w:val="21"/>
          <w:u w:val="single"/>
        </w:rPr>
        <w:t xml:space="preserve">    </w:t>
      </w:r>
      <w:r>
        <w:rPr>
          <w:sz w:val="24"/>
        </w:rPr>
        <w:t>份，采购代理机构</w:t>
      </w:r>
      <w:r>
        <w:rPr>
          <w:sz w:val="21"/>
          <w:u w:val="single"/>
        </w:rPr>
        <w:t xml:space="preserve">    </w:t>
      </w:r>
      <w:r>
        <w:rPr>
          <w:sz w:val="24"/>
        </w:rPr>
        <w:t>份。</w:t>
      </w:r>
    </w:p>
    <w:p>
      <w:pPr>
        <w:pStyle w:val="null3"/>
        <w:jc w:val="both"/>
      </w:pPr>
      <w:r>
        <w:rPr>
          <w:sz w:val="24"/>
        </w:rPr>
        <w:t>甲方（盖章）：</w:t>
      </w:r>
      <w:r>
        <w:rPr>
          <w:sz w:val="24"/>
        </w:rPr>
        <w:t xml:space="preserve">                          </w:t>
      </w:r>
      <w:r>
        <w:rPr>
          <w:sz w:val="24"/>
        </w:rPr>
        <w:t>乙方（盖章）：</w:t>
      </w:r>
    </w:p>
    <w:p>
      <w:pPr>
        <w:pStyle w:val="null3"/>
        <w:jc w:val="both"/>
      </w:pPr>
      <w:r>
        <w:rPr>
          <w:sz w:val="24"/>
        </w:rPr>
        <w:t>代表：</w:t>
      </w:r>
      <w:r>
        <w:rPr>
          <w:sz w:val="24"/>
        </w:rPr>
        <w:t xml:space="preserve">                                  </w:t>
      </w:r>
      <w:r>
        <w:rPr>
          <w:sz w:val="24"/>
        </w:rPr>
        <w:t>代表：</w:t>
      </w:r>
    </w:p>
    <w:p>
      <w:pPr>
        <w:pStyle w:val="null3"/>
        <w:jc w:val="both"/>
      </w:pPr>
      <w:r>
        <w:rPr>
          <w:sz w:val="24"/>
        </w:rPr>
        <w:t>签定地点：</w:t>
      </w:r>
    </w:p>
    <w:p>
      <w:pPr>
        <w:pStyle w:val="null3"/>
        <w:jc w:val="both"/>
      </w:pP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pPr>
        <w:pStyle w:val="null3"/>
        <w:ind w:firstLine="4830"/>
        <w:jc w:val="both"/>
      </w:pPr>
      <w:r>
        <w:rPr>
          <w:sz w:val="24"/>
        </w:rPr>
        <w:t>开户名称：</w:t>
      </w:r>
    </w:p>
    <w:p>
      <w:pPr>
        <w:pStyle w:val="null3"/>
        <w:ind w:firstLine="4830"/>
        <w:jc w:val="both"/>
      </w:pPr>
      <w:r>
        <w:rPr>
          <w:sz w:val="24"/>
        </w:rPr>
        <w:t>银行帐号：</w:t>
      </w:r>
    </w:p>
    <w:p>
      <w:pPr>
        <w:pStyle w:val="null3"/>
        <w:ind w:firstLine="4830"/>
        <w:jc w:val="both"/>
      </w:pPr>
      <w:r>
        <w:rPr>
          <w:sz w:val="24"/>
        </w:rPr>
        <w:t>开</w:t>
      </w:r>
      <w:r>
        <w:rPr>
          <w:sz w:val="24"/>
        </w:rPr>
        <w:t>户</w:t>
      </w:r>
      <w:r>
        <w:rPr>
          <w:sz w:val="24"/>
        </w:rPr>
        <w:t>行：</w:t>
      </w:r>
    </w:p>
    <w:p>
      <w:pPr>
        <w:pStyle w:val="null3"/>
        <w:ind w:firstLine="480"/>
        <w:jc w:val="both"/>
      </w:pPr>
      <w:r>
        <w:rPr>
          <w:sz w:val="24"/>
          <w:b/>
        </w:rPr>
        <w:t>附表一：</w:t>
      </w:r>
    </w:p>
    <w:p>
      <w:pPr>
        <w:pStyle w:val="null3"/>
        <w:jc w:val="center"/>
      </w:pPr>
      <w:r>
        <w:rPr>
          <w:sz w:val="24"/>
          <w:b/>
        </w:rPr>
        <w:t>202</w:t>
      </w:r>
      <w:r>
        <w:rPr>
          <w:sz w:val="24"/>
          <w:b/>
        </w:rPr>
        <w:t>4</w:t>
      </w:r>
      <w:r>
        <w:rPr>
          <w:sz w:val="24"/>
          <w:b/>
        </w:rPr>
        <w:t>年</w:t>
      </w:r>
      <w:r>
        <w:rPr>
          <w:sz w:val="24"/>
          <w:b/>
        </w:rPr>
        <w:t>农贸市场快检重点项目清单</w:t>
      </w:r>
    </w:p>
    <w:tbl>
      <w:tblPr>
        <w:tblW w:w="0" w:type="auto"/>
        <w:tblBorders>
          <w:top w:val="none" w:color="000000" w:sz="4"/>
          <w:left w:val="none" w:color="000000" w:sz="4"/>
          <w:bottom w:val="none" w:color="000000" w:sz="4"/>
          <w:right w:val="none" w:color="000000" w:sz="4"/>
          <w:insideH w:val="none"/>
          <w:insideV w:val="none"/>
        </w:tblBorders>
      </w:tblPr>
      <w:tblGrid>
        <w:gridCol w:w="571"/>
        <w:gridCol w:w="1902"/>
        <w:gridCol w:w="2940"/>
        <w:gridCol w:w="1452"/>
        <w:gridCol w:w="1437"/>
      </w:tblGrid>
      <w:tr>
        <w:tc>
          <w:tcPr>
            <w:tcW w:type="dxa" w:w="5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9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快检项目</w:t>
            </w:r>
          </w:p>
          <w:p>
            <w:pPr>
              <w:pStyle w:val="null3"/>
              <w:jc w:val="center"/>
            </w:pPr>
            <w:r>
              <w:rPr>
                <w:sz w:val="24"/>
                <w:b/>
              </w:rPr>
              <w:t>及参数</w:t>
            </w:r>
          </w:p>
        </w:tc>
        <w:tc>
          <w:tcPr>
            <w:tcW w:type="dxa" w:w="29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适用范围</w:t>
            </w:r>
          </w:p>
        </w:tc>
        <w:tc>
          <w:tcPr>
            <w:tcW w:type="dxa" w:w="14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重点品种</w:t>
            </w:r>
          </w:p>
        </w:tc>
        <w:tc>
          <w:tcPr>
            <w:tcW w:type="dxa" w:w="14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酶抑制率法农药残留（分光光度法）</w:t>
            </w:r>
          </w:p>
          <w:p>
            <w:pPr>
              <w:pStyle w:val="null3"/>
              <w:jc w:val="center"/>
            </w:pPr>
            <w:r>
              <w:rPr>
                <w:sz w:val="24"/>
              </w:rPr>
              <w:t>敌百虫</w:t>
            </w:r>
            <w:r>
              <w:rPr>
                <w:sz w:val="24"/>
              </w:rPr>
              <w:t>0.1mg/kg，丙溴磷0.5mg/kg，灭多威0.2mg/kg，克百威0.02mg/kg，敌敌畏0.2mg/kg</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油菜、菠菜、芹菜、韭菜等</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菠菜、芹菜、韭菜、普通白菜等</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丙溴磷</w:t>
            </w:r>
          </w:p>
          <w:p>
            <w:pPr>
              <w:pStyle w:val="null3"/>
              <w:jc w:val="center"/>
            </w:pPr>
            <w:r>
              <w:rPr>
                <w:sz w:val="24"/>
              </w:rPr>
              <w:t>0.2mg/kg</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柑、橘、橙</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啶虫脒</w:t>
            </w:r>
          </w:p>
          <w:p>
            <w:pPr>
              <w:pStyle w:val="null3"/>
              <w:jc w:val="center"/>
            </w:pPr>
            <w:r>
              <w:rPr>
                <w:sz w:val="24"/>
              </w:rPr>
              <w:t>0.2mg/kg</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韭菜、葱、青蒜、蒜薹、结球甘蓝、花椰菜、芥蓝、菜薹（菜心）、叶菜类蔬菜、茄果类蔬菜、黄瓜、西葫芦、节瓜、苦瓜、冬瓜、南瓜、豆类蔬菜、芦笋、茎用莴苣、萝卜、豆瓣菜</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花椰菜、普通白菜、大白菜、豇豆、菜豆（四季豆）、食荚豌豆、辣椒、菜薹（菜心）</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检测时需按具体品种的限量值进行稀释。</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毒死蜱</w:t>
            </w:r>
          </w:p>
          <w:p>
            <w:pPr>
              <w:pStyle w:val="null3"/>
              <w:jc w:val="center"/>
            </w:pPr>
            <w:r>
              <w:rPr>
                <w:sz w:val="24"/>
              </w:rPr>
              <w:t>0.02mg/kg</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蔬菜（食荚豌豆除外）</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芹菜、菠菜、普通白菜、豇豆、菜薹（菜心）、辣椒、葱</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检测时需按具体品种的限量值进行稀释。</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多菌灵</w:t>
            </w:r>
          </w:p>
          <w:p>
            <w:pPr>
              <w:pStyle w:val="null3"/>
              <w:jc w:val="center"/>
            </w:pPr>
            <w:r>
              <w:rPr>
                <w:sz w:val="24"/>
              </w:rPr>
              <w:t>0.5mg/kg</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韭菜、抱子甘蓝、结球莴苣、叶芥菜、番茄、茄子、辣椒、黄瓜、西葫芦、菜豆（四季豆）、芦笋、根芥菜</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菜豆（四季豆）、韭菜</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检测时需按具体品种的限量值进行稀释。</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氟虫腈</w:t>
            </w:r>
          </w:p>
          <w:p>
            <w:pPr>
              <w:pStyle w:val="null3"/>
              <w:jc w:val="center"/>
            </w:pPr>
            <w:r>
              <w:rPr>
                <w:sz w:val="24"/>
              </w:rPr>
              <w:t>0.02mg/kg</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蔬菜</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普通白菜、油麦菜、叶芥菜、豇豆、菠菜、菜薹（菜心）</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甲基异柳磷</w:t>
            </w:r>
          </w:p>
          <w:p>
            <w:pPr>
              <w:pStyle w:val="null3"/>
              <w:jc w:val="center"/>
            </w:pPr>
            <w:r>
              <w:rPr>
                <w:sz w:val="24"/>
              </w:rPr>
              <w:t>0.01mg/kg</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蔬菜</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豇豆、普通白菜、葱、结球甘蓝、芹菜</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葱、芹菜易出现假阳性，制样时不可均质。</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克百威</w:t>
            </w:r>
          </w:p>
          <w:p>
            <w:pPr>
              <w:pStyle w:val="null3"/>
              <w:jc w:val="center"/>
            </w:pPr>
            <w:r>
              <w:rPr>
                <w:sz w:val="24"/>
              </w:rPr>
              <w:t>0.02mg/kg</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蔬菜、水果</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豇豆、韭菜、菠菜、茄子、辣椒、普通白菜、芹菜、菜豆（四季豆）、柑、橘、橙</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灭蝇胺</w:t>
            </w:r>
          </w:p>
          <w:p>
            <w:pPr>
              <w:pStyle w:val="null3"/>
              <w:jc w:val="center"/>
            </w:pPr>
            <w:r>
              <w:rPr>
                <w:sz w:val="24"/>
              </w:rPr>
              <w:t>0.5mg/kg</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葱、青花菜、叶用莴苣、结球莴苣、油麦菜、叶芥菜、茎用莴苣叶、芹菜、甜椒、黄瓜、西葫芦、苦瓜、丝瓜、豇豆、菜豆、食荚豌豆、扁豆、蚕豆、豌豆、朝鲜蓟、茎用莴苣、姜</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豇豆、菜豆（四季豆）、食荚豌豆、扁豆、蚕豆、豌豆</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个别厂家豆类蔬菜制样均质会出现假阳性。</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三唑磷</w:t>
            </w:r>
          </w:p>
          <w:p>
            <w:pPr>
              <w:pStyle w:val="null3"/>
              <w:jc w:val="center"/>
            </w:pPr>
            <w:r>
              <w:rPr>
                <w:sz w:val="24"/>
              </w:rPr>
              <w:t>0.05mg/kg</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蔬菜</w:t>
            </w:r>
          </w:p>
          <w:p>
            <w:pPr>
              <w:pStyle w:val="null3"/>
              <w:jc w:val="center"/>
            </w:pPr>
            <w:r>
              <w:rPr>
                <w:sz w:val="24"/>
              </w:rPr>
              <w:t>柑、橘、橙、苹果、荔枝</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豇豆、柑、橘、橙</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检测时需按具体品种的限量值进行稀释。</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水胺硫磷</w:t>
            </w:r>
          </w:p>
          <w:p>
            <w:pPr>
              <w:pStyle w:val="null3"/>
              <w:jc w:val="center"/>
            </w:pPr>
            <w:r>
              <w:rPr>
                <w:sz w:val="24"/>
              </w:rPr>
              <w:t>0.05mg/kg</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蔬菜、水果</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豇豆、葱、菠菜、芹菜、柑、橘、橙</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葱、芹菜易出现假阳性，制样时不可均质。</w:t>
            </w:r>
          </w:p>
        </w:tc>
      </w:tr>
      <w:tr>
        <w:tc>
          <w:tcPr>
            <w:tcW w:type="dxa" w:w="5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9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孔雀石绿</w:t>
            </w:r>
          </w:p>
          <w:p>
            <w:pPr>
              <w:pStyle w:val="null3"/>
              <w:jc w:val="center"/>
            </w:pPr>
            <w:r>
              <w:rPr>
                <w:sz w:val="24"/>
              </w:rPr>
              <w:t>2.0μg/kg</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鱼类：黄颡鱼（黄骨鱼）、鳜（桂花鱼）、大菱鲆（多宝鱼）、乌鳢（生鱼）、草鱼（鲩鱼）、胡子鲶（塘鲺）、花鲈（海鲈）、大口黑鲈（加洲鲈）、泥猛鱼、鲫鱼、罗非鱼（福寿鱼）、鳙鱼（大头鱼、花鲢）、鲟鱼、石斑鱼、黄鳝、泥鳅、黄鳍鲷（黄立脚）、卵形鲳鲹（金鲳）、淡水鲳鱼等</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鱼类</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1"/>
            <w:vMerge/>
            <w:tcBorders>
              <w:top w:val="none" w:color="000000" w:sz="4"/>
              <w:left w:val="single" w:color="000000" w:sz="4"/>
              <w:bottom w:val="single" w:color="000000" w:sz="4"/>
              <w:right w:val="single" w:color="000000" w:sz="4"/>
            </w:tcBorders>
          </w:tcPr>
          <w:p/>
        </w:tc>
        <w:tc>
          <w:tcPr>
            <w:tcW w:type="dxa" w:w="1902"/>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其他水产品：牛蛙</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牛蛙</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9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氯霉素</w:t>
            </w:r>
          </w:p>
          <w:p>
            <w:pPr>
              <w:pStyle w:val="null3"/>
              <w:jc w:val="center"/>
            </w:pPr>
            <w:r>
              <w:rPr>
                <w:sz w:val="24"/>
              </w:rPr>
              <w:t>0.1μg/kg</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贝类：菲律宾蛤仔（花甲、花蛤）、波纹巴菲蛤（花甲）、白贝、蛏子（竹蛏、縊蛏两类）、方斑东风螺（花螺）、贻贝（青口）、鲍鱼等</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贝类</w:t>
            </w:r>
          </w:p>
        </w:tc>
        <w:tc>
          <w:tcPr>
            <w:tcW w:type="dxa" w:w="1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1"/>
            <w:vMerge/>
            <w:tcBorders>
              <w:top w:val="none" w:color="000000" w:sz="4"/>
              <w:left w:val="single" w:color="000000" w:sz="4"/>
              <w:bottom w:val="single" w:color="000000" w:sz="4"/>
              <w:right w:val="single" w:color="000000" w:sz="4"/>
            </w:tcBorders>
          </w:tcPr>
          <w:p/>
        </w:tc>
        <w:tc>
          <w:tcPr>
            <w:tcW w:type="dxa" w:w="1902"/>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鱼类：黄颡鱼（黄骨鱼）、鳜（桂花鱼）、大菱鲆（多宝鱼）、乌鳢（生鱼）、草鱼（鲩鱼）、胡子鲶（塘鲺）、花鲈（海鲈）、大口黑鲈（加洲鲈）、泥猛鱼、鲫鱼、罗非鱼（福寿鱼）、鳙鱼（大头鱼、花鲢）、鲟鱼、石斑鱼、黄鳝、泥鳅、黄鳍鲷（黄立脚）、卵形鲳鲹（金鲳）、淡水鲳鱼等</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鱼类</w:t>
            </w:r>
          </w:p>
        </w:tc>
        <w:tc>
          <w:tcPr>
            <w:tcW w:type="dxa" w:w="1437"/>
            <w:vMerge/>
            <w:tcBorders>
              <w:top w:val="none" w:color="000000" w:sz="4"/>
              <w:left w:val="none" w:color="000000" w:sz="4"/>
              <w:bottom w:val="single" w:color="000000" w:sz="4"/>
              <w:right w:val="single" w:color="000000" w:sz="4"/>
            </w:tcBorders>
          </w:tcPr>
          <w:p/>
        </w:tc>
      </w:tr>
      <w:tr>
        <w:tc>
          <w:tcPr>
            <w:tcW w:type="dxa" w:w="571"/>
            <w:vMerge/>
            <w:tcBorders>
              <w:top w:val="none" w:color="000000" w:sz="4"/>
              <w:left w:val="single" w:color="000000" w:sz="4"/>
              <w:bottom w:val="single" w:color="000000" w:sz="4"/>
              <w:right w:val="single" w:color="000000" w:sz="4"/>
            </w:tcBorders>
          </w:tcPr>
          <w:p/>
        </w:tc>
        <w:tc>
          <w:tcPr>
            <w:tcW w:type="dxa" w:w="1902"/>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虾类：南美白对虾（白对虾）、斑节对虾（草虾、竹节虾）、罗氏沼虾（大头虾）等</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虾类</w:t>
            </w:r>
          </w:p>
        </w:tc>
        <w:tc>
          <w:tcPr>
            <w:tcW w:type="dxa" w:w="1437"/>
            <w:vMerge/>
            <w:tcBorders>
              <w:top w:val="none" w:color="000000" w:sz="4"/>
              <w:left w:val="none" w:color="000000" w:sz="4"/>
              <w:bottom w:val="single" w:color="000000" w:sz="4"/>
              <w:right w:val="single" w:color="000000" w:sz="4"/>
            </w:tcBorders>
          </w:tcPr>
          <w:p/>
        </w:tc>
      </w:tr>
      <w:tr>
        <w:tc>
          <w:tcPr>
            <w:tcW w:type="dxa" w:w="571"/>
            <w:vMerge/>
            <w:tcBorders>
              <w:top w:val="none" w:color="000000" w:sz="4"/>
              <w:left w:val="single" w:color="000000" w:sz="4"/>
              <w:bottom w:val="single" w:color="000000" w:sz="4"/>
              <w:right w:val="single" w:color="000000" w:sz="4"/>
            </w:tcBorders>
          </w:tcPr>
          <w:p/>
        </w:tc>
        <w:tc>
          <w:tcPr>
            <w:tcW w:type="dxa" w:w="1902"/>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其他水产品：牛蛙</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牛蛙</w:t>
            </w:r>
          </w:p>
        </w:tc>
        <w:tc>
          <w:tcPr>
            <w:tcW w:type="dxa" w:w="1437"/>
            <w:vMerge/>
            <w:tcBorders>
              <w:top w:val="none" w:color="000000" w:sz="4"/>
              <w:left w:val="none" w:color="000000" w:sz="4"/>
              <w:bottom w:val="single" w:color="000000" w:sz="4"/>
              <w:right w:val="single" w:color="000000" w:sz="4"/>
            </w:tcBorders>
          </w:tcPr>
          <w:p/>
        </w:tc>
      </w:tr>
      <w:tr>
        <w:tc>
          <w:tcPr>
            <w:tcW w:type="dxa" w:w="571"/>
            <w:vMerge/>
            <w:tcBorders>
              <w:top w:val="none" w:color="000000" w:sz="4"/>
              <w:left w:val="single" w:color="000000" w:sz="4"/>
              <w:bottom w:val="single" w:color="000000" w:sz="4"/>
              <w:right w:val="single" w:color="000000" w:sz="4"/>
            </w:tcBorders>
          </w:tcPr>
          <w:p/>
        </w:tc>
        <w:tc>
          <w:tcPr>
            <w:tcW w:type="dxa" w:w="1902"/>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禽畜肉：猪肉、牛肉、羊肉、鸡肉、鸭肉等</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禽畜肉</w:t>
            </w:r>
          </w:p>
        </w:tc>
        <w:tc>
          <w:tcPr>
            <w:tcW w:type="dxa" w:w="1437"/>
            <w:vMerge/>
            <w:tcBorders>
              <w:top w:val="none" w:color="000000" w:sz="4"/>
              <w:left w:val="none" w:color="000000" w:sz="4"/>
              <w:bottom w:val="single" w:color="000000" w:sz="4"/>
              <w:right w:val="single" w:color="000000" w:sz="4"/>
            </w:tcBorders>
          </w:tcPr>
          <w:p/>
        </w:tc>
      </w:tr>
      <w:tr>
        <w:tc>
          <w:tcPr>
            <w:tcW w:type="dxa" w:w="5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9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呋喃唑酮代谢物</w:t>
            </w:r>
          </w:p>
          <w:p>
            <w:pPr>
              <w:pStyle w:val="null3"/>
              <w:jc w:val="center"/>
            </w:pPr>
            <w:r>
              <w:rPr>
                <w:sz w:val="24"/>
              </w:rPr>
              <w:t>0.5μg/kg</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鱼类：黄颡鱼（黄骨鱼）、鳜（桂花鱼）、大菱鲆（多宝鱼）、乌鳢（生鱼）、草鱼（鲩鱼）、胡子鲶（塘鲺）、花鲈（海鲈）、大口黑鲈（加洲鲈）、泥猛鱼、鲫鱼、罗非鱼（福寿鱼）、鳙鱼（大头鱼、花鲢）、鲟鱼、石斑鱼、黄鳝、泥鳅、黄鳍鲷（黄立脚）、卵形鲳鲹（金鲳）、淡水鲳鱼等</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鱼类</w:t>
            </w:r>
          </w:p>
        </w:tc>
        <w:tc>
          <w:tcPr>
            <w:tcW w:type="dxa" w:w="1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1"/>
            <w:vMerge/>
            <w:tcBorders>
              <w:top w:val="none" w:color="000000" w:sz="4"/>
              <w:left w:val="single" w:color="000000" w:sz="4"/>
              <w:bottom w:val="single" w:color="000000" w:sz="4"/>
              <w:right w:val="single" w:color="000000" w:sz="4"/>
            </w:tcBorders>
          </w:tcPr>
          <w:p/>
        </w:tc>
        <w:tc>
          <w:tcPr>
            <w:tcW w:type="dxa" w:w="1902"/>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虾类：南美白对虾（白对虾）、斑节对虾（草虾、竹节虾）、罗氏沼虾（大头虾）等</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虾类</w:t>
            </w:r>
          </w:p>
        </w:tc>
        <w:tc>
          <w:tcPr>
            <w:tcW w:type="dxa" w:w="1437"/>
            <w:vMerge/>
            <w:tcBorders>
              <w:top w:val="none" w:color="000000" w:sz="4"/>
              <w:left w:val="none" w:color="000000" w:sz="4"/>
              <w:bottom w:val="single" w:color="000000" w:sz="4"/>
              <w:right w:val="single" w:color="000000" w:sz="4"/>
            </w:tcBorders>
          </w:tcPr>
          <w:p/>
        </w:tc>
      </w:tr>
      <w:tr>
        <w:tc>
          <w:tcPr>
            <w:tcW w:type="dxa" w:w="571"/>
            <w:vMerge/>
            <w:tcBorders>
              <w:top w:val="none" w:color="000000" w:sz="4"/>
              <w:left w:val="single" w:color="000000" w:sz="4"/>
              <w:bottom w:val="single" w:color="000000" w:sz="4"/>
              <w:right w:val="single" w:color="000000" w:sz="4"/>
            </w:tcBorders>
          </w:tcPr>
          <w:p/>
        </w:tc>
        <w:tc>
          <w:tcPr>
            <w:tcW w:type="dxa" w:w="1902"/>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其他水产品：牛蛙</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牛蛙</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9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呋喃西林代谢物</w:t>
            </w:r>
          </w:p>
          <w:p>
            <w:pPr>
              <w:pStyle w:val="null3"/>
              <w:jc w:val="center"/>
            </w:pPr>
            <w:r>
              <w:rPr>
                <w:sz w:val="24"/>
              </w:rPr>
              <w:t>0.5μg/kg</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鱼类：黄颡鱼（黄骨鱼）、鳜（桂花鱼）、大菱鲆（多宝鱼）、乌鳢（生鱼）、草鱼（鲩鱼）、胡子鲶（塘鲺）、花鲈（海鲈）、大口黑鲈（加洲鲈）、泥猛鱼、鲫鱼、罗非鱼（福寿鱼）、鳙鱼（大头鱼、花鲢）、鲟鱼、石斑鱼、黄鳝、泥鳅、黄鳍鲷（黄立脚）、卵形鲳鲹（金鲳）、淡水鲳鱼等</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鱼类</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1"/>
            <w:vMerge/>
            <w:tcBorders>
              <w:top w:val="none" w:color="000000" w:sz="4"/>
              <w:left w:val="single" w:color="000000" w:sz="4"/>
              <w:bottom w:val="single" w:color="000000" w:sz="4"/>
              <w:right w:val="single" w:color="000000" w:sz="4"/>
            </w:tcBorders>
          </w:tcPr>
          <w:p/>
        </w:tc>
        <w:tc>
          <w:tcPr>
            <w:tcW w:type="dxa" w:w="1902"/>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其他水产品：牛蛙</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牛蛙</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克伦特罗</w:t>
            </w:r>
          </w:p>
          <w:p>
            <w:pPr>
              <w:pStyle w:val="null3"/>
              <w:jc w:val="center"/>
            </w:pPr>
            <w:r>
              <w:rPr>
                <w:sz w:val="24"/>
              </w:rPr>
              <w:t>0.5μg/kg</w:t>
            </w:r>
          </w:p>
        </w:tc>
        <w:tc>
          <w:tcPr>
            <w:tcW w:type="dxa" w:w="29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畜肉及副产品：牛肉、羊肉、猪肉及副产品</w:t>
            </w:r>
          </w:p>
        </w:tc>
        <w:tc>
          <w:tcPr>
            <w:tcW w:type="dxa" w:w="14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牛肉、羊肉、猪肉及副产品</w:t>
            </w:r>
          </w:p>
        </w:tc>
        <w:tc>
          <w:tcPr>
            <w:tcW w:type="dxa" w:w="1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莱克多巴胺</w:t>
            </w:r>
          </w:p>
          <w:p>
            <w:pPr>
              <w:pStyle w:val="null3"/>
              <w:jc w:val="center"/>
            </w:pPr>
            <w:r>
              <w:rPr>
                <w:sz w:val="24"/>
              </w:rPr>
              <w:t>0.5μg/kg</w:t>
            </w:r>
          </w:p>
        </w:tc>
        <w:tc>
          <w:tcPr>
            <w:tcW w:type="dxa" w:w="2940"/>
            <w:vMerge/>
            <w:tcBorders>
              <w:top w:val="none" w:color="000000" w:sz="4"/>
              <w:left w:val="none" w:color="000000" w:sz="4"/>
              <w:bottom w:val="single" w:color="000000" w:sz="4"/>
              <w:right w:val="single" w:color="000000" w:sz="4"/>
            </w:tcBorders>
          </w:tcPr>
          <w:p/>
        </w:tc>
        <w:tc>
          <w:tcPr>
            <w:tcW w:type="dxa" w:w="1452"/>
            <w:vMerge/>
            <w:tcBorders>
              <w:top w:val="none" w:color="000000" w:sz="4"/>
              <w:left w:val="none" w:color="000000" w:sz="4"/>
              <w:bottom w:val="single" w:color="000000" w:sz="4"/>
              <w:right w:val="single" w:color="000000" w:sz="4"/>
            </w:tcBorders>
          </w:tcPr>
          <w:p/>
        </w:tc>
        <w:tc>
          <w:tcPr>
            <w:tcW w:type="dxa" w:w="1437"/>
            <w:vMerge/>
            <w:tcBorders>
              <w:top w:val="none" w:color="000000" w:sz="4"/>
              <w:left w:val="none" w:color="000000" w:sz="4"/>
              <w:bottom w:val="single" w:color="000000" w:sz="4"/>
              <w:right w:val="single" w:color="000000" w:sz="4"/>
            </w:tcBorders>
          </w:tcP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沙丁胺醇</w:t>
            </w:r>
          </w:p>
          <w:p>
            <w:pPr>
              <w:pStyle w:val="null3"/>
              <w:jc w:val="center"/>
            </w:pPr>
            <w:r>
              <w:rPr>
                <w:sz w:val="24"/>
              </w:rPr>
              <w:t>0.5μg/kg</w:t>
            </w:r>
          </w:p>
        </w:tc>
        <w:tc>
          <w:tcPr>
            <w:tcW w:type="dxa" w:w="2940"/>
            <w:vMerge/>
            <w:tcBorders>
              <w:top w:val="none" w:color="000000" w:sz="4"/>
              <w:left w:val="none" w:color="000000" w:sz="4"/>
              <w:bottom w:val="single" w:color="000000" w:sz="4"/>
              <w:right w:val="single" w:color="000000" w:sz="4"/>
            </w:tcBorders>
          </w:tcPr>
          <w:p/>
        </w:tc>
        <w:tc>
          <w:tcPr>
            <w:tcW w:type="dxa" w:w="1452"/>
            <w:vMerge/>
            <w:tcBorders>
              <w:top w:val="none" w:color="000000" w:sz="4"/>
              <w:left w:val="none" w:color="000000" w:sz="4"/>
              <w:bottom w:val="single" w:color="000000" w:sz="4"/>
              <w:right w:val="single" w:color="000000" w:sz="4"/>
            </w:tcBorders>
          </w:tcPr>
          <w:p/>
        </w:tc>
        <w:tc>
          <w:tcPr>
            <w:tcW w:type="dxa" w:w="1437"/>
            <w:vMerge/>
            <w:tcBorders>
              <w:top w:val="none" w:color="000000" w:sz="4"/>
              <w:left w:val="none" w:color="000000" w:sz="4"/>
              <w:bottom w:val="single" w:color="000000" w:sz="4"/>
              <w:right w:val="single" w:color="000000" w:sz="4"/>
            </w:tcBorders>
          </w:tcPr>
          <w:p/>
        </w:tc>
      </w:tr>
      <w:tr>
        <w:tc>
          <w:tcPr>
            <w:tcW w:type="dxa" w:w="5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19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恩诺沙星</w:t>
            </w:r>
          </w:p>
          <w:p>
            <w:pPr>
              <w:pStyle w:val="null3"/>
              <w:jc w:val="center"/>
            </w:pPr>
            <w:r>
              <w:rPr>
                <w:sz w:val="24"/>
              </w:rPr>
              <w:t>100μg/kg</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鱼类：黄颡鱼（黄骨鱼）、鳜（桂花鱼）、大菱鲆（多宝鱼）、乌鳢（生鱼）、草鱼（鲩鱼）、胡子鲶（塘鲺）、花鲈（海鲈）、大口黑鲈（加洲鲈）、泥猛鱼、鲫鱼、罗非鱼（福寿鱼）、鳙鱼（大头鱼、花鲢）、鲟鱼、石斑鱼、黄鳝、泥鳅、黄鳍鲷（黄立脚）、卵形鲳鲹（金鲳）、淡水鲳鱼等</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鱼类</w:t>
            </w:r>
          </w:p>
        </w:tc>
        <w:tc>
          <w:tcPr>
            <w:tcW w:type="dxa" w:w="1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1"/>
            <w:vMerge/>
            <w:tcBorders>
              <w:top w:val="none" w:color="000000" w:sz="4"/>
              <w:left w:val="single" w:color="000000" w:sz="4"/>
              <w:bottom w:val="single" w:color="000000" w:sz="4"/>
              <w:right w:val="single" w:color="000000" w:sz="4"/>
            </w:tcBorders>
          </w:tcPr>
          <w:p/>
        </w:tc>
        <w:tc>
          <w:tcPr>
            <w:tcW w:type="dxa" w:w="1902"/>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贝类：菲律宾蛤仔（花甲、花蛤）、波纹巴菲蛤（花甲）、白贝、蛏子（竹蛏、縊蛏两类）、方斑东风螺（花螺）、贻贝（青口）、鲍鱼等</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贝类</w:t>
            </w:r>
          </w:p>
        </w:tc>
        <w:tc>
          <w:tcPr>
            <w:tcW w:type="dxa" w:w="1437"/>
            <w:vMerge/>
            <w:tcBorders>
              <w:top w:val="none" w:color="000000" w:sz="4"/>
              <w:left w:val="none" w:color="000000" w:sz="4"/>
              <w:bottom w:val="single" w:color="000000" w:sz="4"/>
              <w:right w:val="single" w:color="000000" w:sz="4"/>
            </w:tcBorders>
          </w:tcPr>
          <w:p/>
        </w:tc>
      </w:tr>
      <w:tr>
        <w:tc>
          <w:tcPr>
            <w:tcW w:type="dxa" w:w="571"/>
            <w:vMerge/>
            <w:tcBorders>
              <w:top w:val="none" w:color="000000" w:sz="4"/>
              <w:left w:val="single" w:color="000000" w:sz="4"/>
              <w:bottom w:val="single" w:color="000000" w:sz="4"/>
              <w:right w:val="single" w:color="000000" w:sz="4"/>
            </w:tcBorders>
          </w:tcPr>
          <w:p/>
        </w:tc>
        <w:tc>
          <w:tcPr>
            <w:tcW w:type="dxa" w:w="1902"/>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虾类：南美白对虾（白对虾）、斑节对虾（草虾、竹节虾）、罗氏沼虾（大头虾）等</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虾类</w:t>
            </w:r>
          </w:p>
        </w:tc>
        <w:tc>
          <w:tcPr>
            <w:tcW w:type="dxa" w:w="1437"/>
            <w:vMerge/>
            <w:tcBorders>
              <w:top w:val="none" w:color="000000" w:sz="4"/>
              <w:left w:val="none" w:color="000000" w:sz="4"/>
              <w:bottom w:val="single" w:color="000000" w:sz="4"/>
              <w:right w:val="single" w:color="000000" w:sz="4"/>
            </w:tcBorders>
          </w:tcPr>
          <w:p/>
        </w:tc>
      </w:tr>
      <w:tr>
        <w:tc>
          <w:tcPr>
            <w:tcW w:type="dxa" w:w="571"/>
            <w:vMerge/>
            <w:tcBorders>
              <w:top w:val="none" w:color="000000" w:sz="4"/>
              <w:left w:val="single" w:color="000000" w:sz="4"/>
              <w:bottom w:val="single" w:color="000000" w:sz="4"/>
              <w:right w:val="single" w:color="000000" w:sz="4"/>
            </w:tcBorders>
          </w:tcPr>
          <w:p/>
        </w:tc>
        <w:tc>
          <w:tcPr>
            <w:tcW w:type="dxa" w:w="1902"/>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其他水产品：牛蛙、中华鳖（甲鱼）等</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牛蛙</w:t>
            </w:r>
          </w:p>
        </w:tc>
        <w:tc>
          <w:tcPr>
            <w:tcW w:type="dxa" w:w="1437"/>
            <w:vMerge/>
            <w:tcBorders>
              <w:top w:val="none" w:color="000000" w:sz="4"/>
              <w:left w:val="none" w:color="000000" w:sz="4"/>
              <w:bottom w:val="single" w:color="000000" w:sz="4"/>
              <w:right w:val="single" w:color="000000" w:sz="4"/>
            </w:tcBorders>
          </w:tcPr>
          <w:p/>
        </w:tc>
      </w:tr>
      <w:tr>
        <w:tc>
          <w:tcPr>
            <w:tcW w:type="dxa" w:w="571"/>
            <w:vMerge/>
            <w:tcBorders>
              <w:top w:val="none" w:color="000000" w:sz="4"/>
              <w:left w:val="single" w:color="000000" w:sz="4"/>
              <w:bottom w:val="single" w:color="000000" w:sz="4"/>
              <w:right w:val="single" w:color="000000" w:sz="4"/>
            </w:tcBorders>
          </w:tcPr>
          <w:p/>
        </w:tc>
        <w:tc>
          <w:tcPr>
            <w:tcW w:type="dxa" w:w="1902"/>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禽畜肉：猪肉、牛肉、羊肉、鸡肉、鸭肉等</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鸡肉、乌鸡</w:t>
            </w:r>
          </w:p>
        </w:tc>
        <w:tc>
          <w:tcPr>
            <w:tcW w:type="dxa" w:w="1437"/>
            <w:vMerge/>
            <w:tcBorders>
              <w:top w:val="none" w:color="000000" w:sz="4"/>
              <w:left w:val="none" w:color="000000" w:sz="4"/>
              <w:bottom w:val="single" w:color="000000" w:sz="4"/>
              <w:right w:val="single" w:color="000000" w:sz="4"/>
            </w:tcBorders>
          </w:tcP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氟苯尼考</w:t>
            </w:r>
          </w:p>
          <w:p>
            <w:pPr>
              <w:pStyle w:val="null3"/>
              <w:jc w:val="center"/>
            </w:pPr>
            <w:r>
              <w:rPr>
                <w:sz w:val="24"/>
              </w:rPr>
              <w:t>10μg/kg</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蛋类：鹌鹑蛋、鸭蛋、鹅蛋、鸡蛋等</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蛋类</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氟苯尼考</w:t>
            </w:r>
          </w:p>
          <w:p>
            <w:pPr>
              <w:pStyle w:val="null3"/>
              <w:jc w:val="center"/>
            </w:pPr>
            <w:r>
              <w:rPr>
                <w:sz w:val="24"/>
              </w:rPr>
              <w:t>100μg/kg</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贝类：菲律宾蛤仔（花甲、花蛤）、波纹巴菲蛤（花甲）、白贝、蛏子（竹蛏、縊蛏两类）、方斑东风螺（花螺）、贻贝（青口）、鲍鱼等</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贝类</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9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氧氟沙星</w:t>
            </w:r>
          </w:p>
          <w:p>
            <w:pPr>
              <w:pStyle w:val="null3"/>
              <w:jc w:val="center"/>
            </w:pPr>
            <w:r>
              <w:rPr>
                <w:sz w:val="24"/>
              </w:rPr>
              <w:t>2.0μg/kg</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鱼类：黄颡鱼（黄骨鱼）、鳜（桂花鱼）、大菱鲆（多宝鱼）、乌鳢（生鱼）、草鱼（鲩鱼）、胡子鲶（塘鲺）、花鲈（海鲈）、大口黑鲈（加洲鲈）、泥猛鱼、鲫鱼、罗非鱼（福寿鱼）、鳙鱼（大头鱼、花鲢）、鲟鱼、石斑鱼、黄鳝、泥鳅、黄鳍鲷（黄立脚）、卵形鲳鲹（金鲳）、淡水鲳鱼等</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鱼类</w:t>
            </w:r>
          </w:p>
        </w:tc>
        <w:tc>
          <w:tcPr>
            <w:tcW w:type="dxa" w:w="1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1"/>
            <w:vMerge/>
            <w:tcBorders>
              <w:top w:val="none" w:color="000000" w:sz="4"/>
              <w:left w:val="single" w:color="000000" w:sz="4"/>
              <w:bottom w:val="single" w:color="000000" w:sz="4"/>
              <w:right w:val="single" w:color="000000" w:sz="4"/>
            </w:tcBorders>
          </w:tcPr>
          <w:p/>
        </w:tc>
        <w:tc>
          <w:tcPr>
            <w:tcW w:type="dxa" w:w="1902"/>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其他水产品：牛蛙</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牛蛙</w:t>
            </w:r>
          </w:p>
        </w:tc>
        <w:tc>
          <w:tcPr>
            <w:tcW w:type="dxa" w:w="1437"/>
            <w:vMerge/>
            <w:tcBorders>
              <w:top w:val="none" w:color="000000" w:sz="4"/>
              <w:left w:val="none" w:color="000000" w:sz="4"/>
              <w:bottom w:val="single" w:color="000000" w:sz="4"/>
              <w:right w:val="single" w:color="000000" w:sz="4"/>
            </w:tcBorders>
          </w:tcP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喹乙醇代谢物</w:t>
            </w:r>
          </w:p>
          <w:p>
            <w:pPr>
              <w:pStyle w:val="null3"/>
              <w:jc w:val="center"/>
            </w:pPr>
            <w:r>
              <w:rPr>
                <w:sz w:val="24"/>
              </w:rPr>
              <w:t>4.0μg/kg</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猪肉</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猪肉</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地西泮</w:t>
            </w:r>
          </w:p>
          <w:p>
            <w:pPr>
              <w:pStyle w:val="null3"/>
              <w:jc w:val="center"/>
            </w:pPr>
            <w:r>
              <w:rPr>
                <w:sz w:val="24"/>
              </w:rPr>
              <w:t>0.5μg/kg</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鲫鱼、草鱼（鲩鱼）、罗非鱼（福寿鱼）、淡水鲳鱼</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鲫鱼、草鱼（鲩鱼）、罗非鱼（福寿鱼）、淡水鲳鱼</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4"/>
        </w:rPr>
        <w:t>快检重点品种建议：</w:t>
      </w:r>
    </w:p>
    <w:p>
      <w:pPr>
        <w:pStyle w:val="null3"/>
        <w:jc w:val="both"/>
      </w:pPr>
      <w:r>
        <w:rPr>
          <w:sz w:val="24"/>
        </w:rPr>
        <w:t>（</w:t>
      </w:r>
      <w:r>
        <w:rPr>
          <w:sz w:val="24"/>
        </w:rPr>
        <w:t>1）蔬菜：韭菜、菠菜、普通白菜、大白菜、芹菜、黄瓜、菜豆、辣椒、油麦菜、生姜、豇豆、结球甘蓝、西兰花、芥菜、莴苣、菜心、芥蓝、菜薹等品种。</w:t>
      </w:r>
    </w:p>
    <w:p>
      <w:pPr>
        <w:pStyle w:val="null3"/>
        <w:jc w:val="both"/>
      </w:pPr>
      <w:r>
        <w:rPr>
          <w:sz w:val="24"/>
        </w:rPr>
        <w:t>（</w:t>
      </w:r>
      <w:r>
        <w:rPr>
          <w:sz w:val="24"/>
        </w:rPr>
        <w:t>2）水产品：鳜（桂花鱼）、大菱鲆（多宝鱼）、乌鳢（生鱼）、石斑鱼、黄颡鱼（黄骨鱼）、鲫鱼、罗非鱼、草鱼（鲩鱼）、花鲈、大口黑鲈（加洲鲈）、鳙鱼（大头鱼、花鲢），鲟鱼、黄鳝等鱼类、南美白对虾（白对虾）、斑节对虾、（草虾、竹节虾）、罗氏沼虾（大头虾）等虾类；花甲、白贝、花蛤、蛏子、螺、青口、鲍鱼等贝类。</w:t>
      </w:r>
    </w:p>
    <w:p>
      <w:pPr>
        <w:pStyle w:val="null3"/>
        <w:jc w:val="left"/>
      </w:pPr>
      <w:r>
        <w:rPr>
          <w:sz w:val="24"/>
        </w:rPr>
        <w:t>（</w:t>
      </w:r>
      <w:r>
        <w:rPr>
          <w:sz w:val="24"/>
        </w:rPr>
        <w:t>3）鸡蛋。</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441881-2025-00996</w:t>
      </w:r>
    </w:p>
    <w:p>
      <w:pPr>
        <w:pStyle w:val="null3"/>
        <w:jc w:val="center"/>
        <w:outlineLvl w:val="3"/>
      </w:pPr>
      <w:r>
        <w:rPr>
          <w:sz w:val="24"/>
          <w:b/>
        </w:rPr>
        <w:t>采购项目编号：</w:t>
      </w:r>
      <w:r>
        <w:rPr>
          <w:sz w:val="24"/>
          <w:b/>
        </w:rPr>
        <w:t>HYGZ25XZ01C0604</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广东弘烨项目管理有限公司</w:t>
      </w:r>
    </w:p>
    <w:p>
      <w:pPr>
        <w:pStyle w:val="null3"/>
        <w:ind w:firstLine="480"/>
      </w:pPr>
      <w:r>
        <w:rPr/>
        <w:t xml:space="preserve"> 你方组织的</w:t>
      </w:r>
      <w:r>
        <w:rPr>
          <w:u w:val="single"/>
        </w:rPr>
        <w:t>“</w:t>
      </w:r>
      <w:r>
        <w:rPr>
          <w:u w:val="single"/>
        </w:rPr>
        <w:t>英德市市场监督管理局2025年食用农产品快速检测服务采购项目（含试剂）</w:t>
      </w:r>
      <w:r>
        <w:rPr>
          <w:u w:val="single"/>
        </w:rPr>
        <w:t>”</w:t>
      </w:r>
      <w:r>
        <w:rPr/>
        <w:t>项目的竞争性磋商[采购项目编号为：</w:t>
      </w:r>
      <w:r>
        <w:rPr>
          <w:u w:val="single"/>
        </w:rPr>
        <w:t>HYGZ25XZ01C0604</w:t>
      </w:r>
      <w:r>
        <w:rPr/>
        <w:t>]，我方愿参与响应。</w:t>
      </w:r>
    </w:p>
    <w:p>
      <w:pPr>
        <w:pStyle w:val="null3"/>
        <w:ind w:firstLine="480"/>
      </w:pPr>
      <w:r>
        <w:rPr/>
        <w:t>我方确认收到贵方提供的</w:t>
      </w:r>
      <w:r>
        <w:rPr>
          <w:u w:val="single"/>
        </w:rPr>
        <w:t>“</w:t>
      </w:r>
      <w:r>
        <w:rPr>
          <w:u w:val="single"/>
        </w:rPr>
        <w:t>英德市市场监督管理局2025年食用农产品快速检测服务采购项目（含试剂）</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广东弘烨项目管理有限公司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英德市市场监督管理局2025年食用农产品快速检测服务采购项目（含试剂）</w:t>
      </w:r>
      <w:r>
        <w:rPr/>
        <w:t>”项目采购[采购项目编号为</w:t>
      </w:r>
      <w:r>
        <w:rPr/>
        <w:t>HYGZ25XZ01C0604</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英德市市场监督管理局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广东弘烨项目管理有限公司</w:t>
      </w:r>
    </w:p>
    <w:p>
      <w:pPr>
        <w:pStyle w:val="null3"/>
        <w:ind w:firstLine="480"/>
      </w:pPr>
      <w:r>
        <w:rPr/>
        <w:t>我单位参加贵公司组织的</w:t>
      </w:r>
      <w:r>
        <w:rPr/>
        <w:t>英德市市场监督管理局2025年食用农产品快速检测服务采购项目（含试剂）</w:t>
      </w:r>
      <w:r>
        <w:rPr/>
        <w:t>（采购项目编号：</w:t>
      </w:r>
      <w:r>
        <w:rPr/>
        <w:t>HYGZ25XZ01C0604</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广东弘烨项目管理有限公司</w:t>
      </w:r>
    </w:p>
    <w:p>
      <w:pPr>
        <w:pStyle w:val="null3"/>
        <w:ind w:firstLine="480"/>
      </w:pPr>
      <w:r>
        <w:rPr/>
        <w:t>我单位已登记并准备参与“</w:t>
      </w:r>
      <w:r>
        <w:rPr/>
        <w:t>英德市市场监督管理局2025年食用农产品快速检测服务采购项目（含试剂）</w:t>
      </w:r>
      <w:r>
        <w:rPr/>
        <w:t>”项目（采购项目编号：</w:t>
      </w:r>
      <w:r>
        <w:rPr/>
        <w:t>HYGZ25XZ01C0604</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