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rPr>
          <w:rFonts w:hint="default" w:eastAsia="方正小标宋简体"/>
          <w:color w:val="auto"/>
          <w:lang w:val="en-US" w:eastAsia="zh-CN"/>
        </w:rPr>
      </w:pPr>
      <w:bookmarkStart w:id="0" w:name="OLE_LINK1"/>
      <w:r>
        <w:rPr>
          <w:color w:val="auto"/>
        </w:rPr>
        <w:t>城区街路行道树养护</w:t>
      </w:r>
      <w:r>
        <w:rPr>
          <w:rFonts w:hint="eastAsia"/>
          <w:color w:val="auto"/>
          <w:lang w:val="en-US" w:eastAsia="zh-CN"/>
        </w:rPr>
        <w:t>考评方案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00" w:lineRule="exact"/>
        <w:textAlignment w:val="auto"/>
        <w:rPr>
          <w:color w:val="auto"/>
        </w:rPr>
      </w:pPr>
    </w:p>
    <w:bookmarkEnd w:id="0"/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黑体" w:hAnsi="黑体" w:eastAsia="黑体" w:cs="黑体"/>
          <w:color w:val="auto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0"/>
          <w:szCs w:val="30"/>
          <w:lang w:val="en-US" w:eastAsia="zh-CN"/>
        </w:rPr>
        <w:t>考评细则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ind w:firstLine="576" w:firstLineChars="200"/>
        <w:textAlignment w:val="auto"/>
        <w:rPr>
          <w:rFonts w:hint="eastAsia" w:ascii="楷体" w:hAnsi="楷体" w:eastAsia="楷体" w:cs="楷体"/>
          <w:color w:val="auto"/>
          <w:spacing w:val="-6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color w:val="auto"/>
          <w:spacing w:val="-6"/>
          <w:sz w:val="30"/>
          <w:szCs w:val="30"/>
          <w:lang w:eastAsia="zh-CN"/>
        </w:rPr>
        <w:t>（</w:t>
      </w:r>
      <w:r>
        <w:rPr>
          <w:rFonts w:hint="eastAsia" w:ascii="楷体" w:hAnsi="楷体" w:eastAsia="楷体" w:cs="楷体"/>
          <w:color w:val="auto"/>
          <w:spacing w:val="-6"/>
          <w:sz w:val="30"/>
          <w:szCs w:val="30"/>
          <w:lang w:val="en-US" w:eastAsia="zh-CN"/>
        </w:rPr>
        <w:t>一</w:t>
      </w:r>
      <w:r>
        <w:rPr>
          <w:rFonts w:hint="eastAsia" w:ascii="楷体" w:hAnsi="楷体" w:eastAsia="楷体" w:cs="楷体"/>
          <w:color w:val="auto"/>
          <w:spacing w:val="-6"/>
          <w:sz w:val="30"/>
          <w:szCs w:val="30"/>
          <w:lang w:eastAsia="zh-CN"/>
        </w:rPr>
        <w:t>）</w:t>
      </w:r>
      <w:r>
        <w:rPr>
          <w:rFonts w:hint="eastAsia" w:ascii="楷体" w:hAnsi="楷体" w:eastAsia="楷体" w:cs="楷体"/>
          <w:color w:val="auto"/>
          <w:spacing w:val="-6"/>
          <w:sz w:val="30"/>
          <w:szCs w:val="30"/>
          <w:lang w:val="en-US" w:eastAsia="zh-CN"/>
        </w:rPr>
        <w:t>考评说明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ind w:firstLine="576" w:firstLineChars="200"/>
        <w:textAlignment w:val="auto"/>
        <w:rPr>
          <w:rFonts w:ascii="Times New Roman" w:hAnsi="Times New Roman" w:eastAsia="仿宋_GB2312" w:cs="仿宋_GB2312"/>
          <w:color w:val="auto"/>
          <w:spacing w:val="-6"/>
          <w:sz w:val="30"/>
          <w:szCs w:val="30"/>
        </w:rPr>
      </w:pPr>
      <w:r>
        <w:rPr>
          <w:rFonts w:ascii="Times New Roman" w:hAnsi="Times New Roman" w:eastAsia="仿宋_GB2312" w:cs="仿宋_GB2312"/>
          <w:color w:val="auto"/>
          <w:spacing w:val="-6"/>
          <w:sz w:val="30"/>
          <w:szCs w:val="30"/>
        </w:rPr>
        <w:t>本考评细则总分100分，与养护服务内容及质量标准一一对应，适用于甲方对乙方月度养护服务质量的考评，考评结果作为验收、付费及合同续签的核心依据。考评采用“基础分扣分制”，单项分值扣完为止，不出现负分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ind w:firstLine="576" w:firstLineChars="200"/>
        <w:textAlignment w:val="auto"/>
        <w:rPr>
          <w:rFonts w:hint="default" w:ascii="楷体" w:hAnsi="楷体" w:eastAsia="楷体" w:cs="楷体"/>
          <w:color w:val="auto"/>
          <w:spacing w:val="-6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color w:val="auto"/>
          <w:spacing w:val="-6"/>
          <w:sz w:val="30"/>
          <w:szCs w:val="30"/>
          <w:lang w:eastAsia="zh-CN"/>
        </w:rPr>
        <w:t>（</w:t>
      </w:r>
      <w:r>
        <w:rPr>
          <w:rFonts w:hint="eastAsia" w:ascii="楷体" w:hAnsi="楷体" w:eastAsia="楷体" w:cs="楷体"/>
          <w:color w:val="auto"/>
          <w:spacing w:val="-6"/>
          <w:sz w:val="30"/>
          <w:szCs w:val="30"/>
          <w:lang w:val="en-US" w:eastAsia="zh-CN"/>
        </w:rPr>
        <w:t>二）考评内容及计分标准</w:t>
      </w:r>
    </w:p>
    <w:tbl>
      <w:tblPr>
        <w:tblStyle w:val="12"/>
        <w:tblW w:w="8978" w:type="dxa"/>
        <w:jc w:val="center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70"/>
        <w:gridCol w:w="2070"/>
        <w:gridCol w:w="1205"/>
        <w:gridCol w:w="3633"/>
      </w:tblGrid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考评大类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考评内容</w:t>
            </w:r>
          </w:p>
        </w:tc>
        <w:tc>
          <w:tcPr>
            <w:tcW w:w="12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分值（分）</w:t>
            </w:r>
          </w:p>
        </w:tc>
        <w:tc>
          <w:tcPr>
            <w:tcW w:w="36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计分标准</w:t>
            </w: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一、日常巡查（8分）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1. 巡查频次达标；2. 巡查内容完整无遗漏；3. 巡查日志规范归档；4. 隐患上报及时准确</w:t>
            </w:r>
          </w:p>
        </w:tc>
        <w:tc>
          <w:tcPr>
            <w:tcW w:w="12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8</w:t>
            </w:r>
          </w:p>
        </w:tc>
        <w:tc>
          <w:tcPr>
            <w:tcW w:w="36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1. 频次每缺1次扣1分，扣完2分为止；2. 发现1处巡查遗漏问题扣1分，扣完2分为止；3. 日志不完整、未按时归档1次扣1分，扣完2分为止；4. 重大隐患未1小时内上报扣2分，一般问题处置反馈不及时1次扣1分，扣完2分为止。</w:t>
            </w: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二、灌溉养护（8分）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1. 灌溉频次、方式合规；2. 避开禁忌时段灌溉；3. 雨后及时排涝；4. 无旱情、涝害及积水淤泥</w:t>
            </w:r>
          </w:p>
        </w:tc>
        <w:tc>
          <w:tcPr>
            <w:tcW w:w="12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8</w:t>
            </w:r>
          </w:p>
        </w:tc>
        <w:tc>
          <w:tcPr>
            <w:tcW w:w="36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1. 频次不符1次扣1分，灌溉方式不当1次扣1分，扣完3分为止；2. 高温正午灌溉1次扣1分，扣完1分为止；3. 雨后积水未清理1处扣1分，扣完2分为止；4. 树木出现旱情、涝害1处扣1分，扣完2分为止。</w:t>
            </w: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三、施肥养护（8分）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1. 施肥频次达标；2. 肥料种类合规；3. 施肥方法规范；4. 无肥害、缺素症状</w:t>
            </w:r>
          </w:p>
        </w:tc>
        <w:tc>
          <w:tcPr>
            <w:tcW w:w="12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8</w:t>
            </w:r>
          </w:p>
        </w:tc>
        <w:tc>
          <w:tcPr>
            <w:tcW w:w="36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1.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  <w:t>养护期内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施肥少于2次扣2分，扣完2分为止；2. 使用禁用肥料1次扣3分，扣完3分为止；3. 施肥方法不当（如距离树干过近、未覆土等）1处扣1分，扣完2分为止；4. 树木出现肥害、缺素症状1处扣1分，扣完1分为止。</w:t>
            </w: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四、修剪养护（12分）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1. 修剪频次、强剪任务达标；2. 修剪原则、高度合规；3. 切口处理规范；4. 废弃物及时清理</w:t>
            </w:r>
          </w:p>
        </w:tc>
        <w:tc>
          <w:tcPr>
            <w:tcW w:w="12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12</w:t>
            </w:r>
          </w:p>
        </w:tc>
        <w:tc>
          <w:tcPr>
            <w:tcW w:w="36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1. 修剪频次不符1次扣2分，未完成年度1000株强剪任务每缺10株扣1分，扣完4分为止；2. 枝下净高不达标1处扣1分，遮挡交通设施1处扣1分，扣完3分为止；3. 切口不平整或大切口未涂愈合剂1处扣1分，扣完2分为止；4. 修剪废弃物未24小时内清理1次扣1分，扣完3分为止。</w:t>
            </w: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五、病虫害防治（12分）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1. 树干涂白合规；2. 预防措施到位；3. 防治处置及时规范；4. 病虫害发生率、防治效果达标</w:t>
            </w:r>
          </w:p>
        </w:tc>
        <w:tc>
          <w:tcPr>
            <w:tcW w:w="12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12</w:t>
            </w:r>
          </w:p>
        </w:tc>
        <w:tc>
          <w:tcPr>
            <w:tcW w:w="36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 xml:space="preserve">1. 未按要求涂白或涂白不规范1处扣1分，扣完3分为止；2. 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  <w:t>未及时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清理虫卵、病枝1处扣1分，扣完2分为止；3. 发现病虫害未24小时内处置1次扣2分，扣完4分为止；4. 病虫害发生率＞5%每超1个百分点扣1分，防治效果＜90%每低5个百分点扣1分，扣完3分为止。</w:t>
            </w: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六、防寒防冻养护（8分）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1. 防寒措施及时规范；2. 防寒设施牢固；3. 冬季积雪及时清理；4. 树木无冻害</w:t>
            </w:r>
          </w:p>
        </w:tc>
        <w:tc>
          <w:tcPr>
            <w:tcW w:w="12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8</w:t>
            </w:r>
          </w:p>
        </w:tc>
        <w:tc>
          <w:tcPr>
            <w:tcW w:w="36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1. 未按时开展防寒作业或措施不当1处扣1分，扣完3分为止；2. 防寒设施松动脱落1处扣1分，扣完2分为止；3. 降雪后未24小时内清理主要街路树枝积雪1次扣2分，扣完2分为止。</w:t>
            </w: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七、扶正加固养护（6分）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1. 树木倾斜、倒伏及时扶正；2. 加固设施规范牢固；3. 无二次倾斜倒伏</w:t>
            </w:r>
          </w:p>
        </w:tc>
        <w:tc>
          <w:tcPr>
            <w:tcW w:w="12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6</w:t>
            </w:r>
          </w:p>
        </w:tc>
        <w:tc>
          <w:tcPr>
            <w:tcW w:w="36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1. 倾斜≥10°树木未及时扶正1处扣1分，扣完2分为止；2. 加固设施不规范（无软垫、角度不符等）1处扣1分，不牢固1处扣1分，扣完2分为止；3. 扶正加固后再次倾斜倒伏1处扣2分，扣完2分为止。</w:t>
            </w: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八、死树枯枝清理（6分）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1. 枯枝、死树清理及时；2. 清理操作规范；3. 树坑回填平整，现场整洁</w:t>
            </w:r>
          </w:p>
        </w:tc>
        <w:tc>
          <w:tcPr>
            <w:tcW w:w="12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6</w:t>
            </w:r>
          </w:p>
        </w:tc>
        <w:tc>
          <w:tcPr>
            <w:tcW w:w="36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1. 枯枝未每周清理1次扣1分，死树确认后超72小时未移除1株扣2分，扣完2分为止；2. 切口不平整或未涂愈合剂1处扣1分，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死树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  <w:t>树干及主根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未彻底移除1株扣1分，扣完2分为止；3. 树坑回填不平整1处扣1分，现场遗留废弃物1次扣1分，扣完2分为止。</w:t>
            </w: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九、树池养护（6分）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1. 树池定期清理；2. 树池覆盖规范；3. 树池边框及时修复；4. 整体美观协调</w:t>
            </w:r>
          </w:p>
        </w:tc>
        <w:tc>
          <w:tcPr>
            <w:tcW w:w="12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6</w:t>
            </w:r>
          </w:p>
        </w:tc>
        <w:tc>
          <w:tcPr>
            <w:tcW w:w="36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1. 未每周清理树池1次扣1分，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使用除草剂1次扣2分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，扣完2分为止；2. 覆盖材料不合规或厚度不符1处扣1分，扣完1分为止；3. 边框破损、缺失未及时修复1处扣1分，扣完1分为止；4. 树池内有裸露土壤、垃圾堆积1处扣1分，扣完2分为止。</w:t>
            </w: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十、应急处置（10分）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1. 应急响应及时；2. 处置措施得当；3. 处置时限达标；4. 应急报告规范提交</w:t>
            </w:r>
          </w:p>
        </w:tc>
        <w:tc>
          <w:tcPr>
            <w:tcW w:w="12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10</w:t>
            </w:r>
          </w:p>
        </w:tc>
        <w:tc>
          <w:tcPr>
            <w:tcW w:w="36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1. 应急响应超1小时1次扣2分，扣完3分为止；2. 处置措施不当导致二次隐患1次扣2分，扣完2分为止；3. 一般隐患处置超4小时、重大隐患处置超24小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时1次各扣2分，扣完3分为止；4. 未按要求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  <w:t>及时上报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1次扣1分，扣完2分为止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十一、安全作业与文明施工（10分）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1. 安全警示、防护到位；2. 作业合规（禁作业时段不作业等）；3. 设备操作、管线保护规范；4. 现场文明整洁</w:t>
            </w:r>
          </w:p>
        </w:tc>
        <w:tc>
          <w:tcPr>
            <w:tcW w:w="12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10</w:t>
            </w:r>
          </w:p>
        </w:tc>
        <w:tc>
          <w:tcPr>
            <w:tcW w:w="36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1. 未设置警示标识、作业人员未穿戴防护装备1次扣1分，扣完2分为止；2. 四级以上大风、雾霾橙色预警等时段违规作业1次扣2分，扣完3分为止；3. 特种工无证上岗1人扣2分，管线附近作业未采取保护措施1次扣2分，扣完3分为止；4. 作业现场不整洁、废弃物遗留1次扣1分，扣完2分为止。</w:t>
            </w: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十二、团队设备与资料提交（6分）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1. 专业团队、设备配备达标；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. 各类资料及时规范提交</w:t>
            </w:r>
          </w:p>
        </w:tc>
        <w:tc>
          <w:tcPr>
            <w:tcW w:w="12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6</w:t>
            </w:r>
          </w:p>
        </w:tc>
        <w:tc>
          <w:tcPr>
            <w:tcW w:w="36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1. 团队人员、设备配备不达标1项扣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分，扣完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分为止；2. 未及时提交相关资料1次扣1分，资料不完整1次扣0.5分，扣完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分为止。</w:t>
            </w: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十三、违规操作扣分（倒扣项）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1. 擅自移植、砍伐树木；2. 违规作业造成环境污染、安全事故；3. 拒不配合甲方检查考核</w:t>
            </w:r>
          </w:p>
        </w:tc>
        <w:tc>
          <w:tcPr>
            <w:tcW w:w="12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0</w:t>
            </w:r>
          </w:p>
        </w:tc>
        <w:tc>
          <w:tcPr>
            <w:tcW w:w="36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1. 擅自移植、砍伐树木1株扣10分；2. 造成环境污染或安全事故1次扣15-20分；3. 拒不配合检查考核1次扣5分，此项为倒扣项，可抵扣总分（扣至0分为止）。</w:t>
            </w:r>
          </w:p>
        </w:tc>
      </w:tr>
    </w:tbl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ind w:firstLine="576" w:firstLineChars="200"/>
        <w:textAlignment w:val="auto"/>
        <w:rPr>
          <w:rFonts w:hint="eastAsia" w:ascii="楷体" w:hAnsi="楷体" w:eastAsia="楷体" w:cs="楷体"/>
          <w:color w:val="auto"/>
          <w:spacing w:val="-6"/>
          <w:sz w:val="30"/>
          <w:szCs w:val="30"/>
          <w:lang w:val="en-US" w:eastAsia="zh-CN"/>
        </w:rPr>
      </w:pPr>
      <w:bookmarkStart w:id="1" w:name="heading_15"/>
      <w:r>
        <w:rPr>
          <w:rFonts w:hint="eastAsia" w:ascii="楷体" w:hAnsi="楷体" w:eastAsia="楷体" w:cs="楷体"/>
          <w:color w:val="auto"/>
          <w:spacing w:val="-6"/>
          <w:sz w:val="30"/>
          <w:szCs w:val="30"/>
          <w:lang w:val="en-US" w:eastAsia="zh-CN"/>
        </w:rPr>
        <w:t>（三）考评方法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  <w:u w:val="none"/>
          <w:lang w:val="en-US" w:eastAsia="zh-CN"/>
        </w:rPr>
        <w:t>1、日常考评。绿化科、管护中心巡视检查中发现的问题，及时整改不扣分，未及时整改的，按照计分标准扣分。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  <w:u w:val="none"/>
          <w:lang w:val="en-US" w:eastAsia="zh-CN"/>
        </w:rPr>
        <w:t>2.专项工作及重点工作考评。根据本年度市行业部门重点工作和专项工作的安排，对各养护单位的完成情况进行检查考评，对未完成工作任务或工作不达标的按照考评细则计分标准扣分。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  <w:u w:val="none"/>
          <w:lang w:val="en-US" w:eastAsia="zh-CN"/>
        </w:rPr>
        <w:t>3.联合考评。由主管领导带领绿化科以及管护中心主任每月一次进行联合检查，检查发现的问题责令督办并按照实施细则计分标准扣分，未及时整改的2倍扣分。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  <w:u w:val="none"/>
          <w:lang w:val="en-US" w:eastAsia="zh-CN"/>
        </w:rPr>
        <w:t>4.省、市、区各项检查以及社会监督考评。12345热线、数管中心转办案件在规定时间内整改不扣分，未按时整改2倍扣分；新闻媒体曝光后，经调查属实的，2倍扣分，如出现连续报道造成不良后果的，3倍扣分。省、市各项检查我区被扣分的，对养护单位2倍扣分，复查仍未整改的3倍扣分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ind w:firstLine="576" w:firstLineChars="200"/>
        <w:textAlignment w:val="auto"/>
        <w:rPr>
          <w:rFonts w:hint="eastAsia" w:ascii="楷体" w:hAnsi="楷体" w:eastAsia="楷体" w:cs="楷体"/>
          <w:color w:val="auto"/>
          <w:spacing w:val="-6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color w:val="auto"/>
          <w:spacing w:val="-6"/>
          <w:sz w:val="30"/>
          <w:szCs w:val="30"/>
          <w:lang w:val="en-US" w:eastAsia="zh-CN"/>
        </w:rPr>
        <w:t>（四）考评等级与应用</w:t>
      </w:r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  <w:lang w:eastAsia="zh-CN"/>
        </w:rPr>
        <w:t>每月月初核定上月各养护单位得分情况，算出最后得分，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  <w:u w:val="none"/>
          <w:lang w:val="en-US" w:eastAsia="zh-CN"/>
        </w:rPr>
        <w:t>填写《香坊区园林绿化抚育管理履约评价表》(后附），并以此作为财务部门付款依据。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当月考评成绩达到90分以上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含90分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的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  <w:lang w:val="en-US" w:eastAsia="zh-CN"/>
        </w:rPr>
        <w:t>为合格档次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  <w:lang w:eastAsia="zh-CN"/>
        </w:rPr>
        <w:t>养护费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全额拨付；当月考评成绩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  <w:lang w:val="en-US" w:eastAsia="zh-CN"/>
        </w:rPr>
        <w:t>80分以上（含80分）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低于90分的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  <w:lang w:val="en-US" w:eastAsia="zh-CN"/>
        </w:rPr>
        <w:t>为基本合格档次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  <w:lang w:val="en-US" w:eastAsia="zh-CN"/>
        </w:rPr>
        <w:t>以90分为基准，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每降低1分，从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  <w:lang w:eastAsia="zh-CN"/>
        </w:rPr>
        <w:t>养护费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中扣除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  <w:lang w:val="en-US" w:eastAsia="zh-CN"/>
        </w:rPr>
        <w:t xml:space="preserve">1 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%后拨付；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  <w:lang w:val="en-US" w:eastAsia="zh-CN"/>
        </w:rPr>
        <w:t>当月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考评成绩低于80分的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  <w:lang w:val="en-US" w:eastAsia="zh-CN"/>
        </w:rPr>
        <w:t>为不合格档次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  <w:lang w:val="en-US" w:eastAsia="zh-CN"/>
        </w:rPr>
        <w:t>以80分为基准，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每降低1分，从养护费中扣除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 xml:space="preserve"> %后拨付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  <w:lang w:eastAsia="zh-CN"/>
        </w:rPr>
        <w:t>；月度考评不合格的，甲方下达整改通知书，乙方限期整改，整改后仍不合格的，按合同约定扣除当月相应服务费用；本年度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  <w:lang w:val="en-US" w:eastAsia="zh-CN"/>
        </w:rPr>
        <w:t>3次考评成绩低于80分的，甲方有权终止合同，下年度将不再续签合同。</w:t>
      </w:r>
    </w:p>
    <w:p>
      <w:pPr>
        <w:pStyle w:val="2"/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  <w:lang w:val="en-US"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  <w:lang w:val="en-US" w:eastAsia="zh-CN"/>
        </w:rPr>
      </w:pPr>
    </w:p>
    <w:p>
      <w:pPr>
        <w:jc w:val="center"/>
        <w:rPr>
          <w:rFonts w:hint="eastAsia" w:ascii="宋体" w:hAnsi="宋体" w:cs="宋体"/>
          <w:b/>
          <w:bCs/>
          <w:color w:val="auto"/>
          <w:kern w:val="2"/>
          <w:sz w:val="36"/>
          <w:szCs w:val="36"/>
          <w:lang w:val="en-US" w:eastAsia="zh-CN" w:bidi="ar"/>
        </w:rPr>
      </w:pPr>
    </w:p>
    <w:p>
      <w:pPr>
        <w:jc w:val="center"/>
        <w:rPr>
          <w:rFonts w:hint="eastAsia" w:ascii="宋体" w:hAnsi="宋体" w:cs="宋体"/>
          <w:b/>
          <w:bCs/>
          <w:color w:val="auto"/>
          <w:kern w:val="2"/>
          <w:sz w:val="36"/>
          <w:szCs w:val="36"/>
          <w:lang w:val="en-US" w:eastAsia="zh-CN" w:bidi="ar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2098" w:right="1474" w:bottom="1984" w:left="1587" w:header="851" w:footer="1417" w:gutter="0"/>
          <w:pgNumType w:fmt="decimal" w:start="1"/>
          <w:cols w:space="425" w:num="1"/>
          <w:docGrid w:type="linesAndChars" w:linePitch="579" w:charSpace="15"/>
        </w:sectPr>
      </w:pPr>
    </w:p>
    <w:p>
      <w:pPr>
        <w:jc w:val="center"/>
        <w:rPr>
          <w:rFonts w:hint="eastAsia" w:ascii="仿宋" w:hAnsi="仿宋" w:eastAsia="仿宋" w:cs="Arial"/>
          <w:color w:val="auto"/>
          <w:kern w:val="0"/>
          <w:sz w:val="32"/>
          <w:szCs w:val="32"/>
          <w:lang w:val="en-US" w:eastAsia="zh-CN"/>
        </w:rPr>
      </w:pPr>
      <w:bookmarkStart w:id="2" w:name="_GoBack"/>
      <w:bookmarkEnd w:id="2"/>
      <w:r>
        <w:rPr>
          <w:rFonts w:hint="eastAsia" w:ascii="宋体" w:hAnsi="宋体" w:cs="宋体"/>
          <w:b/>
          <w:bCs/>
          <w:color w:val="auto"/>
          <w:kern w:val="2"/>
          <w:sz w:val="36"/>
          <w:szCs w:val="36"/>
          <w:lang w:val="en-US" w:eastAsia="zh-CN" w:bidi="ar"/>
        </w:rPr>
        <w:t>（ ）年（ ）月香坊区园林绿化</w:t>
      </w:r>
      <w:r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bidi="ar"/>
        </w:rPr>
        <w:t>抚育管</w:t>
      </w:r>
      <w:r>
        <w:rPr>
          <w:rFonts w:hint="eastAsia" w:ascii="宋体" w:hAnsi="宋体" w:cs="宋体"/>
          <w:b/>
          <w:bCs/>
          <w:color w:val="auto"/>
          <w:kern w:val="2"/>
          <w:sz w:val="36"/>
          <w:szCs w:val="36"/>
          <w:lang w:val="en-US" w:eastAsia="zh-CN" w:bidi="ar"/>
        </w:rPr>
        <w:t>理</w:t>
      </w:r>
      <w:r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bidi="ar"/>
        </w:rPr>
        <w:t>履约评价表</w:t>
      </w:r>
    </w:p>
    <w:tbl>
      <w:tblPr>
        <w:tblStyle w:val="12"/>
        <w:tblpPr w:leftFromText="180" w:rightFromText="180" w:vertAnchor="text" w:horzAnchor="page" w:tblpX="1428" w:tblpY="358"/>
        <w:tblOverlap w:val="never"/>
        <w:tblW w:w="95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5"/>
        <w:gridCol w:w="1327"/>
        <w:gridCol w:w="1418"/>
        <w:gridCol w:w="4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9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auto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8"/>
                <w:szCs w:val="28"/>
                <w:lang w:bidi="ar"/>
              </w:rPr>
              <w:t xml:space="preserve">项目名称：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9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auto"/>
                <w:kern w:val="2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8"/>
                <w:szCs w:val="28"/>
                <w:lang w:bidi="ar"/>
              </w:rPr>
              <w:t xml:space="preserve">管护企业：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9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1400" w:hanging="1400" w:hangingChars="500"/>
              <w:rPr>
                <w:rFonts w:hint="eastAsia" w:ascii="宋体" w:hAnsi="宋体" w:cs="宋体"/>
                <w:color w:val="auto"/>
                <w:kern w:val="2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8"/>
                <w:szCs w:val="28"/>
                <w:lang w:bidi="ar"/>
              </w:rPr>
              <w:t>服务地点：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2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2"/>
                <w:sz w:val="28"/>
                <w:szCs w:val="28"/>
                <w:lang w:val="en-US" w:eastAsia="zh-CN" w:bidi="ar"/>
              </w:rPr>
              <w:t>综合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2"/>
                <w:sz w:val="28"/>
                <w:szCs w:val="28"/>
                <w:lang w:bidi="ar"/>
              </w:rPr>
              <w:t>考评得分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kern w:val="2"/>
                <w:sz w:val="28"/>
                <w:szCs w:val="28"/>
                <w:lang w:bidi="ar"/>
              </w:rPr>
              <w:t>考评等级</w:t>
            </w:r>
          </w:p>
        </w:tc>
        <w:tc>
          <w:tcPr>
            <w:tcW w:w="4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bidi="ar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eastAsia="zh-CN" w:bidi="ar"/>
              </w:rPr>
              <w:t>□</w:t>
            </w: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bidi="ar"/>
              </w:rPr>
              <w:t xml:space="preserve">合格     </w:t>
            </w: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eastAsia="zh-CN" w:bidi="ar"/>
              </w:rPr>
              <w:t>□</w:t>
            </w: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bidi="ar"/>
              </w:rPr>
              <w:t xml:space="preserve">基本合格     </w:t>
            </w: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eastAsia="zh-CN" w:bidi="ar"/>
              </w:rPr>
              <w:t>□</w:t>
            </w: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bidi="ar"/>
              </w:rPr>
              <w:t>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1" w:hRule="atLeast"/>
        </w:trPr>
        <w:tc>
          <w:tcPr>
            <w:tcW w:w="2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kern w:val="2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8"/>
                <w:szCs w:val="28"/>
                <w:lang w:bidi="ar"/>
              </w:rPr>
              <w:t>扣</w:t>
            </w:r>
            <w:r>
              <w:rPr>
                <w:rFonts w:hint="eastAsia" w:ascii="宋体" w:hAnsi="宋体" w:cs="宋体"/>
                <w:color w:val="auto"/>
                <w:kern w:val="2"/>
                <w:sz w:val="28"/>
                <w:szCs w:val="28"/>
                <w:lang w:eastAsia="zh-CN" w:bidi="ar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2"/>
                <w:sz w:val="28"/>
                <w:szCs w:val="28"/>
                <w:lang w:val="en-US" w:eastAsia="zh-CN" w:bidi="ar"/>
              </w:rPr>
              <w:t>加)</w:t>
            </w:r>
            <w:r>
              <w:rPr>
                <w:rFonts w:hint="eastAsia" w:ascii="宋体" w:hAnsi="宋体" w:cs="宋体"/>
                <w:color w:val="auto"/>
                <w:kern w:val="2"/>
                <w:sz w:val="28"/>
                <w:szCs w:val="28"/>
                <w:lang w:bidi="ar"/>
              </w:rPr>
              <w:t>分明细</w:t>
            </w:r>
          </w:p>
          <w:p>
            <w:pPr>
              <w:jc w:val="center"/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74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840" w:firstLineChars="400"/>
              <w:jc w:val="left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仿宋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"/>
                <w:color w:val="auto"/>
                <w:kern w:val="2"/>
                <w:sz w:val="28"/>
                <w:szCs w:val="28"/>
                <w:lang w:bidi="ar"/>
              </w:rPr>
              <w:t>处理意见</w:t>
            </w:r>
          </w:p>
        </w:tc>
        <w:tc>
          <w:tcPr>
            <w:tcW w:w="74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20" w:firstLineChars="200"/>
              <w:rPr>
                <w:rFonts w:hint="eastAsia" w:ascii="华文楷体" w:hAnsi="华文楷体" w:eastAsia="华文楷体" w:cs="华文楷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color w:val="auto"/>
                <w:kern w:val="2"/>
                <w:sz w:val="21"/>
                <w:szCs w:val="21"/>
                <w:lang w:bidi="ar"/>
              </w:rPr>
              <w:t>经</w:t>
            </w:r>
            <w:r>
              <w:rPr>
                <w:rFonts w:hint="eastAsia" w:ascii="华文楷体" w:hAnsi="华文楷体" w:eastAsia="华文楷体" w:cs="华文楷体"/>
                <w:color w:val="auto"/>
                <w:kern w:val="2"/>
                <w:sz w:val="21"/>
                <w:szCs w:val="21"/>
                <w:lang w:val="en-US" w:eastAsia="zh-CN" w:bidi="ar"/>
              </w:rPr>
              <w:t>综合</w:t>
            </w:r>
            <w:r>
              <w:rPr>
                <w:rFonts w:hint="eastAsia" w:ascii="华文楷体" w:hAnsi="华文楷体" w:eastAsia="华文楷体" w:cs="华文楷体"/>
                <w:color w:val="auto"/>
                <w:kern w:val="2"/>
                <w:sz w:val="21"/>
                <w:szCs w:val="21"/>
                <w:lang w:bidi="ar"/>
              </w:rPr>
              <w:t>考评，</w:t>
            </w:r>
            <w:r>
              <w:rPr>
                <w:rFonts w:hint="eastAsia" w:ascii="华文楷体" w:hAnsi="华文楷体" w:eastAsia="华文楷体" w:cs="华文楷体"/>
                <w:color w:val="auto"/>
                <w:kern w:val="2"/>
                <w:sz w:val="21"/>
                <w:szCs w:val="21"/>
                <w:lang w:val="en-US" w:eastAsia="zh-CN" w:bidi="ar"/>
              </w:rPr>
              <w:t>本月</w:t>
            </w:r>
            <w:r>
              <w:rPr>
                <w:rFonts w:hint="eastAsia" w:ascii="华文楷体" w:hAnsi="华文楷体" w:eastAsia="华文楷体" w:cs="华文楷体"/>
                <w:color w:val="auto"/>
                <w:kern w:val="2"/>
                <w:sz w:val="21"/>
                <w:szCs w:val="21"/>
                <w:lang w:bidi="ar"/>
              </w:rPr>
              <w:t>抚育管护</w:t>
            </w:r>
            <w:r>
              <w:rPr>
                <w:rFonts w:hint="eastAsia" w:ascii="华文楷体" w:hAnsi="华文楷体" w:eastAsia="华文楷体" w:cs="华文楷体"/>
                <w:color w:val="auto"/>
                <w:kern w:val="2"/>
                <w:sz w:val="21"/>
                <w:szCs w:val="21"/>
                <w:lang w:val="en-US" w:eastAsia="zh-CN" w:bidi="ar"/>
              </w:rPr>
              <w:t>服务项目</w:t>
            </w:r>
            <w:r>
              <w:rPr>
                <w:rFonts w:hint="eastAsia" w:ascii="华文楷体" w:hAnsi="华文楷体" w:eastAsia="华文楷体" w:cs="华文楷体"/>
                <w:color w:val="auto"/>
                <w:kern w:val="2"/>
                <w:sz w:val="21"/>
                <w:szCs w:val="21"/>
                <w:lang w:bidi="ar"/>
              </w:rPr>
              <w:t>扣    分，扣罚养护经费    元；</w:t>
            </w:r>
          </w:p>
          <w:p>
            <w:pPr>
              <w:ind w:firstLine="420" w:firstLineChars="200"/>
              <w:rPr>
                <w:rFonts w:hint="eastAsia" w:ascii="宋体" w:hAnsi="宋体" w:eastAsia="华文楷体" w:cs="华文楷体"/>
                <w:color w:val="auto"/>
                <w:kern w:val="2"/>
                <w:sz w:val="21"/>
                <w:szCs w:val="21"/>
                <w:u w:val="single"/>
              </w:rPr>
            </w:pPr>
            <w:r>
              <w:rPr>
                <w:rFonts w:hint="eastAsia" w:ascii="华文楷体" w:hAnsi="华文楷体" w:eastAsia="华文楷体" w:cs="华文楷体"/>
                <w:color w:val="auto"/>
                <w:kern w:val="2"/>
                <w:sz w:val="21"/>
                <w:szCs w:val="21"/>
                <w:lang w:bidi="ar"/>
              </w:rPr>
              <w:t>经</w:t>
            </w:r>
            <w:r>
              <w:rPr>
                <w:rFonts w:hint="eastAsia" w:ascii="华文楷体" w:hAnsi="华文楷体" w:eastAsia="华文楷体" w:cs="华文楷体"/>
                <w:color w:val="auto"/>
                <w:kern w:val="2"/>
                <w:sz w:val="21"/>
                <w:szCs w:val="21"/>
                <w:lang w:val="en-US" w:eastAsia="zh-CN" w:bidi="ar"/>
              </w:rPr>
              <w:t>综合</w:t>
            </w:r>
            <w:r>
              <w:rPr>
                <w:rFonts w:hint="eastAsia" w:ascii="华文楷体" w:hAnsi="华文楷体" w:eastAsia="华文楷体" w:cs="华文楷体"/>
                <w:color w:val="auto"/>
                <w:kern w:val="2"/>
                <w:sz w:val="21"/>
                <w:szCs w:val="21"/>
                <w:lang w:bidi="ar"/>
              </w:rPr>
              <w:t>考评</w:t>
            </w:r>
            <w:r>
              <w:rPr>
                <w:rFonts w:hint="eastAsia" w:ascii="华文楷体" w:hAnsi="华文楷体" w:eastAsia="华文楷体" w:cs="华文楷体"/>
                <w:color w:val="auto"/>
                <w:kern w:val="2"/>
                <w:sz w:val="21"/>
                <w:szCs w:val="21"/>
                <w:lang w:eastAsia="zh-CN" w:bidi="ar"/>
              </w:rPr>
              <w:t>，</w:t>
            </w:r>
            <w:r>
              <w:rPr>
                <w:rFonts w:hint="eastAsia" w:ascii="华文楷体" w:hAnsi="华文楷体" w:eastAsia="华文楷体" w:cs="华文楷体"/>
                <w:color w:val="auto"/>
                <w:kern w:val="2"/>
                <w:sz w:val="21"/>
                <w:szCs w:val="21"/>
                <w:lang w:val="en-US" w:eastAsia="zh-CN" w:bidi="ar"/>
              </w:rPr>
              <w:t>本月</w:t>
            </w:r>
            <w:r>
              <w:rPr>
                <w:rFonts w:hint="eastAsia" w:ascii="华文楷体" w:hAnsi="华文楷体" w:eastAsia="华文楷体" w:cs="华文楷体"/>
                <w:color w:val="auto"/>
                <w:kern w:val="2"/>
                <w:sz w:val="21"/>
                <w:szCs w:val="21"/>
                <w:lang w:bidi="ar"/>
              </w:rPr>
              <w:t>抚育管护</w:t>
            </w:r>
            <w:r>
              <w:rPr>
                <w:rFonts w:hint="eastAsia" w:ascii="华文楷体" w:hAnsi="华文楷体" w:eastAsia="华文楷体" w:cs="华文楷体"/>
                <w:color w:val="auto"/>
                <w:kern w:val="2"/>
                <w:sz w:val="21"/>
                <w:szCs w:val="21"/>
                <w:lang w:val="en-US" w:eastAsia="zh-CN" w:bidi="ar"/>
              </w:rPr>
              <w:t>服务项目</w:t>
            </w:r>
            <w:r>
              <w:rPr>
                <w:rFonts w:hint="eastAsia" w:ascii="华文楷体" w:hAnsi="华文楷体" w:eastAsia="华文楷体" w:cs="华文楷体"/>
                <w:color w:val="auto"/>
                <w:kern w:val="2"/>
                <w:sz w:val="21"/>
                <w:szCs w:val="21"/>
                <w:lang w:bidi="ar"/>
              </w:rPr>
              <w:t>按计划完成</w:t>
            </w:r>
            <w:r>
              <w:rPr>
                <w:rFonts w:hint="eastAsia" w:ascii="华文楷体" w:hAnsi="华文楷体" w:eastAsia="华文楷体" w:cs="华文楷体"/>
                <w:color w:val="auto"/>
                <w:kern w:val="2"/>
                <w:sz w:val="21"/>
                <w:szCs w:val="21"/>
                <w:lang w:eastAsia="zh-CN" w:bidi="ar"/>
              </w:rPr>
              <w:t>，</w:t>
            </w:r>
            <w:r>
              <w:rPr>
                <w:rFonts w:hint="eastAsia" w:ascii="华文楷体" w:hAnsi="华文楷体" w:eastAsia="华文楷体" w:cs="华文楷体"/>
                <w:color w:val="auto"/>
                <w:kern w:val="2"/>
                <w:sz w:val="21"/>
                <w:szCs w:val="21"/>
                <w:lang w:val="en-US" w:eastAsia="zh-CN" w:bidi="ar"/>
              </w:rPr>
              <w:t>全额拨付养护经费</w:t>
            </w:r>
            <w:r>
              <w:rPr>
                <w:rFonts w:hint="eastAsia" w:ascii="华文楷体" w:hAnsi="华文楷体" w:eastAsia="华文楷体" w:cs="华文楷体"/>
                <w:color w:val="auto"/>
                <w:kern w:val="2"/>
                <w:sz w:val="21"/>
                <w:szCs w:val="21"/>
                <w:lang w:bidi="ar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2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仿宋"/>
                <w:color w:val="auto"/>
                <w:kern w:val="2"/>
                <w:sz w:val="28"/>
                <w:szCs w:val="28"/>
              </w:rPr>
            </w:pPr>
            <w:r>
              <w:rPr>
                <w:rFonts w:hint="eastAsia" w:ascii="宋体" w:hAnsi="宋体" w:cs="仿宋"/>
                <w:color w:val="auto"/>
                <w:kern w:val="2"/>
                <w:sz w:val="28"/>
                <w:szCs w:val="28"/>
                <w:lang w:bidi="ar"/>
              </w:rPr>
              <w:t>管护企业意见</w:t>
            </w:r>
          </w:p>
        </w:tc>
        <w:tc>
          <w:tcPr>
            <w:tcW w:w="74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right"/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bidi="ar"/>
              </w:rPr>
            </w:pPr>
          </w:p>
          <w:p>
            <w:pPr>
              <w:wordWrap w:val="0"/>
              <w:jc w:val="right"/>
              <w:rPr>
                <w:rFonts w:hint="default" w:ascii="宋体" w:hAnsi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 xml:space="preserve">  企业代表（签字）：                       （公章） </w:t>
            </w:r>
          </w:p>
          <w:p>
            <w:pPr>
              <w:jc w:val="right"/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bidi="ar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2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仿宋"/>
                <w:color w:val="auto"/>
                <w:kern w:val="2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cs="仿宋"/>
                <w:color w:val="auto"/>
                <w:kern w:val="2"/>
                <w:sz w:val="28"/>
                <w:szCs w:val="28"/>
                <w:lang w:val="en-US" w:eastAsia="zh-CN" w:bidi="ar"/>
              </w:rPr>
              <w:t>公园/管护中心意见</w:t>
            </w:r>
          </w:p>
        </w:tc>
        <w:tc>
          <w:tcPr>
            <w:tcW w:w="74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right"/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bidi="ar"/>
              </w:rPr>
            </w:pPr>
          </w:p>
          <w:p>
            <w:pPr>
              <w:wordWrap w:val="0"/>
              <w:jc w:val="right"/>
              <w:rPr>
                <w:rFonts w:hint="default" w:ascii="宋体" w:hAnsi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 xml:space="preserve">公园/管护中心负责人（签字）：          考评验收小组（签字）：         </w:t>
            </w:r>
          </w:p>
          <w:p>
            <w:pPr>
              <w:jc w:val="right"/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bidi="ar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" w:hRule="atLeast"/>
        </w:trPr>
        <w:tc>
          <w:tcPr>
            <w:tcW w:w="2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仿宋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"/>
                <w:color w:val="auto"/>
                <w:kern w:val="2"/>
                <w:sz w:val="28"/>
                <w:szCs w:val="28"/>
                <w:lang w:bidi="ar"/>
              </w:rPr>
              <w:t>管理部门意见</w:t>
            </w:r>
          </w:p>
        </w:tc>
        <w:tc>
          <w:tcPr>
            <w:tcW w:w="74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right"/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bidi="ar"/>
              </w:rPr>
            </w:pPr>
          </w:p>
          <w:p>
            <w:pPr>
              <w:wordWrap w:val="0"/>
              <w:jc w:val="right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 xml:space="preserve">绿化管理科（签字）：                      </w:t>
            </w:r>
          </w:p>
          <w:p>
            <w:pPr>
              <w:jc w:val="right"/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bidi="ar"/>
              </w:rPr>
              <w:t>年    月    日</w:t>
            </w:r>
          </w:p>
        </w:tc>
      </w:tr>
    </w:tbl>
    <w:p>
      <w:pPr>
        <w:pStyle w:val="2"/>
        <w:ind w:left="0" w:leftChars="0" w:firstLine="0" w:firstLineChars="0"/>
        <w:jc w:val="both"/>
        <w:rPr>
          <w:rFonts w:hint="default" w:ascii="仿宋" w:hAnsi="仿宋" w:eastAsia="仿宋" w:cs="Arial"/>
          <w:color w:val="auto"/>
          <w:kern w:val="0"/>
          <w:sz w:val="32"/>
          <w:szCs w:val="32"/>
          <w:lang w:val="en-US" w:eastAsia="zh-CN"/>
        </w:rPr>
      </w:pPr>
    </w:p>
    <w:p/>
    <w:sectPr>
      <w:pgSz w:w="11906" w:h="16838"/>
      <w:pgMar w:top="2098" w:right="1474" w:bottom="1984" w:left="1587" w:header="851" w:footer="1417" w:gutter="0"/>
      <w:pgNumType w:fmt="decimal" w:start="1"/>
      <w:cols w:space="425" w:num="1"/>
      <w:docGrid w:type="linesAndChars" w:linePitch="579" w:charSpace="1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12700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1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03200" tIns="0" rIns="20320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1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BqVKztYAAAAG&#10;AQAADwAAAGRycy9kb3ducmV2LnhtbE2PQU/DMAyF70j7D5EncWPJephKabrDJoQEEoLBpB2zxkur&#10;NU7XZFvh12NOcPKznvXe53I5+k5ccIhtIA3zmQKBVAfbktPw+fF4l4OIyZA1XSDU8IURltXkpjSF&#10;DVd6x8smOcEhFAujoUmpL6SMdYPexFnokdg7hMGbxOvgpB3MlcN9JzOlFtKblrihMT2uGqyPm7Pn&#10;kva0dWPYPW2/n0/0tti5l9e10/p2OlcPIBKO6e8YfvEZHSpm2ocz2Sg6DfxI0pDxYDPLcxZ7FvdK&#10;gaxK+R+/+gFQSwMEFAAAAAgAh07iQO3yE1UZAgAAHQQAAA4AAABkcnMvZTJvRG9jLnhtbK1Ty47T&#10;MBTdI/EPlvc0aUaMqqrpqMyoCKliRhoQa9dxmkh+yXablA+AP2DFhj3f1e/g2Gk6vFaIjX193/fc&#10;48VNryQ5COdbo0s6neSUCM1N1epdSd+/W7+YUeID0xWTRouSHoWnN8vnzxadnYvCNEZWwhEk0X7e&#10;2ZI2Idh5lnneCMX8xFihYayNUyzg6XZZ5ViH7EpmRZ5fZ51xlXWGC++hvRuMdJny17Xg4b6uvQhE&#10;lhS9hXS6dG7jmS0XbL5zzDYtP7fB/qELxVqNopdUdywwsnftH6lUy53xpg4TblRm6rrlIs2Aaab5&#10;b9M8NsyKNAvA8fYCk/9/afnbw4MjbVXSghLNFFZ0+vL59PX76dsnUkR4Ouvn8Hq08Av9K9NjzaPe&#10;Qxmn7mun4o15COwA+ngBV/SB8Bg0K2azHCYO2/hA/uwp3DofXgujSBRK6rC9BCo7bHwYXEeXWE2b&#10;dStl2qDUpCvp9dXLPAVcLEguNWrEIYZmoxT6bX+ebGuqIwZzZmCGt3zdoviG+fDAHKiAhkHvcI+j&#10;lgZFzFmipDHu49/00R8bgpWSDtQqqQb3KZFvNDZX5FcgLqiYXhDcL+rtqNZ7dWvA2ik+kOVJjM5B&#10;jmLtjPoA9q9iNZiY5qhZ0jCKt2EgOn4PF6tVctpb1+6aIQAMtCxs9KPlsUyE1NvVPgDWhHaEasDn&#10;jCA4mPZ1/i+R5D+/k9fTr17+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AalSs7WAAAABgEAAA8A&#10;AAAAAAAAAQAgAAAAIgAAAGRycy9kb3ducmV2LnhtbFBLAQIUABQAAAAIAIdO4kDt8hNVGQIAAB0E&#10;AAAOAAAAAAAAAAEAIAAAACUBAABkcnMvZTJvRG9jLnhtbFBLBQYAAAAABgAGAFkBAACwBQAAAAA=&#10;">
              <v:fill on="f" focussize="0,0"/>
              <v:stroke on="f" weight="0.5pt"/>
              <v:imagedata o:title=""/>
              <o:lock v:ext="edit" aspectratio="f"/>
              <v:textbox inset="16pt,0mm,16pt,0mm" style="mso-fit-shape-to-text:t;">
                <w:txbxContent>
                  <w:p>
                    <w:pPr>
                      <w:pStyle w:val="9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1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12700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2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03200" tIns="0" rIns="20320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1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BqVKztYAAAAG&#10;AQAADwAAAGRycy9kb3ducmV2LnhtbE2PQU/DMAyF70j7D5EncWPJephKabrDJoQEEoLBpB2zxkur&#10;NU7XZFvh12NOcPKznvXe53I5+k5ccIhtIA3zmQKBVAfbktPw+fF4l4OIyZA1XSDU8IURltXkpjSF&#10;DVd6x8smOcEhFAujoUmpL6SMdYPexFnokdg7hMGbxOvgpB3MlcN9JzOlFtKblrihMT2uGqyPm7Pn&#10;kva0dWPYPW2/n0/0tti5l9e10/p2OlcPIBKO6e8YfvEZHSpm2ocz2Sg6DfxI0pDxYDPLcxZ7FvdK&#10;gaxK+R+/+gFQSwMEFAAAAAgAh07iQAdfAI4ZAgAAHQQAAA4AAABkcnMvZTJvRG9jLnhtbK1Ty47T&#10;MBTdI/EPlvc0aStGVdV0VGZUhFQxIxXE2nWcJpJfst0m5QPgD1ixYc939Ts4dpoOrxViY1/f9z33&#10;eHHbKUmOwvnG6IKORzklQnNTNnpf0Pfv1i9mlPjAdMmk0aKgJ+Hp7fL5s0Vr52JiaiNL4QiSaD9v&#10;bUHrEOw8yzyvhWJ+ZKzQMFbGKRbwdPusdKxFdiWzSZ7fZK1xpXWGC++hve+NdJnyV5Xg4aGqvAhE&#10;FhS9hXS6dO7imS0XbL53zNYNv7TB/qELxRqNotdU9ywwcnDNH6lUw53xpgojblRmqqrhIs2Aacb5&#10;b9Nsa2ZFmgXgeHuFyf+/tPzt8dGRpizolBLNFFZ0/vL5/PX7+dsnMo3wtNbP4bW18AvdK9NhzYPe&#10;Qxmn7iqn4o15COwA+nQFV3SB8Bg0m8xmOUwctuGB/NlTuHU+vBZGkSgU1GF7CVR23PjQuw4usZo2&#10;60bKtEGpSVvQm+nLPAVcLUguNWrEIfpmoxS6XXeZbGfKEwZzpmeGt3zdoPiG+fDIHKiAhkHv8ICj&#10;kgZFzEWipDbu49/00R8bgpWSFtQqqAb3KZFvNDY3yacgLqiYXhDcL+rdoNYHdWfA2jE+kOVJjM5B&#10;DmLljPoA9q9iNZiY5qhZ0DCId6EnOn4PF6tVcjpY1+zrPgAMtCxs9NbyWCZC6u3qEABrQjtC1eNz&#10;QRAcTPu6/JdI8p/fyevpVy9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AalSs7WAAAABgEAAA8A&#10;AAAAAAAAAQAgAAAAIgAAAGRycy9kb3ducmV2LnhtbFBLAQIUABQAAAAIAIdO4kAHXwCOGQIAAB0E&#10;AAAOAAAAAAAAAAEAIAAAACUBAABkcnMvZTJvRG9jLnhtbFBLBQYAAAAABgAGAFkBAACwBQAAAAA=&#10;">
              <v:fill on="f" focussize="0,0"/>
              <v:stroke on="f" weight="0.5pt"/>
              <v:imagedata o:title=""/>
              <o:lock v:ext="edit" aspectratio="f"/>
              <v:textbox inset="16pt,0mm,16pt,0mm" style="mso-fit-shape-to-text:t;">
                <w:txbxContent>
                  <w:p>
                    <w:pPr>
                      <w:pStyle w:val="9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2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B31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paragraph" w:styleId="5">
    <w:name w:val="heading 1"/>
    <w:next w:val="1"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0"/>
    </w:pPr>
    <w:rPr>
      <w:rFonts w:ascii="黑体" w:hAnsi="黑体" w:eastAsia="黑体" w:cs="黑体"/>
      <w:kern w:val="44"/>
      <w:sz w:val="32"/>
      <w:szCs w:val="32"/>
    </w:rPr>
  </w:style>
  <w:style w:type="paragraph" w:styleId="6">
    <w:name w:val="heading 2"/>
    <w:next w:val="1"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1"/>
    </w:pPr>
    <w:rPr>
      <w:rFonts w:ascii="Times New Roman" w:hAnsi="Times New Roman" w:eastAsia="楷体_GB2312" w:cs="楷体_GB2312"/>
      <w:sz w:val="32"/>
      <w:szCs w:val="32"/>
    </w:rPr>
  </w:style>
  <w:style w:type="paragraph" w:styleId="7">
    <w:name w:val="heading 3"/>
    <w:next w:val="1"/>
    <w:link w:val="14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2"/>
    </w:pPr>
    <w:rPr>
      <w:rFonts w:ascii="Times New Roman" w:hAnsi="Times New Roman" w:eastAsia="仿宋_GB2312" w:cs="仿宋_GB2312"/>
      <w:sz w:val="32"/>
      <w:szCs w:val="32"/>
    </w:rPr>
  </w:style>
  <w:style w:type="character" w:default="1" w:styleId="13">
    <w:name w:val="Default Paragraph Font"/>
    <w:semiHidden/>
    <w:uiPriority w:val="0"/>
  </w:style>
  <w:style w:type="table" w:default="1" w:styleId="1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1I"/>
    <w:basedOn w:val="3"/>
    <w:qFormat/>
    <w:uiPriority w:val="0"/>
    <w:pPr>
      <w:spacing w:line="360" w:lineRule="atLeast"/>
      <w:ind w:firstLine="420" w:firstLineChars="100"/>
      <w:jc w:val="center"/>
      <w:textAlignment w:val="baseline"/>
    </w:pPr>
    <w:rPr>
      <w:kern w:val="0"/>
      <w:sz w:val="24"/>
      <w:szCs w:val="20"/>
    </w:rPr>
  </w:style>
  <w:style w:type="paragraph" w:customStyle="1" w:styleId="3">
    <w:name w:val="BodyText"/>
    <w:basedOn w:val="1"/>
    <w:next w:val="4"/>
    <w:qFormat/>
    <w:uiPriority w:val="0"/>
    <w:pPr>
      <w:spacing w:line="560" w:lineRule="exact"/>
    </w:pPr>
    <w:rPr>
      <w:rFonts w:ascii="宋体" w:hAnsi="宋体"/>
      <w:sz w:val="32"/>
    </w:rPr>
  </w:style>
  <w:style w:type="paragraph" w:styleId="4">
    <w:name w:val="Date"/>
    <w:basedOn w:val="1"/>
    <w:next w:val="1"/>
    <w:qFormat/>
    <w:uiPriority w:val="0"/>
    <w:pPr>
      <w:ind w:left="100" w:leftChars="2500"/>
    </w:pPr>
  </w:style>
  <w:style w:type="paragraph" w:styleId="8">
    <w:name w:val="Body Text"/>
    <w:qFormat/>
    <w:uiPriority w:val="0"/>
    <w:pPr>
      <w:spacing w:line="560" w:lineRule="exact"/>
      <w:ind w:firstLine="630" w:firstLineChars="200"/>
      <w:jc w:val="both"/>
    </w:pPr>
    <w:rPr>
      <w:rFonts w:ascii="Times New Roman" w:hAnsi="Times New Roman" w:eastAsia="仿宋_GB2312" w:cs="仿宋_GB2312"/>
      <w:spacing w:val="-6"/>
      <w:sz w:val="32"/>
      <w:szCs w:val="32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1">
    <w:name w:val="Title"/>
    <w:qFormat/>
    <w:uiPriority w:val="0"/>
    <w:pPr>
      <w:spacing w:line="720" w:lineRule="exact"/>
      <w:jc w:val="center"/>
      <w:outlineLvl w:val="9"/>
    </w:pPr>
    <w:rPr>
      <w:rFonts w:ascii="方正小标宋简体" w:hAnsi="方正小标宋简体" w:eastAsia="方正小标宋简体" w:cs="方正小标宋简体"/>
      <w:sz w:val="44"/>
      <w:szCs w:val="44"/>
    </w:rPr>
  </w:style>
  <w:style w:type="character" w:customStyle="1" w:styleId="14">
    <w:name w:val="标题 3 Char"/>
    <w:link w:val="7"/>
    <w:qFormat/>
    <w:uiPriority w:val="0"/>
    <w:rPr>
      <w:rFonts w:ascii="Times New Roman" w:hAnsi="Times New Roman" w:eastAsia="仿宋_GB2312" w:cs="仿宋_GB231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Office_11.8.2.8721_F1E327BC-269C-435d-A152-05C5408002CA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2026-02-28T01:53:24Z</dcterms:created>
  <dc:creator>lenovo</dc:creator>
  <cp:lastModifiedBy>老虎发威</cp:lastModifiedBy>
  <dcterms:modified xsi:type="dcterms:W3CDTF">2026-02-28T01:54:55Z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2052-11.8.2.8721</vt:lpwstr>
  </property>
</Properties>
</file>