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ink/ink1.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78B744">
      <w:pPr>
        <w:pStyle w:val="4"/>
        <w:keepNext w:val="0"/>
        <w:adjustRightInd w:val="0"/>
        <w:snapToGrid w:val="0"/>
        <w:spacing w:before="156" w:beforeLines="50" w:line="360" w:lineRule="auto"/>
        <w:rPr>
          <w:rFonts w:ascii="黑体" w:hAnsi="华文中宋" w:eastAsia="黑体"/>
          <w:sz w:val="32"/>
          <w:szCs w:val="32"/>
        </w:rPr>
      </w:pPr>
      <w:bookmarkStart w:id="0" w:name="_Toc26699"/>
      <w:r>
        <w:rPr>
          <w:rFonts w:hint="eastAsia" w:ascii="黑体" w:hAnsi="华文中宋" w:eastAsia="黑体"/>
          <w:sz w:val="32"/>
          <w:szCs w:val="32"/>
        </w:rPr>
        <w:t>第五章 采购需求</w:t>
      </w:r>
      <w:bookmarkEnd w:id="0"/>
    </w:p>
    <w:p w14:paraId="295D64EF">
      <w:pPr>
        <w:pStyle w:val="5"/>
        <w:adjustRightInd w:val="0"/>
        <w:snapToGrid w:val="0"/>
        <w:spacing w:before="156" w:beforeLines="50"/>
        <w:jc w:val="center"/>
        <w:rPr>
          <w:rFonts w:hint="eastAsia" w:ascii="黑体" w:hAnsi="黑体" w:eastAsia="黑体"/>
          <w:sz w:val="28"/>
          <w:szCs w:val="28"/>
        </w:rPr>
      </w:pPr>
      <w:bookmarkStart w:id="1" w:name="_Toc28989"/>
      <w:r>
        <w:rPr>
          <w:rFonts w:hint="eastAsia" w:ascii="黑体" w:hAnsi="黑体" w:eastAsia="黑体"/>
          <w:sz w:val="28"/>
          <w:szCs w:val="28"/>
        </w:rPr>
        <w:t>第一节 采购清单一览表</w:t>
      </w:r>
      <w:bookmarkEnd w:id="1"/>
    </w:p>
    <w:p w14:paraId="50113E5D">
      <w:r>
        <w:rPr>
          <w:rFonts w:hint="eastAsia" w:ascii="宋体" w:hAnsi="宋体"/>
          <w:color w:val="000000"/>
          <w:szCs w:val="21"/>
        </w:rPr>
        <w:t>技术负责（答疑）人：</w:t>
      </w:r>
      <w:r>
        <w:rPr>
          <w:rFonts w:hint="eastAsia" w:ascii="宋体" w:hAnsi="宋体"/>
          <w:color w:val="000000"/>
          <w:szCs w:val="21"/>
          <w:lang w:val="en-US" w:eastAsia="zh-CN"/>
        </w:rPr>
        <w:t xml:space="preserve">郭鹏  </w:t>
      </w:r>
      <w:r>
        <w:rPr>
          <w:rFonts w:hint="eastAsia" w:ascii="宋体" w:hAnsi="宋体"/>
          <w:color w:val="000000"/>
          <w:szCs w:val="21"/>
        </w:rPr>
        <w:t xml:space="preserve">                    联系方式：</w:t>
      </w:r>
      <w:r>
        <w:rPr>
          <w:rFonts w:hint="eastAsia" w:ascii="宋体" w:hAnsi="宋体"/>
          <w:color w:val="000000"/>
          <w:szCs w:val="21"/>
          <w:lang w:val="en-US" w:eastAsia="zh-CN"/>
        </w:rPr>
        <w:t>15073225157</w:t>
      </w:r>
      <w:r>
        <w:rPr>
          <w:rFonts w:hint="eastAsia" w:ascii="宋体" w:hAnsi="宋体" w:cs="宋体"/>
          <w:color w:val="000000"/>
          <w:lang w:val="en-US" w:eastAsia="zh-CN"/>
        </w:rPr>
        <w:t xml:space="preserve">  </w:t>
      </w:r>
    </w:p>
    <w:tbl>
      <w:tblPr>
        <w:tblStyle w:val="7"/>
        <w:tblW w:w="46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1936"/>
        <w:gridCol w:w="807"/>
        <w:gridCol w:w="2066"/>
        <w:gridCol w:w="1181"/>
        <w:gridCol w:w="1178"/>
      </w:tblGrid>
      <w:tr w14:paraId="3737E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32" w:type="pct"/>
            <w:vAlign w:val="center"/>
          </w:tcPr>
          <w:p w14:paraId="655DE225">
            <w:pPr>
              <w:widowControl/>
              <w:spacing w:line="288" w:lineRule="auto"/>
              <w:jc w:val="center"/>
              <w:rPr>
                <w:rFonts w:asciiTheme="minorEastAsia" w:hAnsiTheme="minorEastAsia" w:eastAsiaTheme="minorEastAsia"/>
                <w:b/>
                <w:kern w:val="0"/>
                <w:szCs w:val="21"/>
              </w:rPr>
            </w:pPr>
            <w:bookmarkStart w:id="2" w:name="_Toc47965345"/>
            <w:bookmarkEnd w:id="2"/>
            <w:r>
              <w:rPr>
                <w:rFonts w:hint="eastAsia" w:asciiTheme="minorEastAsia" w:hAnsiTheme="minorEastAsia" w:eastAsiaTheme="minorEastAsia"/>
                <w:b/>
                <w:kern w:val="0"/>
                <w:szCs w:val="21"/>
              </w:rPr>
              <w:t>品目</w:t>
            </w:r>
          </w:p>
        </w:tc>
        <w:tc>
          <w:tcPr>
            <w:tcW w:w="1233" w:type="pct"/>
            <w:vAlign w:val="center"/>
          </w:tcPr>
          <w:p w14:paraId="5DB99B4E">
            <w:pPr>
              <w:widowControl/>
              <w:spacing w:line="288"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设备名称</w:t>
            </w:r>
          </w:p>
        </w:tc>
        <w:tc>
          <w:tcPr>
            <w:tcW w:w="514" w:type="pct"/>
            <w:vAlign w:val="center"/>
          </w:tcPr>
          <w:p w14:paraId="3487E577">
            <w:pPr>
              <w:widowControl/>
              <w:spacing w:line="288"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数量</w:t>
            </w:r>
          </w:p>
        </w:tc>
        <w:tc>
          <w:tcPr>
            <w:tcW w:w="1316" w:type="pct"/>
            <w:tcBorders>
              <w:bottom w:val="single" w:color="auto" w:sz="4" w:space="0"/>
            </w:tcBorders>
            <w:vAlign w:val="center"/>
          </w:tcPr>
          <w:p w14:paraId="6E832046">
            <w:pPr>
              <w:widowControl/>
              <w:spacing w:line="288"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是否为强制节能产品</w:t>
            </w:r>
          </w:p>
        </w:tc>
        <w:tc>
          <w:tcPr>
            <w:tcW w:w="752" w:type="pct"/>
            <w:tcBorders>
              <w:bottom w:val="single" w:color="auto" w:sz="4" w:space="0"/>
            </w:tcBorders>
            <w:vAlign w:val="center"/>
          </w:tcPr>
          <w:p w14:paraId="377A02BC">
            <w:pPr>
              <w:widowControl/>
              <w:spacing w:line="288"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售后服务承诺书</w:t>
            </w:r>
          </w:p>
        </w:tc>
        <w:tc>
          <w:tcPr>
            <w:tcW w:w="750" w:type="pct"/>
            <w:vAlign w:val="center"/>
          </w:tcPr>
          <w:p w14:paraId="2DB5EC53">
            <w:pPr>
              <w:widowControl/>
              <w:spacing w:line="288"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是否为核心产品</w:t>
            </w:r>
          </w:p>
        </w:tc>
      </w:tr>
      <w:tr w14:paraId="3412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32" w:type="pct"/>
            <w:vAlign w:val="center"/>
          </w:tcPr>
          <w:p w14:paraId="76A4A87C">
            <w:pPr>
              <w:widowControl/>
              <w:numPr>
                <w:ilvl w:val="0"/>
                <w:numId w:val="1"/>
              </w:numPr>
              <w:suppressAutoHyphens/>
              <w:jc w:val="center"/>
              <w:textAlignment w:val="center"/>
              <w:rPr>
                <w:rFonts w:asciiTheme="minorEastAsia" w:hAnsiTheme="minorEastAsia" w:eastAsiaTheme="minorEastAsia"/>
                <w:szCs w:val="21"/>
              </w:rPr>
            </w:pPr>
          </w:p>
        </w:tc>
        <w:tc>
          <w:tcPr>
            <w:tcW w:w="1233" w:type="pct"/>
            <w:vAlign w:val="center"/>
          </w:tcPr>
          <w:p w14:paraId="25E08892">
            <w:pPr>
              <w:tabs>
                <w:tab w:val="left" w:pos="900"/>
              </w:tabs>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嵌入式教学平台</w:t>
            </w:r>
          </w:p>
        </w:tc>
        <w:tc>
          <w:tcPr>
            <w:tcW w:w="514" w:type="pct"/>
            <w:vAlign w:val="center"/>
          </w:tcPr>
          <w:p w14:paraId="31E415B1">
            <w:pPr>
              <w:tabs>
                <w:tab w:val="left" w:pos="900"/>
              </w:tabs>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lang w:val="en-US" w:eastAsia="zh-CN"/>
              </w:rPr>
              <w:t>36</w:t>
            </w:r>
            <w:r>
              <w:rPr>
                <w:rFonts w:hint="eastAsia" w:cs="宋体" w:asciiTheme="minorEastAsia" w:hAnsiTheme="minorEastAsia" w:eastAsiaTheme="minorEastAsia"/>
                <w:kern w:val="0"/>
                <w:szCs w:val="21"/>
              </w:rPr>
              <w:t>套</w:t>
            </w:r>
          </w:p>
        </w:tc>
        <w:tc>
          <w:tcPr>
            <w:tcW w:w="1316" w:type="pct"/>
            <w:vAlign w:val="center"/>
          </w:tcPr>
          <w:p w14:paraId="0A2A3FC8">
            <w:pPr>
              <w:spacing w:line="288" w:lineRule="auto"/>
              <w:jc w:val="center"/>
              <w:rPr>
                <w:rFonts w:asciiTheme="minorEastAsia" w:hAnsiTheme="minorEastAsia" w:eastAsiaTheme="minorEastAsia"/>
                <w:color w:val="auto"/>
                <w:kern w:val="0"/>
                <w:szCs w:val="21"/>
              </w:rPr>
            </w:pPr>
          </w:p>
        </w:tc>
        <w:tc>
          <w:tcPr>
            <w:tcW w:w="752" w:type="pct"/>
            <w:vAlign w:val="center"/>
          </w:tcPr>
          <w:p w14:paraId="11DD8E50">
            <w:pPr>
              <w:tabs>
                <w:tab w:val="left" w:pos="900"/>
              </w:tabs>
              <w:jc w:val="center"/>
              <w:rPr>
                <w:rFonts w:hint="eastAsia" w:cs="宋体" w:asciiTheme="minorEastAsia" w:hAnsiTheme="minorEastAsia" w:eastAsiaTheme="minorEastAsia"/>
                <w:color w:val="auto"/>
                <w:kern w:val="0"/>
                <w:szCs w:val="21"/>
                <w:lang w:eastAsia="zh-CN"/>
              </w:rPr>
            </w:pPr>
            <w:r>
              <w:rPr>
                <w:rFonts w:hint="eastAsia" w:cs="宋体" w:asciiTheme="minorEastAsia" w:hAnsiTheme="minorEastAsia" w:eastAsiaTheme="minorEastAsia"/>
                <w:color w:val="auto"/>
                <w:kern w:val="0"/>
                <w:szCs w:val="21"/>
                <w:lang w:eastAsia="zh-CN"/>
              </w:rPr>
              <w:t>是</w:t>
            </w:r>
          </w:p>
        </w:tc>
        <w:tc>
          <w:tcPr>
            <w:tcW w:w="750" w:type="pct"/>
            <w:vAlign w:val="center"/>
          </w:tcPr>
          <w:p w14:paraId="26CD7BC6">
            <w:pPr>
              <w:widowControl/>
              <w:jc w:val="center"/>
              <w:rPr>
                <w:rFonts w:hint="eastAsia" w:cs="宋体" w:asciiTheme="minorEastAsia" w:hAnsiTheme="minorEastAsia" w:eastAsiaTheme="minorEastAsia"/>
                <w:color w:val="auto"/>
                <w:kern w:val="0"/>
                <w:szCs w:val="21"/>
                <w:lang w:eastAsia="zh-CN"/>
              </w:rPr>
            </w:pPr>
            <w:r>
              <w:rPr>
                <w:rFonts w:hint="eastAsia" w:cs="宋体" w:asciiTheme="minorEastAsia" w:hAnsiTheme="minorEastAsia" w:eastAsiaTheme="minorEastAsia"/>
                <w:color w:val="auto"/>
                <w:kern w:val="0"/>
                <w:szCs w:val="21"/>
                <w:lang w:eastAsia="zh-CN"/>
              </w:rPr>
              <w:t>是</w:t>
            </w:r>
          </w:p>
        </w:tc>
      </w:tr>
      <w:tr w14:paraId="3CFD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32" w:type="pct"/>
            <w:vAlign w:val="center"/>
          </w:tcPr>
          <w:p w14:paraId="7A10FEBB">
            <w:pPr>
              <w:widowControl/>
              <w:numPr>
                <w:ilvl w:val="0"/>
                <w:numId w:val="1"/>
              </w:numPr>
              <w:suppressAutoHyphens/>
              <w:jc w:val="center"/>
              <w:textAlignment w:val="center"/>
              <w:rPr>
                <w:rFonts w:asciiTheme="minorEastAsia" w:hAnsiTheme="minorEastAsia" w:eastAsiaTheme="minorEastAsia"/>
                <w:szCs w:val="21"/>
              </w:rPr>
            </w:pPr>
          </w:p>
        </w:tc>
        <w:tc>
          <w:tcPr>
            <w:tcW w:w="1233" w:type="pct"/>
            <w:vAlign w:val="center"/>
          </w:tcPr>
          <w:p w14:paraId="79095127">
            <w:pPr>
              <w:tabs>
                <w:tab w:val="left" w:pos="900"/>
              </w:tabs>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嵌入式教学</w:t>
            </w:r>
            <w:r>
              <w:rPr>
                <w:rFonts w:hint="eastAsia" w:cs="宋体" w:asciiTheme="minorEastAsia" w:hAnsiTheme="minorEastAsia" w:eastAsiaTheme="minorEastAsia"/>
                <w:kern w:val="0"/>
                <w:szCs w:val="21"/>
                <w:lang w:val="en-US" w:eastAsia="zh-CN"/>
              </w:rPr>
              <w:t>实验箱</w:t>
            </w:r>
          </w:p>
        </w:tc>
        <w:tc>
          <w:tcPr>
            <w:tcW w:w="514" w:type="pct"/>
            <w:vAlign w:val="center"/>
          </w:tcPr>
          <w:p w14:paraId="757B43DE">
            <w:pPr>
              <w:tabs>
                <w:tab w:val="left" w:pos="900"/>
              </w:tabs>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lang w:val="en-US" w:eastAsia="zh-CN"/>
              </w:rPr>
              <w:t>24</w:t>
            </w:r>
            <w:r>
              <w:rPr>
                <w:rFonts w:hint="eastAsia" w:cs="宋体" w:asciiTheme="minorEastAsia" w:hAnsiTheme="minorEastAsia" w:eastAsiaTheme="minorEastAsia"/>
                <w:kern w:val="0"/>
                <w:szCs w:val="21"/>
              </w:rPr>
              <w:t>套</w:t>
            </w:r>
          </w:p>
        </w:tc>
        <w:tc>
          <w:tcPr>
            <w:tcW w:w="1316" w:type="pct"/>
            <w:vAlign w:val="center"/>
          </w:tcPr>
          <w:p w14:paraId="1538C199">
            <w:pPr>
              <w:spacing w:line="288" w:lineRule="auto"/>
              <w:jc w:val="center"/>
              <w:rPr>
                <w:rFonts w:asciiTheme="minorEastAsia" w:hAnsiTheme="minorEastAsia" w:eastAsiaTheme="minorEastAsia"/>
                <w:color w:val="auto"/>
                <w:kern w:val="0"/>
                <w:szCs w:val="21"/>
              </w:rPr>
            </w:pPr>
          </w:p>
        </w:tc>
        <w:tc>
          <w:tcPr>
            <w:tcW w:w="752" w:type="pct"/>
            <w:vAlign w:val="center"/>
          </w:tcPr>
          <w:p w14:paraId="3D67D429">
            <w:pPr>
              <w:tabs>
                <w:tab w:val="left" w:pos="900"/>
              </w:tabs>
              <w:jc w:val="center"/>
              <w:rPr>
                <w:rFonts w:hint="eastAsia" w:cs="宋体" w:asciiTheme="minorEastAsia" w:hAnsiTheme="minorEastAsia" w:eastAsiaTheme="minorEastAsia"/>
                <w:color w:val="auto"/>
                <w:kern w:val="0"/>
                <w:szCs w:val="21"/>
                <w:lang w:eastAsia="zh-CN"/>
              </w:rPr>
            </w:pPr>
            <w:r>
              <w:rPr>
                <w:rFonts w:hint="eastAsia" w:cs="宋体" w:asciiTheme="minorEastAsia" w:hAnsiTheme="minorEastAsia" w:eastAsiaTheme="minorEastAsia"/>
                <w:color w:val="auto"/>
                <w:kern w:val="0"/>
                <w:szCs w:val="21"/>
                <w:lang w:eastAsia="zh-CN"/>
              </w:rPr>
              <w:t>是</w:t>
            </w:r>
          </w:p>
        </w:tc>
        <w:tc>
          <w:tcPr>
            <w:tcW w:w="750" w:type="pct"/>
            <w:vAlign w:val="center"/>
          </w:tcPr>
          <w:p w14:paraId="4EEEDF65">
            <w:pPr>
              <w:widowControl/>
              <w:jc w:val="center"/>
              <w:rPr>
                <w:rFonts w:cs="宋体" w:asciiTheme="minorEastAsia" w:hAnsiTheme="minorEastAsia" w:eastAsiaTheme="minorEastAsia"/>
                <w:color w:val="auto"/>
                <w:kern w:val="0"/>
                <w:szCs w:val="21"/>
              </w:rPr>
            </w:pPr>
          </w:p>
        </w:tc>
      </w:tr>
      <w:tr w14:paraId="33BDF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32" w:type="pct"/>
            <w:vAlign w:val="center"/>
          </w:tcPr>
          <w:p w14:paraId="7725771F">
            <w:pPr>
              <w:widowControl/>
              <w:numPr>
                <w:ilvl w:val="0"/>
                <w:numId w:val="1"/>
              </w:numPr>
              <w:suppressAutoHyphens/>
              <w:jc w:val="center"/>
              <w:textAlignment w:val="center"/>
              <w:rPr>
                <w:rFonts w:asciiTheme="minorEastAsia" w:hAnsiTheme="minorEastAsia" w:eastAsiaTheme="minorEastAsia"/>
                <w:szCs w:val="21"/>
              </w:rPr>
            </w:pPr>
          </w:p>
        </w:tc>
        <w:tc>
          <w:tcPr>
            <w:tcW w:w="1233" w:type="pct"/>
            <w:vAlign w:val="center"/>
          </w:tcPr>
          <w:p w14:paraId="7357DAC4">
            <w:pPr>
              <w:tabs>
                <w:tab w:val="left" w:pos="900"/>
              </w:tabs>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lang w:val="en-US" w:eastAsia="zh-CN"/>
              </w:rPr>
              <w:t>云课堂终端</w:t>
            </w:r>
          </w:p>
        </w:tc>
        <w:tc>
          <w:tcPr>
            <w:tcW w:w="514" w:type="pct"/>
            <w:vAlign w:val="center"/>
          </w:tcPr>
          <w:p w14:paraId="0C7090CF">
            <w:pPr>
              <w:tabs>
                <w:tab w:val="left" w:pos="900"/>
              </w:tabs>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lang w:val="en-US" w:eastAsia="zh-CN"/>
              </w:rPr>
              <w:t>88</w:t>
            </w:r>
            <w:r>
              <w:rPr>
                <w:rFonts w:hint="eastAsia" w:cs="宋体" w:asciiTheme="minorEastAsia" w:hAnsiTheme="minorEastAsia" w:eastAsiaTheme="minorEastAsia"/>
                <w:kern w:val="0"/>
                <w:szCs w:val="21"/>
              </w:rPr>
              <w:t>套</w:t>
            </w:r>
          </w:p>
        </w:tc>
        <w:tc>
          <w:tcPr>
            <w:tcW w:w="1316" w:type="pct"/>
            <w:vAlign w:val="center"/>
          </w:tcPr>
          <w:p w14:paraId="47F81046">
            <w:pPr>
              <w:spacing w:line="288" w:lineRule="auto"/>
              <w:jc w:val="center"/>
              <w:rPr>
                <w:rFonts w:hint="eastAsia" w:asciiTheme="minorEastAsia" w:hAnsiTheme="minorEastAsia" w:eastAsiaTheme="minorEastAsia"/>
                <w:color w:val="auto"/>
                <w:kern w:val="0"/>
                <w:szCs w:val="21"/>
                <w:lang w:eastAsia="zh-CN"/>
              </w:rPr>
            </w:pPr>
            <w:r>
              <w:rPr>
                <w:rFonts w:hint="eastAsia" w:asciiTheme="minorEastAsia" w:hAnsiTheme="minorEastAsia" w:eastAsiaTheme="minorEastAsia"/>
                <w:color w:val="auto"/>
                <w:kern w:val="0"/>
                <w:szCs w:val="21"/>
                <w:lang w:eastAsia="zh-CN"/>
              </w:rPr>
              <w:t>其中</w:t>
            </w:r>
            <w:r>
              <w:rPr>
                <w:rFonts w:hint="eastAsia" w:asciiTheme="minorEastAsia" w:hAnsiTheme="minorEastAsia" w:eastAsiaTheme="minorEastAsia"/>
                <w:color w:val="auto"/>
                <w:kern w:val="0"/>
                <w:szCs w:val="21"/>
              </w:rPr>
              <w:t>23.8寸液晶显示器</w:t>
            </w:r>
            <w:r>
              <w:rPr>
                <w:rFonts w:hint="eastAsia" w:asciiTheme="minorEastAsia" w:hAnsiTheme="minorEastAsia" w:eastAsiaTheme="minorEastAsia"/>
                <w:color w:val="auto"/>
                <w:kern w:val="0"/>
                <w:szCs w:val="21"/>
                <w:lang w:eastAsia="zh-CN"/>
              </w:rPr>
              <w:t>为强制节能产品</w:t>
            </w:r>
          </w:p>
        </w:tc>
        <w:tc>
          <w:tcPr>
            <w:tcW w:w="752" w:type="pct"/>
            <w:vAlign w:val="center"/>
          </w:tcPr>
          <w:p w14:paraId="12953AE7">
            <w:pPr>
              <w:tabs>
                <w:tab w:val="left" w:pos="900"/>
              </w:tabs>
              <w:jc w:val="center"/>
              <w:rPr>
                <w:rFonts w:hint="eastAsia" w:cs="宋体" w:asciiTheme="minorEastAsia" w:hAnsiTheme="minorEastAsia" w:eastAsiaTheme="minorEastAsia"/>
                <w:color w:val="auto"/>
                <w:kern w:val="0"/>
                <w:szCs w:val="21"/>
                <w:lang w:eastAsia="zh-CN"/>
              </w:rPr>
            </w:pPr>
            <w:r>
              <w:rPr>
                <w:rFonts w:hint="eastAsia" w:cs="宋体" w:asciiTheme="minorEastAsia" w:hAnsiTheme="minorEastAsia" w:eastAsiaTheme="minorEastAsia"/>
                <w:color w:val="auto"/>
                <w:kern w:val="0"/>
                <w:szCs w:val="21"/>
                <w:lang w:eastAsia="zh-CN"/>
              </w:rPr>
              <w:t>是</w:t>
            </w:r>
          </w:p>
        </w:tc>
        <w:tc>
          <w:tcPr>
            <w:tcW w:w="750" w:type="pct"/>
            <w:vAlign w:val="center"/>
          </w:tcPr>
          <w:p w14:paraId="0C79B268">
            <w:pPr>
              <w:widowControl/>
              <w:jc w:val="center"/>
              <w:rPr>
                <w:rFonts w:cs="宋体" w:asciiTheme="minorEastAsia" w:hAnsiTheme="minorEastAsia" w:eastAsiaTheme="minorEastAsia"/>
                <w:color w:val="auto"/>
                <w:kern w:val="0"/>
                <w:szCs w:val="21"/>
              </w:rPr>
            </w:pPr>
          </w:p>
        </w:tc>
      </w:tr>
    </w:tbl>
    <w:p w14:paraId="2C783C3F">
      <w:pPr>
        <w:pStyle w:val="6"/>
        <w:adjustRightInd w:val="0"/>
        <w:snapToGrid w:val="0"/>
        <w:spacing w:line="360" w:lineRule="auto"/>
        <w:outlineLvl w:val="0"/>
        <w:rPr>
          <w:rFonts w:hAnsi="宋体" w:cs="宋体"/>
          <w:b/>
          <w:bCs/>
          <w:sz w:val="24"/>
          <w:szCs w:val="24"/>
        </w:rPr>
      </w:pPr>
    </w:p>
    <w:p w14:paraId="10EC022C">
      <w:pPr>
        <w:adjustRightInd w:val="0"/>
        <w:snapToGrid w:val="0"/>
        <w:spacing w:before="156" w:beforeLines="50" w:line="360" w:lineRule="auto"/>
        <w:rPr>
          <w:rFonts w:ascii="宋体" w:hAnsi="宋体"/>
          <w:szCs w:val="21"/>
        </w:rPr>
      </w:pPr>
      <w:r>
        <w:rPr>
          <w:rFonts w:hint="eastAsia" w:ascii="宋体" w:hAnsi="宋体"/>
          <w:szCs w:val="21"/>
        </w:rPr>
        <w:t>注：1.“包”为最小合同单位（最小投标单位）。每“包”内容应细化到具体品目。</w:t>
      </w:r>
    </w:p>
    <w:p w14:paraId="1B4C3DEE">
      <w:pPr>
        <w:adjustRightInd w:val="0"/>
        <w:snapToGrid w:val="0"/>
        <w:spacing w:before="156" w:beforeLines="50" w:line="360" w:lineRule="auto"/>
        <w:ind w:firstLine="420" w:firstLineChars="200"/>
        <w:rPr>
          <w:rFonts w:ascii="宋体" w:hAnsi="宋体"/>
          <w:szCs w:val="21"/>
        </w:rPr>
      </w:pPr>
      <w:r>
        <w:rPr>
          <w:rFonts w:hint="eastAsia" w:ascii="宋体" w:hAnsi="宋体"/>
          <w:szCs w:val="21"/>
        </w:rPr>
        <w:t>2.投标人必须对一个完整、独立的包进行投标，不得仅对一个包中的部分标的投标，否则</w:t>
      </w:r>
      <w:r>
        <w:rPr>
          <w:rFonts w:hint="eastAsia" w:ascii="宋体" w:hAnsi="宋体"/>
          <w:b/>
          <w:szCs w:val="21"/>
        </w:rPr>
        <w:t>投标无效。</w:t>
      </w:r>
    </w:p>
    <w:p w14:paraId="1FB94ADE">
      <w:pPr>
        <w:adjustRightInd w:val="0"/>
        <w:snapToGrid w:val="0"/>
        <w:spacing w:before="156" w:beforeLines="50" w:line="360" w:lineRule="auto"/>
        <w:ind w:firstLine="420" w:firstLineChars="200"/>
        <w:rPr>
          <w:rFonts w:ascii="宋体" w:hAnsi="宋体" w:cs="宋体"/>
          <w:kern w:val="0"/>
          <w:szCs w:val="21"/>
        </w:rPr>
      </w:pPr>
      <w:r>
        <w:rPr>
          <w:rFonts w:hint="eastAsia" w:ascii="宋体" w:hAnsi="宋体"/>
          <w:szCs w:val="21"/>
        </w:rPr>
        <w:t>3.货物的主要技术参数或规格：</w:t>
      </w:r>
      <w:r>
        <w:rPr>
          <w:rFonts w:ascii="宋体" w:hAnsi="宋体" w:cs="宋体"/>
          <w:kern w:val="0"/>
          <w:szCs w:val="21"/>
        </w:rPr>
        <w:t>详见“技术要求”中的具体技术参数</w:t>
      </w:r>
      <w:r>
        <w:rPr>
          <w:rFonts w:hint="eastAsia" w:ascii="宋体" w:hAnsi="宋体" w:cs="宋体"/>
          <w:kern w:val="0"/>
          <w:szCs w:val="21"/>
        </w:rPr>
        <w:t>。</w:t>
      </w:r>
    </w:p>
    <w:p w14:paraId="21397EDD">
      <w:pPr>
        <w:adjustRightInd w:val="0"/>
        <w:snapToGrid w:val="0"/>
        <w:spacing w:before="156" w:beforeLines="50" w:line="360" w:lineRule="auto"/>
        <w:ind w:firstLine="420" w:firstLineChars="200"/>
        <w:rPr>
          <w:rFonts w:ascii="宋体" w:hAnsi="宋体"/>
          <w:szCs w:val="21"/>
        </w:rPr>
      </w:pPr>
      <w:r>
        <w:rPr>
          <w:rFonts w:hint="eastAsia" w:ascii="宋体" w:hAnsi="宋体" w:cs="宋体"/>
          <w:bCs/>
          <w:kern w:val="0"/>
          <w:szCs w:val="21"/>
        </w:rPr>
        <w:t>4.投标人应</w:t>
      </w:r>
      <w:r>
        <w:rPr>
          <w:rFonts w:hint="eastAsia" w:ascii="宋体" w:hAnsi="宋体" w:cs="宋体"/>
          <w:kern w:val="0"/>
          <w:szCs w:val="21"/>
        </w:rPr>
        <w:t>在投标文件《分项报价明细表》中按</w:t>
      </w:r>
      <w:r>
        <w:rPr>
          <w:rFonts w:hint="eastAsia" w:ascii="宋体" w:hAnsi="宋体"/>
          <w:szCs w:val="21"/>
        </w:rPr>
        <w:t>标的名称</w:t>
      </w:r>
      <w:r>
        <w:rPr>
          <w:rFonts w:hint="eastAsia" w:ascii="宋体" w:hAnsi="宋体" w:cs="宋体"/>
          <w:kern w:val="0"/>
          <w:szCs w:val="21"/>
        </w:rPr>
        <w:t>顺序逐项填写，且每个标的中的条</w:t>
      </w:r>
      <w:r>
        <w:rPr>
          <w:rFonts w:hint="eastAsia" w:ascii="宋体" w:hAnsi="宋体"/>
          <w:szCs w:val="21"/>
        </w:rPr>
        <w:t>目均需按招标文件规定报价。如有缺项、漏项，其投标无效。</w:t>
      </w:r>
    </w:p>
    <w:p w14:paraId="419D6775">
      <w:pPr>
        <w:adjustRightInd w:val="0"/>
        <w:snapToGrid w:val="0"/>
        <w:spacing w:before="156" w:beforeLines="50" w:line="360" w:lineRule="auto"/>
        <w:ind w:firstLine="420" w:firstLineChars="200"/>
        <w:rPr>
          <w:rFonts w:ascii="宋体" w:hAnsi="宋体"/>
          <w:szCs w:val="21"/>
        </w:rPr>
      </w:pPr>
      <w:r>
        <w:rPr>
          <w:rFonts w:hint="eastAsia" w:ascii="宋体" w:hAnsi="宋体"/>
          <w:szCs w:val="21"/>
          <w:lang w:val="en-US" w:eastAsia="zh-CN"/>
        </w:rPr>
        <w:t>5</w:t>
      </w:r>
      <w:r>
        <w:rPr>
          <w:rFonts w:hint="eastAsia" w:ascii="宋体" w:hAnsi="宋体"/>
          <w:szCs w:val="21"/>
        </w:rPr>
        <w:t>、</w:t>
      </w:r>
      <w:r>
        <w:rPr>
          <w:rFonts w:hint="eastAsia" w:ascii="宋体" w:hAnsi="宋体"/>
          <w:b/>
          <w:bCs/>
          <w:szCs w:val="21"/>
        </w:rPr>
        <w:t>强制节能产品</w:t>
      </w:r>
      <w:r>
        <w:rPr>
          <w:rFonts w:hint="eastAsia" w:ascii="宋体" w:hAnsi="宋体"/>
          <w:szCs w:val="21"/>
        </w:rPr>
        <w:t>：上表“是否为强制节能产品”栏中标注“是”的为强制节能产品，投标人投标产品应当取得国家确定的认证机构出具的、处于有效期之内的节能产品认证证书，否则其投标无效。</w:t>
      </w:r>
    </w:p>
    <w:p w14:paraId="0BF285DD">
      <w:pPr>
        <w:adjustRightInd w:val="0"/>
        <w:snapToGrid w:val="0"/>
        <w:spacing w:before="156" w:beforeLines="50" w:line="360" w:lineRule="auto"/>
        <w:ind w:firstLine="420" w:firstLineChars="200"/>
        <w:rPr>
          <w:rFonts w:ascii="宋体" w:hAnsi="宋体"/>
          <w:szCs w:val="21"/>
        </w:rPr>
      </w:pPr>
      <w:r>
        <w:rPr>
          <w:rFonts w:hint="eastAsia" w:ascii="宋体" w:hAnsi="宋体"/>
          <w:szCs w:val="21"/>
          <w:lang w:val="en-US" w:eastAsia="zh-CN"/>
        </w:rPr>
        <w:t>6</w:t>
      </w:r>
      <w:r>
        <w:rPr>
          <w:rFonts w:hint="eastAsia" w:ascii="宋体" w:hAnsi="宋体"/>
          <w:szCs w:val="21"/>
        </w:rPr>
        <w:t>、</w:t>
      </w:r>
      <w:r>
        <w:rPr>
          <w:rFonts w:hint="eastAsia" w:ascii="宋体" w:hAnsi="宋体"/>
          <w:b/>
          <w:bCs/>
          <w:szCs w:val="21"/>
        </w:rPr>
        <w:t>售后服务承诺书</w:t>
      </w:r>
      <w:r>
        <w:rPr>
          <w:rFonts w:hint="eastAsia" w:ascii="宋体" w:hAnsi="宋体"/>
          <w:szCs w:val="21"/>
        </w:rPr>
        <w:t>：上表“售后服务承诺书”栏标注“需要提供”，则需提供投标人出具的售后服务承诺书复印件</w:t>
      </w:r>
      <w:r>
        <w:rPr>
          <w:rFonts w:hint="eastAsia" w:ascii="宋体" w:hAnsi="宋体"/>
          <w:b/>
          <w:bCs/>
          <w:szCs w:val="21"/>
        </w:rPr>
        <w:t>（内容要求注明项目名称、政府采购编号、货物名称及提供设备及系统软件免费维保年限、范围及保修条件、软件升级情况和终身免费升级等）到投标文件中；</w:t>
      </w:r>
    </w:p>
    <w:p w14:paraId="3AF010F9">
      <w:pPr>
        <w:adjustRightInd w:val="0"/>
        <w:snapToGrid w:val="0"/>
        <w:spacing w:before="156" w:beforeLines="50" w:line="360" w:lineRule="auto"/>
        <w:ind w:firstLine="420" w:firstLineChars="200"/>
        <w:rPr>
          <w:rFonts w:ascii="宋体" w:hAnsi="宋体"/>
          <w:szCs w:val="21"/>
        </w:rPr>
      </w:pPr>
      <w:r>
        <w:rPr>
          <w:rFonts w:hint="eastAsia" w:ascii="宋体" w:hAnsi="宋体"/>
          <w:szCs w:val="21"/>
          <w:lang w:val="en-US" w:eastAsia="zh-CN"/>
        </w:rPr>
        <w:t>7</w:t>
      </w:r>
      <w:r>
        <w:rPr>
          <w:rFonts w:hint="eastAsia" w:ascii="宋体" w:hAnsi="宋体"/>
          <w:szCs w:val="21"/>
        </w:rPr>
        <w:t>、</w:t>
      </w:r>
      <w:r>
        <w:rPr>
          <w:rFonts w:hint="eastAsia" w:ascii="宋体" w:hAnsi="宋体"/>
          <w:b/>
          <w:bCs/>
          <w:szCs w:val="21"/>
        </w:rPr>
        <w:t>核心产品</w:t>
      </w:r>
      <w:r>
        <w:rPr>
          <w:rFonts w:hint="eastAsia" w:ascii="宋体" w:hAnsi="宋体"/>
          <w:szCs w:val="21"/>
        </w:rPr>
        <w:t>：上表“是否为核心产品”栏中标注“是”的为核心产品，多家投标人提供的核心产品品牌相同的，按一个有效投标人处理。</w:t>
      </w:r>
    </w:p>
    <w:p w14:paraId="1E33548E">
      <w:pPr>
        <w:adjustRightInd w:val="0"/>
        <w:snapToGrid w:val="0"/>
        <w:spacing w:before="156" w:beforeLines="50" w:line="360" w:lineRule="auto"/>
        <w:ind w:firstLine="420" w:firstLineChars="200"/>
        <w:rPr>
          <w:rFonts w:ascii="宋体" w:hAnsi="宋体"/>
          <w:szCs w:val="21"/>
        </w:rPr>
      </w:pPr>
    </w:p>
    <w:p w14:paraId="00D0A7C1">
      <w:pPr>
        <w:pStyle w:val="5"/>
        <w:adjustRightInd w:val="0"/>
        <w:snapToGrid w:val="0"/>
        <w:spacing w:before="156" w:beforeLines="50"/>
        <w:jc w:val="center"/>
        <w:rPr>
          <w:rFonts w:ascii="黑体" w:hAnsi="黑体" w:eastAsia="黑体"/>
          <w:sz w:val="28"/>
          <w:szCs w:val="28"/>
        </w:rPr>
      </w:pPr>
      <w:r>
        <w:rPr>
          <w:rFonts w:hint="eastAsia" w:ascii="黑体" w:hAnsi="黑体" w:eastAsia="黑体"/>
          <w:sz w:val="28"/>
          <w:szCs w:val="28"/>
        </w:rPr>
        <w:br w:type="page"/>
      </w:r>
      <w:bookmarkStart w:id="3" w:name="_Toc16243"/>
      <w:r>
        <w:rPr>
          <w:rFonts w:hint="eastAsia" w:ascii="黑体" w:hAnsi="黑体" w:eastAsia="黑体"/>
          <w:sz w:val="28"/>
          <w:szCs w:val="28"/>
        </w:rPr>
        <w:t xml:space="preserve">第二节 </w:t>
      </w:r>
      <w:r>
        <w:rPr>
          <w:rFonts w:ascii="黑体" w:hAnsi="黑体" w:eastAsia="黑体"/>
          <w:sz w:val="28"/>
          <w:szCs w:val="28"/>
        </w:rPr>
        <w:t>技术要求</w:t>
      </w:r>
      <w:bookmarkEnd w:id="3"/>
    </w:p>
    <w:p w14:paraId="0FE26860">
      <w:pPr>
        <w:rPr>
          <w:b/>
          <w:bCs/>
          <w:sz w:val="24"/>
        </w:rPr>
      </w:pPr>
      <w:r>
        <w:rPr>
          <w:rFonts w:hint="eastAsia"/>
          <w:b/>
          <w:bCs/>
          <w:sz w:val="24"/>
          <w:lang w:eastAsia="zh-CN"/>
        </w:rPr>
        <w:t>一</w:t>
      </w:r>
      <w:r>
        <w:rPr>
          <w:rFonts w:hint="eastAsia"/>
          <w:b/>
          <w:bCs/>
          <w:sz w:val="24"/>
        </w:rPr>
        <w:t>、技术参数和要求</w:t>
      </w:r>
    </w:p>
    <w:tbl>
      <w:tblPr>
        <w:tblStyle w:val="7"/>
        <w:tblW w:w="85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6873"/>
        <w:gridCol w:w="818"/>
      </w:tblGrid>
      <w:tr w14:paraId="7B3B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98" w:type="dxa"/>
            <w:tcBorders>
              <w:top w:val="single" w:color="auto" w:sz="4" w:space="0"/>
              <w:left w:val="single" w:color="auto" w:sz="4" w:space="0"/>
              <w:bottom w:val="single" w:color="auto" w:sz="4" w:space="0"/>
              <w:right w:val="single" w:color="auto" w:sz="4" w:space="0"/>
            </w:tcBorders>
            <w:vAlign w:val="center"/>
          </w:tcPr>
          <w:p w14:paraId="72B4C223">
            <w:pPr>
              <w:spacing w:line="560" w:lineRule="exact"/>
              <w:jc w:val="center"/>
              <w:rPr>
                <w:rFonts w:hint="eastAsia" w:ascii="宋体" w:hAnsi="宋体" w:cs="宋体"/>
                <w:sz w:val="21"/>
                <w:szCs w:val="21"/>
              </w:rPr>
            </w:pPr>
            <w:r>
              <w:rPr>
                <w:rFonts w:hint="eastAsia" w:ascii="宋体" w:hAnsi="宋体" w:cs="宋体"/>
                <w:sz w:val="21"/>
                <w:szCs w:val="21"/>
              </w:rPr>
              <w:t>名  称</w:t>
            </w:r>
          </w:p>
        </w:tc>
        <w:tc>
          <w:tcPr>
            <w:tcW w:w="6873" w:type="dxa"/>
            <w:tcBorders>
              <w:top w:val="single" w:color="auto" w:sz="4" w:space="0"/>
              <w:left w:val="single" w:color="auto" w:sz="4" w:space="0"/>
              <w:bottom w:val="single" w:color="auto" w:sz="4" w:space="0"/>
              <w:right w:val="single" w:color="auto" w:sz="4" w:space="0"/>
            </w:tcBorders>
            <w:vAlign w:val="center"/>
          </w:tcPr>
          <w:p w14:paraId="4F6EE79A">
            <w:pPr>
              <w:spacing w:line="560" w:lineRule="exact"/>
              <w:jc w:val="center"/>
              <w:rPr>
                <w:rFonts w:hint="eastAsia" w:ascii="宋体" w:hAnsi="宋体" w:cs="宋体"/>
                <w:sz w:val="21"/>
                <w:szCs w:val="21"/>
              </w:rPr>
            </w:pPr>
            <w:r>
              <w:rPr>
                <w:rFonts w:hint="eastAsia" w:ascii="宋体" w:hAnsi="宋体" w:cs="宋体"/>
                <w:sz w:val="21"/>
                <w:szCs w:val="21"/>
              </w:rPr>
              <w:t>参数要求</w:t>
            </w:r>
          </w:p>
        </w:tc>
        <w:tc>
          <w:tcPr>
            <w:tcW w:w="818" w:type="dxa"/>
            <w:tcBorders>
              <w:top w:val="single" w:color="auto" w:sz="4" w:space="0"/>
              <w:left w:val="single" w:color="auto" w:sz="4" w:space="0"/>
              <w:bottom w:val="single" w:color="auto" w:sz="4" w:space="0"/>
              <w:right w:val="single" w:color="auto" w:sz="4" w:space="0"/>
            </w:tcBorders>
            <w:vAlign w:val="center"/>
          </w:tcPr>
          <w:p w14:paraId="2DA1C926">
            <w:pPr>
              <w:spacing w:line="560" w:lineRule="exact"/>
              <w:jc w:val="center"/>
              <w:rPr>
                <w:rFonts w:hint="eastAsia" w:ascii="宋体" w:hAnsi="宋体" w:cs="宋体"/>
                <w:sz w:val="21"/>
                <w:szCs w:val="21"/>
              </w:rPr>
            </w:pPr>
            <w:r>
              <w:rPr>
                <w:rFonts w:hint="eastAsia" w:ascii="宋体" w:hAnsi="宋体" w:cs="宋体"/>
                <w:sz w:val="21"/>
                <w:szCs w:val="21"/>
              </w:rPr>
              <w:t>数量</w:t>
            </w:r>
          </w:p>
        </w:tc>
      </w:tr>
      <w:tr w14:paraId="30FF3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898" w:type="dxa"/>
            <w:tcBorders>
              <w:top w:val="single" w:color="auto" w:sz="4" w:space="0"/>
              <w:left w:val="single" w:color="auto" w:sz="4" w:space="0"/>
              <w:bottom w:val="single" w:color="auto" w:sz="4" w:space="0"/>
              <w:right w:val="single" w:color="auto" w:sz="4" w:space="0"/>
            </w:tcBorders>
            <w:vAlign w:val="center"/>
          </w:tcPr>
          <w:p w14:paraId="1EF3E6B7">
            <w:pPr>
              <w:widowControl/>
              <w:jc w:val="center"/>
              <w:textAlignment w:val="top"/>
              <w:rPr>
                <w:rFonts w:hint="eastAsia" w:ascii="宋体" w:hAnsi="宋体" w:cs="宋体"/>
                <w:sz w:val="21"/>
                <w:szCs w:val="21"/>
              </w:rPr>
            </w:pPr>
            <w:r>
              <w:rPr>
                <w:rFonts w:hint="eastAsia" w:ascii="宋体" w:hAnsi="宋体" w:cs="宋体"/>
                <w:kern w:val="0"/>
                <w:sz w:val="21"/>
                <w:szCs w:val="21"/>
                <w:lang w:bidi="ar"/>
              </w:rPr>
              <w:t>嵌入式教学平台</w:t>
            </w:r>
          </w:p>
        </w:tc>
        <w:tc>
          <w:tcPr>
            <w:tcW w:w="6873" w:type="dxa"/>
            <w:tcBorders>
              <w:top w:val="single" w:color="auto" w:sz="4" w:space="0"/>
              <w:left w:val="single" w:color="auto" w:sz="4" w:space="0"/>
              <w:bottom w:val="single" w:color="auto" w:sz="4" w:space="0"/>
              <w:right w:val="single" w:color="auto" w:sz="4" w:space="0"/>
            </w:tcBorders>
            <w:vAlign w:val="center"/>
          </w:tcPr>
          <w:p w14:paraId="056E0FCE">
            <w:pPr>
              <w:widowControl/>
              <w:jc w:val="left"/>
              <w:textAlignment w:val="center"/>
              <w:rPr>
                <w:rFonts w:hint="eastAsia" w:ascii="宋体" w:hAnsi="宋体" w:eastAsia="宋体" w:cs="宋体"/>
                <w:b/>
                <w:bCs w:val="0"/>
                <w:kern w:val="0"/>
                <w:sz w:val="21"/>
                <w:szCs w:val="21"/>
              </w:rPr>
            </w:pPr>
            <w:r>
              <w:rPr>
                <w:rFonts w:hint="eastAsia" w:ascii="宋体" w:hAnsi="宋体" w:eastAsia="宋体" w:cs="宋体"/>
                <w:b/>
                <w:bCs w:val="0"/>
                <w:kern w:val="0"/>
                <w:sz w:val="21"/>
                <w:szCs w:val="21"/>
              </w:rPr>
              <w:t>一、硬件参数：</w:t>
            </w:r>
          </w:p>
          <w:p w14:paraId="702A2E99">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1.整体结构</w:t>
            </w:r>
          </w:p>
          <w:p w14:paraId="5D8E274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采用“嵌入式Cortex-A53核心平台+主板扩展资源”模块一体化设计方式，接口及资源丰富，平台可非常流畅地运行Android、Linux等高级操作系统，满足嵌入式系统进阶课程设计、LINUX系统开发实验及实训需求。</w:t>
            </w:r>
          </w:p>
          <w:p w14:paraId="3D2CFA13">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2.核心板参数</w:t>
            </w:r>
          </w:p>
          <w:p w14:paraId="38CFF5A3">
            <w:pPr>
              <w:widowControl/>
              <w:jc w:val="left"/>
              <w:textAlignment w:val="center"/>
              <w:rPr>
                <w:rFonts w:hint="eastAsia" w:ascii="宋体" w:hAnsi="宋体" w:eastAsia="宋体" w:cs="宋体"/>
                <w:bCs/>
                <w:kern w:val="0"/>
                <w:sz w:val="21"/>
                <w:szCs w:val="21"/>
              </w:rPr>
            </w:pPr>
            <w:r>
              <w:rPr>
                <w:rStyle w:val="8"/>
                <w:rFonts w:hint="eastAsia" w:ascii="宋体" w:hAnsi="宋体" w:cs="宋体"/>
                <w:spacing w:val="30"/>
                <w:kern w:val="0"/>
                <w:sz w:val="21"/>
                <w:szCs w:val="21"/>
              </w:rPr>
              <w:t>★</w:t>
            </w:r>
            <w:r>
              <w:rPr>
                <w:rFonts w:hint="eastAsia" w:ascii="宋体" w:hAnsi="宋体" w:eastAsia="宋体" w:cs="宋体"/>
                <w:bCs/>
                <w:kern w:val="0"/>
                <w:sz w:val="21"/>
                <w:szCs w:val="21"/>
              </w:rPr>
              <w:t>CPU处理器：采用ARM Cortex-A53八核架构处理器，运行主频可高达1.4+GHz。</w:t>
            </w:r>
          </w:p>
          <w:p w14:paraId="34890F09">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内置显卡：Mali-400，可非常流畅地运行Android,Linux等高级操作系统。</w:t>
            </w:r>
          </w:p>
          <w:p w14:paraId="1088FD58">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RAM：1GBDDR3或者以上,高速率，32bit数据总线，有对应显示面板；</w:t>
            </w:r>
          </w:p>
          <w:p w14:paraId="765DFC0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ROM：8GEMMC高速闪存或者以上</w:t>
            </w:r>
          </w:p>
          <w:p w14:paraId="2EE96E9B">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板载千兆有线以太网，MIPI接口；</w:t>
            </w:r>
          </w:p>
          <w:p w14:paraId="140C0DDD">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显示：至少1个LCD RGB接口，A53支持TLL、LVDS、MIPI接口输出。</w:t>
            </w:r>
          </w:p>
          <w:p w14:paraId="2B4D1CDE">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音频接口：采用ALC5621音频编解码芯片；至少1个音频输出（3.5mm插座）；至少1x3.5mmMIC/LineIn输入，AC97/IIS接口，支持录放音。</w:t>
            </w:r>
          </w:p>
          <w:p w14:paraId="5D959C87">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SD卡接口：至少2路SDIO输出通道，2路SD/MMC接口</w:t>
            </w:r>
          </w:p>
          <w:p w14:paraId="19B4A006">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以太网接口：至少1个RJ45接口，支持千兆以太网，10/100/1000Mbps自适应；</w:t>
            </w:r>
          </w:p>
          <w:p w14:paraId="455F137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USB接口：至少1个USBHOST2.0接口（最高支持480Mbps速率），支持U盘、鼠标键盘、蓝牙适配器等USB外设；</w:t>
            </w:r>
          </w:p>
          <w:p w14:paraId="5908CB6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USBOTG接口：至少1个USBOTG 2.0接口，最高支持480Mbps速率；</w:t>
            </w:r>
          </w:p>
          <w:p w14:paraId="5E9A5807">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UART串口接口：支持不少于2路串口，1路用于RS232接口，其他路以TTL接口方式引出，支持带流控串口；每个最高支持5Mbps；</w:t>
            </w:r>
          </w:p>
          <w:p w14:paraId="5FF36FA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PWM接口：支持不少于3路PWM输出，1路用于蜂鸣器控制、1路用于LCD背光、其他以GPIO扩展方式引出；</w:t>
            </w:r>
          </w:p>
          <w:p w14:paraId="43AD5A38">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I2C接口：支持不少于3路I2C，用于EEPROM、音频、LCD触摸通信等、引出至GPIO接口；</w:t>
            </w:r>
          </w:p>
          <w:p w14:paraId="0C7EDA0A">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SPI接口：支持不少于1路SPI，其中1路引出至GPIO接口；</w:t>
            </w:r>
          </w:p>
          <w:p w14:paraId="4FC9533E">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ADC接口:支持7路ADC，12位分辨率，最大输入频率100Hz，电源输入范围0-1.8V。用于ADC可调电阻、部分引出至GPIO接口</w:t>
            </w:r>
          </w:p>
          <w:p w14:paraId="3903474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Camera接口:至少1路CIF、至少1路MIPI摄像头接口；</w:t>
            </w:r>
          </w:p>
          <w:p w14:paraId="4794FA02">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HDMI接口：HDMI1.4a，最高分辨率可达1080X1920高清数字视频、音频同步输出；</w:t>
            </w:r>
          </w:p>
          <w:p w14:paraId="0FBAFC39">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嵌入式处理器平台模块化设计，可用于二次开发和创新设计；</w:t>
            </w:r>
          </w:p>
          <w:p w14:paraId="2B70F597">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板载单片机处理单元+1.8寸TFT LCD或以上LCD，用于显示通讯接口组合和交互模式，更易用及方便教学；</w:t>
            </w:r>
          </w:p>
          <w:p w14:paraId="3E7B1AC8">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至少3个USB 2.0接口，USB-HUB芯片，支持USB鼠标、USB键盘、USB-wifi、蓝牙等；至少3个RS232串口；</w:t>
            </w:r>
          </w:p>
          <w:p w14:paraId="1965E0E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板载至少1x RS485总线接口</w:t>
            </w:r>
          </w:p>
          <w:p w14:paraId="05F995AD">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板载至少1x CAN总线接口</w:t>
            </w:r>
          </w:p>
          <w:p w14:paraId="5ECC480A">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板载至少1个MINI-PCIE接口，支持3G/4G模块；</w:t>
            </w:r>
          </w:p>
          <w:p w14:paraId="02FF348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多平台兼容接口，支持Cortex-M4、Cortex-A8、Cortex-A9、Cortex-A53平台与主板资源进行交互，如液晶屏显示温湿度数据等功能；</w:t>
            </w:r>
          </w:p>
          <w:p w14:paraId="0269044D">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3.配置基本模块：</w:t>
            </w:r>
          </w:p>
          <w:p w14:paraId="79744656">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板载至少1x ADC可调电阻、1x 光敏电阻、1x 温湿度传感器、1x 烟雾传感器、4x 用户按键、直流电机模块、步进电机模块，板载CC2530协调器，接口兼容CC2538协调器、板载蓝牙4.0模块、板载高频RFID模块、板载GPRS/GPS模块、配套工业摄像头模块</w:t>
            </w:r>
          </w:p>
          <w:p w14:paraId="60AC7623">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4、实验箱集成嵌入式系统测试系统（包含基础实验、综合实验、嵌入式无线射频协议分析软件，具备2.4G无线协议分析，以上软件全部集成于单个系统内的QT4人机界面，</w:t>
            </w:r>
            <w:r>
              <w:rPr>
                <w:rFonts w:hint="eastAsia" w:ascii="宋体" w:hAnsi="宋体" w:eastAsia="宋体" w:cs="宋体"/>
                <w:bCs/>
                <w:kern w:val="0"/>
                <w:sz w:val="21"/>
                <w:szCs w:val="21"/>
                <w:lang w:eastAsia="zh-CN"/>
              </w:rPr>
              <w:t>提供功能截图并加盖</w:t>
            </w:r>
            <w:r>
              <w:rPr>
                <w:rFonts w:hint="eastAsia" w:ascii="宋体" w:hAnsi="宋体" w:eastAsia="宋体" w:cs="宋体"/>
                <w:bCs/>
                <w:kern w:val="0"/>
                <w:sz w:val="21"/>
                <w:szCs w:val="21"/>
                <w:lang w:val="en-US" w:eastAsia="zh-CN"/>
              </w:rPr>
              <w:t>投标人</w:t>
            </w:r>
            <w:r>
              <w:rPr>
                <w:rFonts w:hint="eastAsia" w:ascii="宋体" w:hAnsi="宋体" w:eastAsia="宋体" w:cs="宋体"/>
                <w:bCs/>
                <w:kern w:val="0"/>
                <w:sz w:val="21"/>
                <w:szCs w:val="21"/>
                <w:lang w:eastAsia="zh-CN"/>
              </w:rPr>
              <w:t>公章</w:t>
            </w:r>
            <w:r>
              <w:rPr>
                <w:rFonts w:hint="eastAsia" w:ascii="宋体" w:hAnsi="宋体" w:eastAsia="宋体" w:cs="宋体"/>
                <w:bCs/>
                <w:kern w:val="0"/>
                <w:sz w:val="21"/>
                <w:szCs w:val="21"/>
              </w:rPr>
              <w:t>）；</w:t>
            </w:r>
          </w:p>
          <w:p w14:paraId="6C79C3AA">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5.可开设至少如下基本教学内容</w:t>
            </w:r>
          </w:p>
          <w:p w14:paraId="1DBEAD95">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嵌入式Linux的LED实验</w:t>
            </w:r>
          </w:p>
          <w:p w14:paraId="500BEA77">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嵌入式Linux下的按键中断实验</w:t>
            </w:r>
          </w:p>
          <w:p w14:paraId="4B327F7A">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嵌入式Linux的蜂鸣器控制实验</w:t>
            </w:r>
          </w:p>
          <w:p w14:paraId="710B48A6">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嵌入式Linux的定时中断实验</w:t>
            </w:r>
          </w:p>
          <w:p w14:paraId="3ED91C5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嵌入式Linux的EEPROM读写实验</w:t>
            </w:r>
          </w:p>
          <w:p w14:paraId="13DB5E5F">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嵌入式Linux的SD卡读写实验</w:t>
            </w:r>
          </w:p>
          <w:p w14:paraId="18F9083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嵌入式Linux的LCD显示实验</w:t>
            </w:r>
          </w:p>
          <w:p w14:paraId="69DF09E5">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嵌入式Linux的ADC转换实验</w:t>
            </w:r>
          </w:p>
          <w:p w14:paraId="501E74B2">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嵌入式Linux下的RTC时钟控制</w:t>
            </w:r>
          </w:p>
          <w:p w14:paraId="2249244B">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嵌入式Linux下的USB通信实验</w:t>
            </w:r>
          </w:p>
          <w:p w14:paraId="6E7784B6">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嵌入式Linux下的串口实验</w:t>
            </w:r>
          </w:p>
          <w:p w14:paraId="211860EA">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嵌入式Linux的TCP/IP协议实验</w:t>
            </w:r>
          </w:p>
          <w:p w14:paraId="392249BE">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嵌入式Linux的温湿度传感器实验</w:t>
            </w:r>
          </w:p>
          <w:p w14:paraId="3AC4AA8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嵌入式Linux的烟雾传感器实验</w:t>
            </w:r>
          </w:p>
          <w:p w14:paraId="58808194">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嵌入式Linux的烟雾传感器实验</w:t>
            </w:r>
          </w:p>
          <w:p w14:paraId="70B4B839">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嵌入式Linux步进电机控制实验</w:t>
            </w:r>
          </w:p>
          <w:p w14:paraId="59B92D17">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嵌入式Linux直流电机控制实验</w:t>
            </w:r>
          </w:p>
          <w:p w14:paraId="068A319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嵌入式Linux继电器控制实验</w:t>
            </w:r>
          </w:p>
          <w:p w14:paraId="1FAC92E5">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嵌入式Linux文件IO</w:t>
            </w:r>
          </w:p>
          <w:p w14:paraId="6ADBD75E">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嵌入式Linux进程间通信</w:t>
            </w:r>
          </w:p>
          <w:p w14:paraId="70DACD2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嵌入式Linux多线程通信</w:t>
            </w:r>
            <w:r>
              <w:rPr>
                <w:rFonts w:hint="eastAsia" w:ascii="宋体" w:hAnsi="宋体" w:eastAsia="宋体" w:cs="宋体"/>
                <w:bCs/>
                <w:kern w:val="0"/>
                <w:sz w:val="21"/>
                <w:szCs w:val="21"/>
              </w:rPr>
              <w:tab/>
            </w:r>
          </w:p>
          <w:p w14:paraId="62535D3F">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液晶屏显示实验</w:t>
            </w:r>
          </w:p>
          <w:p w14:paraId="75450CC4">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视频播放实验</w:t>
            </w:r>
          </w:p>
          <w:p w14:paraId="0D11CE3A">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音频接口实验</w:t>
            </w:r>
          </w:p>
          <w:p w14:paraId="0EAEF8B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MP3音频解码实验</w:t>
            </w:r>
          </w:p>
          <w:p w14:paraId="36A32FC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GPS 全球定位实验</w:t>
            </w:r>
          </w:p>
          <w:p w14:paraId="3563F217">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GPRS 通信实验</w:t>
            </w:r>
          </w:p>
          <w:p w14:paraId="1CD2B9E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WIFI 通信实验</w:t>
            </w:r>
          </w:p>
          <w:p w14:paraId="79BA45A9">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蓝牙通信实验</w:t>
            </w:r>
          </w:p>
          <w:p w14:paraId="64536132">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 xml:space="preserve">Zigbee通信实验 </w:t>
            </w:r>
          </w:p>
          <w:p w14:paraId="76FA6475">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温湿度显示Qt设计实验</w:t>
            </w:r>
          </w:p>
          <w:p w14:paraId="1316CBB9">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蜂鸣器控制Qt设计实验</w:t>
            </w:r>
          </w:p>
          <w:p w14:paraId="27A24CF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继电器控制Qt设计实验</w:t>
            </w:r>
          </w:p>
          <w:p w14:paraId="468148EF">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直流电机控制Qt设计实验</w:t>
            </w:r>
          </w:p>
          <w:p w14:paraId="58CA9429">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步进电机控制Qt设计实验</w:t>
            </w:r>
          </w:p>
          <w:p w14:paraId="2912465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Qt Hello World</w:t>
            </w:r>
          </w:p>
          <w:p w14:paraId="04A981B8">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Qt跑马灯</w:t>
            </w:r>
          </w:p>
          <w:p w14:paraId="509B1867">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Qt聊天程序</w:t>
            </w:r>
          </w:p>
          <w:p w14:paraId="2C960A5F">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TCP 通信实验</w:t>
            </w:r>
          </w:p>
          <w:p w14:paraId="0DE38834">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UDP 通信实验</w:t>
            </w:r>
          </w:p>
          <w:p w14:paraId="2F77BC4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Web Server实验</w:t>
            </w:r>
          </w:p>
          <w:p w14:paraId="1C9C120A">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GPIO驱动开发实验</w:t>
            </w:r>
          </w:p>
          <w:p w14:paraId="768BE0B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矩阵键盘驱动开发实验</w:t>
            </w:r>
          </w:p>
          <w:p w14:paraId="107906E7">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UART 驱动开发实验</w:t>
            </w:r>
          </w:p>
          <w:p w14:paraId="219F6F75">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ADC驱动开发实验</w:t>
            </w:r>
          </w:p>
          <w:p w14:paraId="33A7301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IIC驱动开发实验</w:t>
            </w:r>
          </w:p>
          <w:p w14:paraId="42EF12C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 xml:space="preserve">485通信实验 </w:t>
            </w:r>
          </w:p>
          <w:p w14:paraId="6BD84615">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BootLoader（Uboot）开发实验</w:t>
            </w:r>
          </w:p>
          <w:p w14:paraId="651C6836">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内核移植及开发实验</w:t>
            </w:r>
          </w:p>
          <w:p w14:paraId="2C7BD928">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 xml:space="preserve">根文件系统移植及开发实验 </w:t>
            </w:r>
          </w:p>
          <w:p w14:paraId="69AB7A1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嵌入式4G模块通讯</w:t>
            </w:r>
          </w:p>
          <w:p w14:paraId="3C097289">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嵌入式视频传输实验</w:t>
            </w:r>
          </w:p>
          <w:p w14:paraId="46C50165">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嵌入式MQTT物联网通信实验</w:t>
            </w:r>
          </w:p>
          <w:p w14:paraId="5F0D747D">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嵌入式OneNET物联网通信实验</w:t>
            </w:r>
          </w:p>
          <w:p w14:paraId="5F39BA2F">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嵌入式语音识别实验</w:t>
            </w:r>
          </w:p>
          <w:p w14:paraId="32D742E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基于RFID超市管理系统综合项目设计</w:t>
            </w:r>
          </w:p>
          <w:p w14:paraId="1EE2B45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嵌入式温室大棚项目综合项目设计</w:t>
            </w:r>
          </w:p>
          <w:p w14:paraId="47748F3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嵌入式智能家居项目综合项目设计</w:t>
            </w:r>
          </w:p>
          <w:p w14:paraId="19559EAE">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Android应用控制LED灯</w:t>
            </w:r>
          </w:p>
          <w:p w14:paraId="1BDBC1C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Android应用控制PWM</w:t>
            </w:r>
          </w:p>
          <w:p w14:paraId="3BF99140">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Android应用控制ADC</w:t>
            </w:r>
          </w:p>
          <w:p w14:paraId="5578C4C7">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Android系统下温湿度应用设计</w:t>
            </w:r>
          </w:p>
          <w:p w14:paraId="22D8DB5B">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Android系统下光感应用设计</w:t>
            </w:r>
          </w:p>
          <w:p w14:paraId="4D97094E">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Android系统下RFID读卡应用设计</w:t>
            </w:r>
          </w:p>
          <w:p w14:paraId="5DED81FB">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Android系统下烟雾监控应用设计</w:t>
            </w:r>
          </w:p>
          <w:p w14:paraId="226DFC2E">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Android系统下步进电机控制应用设计</w:t>
            </w:r>
          </w:p>
          <w:p w14:paraId="0FCD33C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Android系统下直流电机控制应用设计</w:t>
            </w:r>
          </w:p>
          <w:p w14:paraId="5322F6A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Android系统下智能家居综合项目设计</w:t>
            </w:r>
          </w:p>
          <w:p w14:paraId="3AF8267A">
            <w:pPr>
              <w:widowControl/>
              <w:jc w:val="left"/>
              <w:textAlignment w:val="center"/>
              <w:rPr>
                <w:rFonts w:hint="eastAsia" w:ascii="宋体" w:hAnsi="宋体" w:eastAsia="宋体" w:cs="宋体"/>
                <w:b/>
                <w:bCs w:val="0"/>
                <w:kern w:val="0"/>
                <w:sz w:val="21"/>
                <w:szCs w:val="21"/>
              </w:rPr>
            </w:pPr>
            <w:r>
              <w:rPr>
                <w:rFonts w:hint="eastAsia" w:ascii="宋体" w:hAnsi="宋体" w:eastAsia="宋体" w:cs="宋体"/>
                <w:b/>
                <w:bCs w:val="0"/>
                <w:kern w:val="0"/>
                <w:sz w:val="21"/>
                <w:szCs w:val="21"/>
              </w:rPr>
              <w:t>二、其他要求：</w:t>
            </w:r>
          </w:p>
          <w:p w14:paraId="2B18D079">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1.对应实验能提供对应演示源码，包括：单个练习、综合练习与课程设计练习代码与对应操作手册,含部分纸制书与完整电子版本</w:t>
            </w:r>
          </w:p>
          <w:p w14:paraId="013020C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2.能提供一键还原功能，学生操作失败后能通过一键还原恢复系统或提供系统刷写方法与刷写包，并提供相应配套操作指南</w:t>
            </w:r>
          </w:p>
          <w:p w14:paraId="6B1BF887">
            <w:pPr>
              <w:widowControl/>
              <w:jc w:val="left"/>
              <w:textAlignment w:val="center"/>
              <w:rPr>
                <w:rFonts w:hint="eastAsia" w:ascii="宋体" w:hAnsi="宋体" w:eastAsia="宋体" w:cs="宋体"/>
                <w:bCs/>
                <w:color w:val="auto"/>
                <w:kern w:val="0"/>
                <w:sz w:val="21"/>
                <w:szCs w:val="21"/>
              </w:rPr>
            </w:pPr>
            <w:r>
              <w:rPr>
                <w:rFonts w:hint="eastAsia" w:ascii="宋体" w:hAnsi="宋体" w:eastAsia="宋体" w:cs="宋体"/>
                <w:bCs/>
                <w:kern w:val="0"/>
                <w:sz w:val="21"/>
                <w:szCs w:val="21"/>
              </w:rPr>
              <w:t>3.能提供不少</w:t>
            </w:r>
            <w:r>
              <w:rPr>
                <w:rFonts w:hint="eastAsia" w:ascii="宋体" w:hAnsi="宋体" w:eastAsia="宋体" w:cs="宋体"/>
                <w:bCs/>
                <w:color w:val="auto"/>
                <w:kern w:val="0"/>
                <w:sz w:val="21"/>
                <w:szCs w:val="21"/>
              </w:rPr>
              <w:t>于3年</w:t>
            </w:r>
            <w:r>
              <w:rPr>
                <w:rFonts w:hint="eastAsia" w:ascii="宋体" w:hAnsi="宋体" w:eastAsia="宋体" w:cs="宋体"/>
                <w:bCs/>
                <w:color w:val="auto"/>
                <w:kern w:val="0"/>
                <w:sz w:val="21"/>
                <w:szCs w:val="21"/>
                <w:lang w:eastAsia="zh-CN"/>
              </w:rPr>
              <w:t>，每年</w:t>
            </w:r>
            <w:r>
              <w:rPr>
                <w:rFonts w:hint="eastAsia" w:ascii="宋体" w:hAnsi="宋体" w:cs="宋体"/>
                <w:bCs/>
                <w:color w:val="auto"/>
                <w:kern w:val="0"/>
                <w:sz w:val="21"/>
                <w:szCs w:val="21"/>
                <w:lang w:val="en-US" w:eastAsia="zh-CN"/>
              </w:rPr>
              <w:t>1</w:t>
            </w:r>
            <w:r>
              <w:rPr>
                <w:rFonts w:hint="eastAsia" w:ascii="宋体" w:hAnsi="宋体" w:eastAsia="宋体" w:cs="宋体"/>
                <w:bCs/>
                <w:color w:val="auto"/>
                <w:kern w:val="0"/>
                <w:sz w:val="21"/>
                <w:szCs w:val="21"/>
                <w:lang w:val="en-US" w:eastAsia="zh-CN"/>
              </w:rPr>
              <w:t>次</w:t>
            </w:r>
            <w:r>
              <w:rPr>
                <w:rFonts w:hint="eastAsia" w:ascii="宋体" w:hAnsi="宋体" w:eastAsia="宋体" w:cs="宋体"/>
                <w:bCs/>
                <w:color w:val="auto"/>
                <w:kern w:val="0"/>
                <w:sz w:val="21"/>
                <w:szCs w:val="21"/>
              </w:rPr>
              <w:t>的免费师资培训，每次至少2名老师</w:t>
            </w:r>
          </w:p>
          <w:p w14:paraId="059513CC">
            <w:pPr>
              <w:widowControl/>
              <w:jc w:val="left"/>
              <w:textAlignment w:val="center"/>
              <w:rPr>
                <w:rFonts w:hint="eastAsia" w:ascii="宋体" w:hAnsi="宋体" w:eastAsia="宋体" w:cs="宋体"/>
                <w:bCs/>
                <w:kern w:val="0"/>
                <w:sz w:val="21"/>
                <w:szCs w:val="21"/>
              </w:rPr>
            </w:pPr>
            <w:r>
              <w:rPr>
                <w:rFonts w:hint="eastAsia" w:ascii="宋体" w:hAnsi="宋体" w:eastAsia="宋体" w:cs="宋体"/>
                <w:bCs/>
                <w:color w:val="auto"/>
                <w:kern w:val="0"/>
                <w:sz w:val="21"/>
                <w:szCs w:val="21"/>
              </w:rPr>
              <w:t>4.系统开发板必须留有一定接口，便于学生在</w:t>
            </w:r>
            <w:r>
              <w:rPr>
                <w:rFonts w:hint="eastAsia" w:ascii="宋体" w:hAnsi="宋体" w:eastAsia="宋体" w:cs="宋体"/>
                <w:bCs/>
                <w:kern w:val="0"/>
                <w:sz w:val="21"/>
                <w:szCs w:val="21"/>
              </w:rPr>
              <w:t>上面进行功能扩充或进行二次开发</w:t>
            </w:r>
          </w:p>
          <w:p w14:paraId="79FAB1F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5.设备</w:t>
            </w:r>
            <w:r>
              <w:rPr>
                <w:rFonts w:hint="eastAsia" w:ascii="宋体" w:hAnsi="宋体" w:eastAsia="宋体" w:cs="宋体"/>
                <w:bCs/>
                <w:kern w:val="0"/>
                <w:sz w:val="21"/>
                <w:szCs w:val="21"/>
                <w:lang w:eastAsia="zh-CN"/>
              </w:rPr>
              <w:t>生产厂商派驻工程师来校</w:t>
            </w:r>
            <w:r>
              <w:rPr>
                <w:rFonts w:hint="eastAsia" w:ascii="宋体" w:hAnsi="宋体" w:eastAsia="宋体" w:cs="宋体"/>
                <w:bCs/>
                <w:kern w:val="0"/>
                <w:sz w:val="21"/>
                <w:szCs w:val="21"/>
              </w:rPr>
              <w:t>培训</w:t>
            </w:r>
            <w:r>
              <w:rPr>
                <w:rFonts w:hint="eastAsia" w:ascii="宋体" w:hAnsi="宋体" w:eastAsia="宋体" w:cs="宋体"/>
                <w:bCs/>
                <w:kern w:val="0"/>
                <w:sz w:val="21"/>
                <w:szCs w:val="21"/>
                <w:lang w:eastAsia="zh-CN"/>
              </w:rPr>
              <w:t>，投标承诺中标后签订合同前提供产品</w:t>
            </w:r>
            <w:r>
              <w:rPr>
                <w:rFonts w:hint="eastAsia" w:ascii="宋体" w:hAnsi="宋体" w:eastAsia="宋体" w:cs="宋体"/>
                <w:bCs/>
                <w:kern w:val="0"/>
                <w:sz w:val="21"/>
                <w:szCs w:val="21"/>
              </w:rPr>
              <w:t>三年质保，终身维修</w:t>
            </w:r>
            <w:r>
              <w:rPr>
                <w:rFonts w:hint="eastAsia" w:ascii="宋体" w:hAnsi="宋体" w:eastAsia="宋体" w:cs="宋体"/>
                <w:bCs/>
                <w:kern w:val="0"/>
                <w:sz w:val="21"/>
                <w:szCs w:val="21"/>
                <w:lang w:eastAsia="zh-CN"/>
              </w:rPr>
              <w:t>售后服务</w:t>
            </w:r>
            <w:r>
              <w:rPr>
                <w:rFonts w:hint="eastAsia" w:ascii="宋体" w:hAnsi="宋体" w:eastAsia="宋体" w:cs="宋体"/>
                <w:bCs/>
                <w:kern w:val="0"/>
                <w:sz w:val="21"/>
                <w:szCs w:val="21"/>
              </w:rPr>
              <w:t>承诺函</w:t>
            </w:r>
            <w:r>
              <w:rPr>
                <w:rFonts w:hint="eastAsia" w:ascii="宋体" w:hAnsi="宋体" w:eastAsia="宋体" w:cs="宋体"/>
                <w:bCs/>
                <w:kern w:val="0"/>
                <w:sz w:val="21"/>
                <w:szCs w:val="21"/>
                <w:lang w:eastAsia="zh-CN"/>
              </w:rPr>
              <w:t>原件</w:t>
            </w:r>
            <w:r>
              <w:rPr>
                <w:rFonts w:hint="eastAsia" w:ascii="宋体" w:hAnsi="宋体" w:eastAsia="宋体" w:cs="宋体"/>
                <w:bCs/>
                <w:kern w:val="0"/>
                <w:sz w:val="21"/>
                <w:szCs w:val="21"/>
              </w:rPr>
              <w:t>；</w:t>
            </w:r>
          </w:p>
          <w:p w14:paraId="12C92974">
            <w:pPr>
              <w:widowControl/>
              <w:jc w:val="left"/>
              <w:textAlignment w:val="center"/>
              <w:rPr>
                <w:rFonts w:hint="eastAsia" w:ascii="宋体" w:hAnsi="宋体" w:eastAsia="宋体" w:cs="宋体"/>
                <w:sz w:val="21"/>
                <w:szCs w:val="21"/>
                <w:lang w:eastAsia="zh-CN"/>
              </w:rPr>
            </w:pPr>
            <w:r>
              <w:rPr>
                <w:rFonts w:hint="eastAsia" w:ascii="宋体" w:hAnsi="宋体" w:eastAsia="宋体" w:cs="宋体"/>
                <w:bCs/>
                <w:kern w:val="0"/>
                <w:sz w:val="21"/>
                <w:szCs w:val="21"/>
              </w:rPr>
              <w:t>6.提供不少于60个实验项目的指导书，</w:t>
            </w:r>
            <w:r>
              <w:rPr>
                <w:rFonts w:hint="eastAsia" w:ascii="宋体" w:hAnsi="宋体" w:eastAsia="宋体" w:cs="宋体"/>
                <w:bCs/>
                <w:kern w:val="0"/>
                <w:sz w:val="21"/>
                <w:szCs w:val="21"/>
                <w:lang w:eastAsia="zh-CN"/>
              </w:rPr>
              <w:t>中标后签订合同前须</w:t>
            </w:r>
            <w:r>
              <w:rPr>
                <w:rFonts w:hint="eastAsia" w:ascii="宋体" w:hAnsi="宋体" w:eastAsia="宋体" w:cs="宋体"/>
                <w:bCs/>
                <w:kern w:val="0"/>
                <w:sz w:val="21"/>
                <w:szCs w:val="21"/>
              </w:rPr>
              <w:t>提供纸质实验指导书</w:t>
            </w:r>
            <w:r>
              <w:rPr>
                <w:rFonts w:hint="eastAsia" w:ascii="宋体" w:hAnsi="宋体" w:cs="宋体"/>
                <w:bCs/>
                <w:kern w:val="0"/>
                <w:sz w:val="21"/>
                <w:szCs w:val="21"/>
                <w:lang w:eastAsia="zh-CN"/>
              </w:rPr>
              <w:t>。</w:t>
            </w:r>
          </w:p>
        </w:tc>
        <w:tc>
          <w:tcPr>
            <w:tcW w:w="818" w:type="dxa"/>
            <w:tcBorders>
              <w:top w:val="single" w:color="auto" w:sz="4" w:space="0"/>
              <w:left w:val="single" w:color="auto" w:sz="4" w:space="0"/>
              <w:bottom w:val="single" w:color="auto" w:sz="4" w:space="0"/>
              <w:right w:val="single" w:color="auto" w:sz="4" w:space="0"/>
            </w:tcBorders>
            <w:vAlign w:val="center"/>
          </w:tcPr>
          <w:p w14:paraId="798E4588">
            <w:pPr>
              <w:widowControl/>
              <w:jc w:val="center"/>
              <w:textAlignment w:val="top"/>
              <w:rPr>
                <w:rFonts w:hint="eastAsia" w:ascii="宋体" w:hAnsi="宋体" w:cs="宋体"/>
                <w:sz w:val="21"/>
                <w:szCs w:val="21"/>
              </w:rPr>
            </w:pPr>
            <w:r>
              <w:rPr>
                <w:rFonts w:hint="eastAsia" w:ascii="宋体" w:hAnsi="宋体" w:cs="宋体"/>
                <w:sz w:val="21"/>
                <w:szCs w:val="21"/>
                <w:lang w:val="en-US" w:eastAsia="zh-CN"/>
              </w:rPr>
              <w:t>36</w:t>
            </w:r>
          </w:p>
        </w:tc>
      </w:tr>
      <w:tr w14:paraId="4CFD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898" w:type="dxa"/>
            <w:tcBorders>
              <w:top w:val="single" w:color="auto" w:sz="4" w:space="0"/>
              <w:left w:val="single" w:color="auto" w:sz="4" w:space="0"/>
              <w:bottom w:val="single" w:color="auto" w:sz="4" w:space="0"/>
              <w:right w:val="single" w:color="auto" w:sz="4" w:space="0"/>
            </w:tcBorders>
            <w:vAlign w:val="center"/>
          </w:tcPr>
          <w:p w14:paraId="3B1D3A9A">
            <w:pPr>
              <w:widowControl/>
              <w:jc w:val="center"/>
              <w:textAlignment w:val="top"/>
              <w:rPr>
                <w:rFonts w:hint="eastAsia" w:ascii="宋体" w:hAnsi="宋体" w:cs="宋体"/>
                <w:sz w:val="21"/>
                <w:szCs w:val="21"/>
              </w:rPr>
            </w:pPr>
            <w:r>
              <w:rPr>
                <w:rFonts w:hint="eastAsia" w:ascii="宋体" w:hAnsi="宋体" w:cs="宋体"/>
                <w:kern w:val="0"/>
                <w:sz w:val="21"/>
                <w:szCs w:val="21"/>
                <w:lang w:bidi="ar"/>
              </w:rPr>
              <w:t>嵌入式教学</w:t>
            </w:r>
            <w:r>
              <w:rPr>
                <w:rFonts w:hint="eastAsia" w:ascii="宋体" w:hAnsi="宋体" w:cs="宋体"/>
                <w:kern w:val="0"/>
                <w:sz w:val="21"/>
                <w:szCs w:val="21"/>
                <w:lang w:val="en-US" w:eastAsia="zh-CN" w:bidi="ar"/>
              </w:rPr>
              <w:t>实验箱</w:t>
            </w:r>
          </w:p>
        </w:tc>
        <w:tc>
          <w:tcPr>
            <w:tcW w:w="6873" w:type="dxa"/>
            <w:tcBorders>
              <w:top w:val="single" w:color="auto" w:sz="4" w:space="0"/>
              <w:left w:val="single" w:color="auto" w:sz="4" w:space="0"/>
              <w:bottom w:val="single" w:color="auto" w:sz="4" w:space="0"/>
              <w:right w:val="single" w:color="auto" w:sz="4" w:space="0"/>
            </w:tcBorders>
            <w:vAlign w:val="center"/>
          </w:tcPr>
          <w:p w14:paraId="77FC599F">
            <w:pPr>
              <w:widowControl/>
              <w:jc w:val="left"/>
              <w:textAlignment w:val="center"/>
              <w:rPr>
                <w:rFonts w:hint="eastAsia" w:ascii="宋体" w:hAnsi="宋体" w:eastAsia="宋体" w:cs="宋体"/>
                <w:b/>
                <w:bCs w:val="0"/>
                <w:kern w:val="0"/>
                <w:sz w:val="21"/>
                <w:szCs w:val="21"/>
              </w:rPr>
            </w:pPr>
            <w:r>
              <w:rPr>
                <w:rFonts w:hint="eastAsia" w:ascii="宋体" w:hAnsi="宋体" w:eastAsia="宋体" w:cs="宋体"/>
                <w:b/>
                <w:bCs w:val="0"/>
                <w:kern w:val="0"/>
                <w:sz w:val="21"/>
                <w:szCs w:val="21"/>
              </w:rPr>
              <w:t>一、硬件功能</w:t>
            </w:r>
          </w:p>
          <w:p w14:paraId="12336EFF">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1.主控系统</w:t>
            </w:r>
          </w:p>
          <w:p w14:paraId="3535F753">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★1.1 主控芯片：不低于Cortex-M4处理器，支持选配可更换的不低于144PIN引脚的Cortex-M7、RISC-V架构的国产嵌入式处理器。不低于5英寸真彩触摸液晶屏，分辨率不低于800*480，具备外壳防护。</w:t>
            </w:r>
          </w:p>
          <w:p w14:paraId="6C4C34AE">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1.2 操作系统：内置RT-Thread操作系统，STemWin图形界面，提供IAR和MDK及RTT-Studio开发环境和例程。</w:t>
            </w:r>
          </w:p>
          <w:p w14:paraId="4A1FD0A7">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★1.3 调试单元：主板集成ST-LINK仿真器，单一USB接口同时支持IDE调试和串口功能。</w:t>
            </w:r>
          </w:p>
          <w:p w14:paraId="4C544B49">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1.4 外设单元：≥4路按键，≥4路LED，≥1路RGB，≥8MB片外Flash，集成专用日历时钟芯片，集成以太网，集成200W摄像头。</w:t>
            </w:r>
          </w:p>
          <w:p w14:paraId="74F8BA2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1.5 通信单元：主板集成Wi-Fi通信模块，实现网关服务接入到智慧云平台使用，在图形组态应用中添加网关设备并接入数据，提供源码。</w:t>
            </w:r>
          </w:p>
          <w:p w14:paraId="662BFD9B">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1.6 物联单元：主板集成不低于两路24PIN无线模组接口，可选ZigBee、LoRa、BLE、NB-IoT、Cat1 LTE等至少2种智慧物联无线传感网模组，提供源码。</w:t>
            </w:r>
          </w:p>
          <w:p w14:paraId="0F3827A5">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1.7 拓展接口：主板集成不低于3组传感器工业拓展接口，提供≥2*UART、≥3*IIC、≥1*CAN、≥6*ADC、≥4*TIM外设接口，同时输出不低于46PIN 2.54MM间距排针GPIO。</w:t>
            </w:r>
          </w:p>
          <w:p w14:paraId="4ACBC89D">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1.8 虚拟节点：系统软件支持IOT虚拟节点的创建和管理，将外设传感器进行分组以不同的虚拟节点进行数据传输和通信，通过工具能够查看多个虚拟节点网络拓扑。</w:t>
            </w:r>
          </w:p>
          <w:p w14:paraId="4699787E">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1.9 无线配置：提供电脑端工具进行无线设备网络参数配置，包括：ZigBee、LoRa、BLE、Cat1 LTE。</w:t>
            </w:r>
          </w:p>
          <w:p w14:paraId="7C4DD3CF">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1.10 固件升级：支持通过串口或网络完成ZigBee、LoRa、BLE、Cat1 LTE无线模组固件的升级。</w:t>
            </w:r>
          </w:p>
          <w:p w14:paraId="398F7038">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1.11 提供硬件配套的在线图形组态应用，支持传感、执行、安防等设备应用交互、自动控制、摄像头手势识别交互等功能。</w:t>
            </w:r>
          </w:p>
          <w:p w14:paraId="67DDCBCB">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2. 感控单元</w:t>
            </w:r>
          </w:p>
          <w:p w14:paraId="27B35775">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2.1 感知单元：每个传感器为单独PCB板，具有原理图丝印、关键信号测量点、信号引脚扩展接口示意图，传感器模块采用工业级公母插接件(非双列直插式排针）接口经久耐用，包含下列传感器模块： 温湿度，光照度，大气压力，空气质量，三轴传感器，数码管&amp;开关。</w:t>
            </w:r>
          </w:p>
          <w:p w14:paraId="2A54B638">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★2.2 控制单元：每个传感器为单独PCB板，具有原理图丝印、关键信号测量点、信号引脚扩展接口示意图，传感器模块采用工业级公母插接件(非双列直插式排针）接口经久耐用，包含下列控制器：风扇，步进电机，直流电机，舵机，两路继电器，电子门锁。</w:t>
            </w:r>
          </w:p>
          <w:p w14:paraId="6DD8F3A1">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2.3 安防单元：每个传感器为单独PCB板，具有原理图丝印、关键信号测量点、信号引脚扩展接口示意图，传感器模块采用工业级公母插接件(非双列直插式排针）接口经久耐用，包含下列控制器：人体红外，燃气，火焰，振动，霍尔，光栅。</w:t>
            </w:r>
          </w:p>
          <w:p w14:paraId="2DFE28E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3.考试认证</w:t>
            </w:r>
          </w:p>
          <w:p w14:paraId="73A40AB5">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3.1设备需满足嵌入式技术专业人才中级认证-嵌入式实时操作系统体系考试标准，通过该设备考核并成绩合格的学生可由中国电子学会指导并颁发《嵌入式系统开发及应用》专业技术证书。</w:t>
            </w:r>
          </w:p>
          <w:p w14:paraId="357EA0AA">
            <w:pPr>
              <w:widowControl/>
              <w:jc w:val="left"/>
              <w:textAlignment w:val="center"/>
              <w:rPr>
                <w:rFonts w:hint="eastAsia" w:ascii="宋体" w:hAnsi="宋体" w:eastAsia="宋体" w:cs="宋体"/>
                <w:b/>
                <w:bCs w:val="0"/>
                <w:kern w:val="0"/>
                <w:sz w:val="21"/>
                <w:szCs w:val="21"/>
              </w:rPr>
            </w:pPr>
            <w:r>
              <w:rPr>
                <w:rFonts w:hint="eastAsia" w:ascii="宋体" w:hAnsi="宋体" w:eastAsia="宋体" w:cs="宋体"/>
                <w:b/>
                <w:bCs w:val="0"/>
                <w:kern w:val="0"/>
                <w:sz w:val="21"/>
                <w:szCs w:val="21"/>
              </w:rPr>
              <w:t>二、课程资源</w:t>
            </w:r>
          </w:p>
          <w:p w14:paraId="61B3BB04">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 平台需提供配套课程的实验教学资源，满足智能产品的实验教学，提供完整的教学大纲。</w:t>
            </w:r>
          </w:p>
          <w:p w14:paraId="675AD86A">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2. 提供配套的线上课程资源，包括课程微课、PPT、电子教材、实验视频等。</w:t>
            </w:r>
          </w:p>
          <w:p w14:paraId="44D76C8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3. 提供配套实验指导书和源代码：</w:t>
            </w:r>
          </w:p>
          <w:p w14:paraId="0239107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3.1 嵌入式接口技术：嵌入式基本接口（开发环境、GPIO、中断、定时器、ADC）、嵌入式高级应用（串口、IIC、SPI、LCD）、常用传感器应用（光照度、大气压力、空气质量、距离探测、继电器、电机、报警器、光栅、霍尔、燃气）、嵌入式综合案例（图书馆照明系统、集成燃气灶、智能洗衣机）。</w:t>
            </w:r>
          </w:p>
          <w:p w14:paraId="35C0BD28">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3.2 嵌入式实时系统：RT-Thread开发基础（RT-Thread认知、RT-Thread工具、RT-Thread移植、RT-Thread终端）、RT-Thread系统内核（线程、定时器、信号量、互斥量、事件集、邮件、消息队列、信号、内存）、RT-Thread设备驱动（IO设备、UART设备、PIN设备、ADC设备、HWTIMER设备、I2C设备、PWM设备、RTC设备、SPI设备、WATCHDOG设备、SENSOR设备）、RT-Thread文件系统（挂载管理、文件管理、目录管理）、RT-Thread图形应用（GUI认知和移植、GUI图形和颜色、GUI文字显示、GUI图片显示、GUI控件）、RT-Thread网络应用（IwIP协议栈、AT命令和AT Socket协议栈、MQTT协议、HTTP协议）、RT-Thread综合案例（智能台灯系统设计、智能家居系统设计）。</w:t>
            </w:r>
          </w:p>
          <w:p w14:paraId="78DD800C">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3.3 嵌入式综合应用：智慧云平台开发基础（智慧云平台、通信协议、硬件接口、应用接口）、智慧家居项目设计（安防监控、灯光控制、门禁管理、燃气监测）、智慧城市项目设计（环境采集、景观照明、智慧停车、智慧抄表）、智慧农业项目设计（土壤调节、光照调节）、智慧楼宇项目设计（楼宇消防、楼宇通风）、智慧工业项目设计（仓库环境、生产计数）。</w:t>
            </w:r>
          </w:p>
          <w:p w14:paraId="3408D5A9">
            <w:pPr>
              <w:widowControl/>
              <w:jc w:val="left"/>
              <w:textAlignment w:val="center"/>
              <w:rPr>
                <w:rFonts w:hint="eastAsia" w:ascii="宋体" w:hAnsi="宋体" w:eastAsia="宋体" w:cs="宋体"/>
                <w:b/>
                <w:bCs w:val="0"/>
                <w:kern w:val="0"/>
                <w:sz w:val="21"/>
                <w:szCs w:val="21"/>
              </w:rPr>
            </w:pPr>
            <w:r>
              <w:rPr>
                <w:rFonts w:hint="eastAsia" w:ascii="宋体" w:hAnsi="宋体" w:eastAsia="宋体" w:cs="宋体"/>
                <w:b/>
                <w:bCs w:val="0"/>
                <w:kern w:val="0"/>
                <w:sz w:val="21"/>
                <w:szCs w:val="21"/>
              </w:rPr>
              <w:t>三、其他</w:t>
            </w:r>
          </w:p>
          <w:p w14:paraId="6E07C236">
            <w:pPr>
              <w:widowControl/>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rPr>
              <w:t>1.设备免费</w:t>
            </w:r>
            <w:r>
              <w:rPr>
                <w:rFonts w:hint="eastAsia" w:ascii="宋体" w:hAnsi="宋体" w:eastAsia="宋体" w:cs="宋体"/>
                <w:bCs/>
                <w:kern w:val="0"/>
                <w:sz w:val="21"/>
                <w:szCs w:val="21"/>
                <w:lang w:eastAsia="zh-CN"/>
              </w:rPr>
              <w:t>质保期</w:t>
            </w:r>
            <w:r>
              <w:rPr>
                <w:rFonts w:hint="eastAsia" w:ascii="宋体" w:hAnsi="宋体" w:eastAsia="宋体" w:cs="宋体"/>
                <w:bCs/>
                <w:kern w:val="0"/>
                <w:sz w:val="21"/>
                <w:szCs w:val="21"/>
              </w:rPr>
              <w:t>不低于3年，设备维修必须在24小时内响应。</w:t>
            </w:r>
            <w:r>
              <w:rPr>
                <w:rFonts w:hint="eastAsia" w:ascii="宋体" w:hAnsi="宋体" w:eastAsia="宋体" w:cs="宋体"/>
                <w:bCs/>
                <w:kern w:val="0"/>
                <w:sz w:val="21"/>
                <w:szCs w:val="21"/>
                <w:lang w:val="en-US" w:eastAsia="zh-CN"/>
              </w:rPr>
              <w:t>投标人承诺中标后签订合同前须提供原厂针对本项目授权和售后服务承诺函原件。</w:t>
            </w:r>
          </w:p>
          <w:p w14:paraId="200FD7D4">
            <w:pPr>
              <w:widowControl/>
              <w:jc w:val="left"/>
              <w:textAlignment w:val="center"/>
              <w:rPr>
                <w:rFonts w:hint="eastAsia" w:ascii="宋体" w:hAnsi="宋体" w:cs="宋体"/>
                <w:sz w:val="21"/>
                <w:szCs w:val="21"/>
              </w:rPr>
            </w:pPr>
            <w:r>
              <w:rPr>
                <w:rFonts w:hint="eastAsia" w:ascii="宋体" w:hAnsi="宋体" w:eastAsia="宋体" w:cs="宋体"/>
                <w:bCs/>
                <w:kern w:val="0"/>
                <w:sz w:val="21"/>
                <w:szCs w:val="21"/>
              </w:rPr>
              <w:t>2.提供不少于两个星期的驻校集中师资培训。</w:t>
            </w:r>
          </w:p>
        </w:tc>
        <w:tc>
          <w:tcPr>
            <w:tcW w:w="818" w:type="dxa"/>
            <w:tcBorders>
              <w:top w:val="single" w:color="auto" w:sz="4" w:space="0"/>
              <w:left w:val="single" w:color="auto" w:sz="4" w:space="0"/>
              <w:bottom w:val="single" w:color="auto" w:sz="4" w:space="0"/>
              <w:right w:val="single" w:color="auto" w:sz="4" w:space="0"/>
            </w:tcBorders>
            <w:vAlign w:val="center"/>
          </w:tcPr>
          <w:p w14:paraId="3383C5BC">
            <w:pPr>
              <w:widowControl/>
              <w:jc w:val="center"/>
              <w:textAlignment w:val="top"/>
              <w:rPr>
                <w:rFonts w:hint="eastAsia" w:ascii="宋体" w:hAnsi="宋体" w:cs="宋体"/>
                <w:sz w:val="21"/>
                <w:szCs w:val="21"/>
              </w:rPr>
            </w:pPr>
            <w:r>
              <w:rPr>
                <w:rFonts w:hint="eastAsia" w:ascii="宋体" w:hAnsi="宋体" w:eastAsia="宋体" w:cs="宋体"/>
                <w:sz w:val="21"/>
                <w:szCs w:val="21"/>
                <w:lang w:val="en-US" w:eastAsia="zh-CN"/>
              </w:rPr>
              <w:t>24</w:t>
            </w:r>
          </w:p>
        </w:tc>
      </w:tr>
      <w:tr w14:paraId="44024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898" w:type="dxa"/>
            <w:tcBorders>
              <w:top w:val="single" w:color="auto" w:sz="4" w:space="0"/>
              <w:left w:val="single" w:color="auto" w:sz="4" w:space="0"/>
              <w:bottom w:val="single" w:color="auto" w:sz="4" w:space="0"/>
              <w:right w:val="single" w:color="auto" w:sz="4" w:space="0"/>
            </w:tcBorders>
            <w:vAlign w:val="center"/>
          </w:tcPr>
          <w:p w14:paraId="509AC830">
            <w:pPr>
              <w:widowControl/>
              <w:jc w:val="center"/>
              <w:textAlignment w:val="top"/>
              <w:rPr>
                <w:rFonts w:hint="eastAsia" w:ascii="宋体" w:hAnsi="宋体" w:cs="宋体"/>
                <w:sz w:val="21"/>
                <w:szCs w:val="21"/>
              </w:rPr>
            </w:pPr>
            <w:r>
              <w:rPr>
                <w:rFonts w:hint="eastAsia" w:ascii="宋体" w:hAnsi="宋体" w:eastAsia="宋体" w:cs="宋体"/>
                <w:kern w:val="0"/>
                <w:sz w:val="21"/>
                <w:szCs w:val="21"/>
                <w:lang w:val="en-US" w:eastAsia="zh-CN" w:bidi="ar"/>
              </w:rPr>
              <w:t>云课堂终端</w:t>
            </w:r>
          </w:p>
        </w:tc>
        <w:tc>
          <w:tcPr>
            <w:tcW w:w="6873" w:type="dxa"/>
            <w:tcBorders>
              <w:top w:val="single" w:color="auto" w:sz="4" w:space="0"/>
              <w:left w:val="single" w:color="auto" w:sz="4" w:space="0"/>
              <w:bottom w:val="single" w:color="auto" w:sz="4" w:space="0"/>
              <w:right w:val="single" w:color="auto" w:sz="4" w:space="0"/>
            </w:tcBorders>
            <w:vAlign w:val="center"/>
          </w:tcPr>
          <w:p w14:paraId="36EA72CE">
            <w:pPr>
              <w:rPr>
                <w:rFonts w:hint="eastAsia" w:ascii="宋体" w:hAnsi="宋体" w:eastAsia="宋体" w:cs="宋体"/>
                <w:sz w:val="21"/>
                <w:szCs w:val="21"/>
              </w:rPr>
            </w:pPr>
            <w:r>
              <w:rPr>
                <w:rFonts w:hint="eastAsia" w:ascii="宋体" w:hAnsi="宋体" w:eastAsia="宋体" w:cs="宋体"/>
                <w:sz w:val="21"/>
                <w:szCs w:val="21"/>
              </w:rPr>
              <w:t>一、硬件要求：</w:t>
            </w:r>
          </w:p>
          <w:p w14:paraId="68E23494">
            <w:pPr>
              <w:rPr>
                <w:rFonts w:hint="eastAsia" w:ascii="宋体" w:hAnsi="宋体" w:eastAsia="宋体" w:cs="宋体"/>
                <w:sz w:val="21"/>
                <w:szCs w:val="21"/>
              </w:rPr>
            </w:pPr>
            <w:r>
              <w:rPr>
                <w:rFonts w:hint="eastAsia" w:ascii="宋体" w:hAnsi="宋体" w:eastAsia="宋体" w:cs="宋体"/>
                <w:sz w:val="21"/>
                <w:szCs w:val="21"/>
              </w:rPr>
              <w:t>1.支持上电自启动，通过指示灯提示设备的开关状态</w:t>
            </w:r>
          </w:p>
          <w:p w14:paraId="75E9F82F">
            <w:pPr>
              <w:rPr>
                <w:rFonts w:hint="eastAsia" w:ascii="宋体" w:hAnsi="宋体" w:eastAsia="宋体" w:cs="宋体"/>
                <w:sz w:val="21"/>
                <w:szCs w:val="21"/>
              </w:rPr>
            </w:pPr>
            <w:r>
              <w:rPr>
                <w:rFonts w:hint="eastAsia" w:ascii="宋体" w:hAnsi="宋体" w:eastAsia="宋体" w:cs="宋体"/>
                <w:sz w:val="21"/>
                <w:szCs w:val="21"/>
              </w:rPr>
              <w:t>2.支持多种设备视频信号输出方式，支持 HDMI 和 VGA 信号输出，配备23-24寸显示模块</w:t>
            </w:r>
          </w:p>
          <w:p w14:paraId="4C96BA50">
            <w:pPr>
              <w:rPr>
                <w:rFonts w:hint="eastAsia" w:ascii="宋体" w:hAnsi="宋体" w:eastAsia="宋体" w:cs="宋体"/>
                <w:sz w:val="21"/>
                <w:szCs w:val="21"/>
              </w:rPr>
            </w:pPr>
            <w:r>
              <w:rPr>
                <w:rFonts w:hint="eastAsia" w:ascii="宋体" w:hAnsi="宋体" w:eastAsia="宋体" w:cs="宋体"/>
                <w:sz w:val="21"/>
                <w:szCs w:val="21"/>
              </w:rPr>
              <w:t>3.设备开关可以通过物理按钮控制，也可通过管控平台、手机移动端远程进行控制</w:t>
            </w:r>
          </w:p>
          <w:p w14:paraId="3128A0CA">
            <w:pPr>
              <w:rPr>
                <w:rFonts w:hint="eastAsia" w:ascii="宋体" w:hAnsi="宋体" w:eastAsia="宋体" w:cs="宋体"/>
                <w:sz w:val="21"/>
                <w:szCs w:val="21"/>
              </w:rPr>
            </w:pPr>
            <w:r>
              <w:rPr>
                <w:rFonts w:hint="eastAsia" w:ascii="宋体" w:hAnsi="宋体" w:eastAsia="宋体" w:cs="宋体"/>
                <w:sz w:val="21"/>
                <w:szCs w:val="21"/>
              </w:rPr>
              <w:t>4.提供设备存储接口，支持 USB 外接设备连接，提供不少于8个存储传输接口，数据上传和下载速度峰值不低于 300MB/S的接口不低于4个</w:t>
            </w:r>
          </w:p>
          <w:p w14:paraId="49A51A79">
            <w:pPr>
              <w:rPr>
                <w:rFonts w:hint="eastAsia" w:ascii="宋体" w:hAnsi="宋体" w:eastAsia="宋体" w:cs="宋体"/>
                <w:sz w:val="21"/>
                <w:szCs w:val="21"/>
              </w:rPr>
            </w:pPr>
            <w:r>
              <w:rPr>
                <w:rFonts w:hint="eastAsia" w:ascii="宋体" w:hAnsi="宋体" w:eastAsia="宋体" w:cs="宋体"/>
                <w:sz w:val="21"/>
                <w:szCs w:val="21"/>
              </w:rPr>
              <w:t>5.提供本地不低于 500GB 的固态数据存储空间，预留个少1个有储空间接口，便于存储容量扩展</w:t>
            </w:r>
          </w:p>
          <w:p w14:paraId="79647206">
            <w:pPr>
              <w:rPr>
                <w:rFonts w:hint="eastAsia" w:ascii="宋体" w:hAnsi="宋体" w:eastAsia="宋体" w:cs="宋体"/>
                <w:sz w:val="21"/>
                <w:szCs w:val="21"/>
              </w:rPr>
            </w:pPr>
            <w:r>
              <w:rPr>
                <w:rFonts w:hint="eastAsia" w:ascii="宋体" w:hAnsi="宋体" w:eastAsia="宋体" w:cs="宋体"/>
                <w:sz w:val="21"/>
                <w:szCs w:val="21"/>
              </w:rPr>
              <w:t>6.提供不少于2个内存槽位，配置不少于 16GB 内存，预留一个口以扩展的内存槽位，支持使用者单独进行内存升级，不需要进行整体拆机，运算处理能力不低于10核16线程 4.9GHz睿频</w:t>
            </w:r>
          </w:p>
          <w:p w14:paraId="34F75D61">
            <w:pPr>
              <w:rPr>
                <w:rFonts w:hint="eastAsia" w:ascii="宋体" w:hAnsi="宋体" w:eastAsia="宋体" w:cs="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column">
                        <wp:posOffset>1963420</wp:posOffset>
                      </wp:positionH>
                      <wp:positionV relativeFrom="paragraph">
                        <wp:posOffset>477520</wp:posOffset>
                      </wp:positionV>
                      <wp:extent cx="635" cy="635"/>
                      <wp:effectExtent l="0" t="0" r="0" b="0"/>
                      <wp:wrapNone/>
                      <wp:docPr id="4" name="墨迹 4"/>
                      <wp:cNvGraphicFramePr/>
                      <a:graphic xmlns:a="http://schemas.openxmlformats.org/drawingml/2006/main">
                        <a:graphicData uri="http://schemas.microsoft.com/office/word/2010/wordprocessingInk">
                          <mc:AlternateContent xmlns:a14="http://schemas.microsoft.com/office/drawing/2010/main">
                            <mc:Choice Requires="a14">
                              <w14:contentPart bwMode="clr" r:id="rId4">
                                <w14:nvContentPartPr>
                                  <w14:cNvPr id="4" name="墨迹 4"/>
                                  <w14:cNvContentPartPr/>
                                </w14:nvContentPartPr>
                                <w14:xfrm>
                                  <a:off x="3542030" y="4794250"/>
                                  <a:ext cx="635" cy="635"/>
                                </w14:xfrm>
                              </w14:contentPart>
                            </mc:Choice>
                          </mc:AlternateContent>
                        </a:graphicData>
                      </a:graphic>
                    </wp:anchor>
                  </w:drawing>
                </mc:Choice>
                <mc:Fallback>
                  <w:pict>
                    <v:shape id="_x0000_s1026" o:spid="_x0000_s1026" o:spt="75" style="position:absolute;left:0pt;margin-left:154.6pt;margin-top:37.6pt;height:0.05pt;width:0.05pt;z-index:251659264;mso-width-relative:page;mso-height-relative:page;" coordsize="21600,21600" o:gfxdata="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">
                      <v:imagedata r:id="rId5" o:title=""/>
                      <o:lock v:ext="edit"/>
                    </v:shape>
                  </w:pict>
                </mc:Fallback>
              </mc:AlternateContent>
            </w:r>
            <w:r>
              <w:rPr>
                <w:rFonts w:hint="eastAsia" w:ascii="宋体" w:hAnsi="宋体" w:eastAsia="宋体" w:cs="宋体"/>
                <w:sz w:val="21"/>
                <w:szCs w:val="21"/>
              </w:rPr>
              <w:t xml:space="preserve">7.支持数据离线缓存至本地进行使用，支持Windows、Linux、银河麒麟各种教学系统部署4．接口：≥8个USB接口，2对音频输入输出接口，1个COM（串口），1个HDMI接口,1个千兆网口   </w:t>
            </w:r>
          </w:p>
          <w:p w14:paraId="465D0B2A">
            <w:pPr>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 xml:space="preserve">．显示器：23.8寸液晶显示器，1个VGA，1个HDMI，配套USB有线键盘鼠标套装  </w:t>
            </w:r>
          </w:p>
          <w:p w14:paraId="2AE336C3">
            <w:pPr>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 xml:space="preserve">．后置电源开关延长模块，可满足终端封闭式安装放置后的便捷式开关机操作； </w:t>
            </w:r>
          </w:p>
          <w:p w14:paraId="69E2A119">
            <w:pPr>
              <w:rPr>
                <w:rFonts w:hint="eastAsia" w:ascii="宋体" w:hAnsi="宋体" w:eastAsia="宋体" w:cs="宋体"/>
                <w:sz w:val="21"/>
                <w:szCs w:val="21"/>
              </w:rPr>
            </w:pPr>
            <w:r>
              <w:rPr>
                <w:rFonts w:hint="eastAsia" w:ascii="宋体" w:hAnsi="宋体" w:eastAsia="宋体" w:cs="宋体"/>
                <w:sz w:val="21"/>
                <w:szCs w:val="21"/>
                <w:lang w:val="en-US" w:eastAsia="zh-CN"/>
              </w:rPr>
              <w:t>10</w:t>
            </w:r>
            <w:r>
              <w:rPr>
                <w:rFonts w:hint="eastAsia" w:ascii="宋体" w:hAnsi="宋体" w:eastAsia="宋体" w:cs="宋体"/>
                <w:sz w:val="21"/>
                <w:szCs w:val="21"/>
              </w:rPr>
              <w:t xml:space="preserve">．为方面安装，终端主体体积（长*宽*高）≤2L，支持背挂显示器后面安装；                                                                                                                                                                                    </w:t>
            </w:r>
          </w:p>
          <w:p w14:paraId="60F9AB85">
            <w:pPr>
              <w:rPr>
                <w:rFonts w:hint="eastAsia" w:ascii="宋体" w:hAnsi="宋体" w:eastAsia="宋体" w:cs="宋体"/>
                <w:sz w:val="21"/>
                <w:szCs w:val="21"/>
              </w:rPr>
            </w:pPr>
            <w:r>
              <w:rPr>
                <w:rFonts w:hint="eastAsia" w:ascii="宋体" w:hAnsi="宋体" w:eastAsia="宋体" w:cs="宋体"/>
                <w:sz w:val="21"/>
                <w:szCs w:val="21"/>
                <w:lang w:val="en-US" w:eastAsia="zh-CN"/>
              </w:rPr>
              <w:t>11</w:t>
            </w:r>
            <w:r>
              <w:rPr>
                <w:rFonts w:hint="eastAsia" w:ascii="宋体" w:hAnsi="宋体" w:eastAsia="宋体" w:cs="宋体"/>
                <w:sz w:val="21"/>
                <w:szCs w:val="21"/>
              </w:rPr>
              <w:t>．售后：三年原厂售后服务支持，</w:t>
            </w:r>
            <w:r>
              <w:rPr>
                <w:rFonts w:hint="eastAsia" w:ascii="宋体" w:hAnsi="宋体" w:eastAsia="宋体" w:cs="宋体"/>
                <w:sz w:val="21"/>
                <w:szCs w:val="21"/>
                <w:lang w:val="en-US" w:eastAsia="zh-CN"/>
              </w:rPr>
              <w:t>投标人承诺中标后签订合同前须提供原厂针对本项目授权和售后服务承诺函原件。</w:t>
            </w:r>
          </w:p>
          <w:p w14:paraId="60B3E30C">
            <w:pPr>
              <w:rPr>
                <w:rFonts w:hint="eastAsia" w:ascii="宋体" w:hAnsi="宋体" w:eastAsia="宋体" w:cs="宋体"/>
                <w:sz w:val="21"/>
                <w:szCs w:val="21"/>
              </w:rPr>
            </w:pPr>
            <w:r>
              <w:rPr>
                <w:rFonts w:hint="eastAsia" w:ascii="宋体" w:hAnsi="宋体" w:eastAsia="宋体" w:cs="宋体"/>
                <w:sz w:val="21"/>
                <w:szCs w:val="21"/>
              </w:rPr>
              <w:t>二、管理软件</w:t>
            </w:r>
          </w:p>
          <w:p w14:paraId="4569CA9C">
            <w:pPr>
              <w:rPr>
                <w:rFonts w:hint="eastAsia" w:ascii="宋体" w:hAnsi="宋体" w:eastAsia="宋体" w:cs="宋体"/>
                <w:sz w:val="21"/>
                <w:szCs w:val="21"/>
              </w:rPr>
            </w:pPr>
            <w:r>
              <w:rPr>
                <w:rFonts w:hint="eastAsia" w:ascii="宋体" w:hAnsi="宋体" w:eastAsia="宋体" w:cs="宋体"/>
                <w:sz w:val="21"/>
                <w:szCs w:val="21"/>
              </w:rPr>
              <w:t>1．支持B /S管理架构，可通过移动设备通过网页方式对机房进行远程管理，包括远程开关机、时间同步、系统切换、消息广播等操作（提供第三方检测机构出具的具备CNAS</w:t>
            </w:r>
            <w:r>
              <w:rPr>
                <w:rFonts w:hint="eastAsia" w:ascii="宋体" w:hAnsi="宋体" w:cs="宋体"/>
                <w:sz w:val="21"/>
                <w:szCs w:val="21"/>
                <w:lang w:val="en-US" w:eastAsia="zh-CN"/>
              </w:rPr>
              <w:t>或CMA</w:t>
            </w:r>
            <w:r>
              <w:rPr>
                <w:rFonts w:hint="eastAsia" w:ascii="宋体" w:hAnsi="宋体" w:eastAsia="宋体" w:cs="宋体"/>
                <w:sz w:val="21"/>
                <w:szCs w:val="21"/>
              </w:rPr>
              <w:t xml:space="preserve">标识的产品功能测试报告复印件或扫描件）；  </w:t>
            </w:r>
          </w:p>
          <w:p w14:paraId="23255F36">
            <w:pPr>
              <w:rPr>
                <w:rFonts w:hint="eastAsia" w:ascii="宋体" w:hAnsi="宋体" w:eastAsia="宋体" w:cs="宋体"/>
                <w:sz w:val="21"/>
                <w:szCs w:val="21"/>
              </w:rPr>
            </w:pPr>
            <w:r>
              <w:rPr>
                <w:rFonts w:hint="eastAsia" w:ascii="宋体" w:hAnsi="宋体" w:eastAsia="宋体" w:cs="宋体"/>
                <w:sz w:val="21"/>
                <w:szCs w:val="21"/>
              </w:rPr>
              <w:t>2．支持对Windows、Linux等系统的立即还原和ip地址自动分配</w:t>
            </w:r>
            <w:r>
              <w:rPr>
                <w:rFonts w:hint="eastAsia" w:ascii="宋体" w:hAnsi="宋体" w:eastAsia="宋体" w:cs="宋体"/>
                <w:sz w:val="21"/>
                <w:szCs w:val="21"/>
                <w:lang w:eastAsia="zh-CN"/>
              </w:rPr>
              <w:t>；</w:t>
            </w:r>
            <w:r>
              <w:rPr>
                <w:rFonts w:hint="eastAsia" w:ascii="宋体" w:hAnsi="宋体" w:eastAsia="宋体" w:cs="宋体"/>
                <w:sz w:val="21"/>
                <w:szCs w:val="21"/>
              </w:rPr>
              <w:t>支持批量修改用户登录名、计算机名和IP地址（提供第三方检测机构出具的具备CNAS</w:t>
            </w:r>
            <w:r>
              <w:rPr>
                <w:rFonts w:hint="eastAsia" w:ascii="宋体" w:hAnsi="宋体" w:cs="宋体"/>
                <w:sz w:val="21"/>
                <w:szCs w:val="21"/>
                <w:lang w:val="en-US" w:eastAsia="zh-CN"/>
              </w:rPr>
              <w:t>或CMA</w:t>
            </w:r>
            <w:r>
              <w:rPr>
                <w:rFonts w:hint="eastAsia" w:ascii="宋体" w:hAnsi="宋体" w:eastAsia="宋体" w:cs="宋体"/>
                <w:sz w:val="21"/>
                <w:szCs w:val="21"/>
              </w:rPr>
              <w:t>标识的产品功能测试报告复印件或扫描件） ；</w:t>
            </w:r>
          </w:p>
          <w:p w14:paraId="4DD8079A">
            <w:pPr>
              <w:rPr>
                <w:rFonts w:hint="eastAsia" w:ascii="宋体" w:hAnsi="宋体" w:eastAsia="宋体" w:cs="宋体"/>
                <w:sz w:val="21"/>
                <w:szCs w:val="21"/>
              </w:rPr>
            </w:pPr>
            <w:r>
              <w:rPr>
                <w:rFonts w:hint="eastAsia" w:ascii="宋体" w:hAnsi="宋体" w:eastAsia="宋体" w:cs="宋体"/>
                <w:sz w:val="21"/>
                <w:szCs w:val="21"/>
              </w:rPr>
              <w:t>3．支持MBR分区系统和GPT分区系统混合安装,可支持60个以上的不同操作系统；</w:t>
            </w:r>
          </w:p>
          <w:p w14:paraId="28DAA85A">
            <w:pPr>
              <w:rPr>
                <w:rFonts w:hint="eastAsia" w:ascii="宋体" w:hAnsi="宋体" w:eastAsia="宋体" w:cs="宋体"/>
                <w:sz w:val="21"/>
                <w:szCs w:val="21"/>
              </w:rPr>
            </w:pPr>
            <w:r>
              <w:rPr>
                <w:rFonts w:hint="eastAsia" w:ascii="宋体" w:hAnsi="宋体" w:eastAsia="宋体" w:cs="宋体"/>
                <w:sz w:val="21"/>
                <w:szCs w:val="21"/>
              </w:rPr>
              <w:t>4．支持SSD硬盘和机械硬盘双硬盘保护模式和同传(提供功能截图)；</w:t>
            </w:r>
          </w:p>
          <w:p w14:paraId="4F7815E3">
            <w:pPr>
              <w:rPr>
                <w:rFonts w:hint="eastAsia" w:ascii="宋体" w:hAnsi="宋体" w:eastAsia="宋体" w:cs="宋体"/>
                <w:sz w:val="21"/>
                <w:szCs w:val="21"/>
              </w:rPr>
            </w:pPr>
            <w:r>
              <w:rPr>
                <w:rFonts w:hint="eastAsia" w:ascii="宋体" w:hAnsi="宋体" w:eastAsia="宋体" w:cs="宋体"/>
                <w:sz w:val="21"/>
                <w:szCs w:val="21"/>
              </w:rPr>
              <w:t>5．支持从WINDOWS界面对1000台以上的</w:t>
            </w:r>
            <w:r>
              <w:rPr>
                <w:rFonts w:hint="eastAsia" w:ascii="宋体" w:hAnsi="宋体" w:cs="宋体"/>
                <w:sz w:val="21"/>
                <w:szCs w:val="21"/>
                <w:lang w:eastAsia="zh-CN"/>
              </w:rPr>
              <w:t>终端</w:t>
            </w:r>
            <w:r>
              <w:rPr>
                <w:rFonts w:hint="eastAsia" w:ascii="宋体" w:hAnsi="宋体" w:eastAsia="宋体" w:cs="宋体"/>
                <w:sz w:val="21"/>
                <w:szCs w:val="21"/>
              </w:rPr>
              <w:t xml:space="preserve">进行数据差异拷贝，非增量拷贝、变量拷贝、进度同步等上一代部署方式。根据网络状况可选择广播、组播、单播等方式；（提供支持1000台机位的界面截图）； </w:t>
            </w:r>
          </w:p>
          <w:p w14:paraId="4F7079AB">
            <w:pPr>
              <w:rPr>
                <w:rFonts w:hint="eastAsia" w:ascii="宋体" w:hAnsi="宋体" w:eastAsia="宋体" w:cs="宋体"/>
                <w:sz w:val="21"/>
                <w:szCs w:val="21"/>
              </w:rPr>
            </w:pPr>
            <w:r>
              <w:rPr>
                <w:rFonts w:hint="eastAsia" w:ascii="宋体" w:hAnsi="宋体" w:eastAsia="宋体" w:cs="宋体"/>
                <w:sz w:val="21"/>
                <w:szCs w:val="21"/>
              </w:rPr>
              <w:t>6．支持差异拷贝接收端网络环境检测，可检测接收端网卡连接速度，提前发现问题网点，排查处理影响差异拷贝的终端；</w:t>
            </w:r>
          </w:p>
          <w:p w14:paraId="71754BE0">
            <w:pPr>
              <w:rPr>
                <w:rFonts w:hint="eastAsia" w:ascii="宋体" w:hAnsi="宋体" w:eastAsia="宋体" w:cs="宋体"/>
                <w:sz w:val="21"/>
                <w:szCs w:val="21"/>
              </w:rPr>
            </w:pPr>
            <w:r>
              <w:rPr>
                <w:rFonts w:hint="eastAsia" w:ascii="宋体" w:hAnsi="宋体" w:eastAsia="宋体" w:cs="宋体"/>
                <w:sz w:val="21"/>
                <w:szCs w:val="21"/>
              </w:rPr>
              <w:t>7．支持操作系统分权管理，可分配不同的管理员管理不同的操作系统；</w:t>
            </w:r>
          </w:p>
          <w:p w14:paraId="595C873F">
            <w:pPr>
              <w:rPr>
                <w:rFonts w:hint="eastAsia" w:ascii="宋体" w:hAnsi="宋体" w:eastAsia="宋体" w:cs="宋体"/>
                <w:sz w:val="21"/>
                <w:szCs w:val="21"/>
              </w:rPr>
            </w:pPr>
            <w:r>
              <w:rPr>
                <w:rFonts w:hint="eastAsia" w:ascii="宋体" w:hAnsi="宋体" w:eastAsia="宋体" w:cs="宋体"/>
                <w:sz w:val="21"/>
                <w:szCs w:val="21"/>
              </w:rPr>
              <w:t>8．针对日常教学使用的各种教学软件，应支持对多个客户端进行软件统一注册激活，快速部署软件，满足不同专业的教学需求；</w:t>
            </w:r>
          </w:p>
          <w:p w14:paraId="509DCC6D">
            <w:pPr>
              <w:rPr>
                <w:rFonts w:hint="eastAsia" w:ascii="宋体" w:hAnsi="宋体" w:eastAsia="宋体" w:cs="宋体"/>
                <w:sz w:val="21"/>
                <w:szCs w:val="21"/>
              </w:rPr>
            </w:pPr>
            <w:r>
              <w:rPr>
                <w:rFonts w:hint="eastAsia" w:ascii="宋体" w:hAnsi="宋体" w:eastAsia="宋体" w:cs="宋体"/>
                <w:sz w:val="21"/>
                <w:szCs w:val="21"/>
              </w:rPr>
              <w:t>9．管理员可给教师单独分配用户名和密码，教师可凭此用户名和密码在教学的电脑上瞬间创建自己独立的备课系统，其他人员不可见，也不影响正常的教学系统；</w:t>
            </w:r>
          </w:p>
          <w:p w14:paraId="2A1306D5">
            <w:pPr>
              <w:rPr>
                <w:rFonts w:hint="eastAsia" w:ascii="宋体" w:hAnsi="宋体" w:eastAsia="宋体" w:cs="宋体"/>
                <w:sz w:val="21"/>
                <w:szCs w:val="21"/>
              </w:rPr>
            </w:pPr>
            <w:r>
              <w:rPr>
                <w:rFonts w:hint="eastAsia" w:ascii="宋体" w:hAnsi="宋体" w:eastAsia="宋体" w:cs="宋体"/>
                <w:sz w:val="21"/>
                <w:szCs w:val="21"/>
              </w:rPr>
              <w:t>10．支持将当前的教学系统，无需新增分区的情况下瞬间复制一个不保护的系统，用于学生自主实验或计算机等级考试；</w:t>
            </w:r>
          </w:p>
          <w:p w14:paraId="78DD0132">
            <w:pPr>
              <w:rPr>
                <w:rFonts w:hint="eastAsia" w:ascii="宋体" w:hAnsi="宋体" w:eastAsia="宋体" w:cs="宋体"/>
                <w:sz w:val="21"/>
                <w:szCs w:val="21"/>
              </w:rPr>
            </w:pPr>
            <w:r>
              <w:rPr>
                <w:rFonts w:hint="eastAsia" w:ascii="宋体" w:hAnsi="宋体" w:eastAsia="宋体" w:cs="宋体"/>
                <w:sz w:val="21"/>
                <w:szCs w:val="21"/>
              </w:rPr>
              <w:t>11．支持文件夹穿透，可在当前保护的分区下设定一个开放的文件夹,保存更新设置，重启分区还原其它数据还原，此文件夹中的数据不还原（提供第三方检测机构出具的具备CNAS</w:t>
            </w:r>
            <w:r>
              <w:rPr>
                <w:rFonts w:hint="eastAsia" w:ascii="宋体" w:hAnsi="宋体" w:cs="宋体"/>
                <w:sz w:val="21"/>
                <w:szCs w:val="21"/>
                <w:lang w:val="en-US" w:eastAsia="zh-CN"/>
              </w:rPr>
              <w:t>或CMA</w:t>
            </w:r>
            <w:r>
              <w:rPr>
                <w:rFonts w:hint="eastAsia" w:ascii="宋体" w:hAnsi="宋体" w:eastAsia="宋体" w:cs="宋体"/>
                <w:sz w:val="21"/>
                <w:szCs w:val="21"/>
              </w:rPr>
              <w:t>标识的产品功能测试报告复印件或扫描件）；</w:t>
            </w:r>
          </w:p>
          <w:p w14:paraId="3DB62963">
            <w:pPr>
              <w:rPr>
                <w:rFonts w:hint="eastAsia" w:ascii="宋体" w:hAnsi="宋体" w:eastAsia="宋体" w:cs="宋体"/>
                <w:sz w:val="21"/>
                <w:szCs w:val="21"/>
              </w:rPr>
            </w:pPr>
            <w:r>
              <w:rPr>
                <w:rFonts w:hint="eastAsia" w:ascii="宋体" w:hAnsi="宋体" w:eastAsia="宋体" w:cs="宋体"/>
                <w:sz w:val="21"/>
                <w:szCs w:val="21"/>
              </w:rPr>
              <w:t>12．为保证系统兼容性和稳定性，要求所有功能为同一品牌同一产品，不允许多种产品拼凑而成</w:t>
            </w:r>
            <w:r>
              <w:rPr>
                <w:rFonts w:hint="eastAsia" w:ascii="宋体" w:hAnsi="宋体" w:eastAsia="宋体" w:cs="宋体"/>
                <w:sz w:val="21"/>
                <w:szCs w:val="21"/>
                <w:lang w:eastAsia="zh-CN"/>
              </w:rPr>
              <w:t>，</w:t>
            </w:r>
            <w:r>
              <w:rPr>
                <w:rFonts w:hint="eastAsia" w:ascii="宋体" w:hAnsi="宋体" w:eastAsia="宋体" w:cs="宋体"/>
                <w:sz w:val="21"/>
                <w:szCs w:val="21"/>
              </w:rPr>
              <w:t xml:space="preserve">投标人承诺中标后签订合同前须提供原厂针对本项目授权和售后服务承诺函原件； </w:t>
            </w:r>
          </w:p>
          <w:p w14:paraId="09D93CE0">
            <w:pPr>
              <w:rPr>
                <w:rFonts w:hint="eastAsia" w:ascii="宋体" w:hAnsi="宋体" w:eastAsia="宋体" w:cs="宋体"/>
                <w:sz w:val="21"/>
                <w:szCs w:val="21"/>
              </w:rPr>
            </w:pPr>
            <w:r>
              <w:rPr>
                <w:rFonts w:hint="eastAsia" w:ascii="宋体" w:hAnsi="宋体" w:eastAsia="宋体" w:cs="宋体"/>
                <w:sz w:val="21"/>
                <w:szCs w:val="21"/>
              </w:rPr>
              <w:t>13．投标人在中标公示</w:t>
            </w:r>
            <w:r>
              <w:rPr>
                <w:rFonts w:hint="eastAsia" w:ascii="宋体" w:hAnsi="宋体" w:eastAsia="宋体" w:cs="宋体"/>
                <w:sz w:val="21"/>
                <w:szCs w:val="21"/>
                <w:lang w:val="en-US" w:eastAsia="zh-CN"/>
              </w:rPr>
              <w:t>3</w:t>
            </w:r>
            <w:r>
              <w:rPr>
                <w:rFonts w:hint="eastAsia" w:ascii="宋体" w:hAnsi="宋体" w:eastAsia="宋体" w:cs="宋体"/>
                <w:sz w:val="21"/>
                <w:szCs w:val="21"/>
              </w:rPr>
              <w:t>个工作日内需自带设备到用户指定地点对以上功能参数进行逐条演示，不符合功能要求的，按虚假应标处理,并承担相应法律责任。</w:t>
            </w:r>
          </w:p>
          <w:p w14:paraId="0D34FBEE">
            <w:pPr>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rPr>
              <w:t xml:space="preserve">黑名单、白名单两种模式，能够根据手动添加、游戏进程、应用进程、系统自带进程进行设置，并能够通过客户端实时识别操作系统进程进行控制，并设置生效时间区间，能够精确到秒，支持按天执行、按周执行、按月执行(提供功能界面截图)； </w:t>
            </w:r>
          </w:p>
          <w:p w14:paraId="6A6554D7">
            <w:pPr>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5</w:t>
            </w:r>
            <w:r>
              <w:rPr>
                <w:rFonts w:hint="eastAsia" w:ascii="宋体" w:hAnsi="宋体" w:eastAsia="宋体" w:cs="宋体"/>
                <w:sz w:val="21"/>
                <w:szCs w:val="21"/>
              </w:rPr>
              <w:t>.支持对客户端内多块硬盘进行分区、系统装载、还原、还原方式设置，满足多硬盘系统还原和管理；（提供第三方检测机构出具的具备CNAS</w:t>
            </w:r>
            <w:r>
              <w:rPr>
                <w:rFonts w:hint="eastAsia" w:ascii="宋体" w:hAnsi="宋体" w:cs="宋体"/>
                <w:sz w:val="21"/>
                <w:szCs w:val="21"/>
                <w:lang w:val="en-US" w:eastAsia="zh-CN"/>
              </w:rPr>
              <w:t>或CMA</w:t>
            </w:r>
            <w:r>
              <w:rPr>
                <w:rFonts w:hint="eastAsia" w:ascii="宋体" w:hAnsi="宋体" w:eastAsia="宋体" w:cs="宋体"/>
                <w:sz w:val="21"/>
                <w:szCs w:val="21"/>
              </w:rPr>
              <w:t>标识的产品功能测试报告复印件或扫描件）；</w:t>
            </w:r>
          </w:p>
          <w:p w14:paraId="60608BA0">
            <w:pPr>
              <w:rPr>
                <w:rFonts w:hint="eastAsia" w:ascii="宋体" w:hAnsi="宋体" w:cs="宋体"/>
                <w:sz w:val="21"/>
                <w:szCs w:val="21"/>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6</w:t>
            </w:r>
            <w:r>
              <w:rPr>
                <w:rFonts w:hint="eastAsia" w:ascii="宋体" w:hAnsi="宋体" w:eastAsia="宋体" w:cs="宋体"/>
                <w:sz w:val="21"/>
                <w:szCs w:val="21"/>
                <w:lang w:val="en-US" w:eastAsia="zh-CN"/>
              </w:rPr>
              <w:t>.交钥匙工程，包含设备硬件、软件的集成调试，机房内硬件设备电源及网络线路到每台设备的配套和调试。</w:t>
            </w:r>
          </w:p>
        </w:tc>
        <w:tc>
          <w:tcPr>
            <w:tcW w:w="818" w:type="dxa"/>
            <w:tcBorders>
              <w:top w:val="single" w:color="auto" w:sz="4" w:space="0"/>
              <w:left w:val="single" w:color="auto" w:sz="4" w:space="0"/>
              <w:bottom w:val="single" w:color="auto" w:sz="4" w:space="0"/>
              <w:right w:val="single" w:color="auto" w:sz="4" w:space="0"/>
            </w:tcBorders>
            <w:vAlign w:val="center"/>
          </w:tcPr>
          <w:p w14:paraId="167CBCE0">
            <w:pPr>
              <w:widowControl/>
              <w:jc w:val="center"/>
              <w:textAlignment w:val="top"/>
              <w:rPr>
                <w:rFonts w:hint="eastAsia" w:ascii="宋体" w:hAnsi="宋体" w:cs="宋体"/>
                <w:sz w:val="21"/>
                <w:szCs w:val="21"/>
              </w:rPr>
            </w:pPr>
            <w:r>
              <w:rPr>
                <w:rFonts w:hint="eastAsia" w:ascii="宋体" w:hAnsi="宋体" w:cs="宋体"/>
                <w:sz w:val="21"/>
                <w:szCs w:val="21"/>
                <w:lang w:val="en-US" w:eastAsia="zh-CN"/>
              </w:rPr>
              <w:t>88</w:t>
            </w:r>
          </w:p>
        </w:tc>
      </w:tr>
    </w:tbl>
    <w:p w14:paraId="06A31D4D">
      <w:pPr>
        <w:rPr>
          <w:b/>
          <w:bCs/>
          <w:sz w:val="24"/>
        </w:rPr>
      </w:pPr>
    </w:p>
    <w:p w14:paraId="7312DFF7">
      <w:pPr>
        <w:rPr>
          <w:b/>
          <w:bCs/>
          <w:sz w:val="24"/>
        </w:rPr>
      </w:pPr>
    </w:p>
    <w:p w14:paraId="38E1B793">
      <w:pPr>
        <w:spacing w:line="420" w:lineRule="exact"/>
        <w:rPr>
          <w:rFonts w:ascii="宋体" w:hAnsi="宋体" w:cs="宋体"/>
          <w:b/>
        </w:rPr>
      </w:pPr>
      <w:r>
        <w:rPr>
          <w:rFonts w:hint="eastAsia" w:ascii="宋体" w:hAnsi="宋体"/>
          <w:b/>
          <w:bCs/>
          <w:szCs w:val="21"/>
        </w:rPr>
        <w:t>★</w:t>
      </w:r>
      <w:r>
        <w:rPr>
          <w:rFonts w:hint="eastAsia" w:ascii="宋体" w:hAnsi="宋体" w:cs="宋体"/>
          <w:b/>
        </w:rPr>
        <w:t>注：</w:t>
      </w:r>
      <w:r>
        <w:rPr>
          <w:rFonts w:hint="eastAsia" w:ascii="宋体" w:hAnsi="宋体" w:cs="宋体"/>
          <w:b/>
          <w:color w:val="auto"/>
        </w:rPr>
        <w:t>本项目为交钥匙</w:t>
      </w:r>
      <w:r>
        <w:rPr>
          <w:rFonts w:hint="eastAsia" w:ascii="宋体" w:hAnsi="宋体" w:cs="宋体"/>
          <w:b/>
          <w:color w:val="auto"/>
          <w:lang w:eastAsia="zh-CN"/>
        </w:rPr>
        <w:t>项目</w:t>
      </w:r>
      <w:r>
        <w:rPr>
          <w:rFonts w:hint="eastAsia" w:ascii="宋体" w:hAnsi="宋体" w:cs="宋体"/>
          <w:b/>
          <w:color w:val="auto"/>
        </w:rPr>
        <w:t>。投标单位应根据项目招标文件清单内容要求和现场实际情况，报价包含本项目全部采购内容所需</w:t>
      </w:r>
      <w:r>
        <w:rPr>
          <w:rFonts w:hint="eastAsia" w:ascii="宋体" w:hAnsi="宋体" w:cs="宋体"/>
          <w:b/>
          <w:color w:val="auto"/>
          <w:lang w:val="en-US" w:eastAsia="zh-CN"/>
        </w:rPr>
        <w:t>的货物的采购、材料、配件、辅材，以及运输</w:t>
      </w:r>
      <w:r>
        <w:rPr>
          <w:rFonts w:hint="eastAsia" w:ascii="宋体" w:hAnsi="宋体" w:cs="宋体"/>
          <w:b/>
          <w:color w:val="000000"/>
          <w:lang w:val="en-US" w:eastAsia="zh-CN"/>
        </w:rPr>
        <w:t>、</w:t>
      </w:r>
      <w:r>
        <w:rPr>
          <w:rFonts w:hint="eastAsia" w:ascii="宋体" w:hAnsi="宋体" w:eastAsia="宋体" w:cs="宋体"/>
          <w:b/>
          <w:color w:val="auto"/>
        </w:rPr>
        <w:t>可能涉及的</w:t>
      </w:r>
      <w:r>
        <w:rPr>
          <w:rFonts w:hint="eastAsia" w:ascii="宋体" w:hAnsi="宋体" w:eastAsia="宋体" w:cs="宋体"/>
          <w:b/>
          <w:color w:val="auto"/>
          <w:lang w:eastAsia="zh-CN"/>
        </w:rPr>
        <w:t>实验室</w:t>
      </w:r>
      <w:r>
        <w:rPr>
          <w:rFonts w:hint="eastAsia" w:ascii="宋体" w:hAnsi="宋体" w:eastAsia="宋体" w:cs="宋体"/>
          <w:b/>
          <w:color w:val="auto"/>
        </w:rPr>
        <w:t>小型场地改造、调试、试运行测试、验收</w:t>
      </w:r>
      <w:r>
        <w:rPr>
          <w:rFonts w:hint="eastAsia" w:ascii="宋体" w:hAnsi="宋体" w:eastAsia="宋体" w:cs="宋体"/>
          <w:b/>
          <w:color w:val="auto"/>
          <w:lang w:val="en-US" w:eastAsia="zh-CN"/>
        </w:rPr>
        <w:t>、</w:t>
      </w:r>
      <w:r>
        <w:rPr>
          <w:rFonts w:hint="eastAsia" w:ascii="宋体" w:hAnsi="宋体" w:eastAsia="宋体" w:cs="宋体"/>
          <w:b/>
          <w:color w:val="auto"/>
        </w:rPr>
        <w:t>培训、</w:t>
      </w:r>
      <w:r>
        <w:rPr>
          <w:rFonts w:hint="eastAsia" w:ascii="宋体" w:hAnsi="宋体" w:eastAsia="宋体" w:cs="宋体"/>
          <w:b/>
          <w:color w:val="auto"/>
          <w:lang w:eastAsia="zh-CN"/>
        </w:rPr>
        <w:t>售后服务、</w:t>
      </w:r>
      <w:r>
        <w:rPr>
          <w:rFonts w:hint="eastAsia" w:ascii="宋体" w:hAnsi="宋体" w:eastAsia="宋体" w:cs="宋体"/>
          <w:b/>
          <w:color w:val="auto"/>
        </w:rPr>
        <w:t>质保期免费保修维护等所有</w:t>
      </w:r>
      <w:r>
        <w:rPr>
          <w:rFonts w:hint="eastAsia" w:ascii="宋体" w:hAnsi="宋体" w:cs="宋体"/>
          <w:b/>
          <w:color w:val="auto"/>
        </w:rPr>
        <w:t>人工、管理、财务等所有费用，如一旦中标，在项目实施中出现任何遗漏，均由</w:t>
      </w:r>
      <w:r>
        <w:rPr>
          <w:rFonts w:hint="eastAsia" w:ascii="宋体" w:hAnsi="宋体" w:cs="宋体"/>
          <w:b/>
          <w:color w:val="auto"/>
          <w:lang w:eastAsia="zh-CN"/>
        </w:rPr>
        <w:t>中标人</w:t>
      </w:r>
      <w:r>
        <w:rPr>
          <w:rFonts w:hint="eastAsia" w:ascii="宋体" w:hAnsi="宋体" w:cs="宋体"/>
          <w:b/>
          <w:color w:val="auto"/>
        </w:rPr>
        <w:t>免费提供，采购人不再支付任何费用。投标文件所提供证明材料必须真实有效，若有虚假材料，投标人及相关单位将承担由此引起的一切后果。</w:t>
      </w:r>
    </w:p>
    <w:p w14:paraId="1DDA3433">
      <w:pPr>
        <w:spacing w:line="420" w:lineRule="exact"/>
        <w:rPr>
          <w:rFonts w:ascii="宋体" w:hAnsi="宋体" w:cs="宋体"/>
          <w:b/>
        </w:rPr>
      </w:pPr>
      <w:r>
        <w:rPr>
          <w:rFonts w:hint="eastAsia" w:ascii="宋体" w:hAnsi="宋体" w:cs="宋体"/>
          <w:b/>
        </w:rPr>
        <w:t>★为保障项目采购目标的实现，采购人有权要求中标人在中标公告发布后三个工作日内到采购人处现场演示所投产品功能及参数，并提供涉及本项目需求相关的证书、检测报告、产品彩页、售后服务承诺书、所投产品技术资料及厂商授权等资料；如不能按招标文件要求提供或产品功能实质性不能满足招标文件要求和投标承诺的，采购人有权报政府采购监督管理部门进行处理，由此引发的所有损失由中标人负责（本项需提供承诺函并加盖投标人公章）。</w:t>
      </w:r>
    </w:p>
    <w:p w14:paraId="5E284939">
      <w:pPr>
        <w:spacing w:line="420" w:lineRule="exact"/>
      </w:pPr>
    </w:p>
    <w:p w14:paraId="2E4D0E40">
      <w:pPr>
        <w:pStyle w:val="5"/>
        <w:adjustRightInd w:val="0"/>
        <w:snapToGrid w:val="0"/>
        <w:spacing w:before="156" w:beforeLines="50"/>
        <w:jc w:val="center"/>
        <w:rPr>
          <w:rFonts w:ascii="黑体" w:hAnsi="黑体" w:eastAsia="黑体"/>
        </w:rPr>
      </w:pPr>
      <w:r>
        <w:rPr>
          <w:rFonts w:hint="eastAsia" w:ascii="黑体" w:hAnsi="黑体" w:eastAsia="黑体"/>
          <w:sz w:val="28"/>
          <w:szCs w:val="28"/>
        </w:rPr>
        <w:br w:type="page"/>
      </w:r>
      <w:bookmarkStart w:id="4" w:name="_Toc14817"/>
      <w:r>
        <w:rPr>
          <w:rFonts w:hint="eastAsia" w:ascii="黑体" w:hAnsi="黑体" w:eastAsia="黑体"/>
          <w:sz w:val="28"/>
          <w:szCs w:val="28"/>
        </w:rPr>
        <w:t>第三节 商务</w:t>
      </w:r>
      <w:r>
        <w:rPr>
          <w:rFonts w:ascii="黑体" w:hAnsi="黑体" w:eastAsia="黑体"/>
          <w:sz w:val="28"/>
          <w:szCs w:val="28"/>
        </w:rPr>
        <w:t>要求</w:t>
      </w:r>
      <w:bookmarkEnd w:id="4"/>
    </w:p>
    <w:p w14:paraId="71F48EF3">
      <w:pPr>
        <w:numPr>
          <w:ilvl w:val="0"/>
          <w:numId w:val="2"/>
        </w:numPr>
        <w:adjustRightInd w:val="0"/>
        <w:snapToGrid w:val="0"/>
        <w:spacing w:line="440" w:lineRule="exact"/>
        <w:rPr>
          <w:rFonts w:ascii="宋体" w:hAnsi="宋体" w:cs="宋体"/>
          <w:b/>
          <w:sz w:val="24"/>
        </w:rPr>
      </w:pPr>
      <w:r>
        <w:rPr>
          <w:rFonts w:hint="eastAsia" w:ascii="宋体" w:hAnsi="宋体" w:cs="宋体"/>
          <w:b/>
          <w:sz w:val="24"/>
        </w:rPr>
        <w:t>项目建设要求及说明：</w:t>
      </w:r>
    </w:p>
    <w:p w14:paraId="2B139A0E">
      <w:pPr>
        <w:spacing w:line="420" w:lineRule="exact"/>
        <w:ind w:firstLine="420" w:firstLineChars="200"/>
        <w:rPr>
          <w:rFonts w:ascii="宋体" w:hAnsi="宋体" w:cs="宋体"/>
        </w:rPr>
      </w:pPr>
      <w:r>
        <w:rPr>
          <w:rFonts w:hint="eastAsia" w:ascii="宋体" w:hAnsi="宋体" w:cs="宋体"/>
        </w:rPr>
        <w:t>1、产品运输、保险及保管</w:t>
      </w:r>
    </w:p>
    <w:p w14:paraId="6EE461B5">
      <w:pPr>
        <w:spacing w:line="360" w:lineRule="auto"/>
        <w:ind w:firstLine="420" w:firstLineChars="200"/>
        <w:rPr>
          <w:rFonts w:ascii="宋体" w:hAnsi="宋体" w:cs="宋体"/>
        </w:rPr>
      </w:pPr>
      <w:r>
        <w:rPr>
          <w:rFonts w:hint="eastAsia" w:ascii="宋体" w:hAnsi="宋体" w:cs="宋体"/>
        </w:rPr>
        <w:t>1）中标人负责产品在没有任何损坏和腐蚀的情况下到达项目指定地点的全部运输，包括装卸及现场搬运等。货物的包装要求防湿、防潮、防锈、防震、耐粗暴装卸和搬运。并承担由于其包装或防护措施不妥而起货物锈蚀、损坏和丢失的任何责任或费用。</w:t>
      </w:r>
    </w:p>
    <w:p w14:paraId="0B05D30D">
      <w:pPr>
        <w:spacing w:line="420" w:lineRule="exact"/>
        <w:ind w:firstLine="420" w:firstLineChars="200"/>
        <w:rPr>
          <w:rFonts w:ascii="宋体" w:hAnsi="宋体" w:cs="宋体"/>
        </w:rPr>
      </w:pPr>
      <w:r>
        <w:rPr>
          <w:rFonts w:hint="eastAsia" w:ascii="宋体" w:hAnsi="宋体" w:cs="宋体"/>
        </w:rPr>
        <w:t>2) 中标人负责产品及自己使用的工具在项目实施地点的保管，直至项目验收合格。</w:t>
      </w:r>
    </w:p>
    <w:p w14:paraId="32D3AAAA">
      <w:pPr>
        <w:spacing w:line="420" w:lineRule="exact"/>
        <w:ind w:firstLine="420" w:firstLineChars="200"/>
        <w:rPr>
          <w:rFonts w:ascii="宋体" w:hAnsi="宋体" w:cs="宋体"/>
          <w:color w:val="auto"/>
        </w:rPr>
      </w:pPr>
      <w:r>
        <w:rPr>
          <w:rFonts w:hint="eastAsia" w:ascii="宋体" w:hAnsi="宋体" w:cs="宋体"/>
          <w:szCs w:val="21"/>
        </w:rPr>
        <w:t>3）</w:t>
      </w:r>
      <w:r>
        <w:rPr>
          <w:rFonts w:hint="eastAsia" w:ascii="宋体" w:hAnsi="宋体" w:cs="宋体"/>
        </w:rPr>
        <w:t>中标人</w:t>
      </w:r>
      <w:r>
        <w:rPr>
          <w:rFonts w:hint="eastAsia" w:ascii="宋体" w:hAnsi="宋体"/>
          <w:szCs w:val="21"/>
        </w:rPr>
        <w:t>应对提供的货物在运输、存放及交货过程中的毁损或遗失负责，并</w:t>
      </w:r>
      <w:r>
        <w:rPr>
          <w:rFonts w:hint="eastAsia" w:ascii="宋体" w:hAnsi="宋体" w:cs="宋体"/>
        </w:rPr>
        <w:t>负责对其派出</w:t>
      </w:r>
      <w:r>
        <w:rPr>
          <w:rFonts w:hint="eastAsia" w:ascii="宋体" w:hAnsi="宋体"/>
          <w:szCs w:val="21"/>
        </w:rPr>
        <w:t>安装、调试</w:t>
      </w:r>
      <w:r>
        <w:rPr>
          <w:rFonts w:hint="eastAsia" w:ascii="宋体" w:hAnsi="宋体" w:cs="宋体"/>
        </w:rPr>
        <w:t>人员在</w:t>
      </w:r>
      <w:r>
        <w:rPr>
          <w:rFonts w:hint="eastAsia" w:ascii="宋体" w:hAnsi="宋体"/>
          <w:szCs w:val="21"/>
        </w:rPr>
        <w:t>其项目实施期间</w:t>
      </w:r>
      <w:r>
        <w:rPr>
          <w:rFonts w:hint="eastAsia" w:ascii="宋体" w:hAnsi="宋体" w:cs="宋体"/>
        </w:rPr>
        <w:t>的安全、保险、食宿、交通等。</w:t>
      </w:r>
    </w:p>
    <w:p w14:paraId="49D6FFAA">
      <w:pPr>
        <w:spacing w:line="420" w:lineRule="exact"/>
        <w:ind w:firstLine="420" w:firstLineChars="200"/>
        <w:rPr>
          <w:rFonts w:ascii="宋体" w:hAnsi="宋体"/>
          <w:color w:val="auto"/>
          <w:szCs w:val="21"/>
        </w:rPr>
      </w:pPr>
      <w:r>
        <w:rPr>
          <w:rFonts w:hint="eastAsia" w:ascii="宋体" w:hAnsi="宋体" w:cs="宋体"/>
          <w:color w:val="auto"/>
          <w:lang w:val="en-US" w:eastAsia="zh-CN"/>
        </w:rPr>
        <w:t>2</w:t>
      </w:r>
      <w:r>
        <w:rPr>
          <w:rFonts w:hint="eastAsia" w:ascii="宋体" w:hAnsi="宋体" w:cs="宋体"/>
          <w:color w:val="auto"/>
        </w:rPr>
        <w:t>、</w:t>
      </w:r>
      <w:r>
        <w:rPr>
          <w:rFonts w:hint="eastAsia" w:ascii="宋体" w:hAnsi="宋体"/>
          <w:color w:val="auto"/>
          <w:szCs w:val="21"/>
        </w:rPr>
        <w:t>安装、调试</w:t>
      </w:r>
    </w:p>
    <w:p w14:paraId="30E03126">
      <w:pPr>
        <w:spacing w:line="420" w:lineRule="exact"/>
        <w:ind w:firstLine="420" w:firstLineChars="200"/>
        <w:rPr>
          <w:rFonts w:ascii="宋体" w:hAnsi="宋体"/>
          <w:color w:val="auto"/>
          <w:szCs w:val="21"/>
        </w:rPr>
      </w:pPr>
      <w:r>
        <w:rPr>
          <w:rFonts w:hint="eastAsia" w:ascii="宋体" w:hAnsi="宋体"/>
          <w:color w:val="auto"/>
          <w:szCs w:val="21"/>
        </w:rPr>
        <w:t>1）在开始安装以前，本项目中需要实地测量尺寸和确定安装位置的，中标人须经采购人确定后实施。</w:t>
      </w:r>
    </w:p>
    <w:p w14:paraId="3D4CBAF2">
      <w:pPr>
        <w:spacing w:line="420" w:lineRule="exact"/>
        <w:ind w:firstLine="420" w:firstLineChars="200"/>
        <w:rPr>
          <w:rFonts w:ascii="宋体" w:hAnsi="宋体" w:cs="宋体"/>
          <w:color w:val="auto"/>
        </w:rPr>
      </w:pPr>
      <w:r>
        <w:rPr>
          <w:rFonts w:hint="eastAsia" w:ascii="宋体" w:hAnsi="宋体"/>
          <w:color w:val="auto"/>
          <w:szCs w:val="21"/>
        </w:rPr>
        <w:t>3）设备到达最终用户现场并且安装条件合格，</w:t>
      </w:r>
      <w:r>
        <w:rPr>
          <w:rFonts w:hint="eastAsia" w:ascii="宋体" w:hAnsi="宋体" w:eastAsia="宋体" w:cs="宋体"/>
          <w:b w:val="0"/>
          <w:bCs w:val="0"/>
          <w:color w:val="000000"/>
          <w:sz w:val="21"/>
          <w:szCs w:val="21"/>
        </w:rPr>
        <w:t>应提前两天以上和</w:t>
      </w:r>
      <w:r>
        <w:rPr>
          <w:rFonts w:hint="eastAsia" w:ascii="宋体" w:hAnsi="宋体" w:cs="宋体"/>
          <w:b w:val="0"/>
          <w:bCs w:val="0"/>
          <w:color w:val="000000"/>
          <w:sz w:val="21"/>
          <w:szCs w:val="21"/>
          <w:lang w:eastAsia="zh-CN"/>
        </w:rPr>
        <w:t>采购人</w:t>
      </w:r>
      <w:r>
        <w:rPr>
          <w:rFonts w:hint="eastAsia" w:ascii="宋体" w:hAnsi="宋体" w:eastAsia="宋体" w:cs="宋体"/>
          <w:b w:val="0"/>
          <w:bCs w:val="0"/>
          <w:color w:val="000000"/>
          <w:sz w:val="21"/>
          <w:szCs w:val="21"/>
        </w:rPr>
        <w:t>取得联系，以便</w:t>
      </w:r>
      <w:r>
        <w:rPr>
          <w:rFonts w:hint="eastAsia" w:ascii="宋体" w:hAnsi="宋体" w:cs="宋体"/>
          <w:b w:val="0"/>
          <w:bCs w:val="0"/>
          <w:color w:val="000000"/>
          <w:sz w:val="21"/>
          <w:szCs w:val="21"/>
          <w:lang w:eastAsia="zh-CN"/>
        </w:rPr>
        <w:t>采购人</w:t>
      </w:r>
      <w:r>
        <w:rPr>
          <w:rFonts w:hint="eastAsia" w:ascii="宋体" w:hAnsi="宋体" w:eastAsia="宋体" w:cs="宋体"/>
          <w:b w:val="0"/>
          <w:bCs w:val="0"/>
          <w:color w:val="000000"/>
          <w:sz w:val="21"/>
          <w:szCs w:val="21"/>
        </w:rPr>
        <w:t>安排验货和配合安装调试等工作。</w:t>
      </w:r>
      <w:r>
        <w:rPr>
          <w:rFonts w:hint="eastAsia" w:ascii="宋体" w:hAnsi="宋体"/>
          <w:color w:val="auto"/>
          <w:szCs w:val="21"/>
        </w:rPr>
        <w:t>在接到用户通知后，中标人应安排有经验的技术人员负责所有货物、系</w:t>
      </w:r>
      <w:r>
        <w:rPr>
          <w:rFonts w:hint="eastAsia" w:ascii="宋体" w:hAnsi="宋体"/>
          <w:szCs w:val="21"/>
        </w:rPr>
        <w:t>统及配套设施设备的到用户现场安装、调试，按验收指标逐项测试，直到达到设备、系统及配套设施设备平台应具有的功能和技术指标等相关验收要求，并负责相关技术支持和维护。同时中标</w:t>
      </w:r>
      <w:r>
        <w:rPr>
          <w:rFonts w:hint="eastAsia" w:ascii="宋体" w:hAnsi="宋体" w:cs="宋体"/>
        </w:rPr>
        <w:t>人必须提供产品的全部售后服务条款(如质保期、现场维修等)，不</w:t>
      </w:r>
      <w:r>
        <w:rPr>
          <w:rFonts w:hint="eastAsia" w:ascii="宋体" w:hAnsi="宋体" w:cs="宋体"/>
          <w:color w:val="auto"/>
        </w:rPr>
        <w:t>得擅自缩小售后服务范围。</w:t>
      </w:r>
    </w:p>
    <w:p w14:paraId="17E05B02">
      <w:pPr>
        <w:spacing w:line="420" w:lineRule="exact"/>
        <w:ind w:firstLine="420" w:firstLineChars="200"/>
        <w:rPr>
          <w:rFonts w:ascii="宋体" w:hAnsi="宋体" w:cs="宋体"/>
          <w:color w:val="auto"/>
        </w:rPr>
      </w:pPr>
      <w:r>
        <w:rPr>
          <w:rFonts w:hint="eastAsia" w:ascii="宋体" w:hAnsi="宋体" w:cs="宋体"/>
          <w:color w:val="auto"/>
        </w:rPr>
        <w:t>3）</w:t>
      </w:r>
      <w:r>
        <w:rPr>
          <w:rFonts w:hint="eastAsia" w:ascii="宋体" w:hAnsi="宋体" w:cs="宋体"/>
          <w:color w:val="auto"/>
          <w:szCs w:val="21"/>
        </w:rPr>
        <w:t>安装调试、改造、</w:t>
      </w:r>
      <w:r>
        <w:rPr>
          <w:rFonts w:hint="eastAsia" w:ascii="宋体" w:hAnsi="宋体"/>
          <w:color w:val="auto"/>
          <w:szCs w:val="21"/>
        </w:rPr>
        <w:t>拆除、运输设备</w:t>
      </w:r>
      <w:r>
        <w:rPr>
          <w:rFonts w:hint="eastAsia" w:ascii="宋体" w:hAnsi="宋体" w:cs="宋体"/>
          <w:color w:val="auto"/>
          <w:szCs w:val="21"/>
        </w:rPr>
        <w:t>所需辅助材料和专用</w:t>
      </w:r>
      <w:r>
        <w:rPr>
          <w:rFonts w:hint="eastAsia" w:ascii="宋体" w:hAnsi="宋体" w:cs="宋体"/>
          <w:color w:val="auto"/>
        </w:rPr>
        <w:t>工具与设施，由中标人提供。</w:t>
      </w:r>
    </w:p>
    <w:p w14:paraId="0CC198D4">
      <w:pPr>
        <w:spacing w:line="420" w:lineRule="exact"/>
        <w:ind w:firstLine="420" w:firstLineChars="200"/>
        <w:rPr>
          <w:rFonts w:ascii="宋体" w:hAnsi="宋体" w:cs="宋体"/>
          <w:color w:val="auto"/>
        </w:rPr>
      </w:pPr>
      <w:r>
        <w:rPr>
          <w:rFonts w:hint="eastAsia" w:ascii="宋体" w:hAnsi="宋体" w:cs="宋体"/>
          <w:color w:val="auto"/>
        </w:rPr>
        <w:t>4）涉及到保障系统与设备运行环境匹配的小型场地改造的，须制定详细方案及图纸，并经采购人确定后实施。</w:t>
      </w:r>
    </w:p>
    <w:p w14:paraId="7EA5172C">
      <w:pPr>
        <w:spacing w:line="420" w:lineRule="exact"/>
        <w:ind w:firstLine="420" w:firstLineChars="200"/>
        <w:rPr>
          <w:rFonts w:ascii="宋体" w:hAnsi="宋体" w:cs="宋体"/>
          <w:color w:val="auto"/>
        </w:rPr>
      </w:pPr>
      <w:r>
        <w:rPr>
          <w:rFonts w:hint="eastAsia" w:ascii="宋体" w:hAnsi="宋体" w:cs="宋体"/>
          <w:color w:val="auto"/>
          <w:lang w:val="en-US" w:eastAsia="zh-CN"/>
        </w:rPr>
        <w:t>3</w:t>
      </w:r>
      <w:r>
        <w:rPr>
          <w:rFonts w:hint="eastAsia" w:ascii="宋体" w:hAnsi="宋体" w:cs="宋体"/>
          <w:color w:val="auto"/>
        </w:rPr>
        <w:t>、项目实施要求</w:t>
      </w:r>
    </w:p>
    <w:p w14:paraId="02DCA1E3">
      <w:pPr>
        <w:spacing w:line="420" w:lineRule="exact"/>
        <w:ind w:firstLine="420" w:firstLineChars="200"/>
        <w:rPr>
          <w:rFonts w:ascii="宋体" w:hAnsi="宋体" w:cs="宋体"/>
        </w:rPr>
      </w:pPr>
      <w:r>
        <w:rPr>
          <w:rFonts w:hint="eastAsia" w:ascii="宋体" w:hAnsi="宋体" w:cs="宋体"/>
          <w:szCs w:val="21"/>
        </w:rPr>
        <w:t xml:space="preserve">1） </w:t>
      </w:r>
      <w:r>
        <w:rPr>
          <w:rFonts w:hint="eastAsia" w:ascii="宋体" w:hAnsi="宋体" w:cs="宋体"/>
        </w:rPr>
        <w:t>中标人须加强项目实施的组织管理，所有项目实施人员须遵守有关规章制度，持证上岗。</w:t>
      </w:r>
    </w:p>
    <w:p w14:paraId="57C0C683">
      <w:pPr>
        <w:spacing w:line="420" w:lineRule="exact"/>
        <w:ind w:firstLine="420" w:firstLineChars="200"/>
        <w:rPr>
          <w:rFonts w:ascii="宋体" w:hAnsi="宋体" w:cs="宋体"/>
          <w:color w:val="auto"/>
        </w:rPr>
      </w:pPr>
      <w:r>
        <w:rPr>
          <w:rFonts w:hint="eastAsia" w:ascii="宋体" w:hAnsi="宋体" w:cs="宋体"/>
          <w:szCs w:val="21"/>
        </w:rPr>
        <w:t>2） 投标人须制定针对本项目</w:t>
      </w:r>
      <w:r>
        <w:rPr>
          <w:rFonts w:hint="eastAsia" w:ascii="宋体" w:hAnsi="宋体" w:cs="宋体"/>
          <w:color w:val="auto"/>
          <w:szCs w:val="21"/>
        </w:rPr>
        <w:t>切实</w:t>
      </w:r>
      <w:r>
        <w:rPr>
          <w:rFonts w:hint="eastAsia" w:ascii="宋体" w:hAnsi="宋体" w:cs="宋体"/>
          <w:color w:val="auto"/>
        </w:rPr>
        <w:t>可行的项目实施方案，包括但不限于</w:t>
      </w:r>
      <w:r>
        <w:rPr>
          <w:rFonts w:hint="eastAsia" w:ascii="宋体" w:hAnsi="宋体" w:cs="宋体"/>
          <w:color w:val="auto"/>
          <w:kern w:val="0"/>
          <w:szCs w:val="21"/>
          <w:lang w:bidi="ar"/>
        </w:rPr>
        <w:t>项目需求的分析和理解以及重点难点的把握、</w:t>
      </w:r>
      <w:r>
        <w:rPr>
          <w:rFonts w:hint="eastAsia"/>
          <w:color w:val="auto"/>
        </w:rPr>
        <w:t>供货计划及供货流程、项目建设进度安排、制作</w:t>
      </w:r>
      <w:r>
        <w:rPr>
          <w:rFonts w:hint="eastAsia" w:ascii="宋体" w:hAnsi="宋体" w:cs="宋体"/>
          <w:color w:val="auto"/>
          <w:kern w:val="0"/>
          <w:szCs w:val="21"/>
          <w:lang w:bidi="ar"/>
        </w:rPr>
        <w:t>安装调试试运行</w:t>
      </w:r>
      <w:r>
        <w:rPr>
          <w:rFonts w:hint="eastAsia"/>
          <w:color w:val="auto"/>
        </w:rPr>
        <w:t>、人员配备、设备资源投入、环境匹配改造、质量保障措施、项目资料管理、应急预案</w:t>
      </w:r>
      <w:r>
        <w:rPr>
          <w:rFonts w:hint="eastAsia" w:ascii="宋体" w:hAnsi="宋体" w:cs="宋体"/>
          <w:color w:val="auto"/>
        </w:rPr>
        <w:t>等，并承诺中标后项目实施前报采购人认可后严格按照方案执行。</w:t>
      </w:r>
    </w:p>
    <w:p w14:paraId="4C2AE353">
      <w:pPr>
        <w:spacing w:line="420" w:lineRule="exact"/>
        <w:ind w:firstLine="420" w:firstLineChars="200"/>
        <w:rPr>
          <w:rFonts w:ascii="宋体" w:hAnsi="宋体" w:cs="宋体"/>
          <w:szCs w:val="21"/>
        </w:rPr>
      </w:pPr>
      <w:r>
        <w:rPr>
          <w:rFonts w:hint="eastAsia" w:ascii="宋体" w:hAnsi="宋体" w:cs="宋体"/>
          <w:color w:val="auto"/>
          <w:szCs w:val="21"/>
        </w:rPr>
        <w:t>3） 要建立安全责任制，确保项目实施过程不出现人身安全事故、火灾事故和设备损坏事故，因中标人的原因造成的一切责任、后果及费用由</w:t>
      </w:r>
      <w:r>
        <w:rPr>
          <w:rFonts w:hint="eastAsia" w:ascii="宋体" w:hAnsi="宋体" w:cs="宋体"/>
          <w:szCs w:val="21"/>
        </w:rPr>
        <w:t>中标人承担。</w:t>
      </w:r>
    </w:p>
    <w:p w14:paraId="14D6ECFF">
      <w:pPr>
        <w:spacing w:line="420" w:lineRule="exact"/>
        <w:ind w:firstLine="420" w:firstLineChars="200"/>
      </w:pPr>
      <w:r>
        <w:rPr>
          <w:rFonts w:hint="eastAsia" w:ascii="宋体" w:hAnsi="宋体" w:cs="宋体"/>
          <w:szCs w:val="21"/>
        </w:rPr>
        <w:t>4） 中标人须保护好项目现场内外的环境及卫生，材料及垃圾须集中堆放。负责及时清理垃圾，并将包装物及垃圾堆放至采购人指定地点。</w:t>
      </w:r>
    </w:p>
    <w:p w14:paraId="679C87CA">
      <w:pPr>
        <w:numPr>
          <w:ilvl w:val="0"/>
          <w:numId w:val="2"/>
        </w:numPr>
        <w:adjustRightInd w:val="0"/>
        <w:snapToGrid w:val="0"/>
        <w:spacing w:line="440" w:lineRule="exact"/>
        <w:rPr>
          <w:rFonts w:ascii="宋体" w:hAnsi="宋体" w:cs="宋体"/>
          <w:b/>
          <w:sz w:val="24"/>
        </w:rPr>
      </w:pPr>
      <w:r>
        <w:rPr>
          <w:rFonts w:hint="eastAsia" w:ascii="宋体" w:hAnsi="宋体" w:cs="宋体"/>
          <w:b/>
          <w:sz w:val="24"/>
        </w:rPr>
        <w:t>其他要求及说明：</w:t>
      </w:r>
    </w:p>
    <w:p w14:paraId="2AB4A904">
      <w:pPr>
        <w:spacing w:line="420" w:lineRule="exact"/>
        <w:ind w:firstLine="420" w:firstLineChars="200"/>
        <w:rPr>
          <w:rFonts w:ascii="宋体" w:hAnsi="宋体" w:cs="宋体"/>
        </w:rPr>
      </w:pPr>
      <w:r>
        <w:rPr>
          <w:rFonts w:hint="eastAsia" w:ascii="宋体" w:hAnsi="宋体" w:cs="宋体"/>
        </w:rPr>
        <w:t>1、投标产品应为制造商最新技术和最可靠产品，投标单位应在投标文件中明确标明产品名称型号及制造商（制造商应该具有独立法人资格的经济实体）。</w:t>
      </w:r>
    </w:p>
    <w:p w14:paraId="6D05CCC0">
      <w:pPr>
        <w:spacing w:line="420" w:lineRule="exact"/>
        <w:ind w:firstLine="420" w:firstLineChars="200"/>
        <w:rPr>
          <w:rFonts w:ascii="宋体" w:hAnsi="宋体" w:cs="宋体"/>
        </w:rPr>
      </w:pPr>
      <w:r>
        <w:rPr>
          <w:rFonts w:hint="eastAsia" w:ascii="宋体" w:hAnsi="宋体" w:cs="宋体"/>
        </w:rPr>
        <w:t>2、投标产品必须是原厂家生产的，新的未使用和未经修复的，必须符合国家规定的相应技术标准，并按相应的国家标准及行业规范完成所有产品及配套设施的制作、安装、调试、安装。必须严格按《产品质量法》实行三包。</w:t>
      </w:r>
    </w:p>
    <w:p w14:paraId="4261A69F">
      <w:pPr>
        <w:spacing w:line="420" w:lineRule="exact"/>
        <w:ind w:firstLine="420" w:firstLineChars="200"/>
        <w:rPr>
          <w:rFonts w:ascii="宋体" w:hAnsi="宋体" w:cs="宋体"/>
        </w:rPr>
      </w:pPr>
      <w:r>
        <w:rPr>
          <w:rFonts w:hint="eastAsia" w:ascii="宋体" w:hAnsi="宋体" w:cs="宋体"/>
        </w:rPr>
        <w:t>3、投标单位所投</w:t>
      </w:r>
      <w:r>
        <w:rPr>
          <w:rFonts w:hint="eastAsia" w:ascii="宋体" w:hAnsi="宋体"/>
          <w:szCs w:val="21"/>
        </w:rPr>
        <w:t>产品</w:t>
      </w:r>
      <w:r>
        <w:rPr>
          <w:rFonts w:hint="eastAsia" w:ascii="宋体" w:hAnsi="宋体" w:cs="宋体"/>
        </w:rPr>
        <w:t>应以招标文件的技术要求为标准，满足或者高于招标文件的技术要求内容。完整具备用户所要求的使用功能、产品标准以及本身应具有的所有使用功能。投标文件中各种参数必须真实可靠。投标人必须在承诺的交货期内到货。</w:t>
      </w:r>
    </w:p>
    <w:p w14:paraId="33663CF7">
      <w:pPr>
        <w:spacing w:line="420" w:lineRule="exact"/>
        <w:ind w:firstLine="420" w:firstLineChars="200"/>
        <w:rPr>
          <w:rFonts w:ascii="宋体" w:hAnsi="宋体" w:cs="宋体"/>
        </w:rPr>
      </w:pPr>
      <w:r>
        <w:rPr>
          <w:rFonts w:hint="eastAsia" w:ascii="宋体" w:hAnsi="宋体" w:cs="宋体"/>
        </w:rPr>
        <w:t>4、中标人须保证在</w:t>
      </w:r>
      <w:r>
        <w:rPr>
          <w:rFonts w:hint="eastAsia" w:ascii="宋体" w:hAnsi="宋体"/>
          <w:szCs w:val="21"/>
        </w:rPr>
        <w:t>产品和</w:t>
      </w:r>
      <w:r>
        <w:rPr>
          <w:rFonts w:hint="eastAsia" w:ascii="宋体" w:hAnsi="宋体" w:cs="宋体"/>
        </w:rPr>
        <w:t>配套设施的制作、安装过程中不影响</w:t>
      </w:r>
      <w:r>
        <w:rPr>
          <w:rFonts w:hint="eastAsia" w:ascii="宋体" w:hAnsi="宋体" w:cs="宋体"/>
          <w:lang w:eastAsia="zh-CN"/>
        </w:rPr>
        <w:t>湖南工程学院</w:t>
      </w:r>
      <w:r>
        <w:rPr>
          <w:rFonts w:hint="eastAsia" w:ascii="宋体" w:hAnsi="宋体" w:cs="宋体"/>
        </w:rPr>
        <w:t>的日常工作，不能对采购人及用户单位现有业务造成影响，遵守采购人相关规章制度，由于项目实施期间的不规范行为造成的一切安全问题及损失，由中标人承担全部责任。</w:t>
      </w:r>
    </w:p>
    <w:p w14:paraId="5926C129">
      <w:pPr>
        <w:spacing w:line="420" w:lineRule="exact"/>
        <w:ind w:firstLine="420" w:firstLineChars="200"/>
        <w:rPr>
          <w:rFonts w:ascii="宋体" w:hAnsi="宋体" w:cs="宋体"/>
        </w:rPr>
      </w:pPr>
      <w:r>
        <w:rPr>
          <w:rFonts w:hint="eastAsia" w:ascii="宋体" w:hAnsi="宋体" w:cs="宋体"/>
        </w:rPr>
        <w:t>5、各投标单位应严格按原出厂设置配备耗材及相关配件，并详细列明配置清单。</w:t>
      </w:r>
    </w:p>
    <w:p w14:paraId="0C332EEC">
      <w:pPr>
        <w:spacing w:line="420" w:lineRule="exact"/>
        <w:ind w:firstLine="420" w:firstLineChars="200"/>
        <w:rPr>
          <w:rFonts w:ascii="宋体" w:hAnsi="宋体" w:cs="宋体"/>
        </w:rPr>
      </w:pPr>
      <w:r>
        <w:rPr>
          <w:rFonts w:hint="eastAsia" w:ascii="宋体" w:hAnsi="宋体" w:cs="宋体"/>
        </w:rPr>
        <w:t>6、在项目实施期间要注意成品保护，在验收合格之前因投标人原因造成对项目现场的建筑物、构筑物、环保、绿化等破坏由投标人负责修复和赔偿。</w:t>
      </w:r>
    </w:p>
    <w:p w14:paraId="3612908E">
      <w:pPr>
        <w:spacing w:line="420" w:lineRule="exact"/>
        <w:ind w:firstLine="422" w:firstLineChars="200"/>
        <w:rPr>
          <w:rFonts w:ascii="宋体" w:hAnsi="宋体" w:cs="宋体"/>
          <w:b/>
          <w:bCs/>
        </w:rPr>
      </w:pPr>
      <w:r>
        <w:rPr>
          <w:rFonts w:hint="eastAsia" w:ascii="宋体" w:hAnsi="宋体" w:cs="宋体"/>
          <w:b/>
          <w:bCs/>
        </w:rPr>
        <w:t>7、投标单位应自行对项目现场和周围环境进行踏勘，以获取投标单位编制有关投标文件和签署合同时所需的有关资料。踏勘现场所发生的费用由投标单位自行承担，投标单位并应对由此次踏勘现场而造成的人身伤害、财产损失、损害以及任何其它损失、损害和引起的费用和开支承担责任。</w:t>
      </w:r>
    </w:p>
    <w:p w14:paraId="6A9AC345">
      <w:pPr>
        <w:numPr>
          <w:ilvl w:val="0"/>
          <w:numId w:val="2"/>
        </w:numPr>
        <w:adjustRightInd w:val="0"/>
        <w:snapToGrid w:val="0"/>
        <w:spacing w:line="440" w:lineRule="exact"/>
        <w:rPr>
          <w:rFonts w:ascii="宋体" w:hAnsi="宋体" w:cs="宋体"/>
          <w:b/>
          <w:sz w:val="24"/>
        </w:rPr>
      </w:pPr>
      <w:r>
        <w:rPr>
          <w:rFonts w:hint="eastAsia" w:ascii="宋体" w:hAnsi="宋体" w:cs="宋体"/>
          <w:b/>
          <w:sz w:val="24"/>
        </w:rPr>
        <w:t>验收</w:t>
      </w:r>
    </w:p>
    <w:p w14:paraId="04DAA2EF">
      <w:pPr>
        <w:spacing w:line="420" w:lineRule="exact"/>
        <w:ind w:firstLine="420" w:firstLineChars="200"/>
        <w:rPr>
          <w:rFonts w:ascii="宋体" w:hAnsi="宋体" w:cs="宋体"/>
        </w:rPr>
      </w:pPr>
      <w:r>
        <w:rPr>
          <w:rFonts w:hint="eastAsia" w:ascii="宋体" w:hAnsi="宋体" w:cs="宋体"/>
        </w:rPr>
        <w:t>1、货物到达采购人现场后，按照在采购人指定的时间在采购人指定现场进行开箱查验，按照安装顺序，在安装前通知采购人进行开箱查验。并向采购人提供以下资料：</w:t>
      </w:r>
    </w:p>
    <w:p w14:paraId="3BB04981">
      <w:pPr>
        <w:spacing w:line="420" w:lineRule="exact"/>
        <w:ind w:firstLine="420" w:firstLineChars="200"/>
        <w:rPr>
          <w:rFonts w:ascii="宋体" w:hAnsi="宋体" w:cs="宋体"/>
        </w:rPr>
      </w:pPr>
      <w:r>
        <w:rPr>
          <w:rFonts w:hint="eastAsia" w:ascii="宋体" w:hAnsi="宋体" w:cs="宋体"/>
        </w:rPr>
        <w:t>1）每个包装箱的外部应附有一套详细的装箱单正本、到货清单；</w:t>
      </w:r>
    </w:p>
    <w:p w14:paraId="38C349C3">
      <w:pPr>
        <w:spacing w:line="420" w:lineRule="exact"/>
        <w:ind w:firstLine="420" w:firstLineChars="200"/>
        <w:rPr>
          <w:rFonts w:ascii="宋体" w:hAnsi="宋体" w:cs="宋体"/>
        </w:rPr>
      </w:pPr>
      <w:r>
        <w:rPr>
          <w:rFonts w:hint="eastAsia" w:ascii="宋体" w:hAnsi="宋体" w:cs="宋体"/>
        </w:rPr>
        <w:t>2）产品操作手册、说明书；</w:t>
      </w:r>
    </w:p>
    <w:p w14:paraId="7DF8450A">
      <w:pPr>
        <w:spacing w:line="420" w:lineRule="exact"/>
        <w:ind w:firstLine="420" w:firstLineChars="200"/>
        <w:rPr>
          <w:rFonts w:ascii="宋体" w:hAnsi="宋体" w:cs="宋体"/>
        </w:rPr>
      </w:pPr>
      <w:r>
        <w:rPr>
          <w:rFonts w:hint="eastAsia" w:ascii="宋体" w:hAnsi="宋体" w:cs="宋体"/>
        </w:rPr>
        <w:t>3）出厂检验合格证书。</w:t>
      </w:r>
    </w:p>
    <w:p w14:paraId="40DA18FB">
      <w:pPr>
        <w:spacing w:line="420" w:lineRule="exact"/>
        <w:ind w:firstLine="420" w:firstLineChars="200"/>
        <w:rPr>
          <w:rFonts w:ascii="宋体" w:hAnsi="宋体" w:cs="宋体"/>
        </w:rPr>
      </w:pPr>
      <w:r>
        <w:rPr>
          <w:rFonts w:hint="eastAsia" w:ascii="宋体" w:hAnsi="宋体" w:cs="宋体"/>
        </w:rPr>
        <w:t>采购人按中标人提供的产品清单及检验产品合格证、使用说明书和其它的技术资料负责开箱检验、检查设备及随机附件是否完整无损，技术资料与图纸是否与采购人的要求相符，如有损坏、缺件等情况，中标人应在3日内更换新产品，相应的费用及责任由中标人自行负担。</w:t>
      </w:r>
    </w:p>
    <w:p w14:paraId="4BF8CF33">
      <w:pPr>
        <w:spacing w:line="420" w:lineRule="exact"/>
        <w:ind w:firstLine="420" w:firstLineChars="200"/>
        <w:rPr>
          <w:rFonts w:ascii="宋体" w:hAnsi="宋体" w:cs="宋体"/>
        </w:rPr>
      </w:pPr>
      <w:r>
        <w:rPr>
          <w:rFonts w:hint="eastAsia" w:ascii="宋体" w:hAnsi="宋体" w:cs="宋体"/>
        </w:rPr>
        <w:t>同时采购人有权组织相关部门人员抽检到场产品，看是否符合招标文件或投标文件的约定和承诺，中标人无条件配合采购人的检查并对检查后的设备及配件进行恢复至正常使用状态，所有费用由中标人承担。</w:t>
      </w:r>
    </w:p>
    <w:p w14:paraId="332A108A">
      <w:pPr>
        <w:spacing w:line="420" w:lineRule="exact"/>
        <w:ind w:firstLine="420" w:firstLineChars="200"/>
        <w:rPr>
          <w:rFonts w:ascii="宋体" w:hAnsi="宋体" w:cs="宋体"/>
        </w:rPr>
      </w:pPr>
      <w:r>
        <w:rPr>
          <w:rFonts w:hint="eastAsia" w:ascii="宋体" w:hAnsi="宋体" w:cs="宋体"/>
        </w:rPr>
        <w:t>2、验收标准：项目整体验收须按</w:t>
      </w:r>
      <w:r>
        <w:rPr>
          <w:rFonts w:hint="eastAsia" w:ascii="宋体" w:hAnsi="宋体" w:cs="宋体"/>
          <w:lang w:eastAsia="zh-CN"/>
        </w:rPr>
        <w:t>招标文件、</w:t>
      </w:r>
      <w:r>
        <w:rPr>
          <w:rFonts w:hint="eastAsia" w:ascii="宋体" w:hAnsi="宋体" w:cs="宋体"/>
        </w:rPr>
        <w:t>国家标准和规范及合同要求、投标文件中相关承诺进行。采购人代表有权自行组织或委托第三方检测机构进行有关的验收试验，验收所产生的费用由中标人承担。</w:t>
      </w:r>
    </w:p>
    <w:p w14:paraId="2076535C">
      <w:pPr>
        <w:spacing w:line="420" w:lineRule="exact"/>
        <w:ind w:firstLine="420" w:firstLineChars="200"/>
        <w:rPr>
          <w:rFonts w:ascii="宋体" w:hAnsi="宋体" w:cs="宋体"/>
          <w:color w:val="auto"/>
        </w:rPr>
      </w:pPr>
      <w:r>
        <w:rPr>
          <w:rFonts w:hint="eastAsia" w:ascii="宋体" w:hAnsi="宋体" w:cs="宋体"/>
        </w:rPr>
        <w:t>3、</w:t>
      </w:r>
      <w:r>
        <w:rPr>
          <w:rFonts w:hint="eastAsia" w:ascii="宋体" w:hAnsi="宋体"/>
          <w:szCs w:val="21"/>
        </w:rPr>
        <w:t>设备及</w:t>
      </w:r>
      <w:r>
        <w:rPr>
          <w:rFonts w:hint="eastAsia" w:ascii="宋体" w:hAnsi="宋体" w:cs="宋体"/>
        </w:rPr>
        <w:t>配套设施的各项技术性能须达到合同和相关技术文件规定的要求，须符合国家和行业的有关规定和标准。</w:t>
      </w:r>
    </w:p>
    <w:p w14:paraId="14DDA08B">
      <w:pPr>
        <w:spacing w:line="420" w:lineRule="exact"/>
        <w:ind w:firstLine="420" w:firstLineChars="200"/>
        <w:rPr>
          <w:rFonts w:ascii="宋体" w:hAnsi="宋体" w:cs="宋体"/>
          <w:color w:val="auto"/>
        </w:rPr>
      </w:pPr>
      <w:r>
        <w:rPr>
          <w:rFonts w:hint="eastAsia" w:ascii="宋体" w:hAnsi="宋体" w:cs="宋体"/>
          <w:color w:val="auto"/>
        </w:rPr>
        <w:t>4、项目完成后中标人应将项目有关的全部资</w:t>
      </w:r>
      <w:r>
        <w:rPr>
          <w:rFonts w:hint="eastAsia" w:ascii="宋体" w:hAnsi="宋体" w:cs="宋体"/>
          <w:color w:val="auto"/>
          <w:szCs w:val="21"/>
        </w:rPr>
        <w:t>料包括但不限于：</w:t>
      </w:r>
      <w:r>
        <w:rPr>
          <w:rFonts w:hint="eastAsia" w:ascii="宋体" w:hAnsi="宋体"/>
          <w:color w:val="auto"/>
        </w:rPr>
        <w:t>产品说明</w:t>
      </w:r>
      <w:r>
        <w:rPr>
          <w:rFonts w:hint="eastAsia" w:ascii="宋体" w:hAnsi="宋体" w:cs="宋体"/>
          <w:color w:val="auto"/>
        </w:rPr>
        <w:t>规格</w:t>
      </w:r>
      <w:r>
        <w:rPr>
          <w:rFonts w:hint="eastAsia" w:ascii="宋体" w:hAnsi="宋体"/>
          <w:color w:val="auto"/>
        </w:rPr>
        <w:t>书、安装手册</w:t>
      </w:r>
      <w:r>
        <w:rPr>
          <w:rFonts w:hint="eastAsia" w:ascii="宋体" w:hAnsi="宋体" w:cs="宋体"/>
          <w:color w:val="auto"/>
        </w:rPr>
        <w:t>、技术资料、第三方的检测报告，产品数量清单、系统数据专业文档</w:t>
      </w:r>
      <w:r>
        <w:rPr>
          <w:rFonts w:hint="eastAsia" w:ascii="宋体" w:hAnsi="宋体" w:cs="宋体"/>
          <w:color w:val="auto"/>
          <w:szCs w:val="21"/>
        </w:rPr>
        <w:t>等移交采购人。上述资料文件应编辑正确、组织合理、内容充实、容易理解，详尽描述所供货物的性能、原理、结构和尺寸，并包括部件的型号、规格、</w:t>
      </w:r>
      <w:r>
        <w:rPr>
          <w:rFonts w:hint="eastAsia" w:ascii="宋体" w:hAnsi="宋体" w:cs="宋体"/>
          <w:color w:val="auto"/>
        </w:rPr>
        <w:t>技术参数，保证采购人能够正确进行产品操作和使用。</w:t>
      </w:r>
    </w:p>
    <w:p w14:paraId="1A640EB6">
      <w:pPr>
        <w:spacing w:line="420" w:lineRule="exact"/>
        <w:ind w:firstLine="420" w:firstLineChars="200"/>
        <w:rPr>
          <w:rFonts w:ascii="宋体" w:hAnsi="宋体" w:cs="宋体"/>
        </w:rPr>
      </w:pPr>
      <w:r>
        <w:rPr>
          <w:rFonts w:hint="eastAsia" w:ascii="宋体" w:hAnsi="宋体" w:cs="宋体"/>
          <w:color w:val="auto"/>
          <w:szCs w:val="21"/>
        </w:rPr>
        <w:t>5、在验收过程中产生纠纷的，由质量技术监督部</w:t>
      </w:r>
      <w:r>
        <w:rPr>
          <w:rFonts w:hint="eastAsia" w:ascii="宋体" w:hAnsi="宋体" w:cs="宋体"/>
        </w:rPr>
        <w:t>门认定的检测机构检测,如检测结论为中标人不符合招标文件规定的技术参数要求以及规范要求，则由中标人按合同要求重新提供产品或重新进行安装调试，并承担所有费用，赔偿采购人的损失；</w:t>
      </w:r>
    </w:p>
    <w:p w14:paraId="00615E13">
      <w:pPr>
        <w:spacing w:line="420" w:lineRule="exact"/>
        <w:ind w:firstLine="420" w:firstLineChars="200"/>
        <w:rPr>
          <w:rFonts w:ascii="宋体" w:hAnsi="宋体" w:cs="宋体"/>
        </w:rPr>
      </w:pPr>
      <w:r>
        <w:rPr>
          <w:rFonts w:hint="eastAsia" w:ascii="宋体" w:hAnsi="宋体" w:cs="宋体"/>
        </w:rPr>
        <w:t>6、最终验收时间以签订的采购合同为准。项目验收不合格，由中标人返工直至合格，有关返工、再行验收以及给采购人造成的损失等费用由中标人承担。因中标人原因不能按规定交货期验收的，每延误一天，中标人按迟交货物金额的</w:t>
      </w:r>
      <w:r>
        <w:rPr>
          <w:rFonts w:ascii="宋体" w:hAnsi="宋体" w:cs="宋体"/>
        </w:rPr>
        <w:t>5</w:t>
      </w:r>
      <w:r>
        <w:rPr>
          <w:rFonts w:hint="eastAsia" w:ascii="宋体" w:hAnsi="宋体" w:cs="宋体"/>
        </w:rPr>
        <w:t>‰向采购人支付违约金。连续两次项目验收不合格的，采购人可终止合同，由此带来的一切损失由中标人承担，并给予采购人相应的赔偿。</w:t>
      </w:r>
    </w:p>
    <w:p w14:paraId="3C4BE6AF">
      <w:pPr>
        <w:numPr>
          <w:ilvl w:val="0"/>
          <w:numId w:val="2"/>
        </w:numPr>
        <w:adjustRightInd w:val="0"/>
        <w:snapToGrid w:val="0"/>
        <w:spacing w:line="440" w:lineRule="exact"/>
        <w:rPr>
          <w:rFonts w:ascii="宋体" w:hAnsi="宋体" w:cs="宋体"/>
          <w:b/>
          <w:sz w:val="24"/>
        </w:rPr>
      </w:pPr>
      <w:r>
        <w:rPr>
          <w:rFonts w:hint="eastAsia" w:ascii="宋体" w:hAnsi="宋体" w:cs="宋体"/>
          <w:b/>
          <w:sz w:val="24"/>
        </w:rPr>
        <w:t>培训、保修及售后服务要求</w:t>
      </w:r>
    </w:p>
    <w:p w14:paraId="34FEF9BA">
      <w:pPr>
        <w:spacing w:line="420" w:lineRule="exact"/>
        <w:ind w:firstLine="420" w:firstLineChars="200"/>
        <w:rPr>
          <w:rFonts w:ascii="宋体" w:hAnsi="宋体" w:cs="宋体"/>
        </w:rPr>
      </w:pPr>
      <w:r>
        <w:rPr>
          <w:rFonts w:hint="eastAsia" w:ascii="宋体" w:hAnsi="宋体" w:cs="宋体"/>
        </w:rPr>
        <w:t>1、培训</w:t>
      </w:r>
    </w:p>
    <w:p w14:paraId="42FDADBF">
      <w:pPr>
        <w:spacing w:line="420" w:lineRule="exact"/>
        <w:ind w:firstLine="420" w:firstLineChars="200"/>
        <w:rPr>
          <w:rFonts w:ascii="宋体" w:hAnsi="宋体" w:cs="宋体"/>
        </w:rPr>
      </w:pPr>
      <w:r>
        <w:rPr>
          <w:rFonts w:hint="eastAsia" w:ascii="宋体" w:hAnsi="宋体" w:cs="宋体"/>
        </w:rPr>
        <w:t>1）中标人负责就设备及配套设施的检验、调试使用和维护、操作，</w:t>
      </w:r>
      <w:r>
        <w:rPr>
          <w:rFonts w:hint="eastAsia" w:ascii="宋体" w:hAnsi="宋体" w:cs="宋体"/>
          <w:lang w:eastAsia="zh-CN"/>
        </w:rPr>
        <w:t>根据采购人要求</w:t>
      </w:r>
      <w:r>
        <w:rPr>
          <w:rFonts w:hint="eastAsia" w:ascii="宋体" w:hAnsi="宋体" w:cs="宋体"/>
        </w:rPr>
        <w:t>在采购人指定的地点</w:t>
      </w:r>
      <w:r>
        <w:rPr>
          <w:rFonts w:hint="eastAsia" w:ascii="宋体" w:hAnsi="宋体" w:cs="宋体"/>
          <w:szCs w:val="21"/>
        </w:rPr>
        <w:t>安排</w:t>
      </w:r>
      <w:r>
        <w:rPr>
          <w:rFonts w:hint="eastAsia" w:ascii="宋体" w:hAnsi="宋体" w:cs="宋体"/>
        </w:rPr>
        <w:t>免费培训采购人技术人员进行操作、维修、保养等，至能独立操作，简单故障的排除。培训时间及人员须经采购人同意后，方可实施。</w:t>
      </w:r>
    </w:p>
    <w:p w14:paraId="53A10DC7">
      <w:pPr>
        <w:spacing w:line="420" w:lineRule="exact"/>
        <w:ind w:firstLine="420" w:firstLineChars="200"/>
        <w:rPr>
          <w:rFonts w:ascii="宋体" w:hAnsi="宋体" w:cs="宋体"/>
        </w:rPr>
      </w:pPr>
      <w:r>
        <w:rPr>
          <w:rFonts w:hint="eastAsia" w:ascii="宋体" w:hAnsi="宋体" w:cs="宋体"/>
        </w:rPr>
        <w:t>2）中标人应配合采购人的工作人员参与</w:t>
      </w:r>
      <w:r>
        <w:rPr>
          <w:rFonts w:hint="eastAsia" w:ascii="宋体" w:hAnsi="宋体"/>
          <w:szCs w:val="21"/>
        </w:rPr>
        <w:t>设备及</w:t>
      </w:r>
      <w:r>
        <w:rPr>
          <w:rFonts w:hint="eastAsia" w:ascii="宋体" w:hAnsi="宋体" w:cs="宋体"/>
        </w:rPr>
        <w:t>配套设施的安装与对接、系统与设备运行环境匹配改造、测试联调、数据对接、诊断及解决问题等各项工作。对操作人员的培训内容至少应包括操作和维护措施及故障应急措施，</w:t>
      </w:r>
    </w:p>
    <w:p w14:paraId="0713CEF2">
      <w:pPr>
        <w:spacing w:line="420" w:lineRule="exact"/>
        <w:ind w:firstLine="420" w:firstLineChars="200"/>
        <w:rPr>
          <w:rFonts w:ascii="宋体" w:hAnsi="宋体" w:cs="宋体"/>
        </w:rPr>
      </w:pPr>
      <w:r>
        <w:rPr>
          <w:rFonts w:hint="eastAsia" w:ascii="宋体" w:hAnsi="宋体" w:cs="宋体"/>
        </w:rPr>
        <w:t>2、保修：</w:t>
      </w:r>
    </w:p>
    <w:p w14:paraId="7C6A483F">
      <w:pPr>
        <w:spacing w:line="420" w:lineRule="exact"/>
        <w:ind w:firstLine="420" w:firstLineChars="200"/>
        <w:rPr>
          <w:rFonts w:ascii="宋体" w:hAnsi="宋体" w:cs="宋体"/>
        </w:rPr>
      </w:pPr>
      <w:r>
        <w:rPr>
          <w:rFonts w:hint="eastAsia" w:ascii="宋体" w:hAnsi="宋体" w:cs="宋体"/>
          <w:color w:val="auto"/>
        </w:rPr>
        <w:t>1）本项目整体免费质保期为</w:t>
      </w:r>
      <w:r>
        <w:rPr>
          <w:rFonts w:hint="eastAsia" w:ascii="宋体" w:hAnsi="宋体" w:cs="宋体"/>
          <w:color w:val="auto"/>
          <w:lang w:eastAsia="zh-CN"/>
        </w:rPr>
        <w:t>三</w:t>
      </w:r>
      <w:r>
        <w:rPr>
          <w:rFonts w:hint="eastAsia" w:ascii="宋体" w:hAnsi="宋体" w:cs="宋体"/>
          <w:color w:val="auto"/>
        </w:rPr>
        <w:t>年（第二节技术要求中另有要求的以技术要求为准）。自产品安装验收合格之日起开始计算。包括但不限于所投设备功能完善、性能提升、软件</w:t>
      </w:r>
      <w:r>
        <w:rPr>
          <w:rFonts w:hint="eastAsia" w:ascii="宋体" w:hAnsi="宋体" w:cs="宋体"/>
        </w:rPr>
        <w:t>升级、可能涉及的故障检测、免费维修等。质保期内</w:t>
      </w:r>
      <w:r>
        <w:rPr>
          <w:rFonts w:hint="eastAsia" w:ascii="宋体" w:hAnsi="宋体" w:eastAsia="宋体" w:cs="宋体"/>
          <w:b w:val="0"/>
          <w:bCs w:val="0"/>
          <w:color w:val="000000"/>
          <w:sz w:val="21"/>
          <w:szCs w:val="21"/>
        </w:rPr>
        <w:t>出现任何质量问题（人为破坏或自然灾害等不可抗力除外），由中标人负责全免费（免全部工时费、材料费、管理费、财务费等）</w:t>
      </w:r>
      <w:r>
        <w:rPr>
          <w:rFonts w:hint="eastAsia" w:ascii="宋体" w:hAnsi="宋体" w:cs="宋体"/>
        </w:rPr>
        <w:t>提供所有所投设备、配套设施及系统的上门保修和升级维护服务，免费提供所有备品备件的更换和安装，并进行终身维护。在中标人承诺的质保期满后，</w:t>
      </w:r>
      <w:r>
        <w:rPr>
          <w:rFonts w:hint="eastAsia" w:ascii="宋体" w:hAnsi="宋体" w:eastAsia="宋体" w:cs="宋体"/>
          <w:b w:val="0"/>
          <w:bCs w:val="0"/>
          <w:color w:val="000000"/>
          <w:sz w:val="21"/>
          <w:szCs w:val="21"/>
        </w:rPr>
        <w:t>无论</w:t>
      </w:r>
      <w:r>
        <w:rPr>
          <w:rFonts w:hint="eastAsia" w:ascii="宋体" w:hAnsi="宋体" w:eastAsia="宋体" w:cs="宋体"/>
          <w:b w:val="0"/>
          <w:bCs w:val="0"/>
          <w:color w:val="000000"/>
          <w:sz w:val="21"/>
          <w:szCs w:val="21"/>
          <w:lang w:eastAsia="zh-CN"/>
        </w:rPr>
        <w:t>采购</w:t>
      </w:r>
      <w:r>
        <w:rPr>
          <w:rFonts w:hint="eastAsia" w:ascii="宋体" w:hAnsi="宋体" w:eastAsia="宋体" w:cs="宋体"/>
          <w:b w:val="0"/>
          <w:bCs w:val="0"/>
          <w:color w:val="000000"/>
          <w:sz w:val="21"/>
          <w:szCs w:val="21"/>
        </w:rPr>
        <w:t>人是否另行选择维保供应商</w:t>
      </w:r>
      <w:r>
        <w:rPr>
          <w:rFonts w:hint="eastAsia" w:ascii="宋体" w:hAnsi="宋体" w:eastAsia="宋体" w:cs="宋体"/>
          <w:b w:val="0"/>
          <w:bCs w:val="0"/>
          <w:color w:val="000000"/>
          <w:sz w:val="21"/>
          <w:szCs w:val="21"/>
          <w:lang w:eastAsia="zh-CN"/>
        </w:rPr>
        <w:t>，</w:t>
      </w:r>
      <w:r>
        <w:rPr>
          <w:rFonts w:hint="eastAsia" w:ascii="宋体" w:hAnsi="宋体" w:cs="宋体"/>
        </w:rPr>
        <w:t>中标人应及时优惠提供所需的备品备件、软件终身免费升级等服务。未说明部分，按中华人民共和国售后服务相关规定执行。</w:t>
      </w:r>
    </w:p>
    <w:p w14:paraId="2B244CD8">
      <w:pPr>
        <w:spacing w:line="420" w:lineRule="exact"/>
        <w:ind w:firstLine="420" w:firstLineChars="200"/>
        <w:rPr>
          <w:rFonts w:ascii="宋体" w:hAnsi="宋体" w:cs="宋体"/>
        </w:rPr>
      </w:pPr>
      <w:r>
        <w:rPr>
          <w:rFonts w:hint="eastAsia" w:ascii="宋体" w:hAnsi="宋体" w:cs="宋体"/>
        </w:rPr>
        <w:t>2）</w:t>
      </w:r>
      <w:r>
        <w:rPr>
          <w:rFonts w:ascii="宋体" w:hAnsi="宋体" w:cs="宋体"/>
        </w:rPr>
        <w:t>在安装、调试过程中，如由于</w:t>
      </w:r>
      <w:r>
        <w:rPr>
          <w:rFonts w:hint="eastAsia" w:ascii="宋体" w:hAnsi="宋体" w:cs="宋体"/>
        </w:rPr>
        <w:t>中标人操作不规范</w:t>
      </w:r>
      <w:r>
        <w:rPr>
          <w:rFonts w:ascii="宋体" w:hAnsi="宋体" w:cs="宋体"/>
        </w:rPr>
        <w:t>导致安装、调试不成功和（或）造成合同</w:t>
      </w:r>
      <w:r>
        <w:rPr>
          <w:rFonts w:hint="eastAsia" w:ascii="宋体" w:hAnsi="宋体" w:cs="宋体"/>
        </w:rPr>
        <w:t>货物</w:t>
      </w:r>
      <w:r>
        <w:rPr>
          <w:rFonts w:ascii="宋体" w:hAnsi="宋体" w:cs="宋体"/>
        </w:rPr>
        <w:t>损坏的情况，</w:t>
      </w:r>
      <w:r>
        <w:rPr>
          <w:rFonts w:hint="eastAsia" w:ascii="宋体" w:hAnsi="宋体" w:cs="宋体"/>
        </w:rPr>
        <w:t>中标人</w:t>
      </w:r>
      <w:r>
        <w:rPr>
          <w:rFonts w:ascii="宋体" w:hAnsi="宋体" w:cs="宋体"/>
        </w:rPr>
        <w:t>应承担</w:t>
      </w:r>
      <w:r>
        <w:rPr>
          <w:rFonts w:hint="eastAsia" w:ascii="宋体" w:hAnsi="宋体" w:cs="宋体"/>
        </w:rPr>
        <w:t>所有连带</w:t>
      </w:r>
      <w:r>
        <w:rPr>
          <w:rFonts w:ascii="宋体" w:hAnsi="宋体" w:cs="宋体"/>
        </w:rPr>
        <w:t>责任。</w:t>
      </w:r>
    </w:p>
    <w:p w14:paraId="602CF077">
      <w:pPr>
        <w:spacing w:line="420" w:lineRule="exact"/>
        <w:ind w:firstLine="420" w:firstLineChars="200"/>
        <w:rPr>
          <w:rFonts w:ascii="宋体" w:hAnsi="宋体" w:cs="宋体"/>
        </w:rPr>
      </w:pPr>
      <w:r>
        <w:rPr>
          <w:rFonts w:hint="eastAsia" w:ascii="宋体" w:hAnsi="宋体" w:cs="宋体"/>
        </w:rPr>
        <w:t>3）保修期结束前，需由中标人和采购人进行一次全面检查，任何缺陷由中标人负责修理，在修复之后，中标人将缺陷原因、修理内容、完成修理及恢复正常的时间和日期等报告给采购人，报告一式两份。</w:t>
      </w:r>
    </w:p>
    <w:p w14:paraId="39D9A613">
      <w:pPr>
        <w:spacing w:line="420" w:lineRule="exact"/>
        <w:ind w:firstLine="420" w:firstLineChars="200"/>
        <w:rPr>
          <w:rFonts w:ascii="宋体" w:hAnsi="宋体" w:cs="宋体"/>
        </w:rPr>
      </w:pPr>
      <w:r>
        <w:rPr>
          <w:rFonts w:hint="eastAsia" w:ascii="宋体" w:hAnsi="宋体" w:cs="宋体"/>
        </w:rPr>
        <w:t>4）质保期满后解决故障的响应时间和质保期内一样，仍应在</w:t>
      </w:r>
      <w:r>
        <w:rPr>
          <w:rFonts w:hint="eastAsia" w:ascii="宋体" w:hAnsi="宋体" w:cs="宋体"/>
          <w:lang w:val="en-US" w:eastAsia="zh-CN"/>
        </w:rPr>
        <w:t>1</w:t>
      </w:r>
      <w:r>
        <w:rPr>
          <w:rFonts w:hint="eastAsia" w:ascii="宋体" w:hAnsi="宋体" w:cs="宋体"/>
        </w:rPr>
        <w:t>小时内响应、赶到采购人现场。设备出现故障需更换配件，维修时只收取零配件成本费用，免收其他费用。</w:t>
      </w:r>
    </w:p>
    <w:p w14:paraId="2EAFF672">
      <w:pPr>
        <w:spacing w:line="420" w:lineRule="exact"/>
        <w:ind w:firstLine="420" w:firstLineChars="200"/>
        <w:rPr>
          <w:rFonts w:ascii="宋体" w:hAnsi="宋体" w:cs="宋体"/>
        </w:rPr>
      </w:pPr>
      <w:r>
        <w:rPr>
          <w:rFonts w:hint="eastAsia" w:ascii="宋体" w:hAnsi="宋体" w:cs="宋体"/>
        </w:rPr>
        <w:t>3、售后服务：</w:t>
      </w:r>
    </w:p>
    <w:p w14:paraId="416BC355">
      <w:pPr>
        <w:spacing w:line="420" w:lineRule="exact"/>
        <w:ind w:firstLine="420" w:firstLineChars="200"/>
      </w:pPr>
      <w:r>
        <w:rPr>
          <w:rFonts w:hint="eastAsia" w:ascii="宋体" w:hAnsi="宋体" w:cs="宋体"/>
        </w:rPr>
        <w:t>1）现场维护服务：设置7*24小时报修电话，如发生异常，中标人在接到采购人通知后立即响应，</w:t>
      </w:r>
      <w:r>
        <w:rPr>
          <w:rFonts w:hint="eastAsia" w:ascii="宋体" w:hAnsi="宋体" w:cs="宋体"/>
          <w:lang w:val="en-US" w:eastAsia="zh-CN"/>
        </w:rPr>
        <w:t>1</w:t>
      </w:r>
      <w:r>
        <w:rPr>
          <w:rFonts w:hint="eastAsia" w:ascii="宋体" w:hAnsi="宋体" w:cs="宋体"/>
        </w:rPr>
        <w:t>小时技术人员到达现场，向采购人提供现场维修服务，</w:t>
      </w:r>
      <w:r>
        <w:rPr>
          <w:rFonts w:hint="eastAsia" w:ascii="宋体" w:hAnsi="宋体" w:cs="宋体"/>
          <w:szCs w:val="21"/>
        </w:rPr>
        <w:t>8小时内免费</w:t>
      </w:r>
      <w:r>
        <w:rPr>
          <w:rFonts w:hint="eastAsia" w:ascii="宋体" w:hAnsi="宋体" w:cs="宋体"/>
        </w:rPr>
        <w:t>排除故障（重大故障24小时内排除），确保不影响采购人的正常使用（第二节技术要求中另有要求的以技术要求为准）。若24小时不能排除故障，须提供备用产品，满足采购人工作需求。（</w:t>
      </w:r>
      <w:r>
        <w:rPr>
          <w:rFonts w:hint="eastAsia" w:ascii="宋体" w:hAnsi="宋体" w:cs="宋体"/>
          <w:lang w:val="zh-CN"/>
        </w:rPr>
        <w:t>特殊时期提供技术人员值守服务）</w:t>
      </w:r>
      <w:r>
        <w:rPr>
          <w:rFonts w:hint="eastAsia" w:ascii="宋体" w:hAnsi="宋体" w:cs="宋体"/>
        </w:rPr>
        <w:t>货物的质量保修期自然顺延。如果中标人收到采购人通知后，未在规定的响应时间内赶到现场弥补缺陷，采购人可采取必要的补救措施，但风险和费用全部由中标人承担，并从合同款项中抵扣。</w:t>
      </w:r>
    </w:p>
    <w:p w14:paraId="14D6CA2A">
      <w:pPr>
        <w:spacing w:line="420" w:lineRule="exact"/>
        <w:ind w:firstLine="420" w:firstLineChars="200"/>
        <w:rPr>
          <w:rFonts w:ascii="宋体" w:hAnsi="宋体" w:cs="宋体"/>
        </w:rPr>
      </w:pPr>
      <w:r>
        <w:rPr>
          <w:rFonts w:hint="eastAsia" w:ascii="宋体" w:hAnsi="宋体" w:cs="宋体"/>
        </w:rPr>
        <w:t>2）技术咨询服务：提供电话、邮件、网络等方式咨询服务</w:t>
      </w:r>
      <w:r>
        <w:rPr>
          <w:rFonts w:hint="eastAsia" w:ascii="宋体" w:hAnsi="宋体"/>
          <w:szCs w:val="21"/>
        </w:rPr>
        <w:t>（</w:t>
      </w:r>
      <w:r>
        <w:rPr>
          <w:rFonts w:ascii="宋体" w:hAnsi="宋体"/>
          <w:szCs w:val="21"/>
        </w:rPr>
        <w:t>12</w:t>
      </w:r>
      <w:r>
        <w:rPr>
          <w:rFonts w:hint="eastAsia" w:ascii="宋体" w:hAnsi="宋体"/>
          <w:szCs w:val="21"/>
        </w:rPr>
        <w:t>个月每天</w:t>
      </w:r>
      <w:r>
        <w:rPr>
          <w:rFonts w:ascii="宋体" w:hAnsi="宋体"/>
          <w:szCs w:val="21"/>
        </w:rPr>
        <w:t>24</w:t>
      </w:r>
      <w:r>
        <w:rPr>
          <w:rFonts w:hint="eastAsia" w:ascii="宋体" w:hAnsi="宋体"/>
          <w:szCs w:val="21"/>
        </w:rPr>
        <w:t>小时）</w:t>
      </w:r>
      <w:r>
        <w:rPr>
          <w:rFonts w:hint="eastAsia" w:ascii="宋体" w:hAnsi="宋体" w:cs="宋体"/>
        </w:rPr>
        <w:t>，要求即时回复。</w:t>
      </w:r>
    </w:p>
    <w:p w14:paraId="6A08F31C">
      <w:pPr>
        <w:numPr>
          <w:ilvl w:val="0"/>
          <w:numId w:val="2"/>
        </w:numPr>
        <w:adjustRightInd w:val="0"/>
        <w:snapToGrid w:val="0"/>
        <w:spacing w:line="440" w:lineRule="exact"/>
        <w:rPr>
          <w:rFonts w:ascii="宋体" w:hAnsi="宋体" w:cs="宋体"/>
          <w:b/>
          <w:szCs w:val="21"/>
        </w:rPr>
      </w:pPr>
      <w:r>
        <w:rPr>
          <w:rFonts w:hint="eastAsia" w:ascii="宋体" w:hAnsi="宋体" w:cs="宋体"/>
          <w:b/>
          <w:szCs w:val="21"/>
        </w:rPr>
        <w:t>履行合同的时间、地点及方式：</w:t>
      </w:r>
    </w:p>
    <w:p w14:paraId="7704474E">
      <w:pPr>
        <w:spacing w:line="420" w:lineRule="exact"/>
        <w:ind w:firstLine="420" w:firstLineChars="200"/>
        <w:rPr>
          <w:rFonts w:ascii="宋体" w:hAnsi="宋体" w:cs="宋体"/>
          <w:color w:val="auto"/>
        </w:rPr>
      </w:pPr>
      <w:r>
        <w:rPr>
          <w:rFonts w:hint="eastAsia" w:ascii="宋体" w:hAnsi="宋体" w:cs="宋体"/>
          <w:color w:val="auto"/>
        </w:rPr>
        <w:t>1、</w:t>
      </w:r>
      <w:r>
        <w:rPr>
          <w:rFonts w:hint="eastAsia" w:ascii="宋体" w:hAnsi="宋体"/>
          <w:b/>
          <w:bCs/>
          <w:color w:val="auto"/>
          <w:szCs w:val="21"/>
        </w:rPr>
        <w:t>★</w:t>
      </w:r>
      <w:r>
        <w:rPr>
          <w:rFonts w:hint="eastAsia" w:ascii="宋体" w:hAnsi="宋体" w:cs="宋体"/>
          <w:color w:val="auto"/>
        </w:rPr>
        <w:t>交货时间：</w:t>
      </w:r>
      <w:r>
        <w:rPr>
          <w:rFonts w:hint="eastAsia" w:ascii="宋体" w:hAnsi="宋体" w:cs="宋体"/>
          <w:color w:val="auto"/>
          <w:lang w:eastAsia="zh-CN"/>
        </w:rPr>
        <w:t>自合同签订起60日历日内完成设备及配套设施的安装、调试、试运行并经验收合格交付采购人使用</w:t>
      </w:r>
      <w:r>
        <w:rPr>
          <w:rFonts w:hint="eastAsia" w:ascii="宋体" w:hAnsi="宋体" w:cs="宋体"/>
          <w:color w:val="auto"/>
        </w:rPr>
        <w:t>。</w:t>
      </w:r>
    </w:p>
    <w:p w14:paraId="17D86970">
      <w:pPr>
        <w:spacing w:line="420" w:lineRule="exact"/>
        <w:ind w:firstLine="420" w:firstLineChars="200"/>
        <w:rPr>
          <w:rFonts w:ascii="宋体" w:hAnsi="宋体" w:cs="宋体"/>
          <w:color w:val="auto"/>
        </w:rPr>
      </w:pPr>
      <w:r>
        <w:rPr>
          <w:rFonts w:hint="eastAsia" w:ascii="宋体" w:hAnsi="宋体" w:cs="宋体"/>
          <w:color w:val="auto"/>
        </w:rPr>
        <w:t>2、供货地点：</w:t>
      </w:r>
      <w:r>
        <w:rPr>
          <w:rFonts w:hint="eastAsia" w:ascii="宋体" w:hAnsi="宋体" w:cs="宋体"/>
          <w:color w:val="auto"/>
          <w:lang w:eastAsia="zh-CN"/>
        </w:rPr>
        <w:t>湖南工程学院</w:t>
      </w:r>
      <w:r>
        <w:rPr>
          <w:rFonts w:hint="eastAsia" w:ascii="宋体" w:hAnsi="宋体" w:cs="宋体"/>
          <w:color w:val="auto"/>
        </w:rPr>
        <w:t>指定地点。</w:t>
      </w:r>
    </w:p>
    <w:p w14:paraId="2CA9CC1B">
      <w:pPr>
        <w:spacing w:line="420" w:lineRule="exact"/>
        <w:ind w:firstLine="420" w:firstLineChars="200"/>
        <w:rPr>
          <w:rFonts w:ascii="宋体" w:hAnsi="宋体" w:cs="宋体"/>
          <w:color w:val="auto"/>
        </w:rPr>
      </w:pPr>
      <w:r>
        <w:rPr>
          <w:rFonts w:hint="eastAsia" w:ascii="宋体" w:hAnsi="宋体" w:cs="宋体"/>
          <w:color w:val="auto"/>
        </w:rPr>
        <w:t>3、供货方式：免费货到采购人指定校内位置，包括货物、运输、安装、调试运行、直至验收合格（交钥匙项目）。</w:t>
      </w:r>
    </w:p>
    <w:p w14:paraId="40A11454">
      <w:pPr>
        <w:numPr>
          <w:ilvl w:val="0"/>
          <w:numId w:val="2"/>
        </w:numPr>
        <w:adjustRightInd w:val="0"/>
        <w:snapToGrid w:val="0"/>
        <w:spacing w:line="440" w:lineRule="exact"/>
        <w:rPr>
          <w:rFonts w:ascii="宋体" w:hAnsi="宋体" w:cs="宋体"/>
          <w:b/>
          <w:color w:val="auto"/>
          <w:szCs w:val="21"/>
        </w:rPr>
      </w:pPr>
      <w:r>
        <w:rPr>
          <w:rFonts w:hint="eastAsia" w:ascii="宋体" w:hAnsi="宋体" w:cs="宋体"/>
          <w:b/>
          <w:color w:val="auto"/>
          <w:szCs w:val="21"/>
        </w:rPr>
        <w:t>付款方式</w:t>
      </w:r>
    </w:p>
    <w:p w14:paraId="6F156E04">
      <w:pPr>
        <w:spacing w:line="420" w:lineRule="exact"/>
        <w:ind w:left="420" w:leftChars="200"/>
        <w:rPr>
          <w:rFonts w:hint="eastAsia" w:ascii="宋体" w:hAnsi="宋体" w:eastAsia="宋体" w:cs="宋体"/>
          <w:color w:val="auto"/>
          <w:lang w:eastAsia="zh-CN"/>
        </w:rPr>
      </w:pPr>
      <w:r>
        <w:rPr>
          <w:rFonts w:hint="eastAsia" w:ascii="宋体" w:hAnsi="宋体" w:cs="宋体"/>
          <w:color w:val="auto"/>
        </w:rPr>
        <w:t>付款人：</w:t>
      </w:r>
      <w:r>
        <w:rPr>
          <w:rFonts w:hint="eastAsia" w:ascii="宋体" w:hAnsi="宋体" w:cs="宋体"/>
          <w:color w:val="auto"/>
          <w:lang w:eastAsia="zh-CN"/>
        </w:rPr>
        <w:t>湖南工程学院</w:t>
      </w:r>
    </w:p>
    <w:p w14:paraId="03E9781B">
      <w:pPr>
        <w:spacing w:line="420" w:lineRule="exact"/>
        <w:ind w:left="420" w:leftChars="200"/>
        <w:rPr>
          <w:rFonts w:ascii="宋体" w:hAnsi="宋体" w:cs="宋体"/>
          <w:color w:val="auto"/>
        </w:rPr>
      </w:pPr>
      <w:r>
        <w:rPr>
          <w:rFonts w:hint="eastAsia" w:ascii="宋体" w:hAnsi="宋体" w:cs="宋体"/>
          <w:color w:val="auto"/>
        </w:rPr>
        <w:t>付款方式：</w:t>
      </w:r>
    </w:p>
    <w:p w14:paraId="45D553F1">
      <w:pPr>
        <w:spacing w:line="420" w:lineRule="exact"/>
        <w:ind w:firstLine="424" w:firstLineChars="202"/>
        <w:rPr>
          <w:rFonts w:hint="eastAsia" w:ascii="宋体" w:hAnsi="宋体" w:cs="宋体"/>
          <w:lang w:eastAsia="zh-CN"/>
        </w:rPr>
      </w:pPr>
      <w:r>
        <w:rPr>
          <w:rFonts w:hint="eastAsia" w:ascii="宋体" w:hAnsi="宋体" w:cs="宋体"/>
        </w:rPr>
        <w:t>1、经验收合格后，</w:t>
      </w:r>
      <w:r>
        <w:rPr>
          <w:rFonts w:hint="eastAsia" w:ascii="宋体" w:hAnsi="宋体" w:cs="宋体"/>
          <w:lang w:eastAsia="zh-CN"/>
        </w:rPr>
        <w:t>湖南工程学院</w:t>
      </w:r>
      <w:r>
        <w:rPr>
          <w:rFonts w:hint="eastAsia" w:ascii="宋体" w:hAnsi="宋体" w:cs="宋体"/>
        </w:rPr>
        <w:t>向</w:t>
      </w:r>
      <w:r>
        <w:rPr>
          <w:rFonts w:hint="eastAsia" w:ascii="宋体" w:hAnsi="宋体" w:cs="宋体"/>
          <w:lang w:eastAsia="zh-CN"/>
        </w:rPr>
        <w:t>中标人</w:t>
      </w:r>
      <w:r>
        <w:rPr>
          <w:rFonts w:hint="eastAsia" w:ascii="宋体" w:hAnsi="宋体" w:cs="宋体"/>
        </w:rPr>
        <w:t>支付</w:t>
      </w:r>
      <w:r>
        <w:rPr>
          <w:rFonts w:hint="eastAsia" w:ascii="宋体" w:hAnsi="宋体" w:cs="宋体"/>
          <w:lang w:val="en-US" w:eastAsia="zh-CN"/>
        </w:rPr>
        <w:t>100</w:t>
      </w:r>
      <w:r>
        <w:rPr>
          <w:rFonts w:hint="eastAsia" w:ascii="宋体" w:hAnsi="宋体" w:cs="宋体"/>
        </w:rPr>
        <w:t>%的合同款</w:t>
      </w:r>
      <w:r>
        <w:rPr>
          <w:rFonts w:hint="eastAsia" w:ascii="宋体" w:hAnsi="宋体" w:cs="宋体"/>
          <w:lang w:eastAsia="zh-CN"/>
        </w:rPr>
        <w:t>；</w:t>
      </w:r>
    </w:p>
    <w:p w14:paraId="7A11D84F">
      <w:pPr>
        <w:spacing w:line="420" w:lineRule="exact"/>
        <w:ind w:firstLine="424" w:firstLineChars="202"/>
        <w:rPr>
          <w:rFonts w:ascii="宋体" w:hAnsi="宋体" w:cs="宋体"/>
        </w:rPr>
      </w:pPr>
      <w:r>
        <w:rPr>
          <w:rFonts w:hint="eastAsia" w:ascii="宋体" w:hAnsi="宋体" w:cs="宋体"/>
        </w:rPr>
        <w:t>2、按</w:t>
      </w:r>
      <w:r>
        <w:rPr>
          <w:rFonts w:hint="eastAsia" w:ascii="宋体" w:hAnsi="宋体" w:cs="宋体"/>
          <w:lang w:eastAsia="zh-CN"/>
        </w:rPr>
        <w:t>采购人</w:t>
      </w:r>
      <w:r>
        <w:rPr>
          <w:rFonts w:hint="eastAsia" w:ascii="宋体" w:hAnsi="宋体" w:cs="宋体"/>
        </w:rPr>
        <w:t>要求，付款凭税务部门正规发票办理，发票须由</w:t>
      </w:r>
      <w:r>
        <w:rPr>
          <w:rFonts w:hint="eastAsia" w:ascii="宋体" w:hAnsi="宋体" w:cs="宋体"/>
          <w:lang w:eastAsia="zh-CN"/>
        </w:rPr>
        <w:t>中标人</w:t>
      </w:r>
      <w:r>
        <w:rPr>
          <w:rFonts w:hint="eastAsia" w:ascii="宋体" w:hAnsi="宋体" w:cs="宋体"/>
        </w:rPr>
        <w:t>开具。</w:t>
      </w:r>
    </w:p>
    <w:p w14:paraId="3E67A67C">
      <w:pPr>
        <w:numPr>
          <w:ilvl w:val="0"/>
          <w:numId w:val="2"/>
        </w:numPr>
        <w:adjustRightInd w:val="0"/>
        <w:snapToGrid w:val="0"/>
        <w:spacing w:line="440" w:lineRule="exact"/>
        <w:rPr>
          <w:rFonts w:ascii="宋体" w:hAnsi="宋体" w:cs="宋体"/>
          <w:b/>
          <w:szCs w:val="21"/>
        </w:rPr>
      </w:pPr>
      <w:r>
        <w:rPr>
          <w:rFonts w:hint="eastAsia" w:ascii="宋体" w:hAnsi="宋体" w:cs="宋体"/>
          <w:b/>
          <w:szCs w:val="21"/>
        </w:rPr>
        <w:t>技术服务</w:t>
      </w:r>
    </w:p>
    <w:p w14:paraId="15521DC8">
      <w:pPr>
        <w:spacing w:line="420" w:lineRule="exact"/>
        <w:ind w:firstLine="424" w:firstLineChars="202"/>
        <w:rPr>
          <w:rFonts w:ascii="宋体" w:hAnsi="宋体" w:cs="宋体"/>
        </w:rPr>
      </w:pPr>
      <w:r>
        <w:rPr>
          <w:rFonts w:hint="eastAsia" w:ascii="宋体" w:hAnsi="宋体" w:cs="宋体"/>
        </w:rPr>
        <w:t>1、此项目为全包价。</w:t>
      </w:r>
    </w:p>
    <w:p w14:paraId="2557AE1E">
      <w:pPr>
        <w:spacing w:line="420" w:lineRule="exact"/>
        <w:ind w:firstLine="424" w:firstLineChars="202"/>
        <w:rPr>
          <w:rFonts w:ascii="宋体" w:hAnsi="宋体" w:cs="宋体"/>
        </w:rPr>
      </w:pPr>
      <w:r>
        <w:rPr>
          <w:rFonts w:hint="eastAsia" w:ascii="宋体" w:hAnsi="宋体" w:cs="宋体"/>
        </w:rPr>
        <w:t>2、在货物寿命期内，投标供应商应备有一定的易损件供应，采购人要求订购备件或修理服务，投标供应商应能及时优惠提供。</w:t>
      </w:r>
    </w:p>
    <w:p w14:paraId="074DC13A">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0B1C6"/>
    <w:multiLevelType w:val="multilevel"/>
    <w:tmpl w:val="0580B1C6"/>
    <w:lvl w:ilvl="0" w:tentative="0">
      <w:start w:val="1"/>
      <w:numFmt w:val="japaneseCounting"/>
      <w:suff w:val="space"/>
      <w:lvlText w:val="%1、"/>
      <w:lvlJc w:val="left"/>
      <w:pPr>
        <w:ind w:left="872" w:hanging="450"/>
      </w:pPr>
      <w:rPr>
        <w:rFonts w:hint="eastAsia"/>
      </w:rPr>
    </w:lvl>
    <w:lvl w:ilvl="1" w:tentative="0">
      <w:start w:val="1"/>
      <w:numFmt w:val="lowerLetter"/>
      <w:lvlText w:val="%2)"/>
      <w:lvlJc w:val="left"/>
      <w:pPr>
        <w:ind w:left="1262" w:hanging="420"/>
      </w:pPr>
      <w:rPr>
        <w:rFonts w:hint="eastAsia"/>
      </w:rPr>
    </w:lvl>
    <w:lvl w:ilvl="2" w:tentative="0">
      <w:start w:val="1"/>
      <w:numFmt w:val="lowerRoman"/>
      <w:lvlText w:val="%3."/>
      <w:lvlJc w:val="right"/>
      <w:pPr>
        <w:ind w:left="1682" w:hanging="420"/>
      </w:pPr>
      <w:rPr>
        <w:rFonts w:hint="eastAsia"/>
      </w:rPr>
    </w:lvl>
    <w:lvl w:ilvl="3" w:tentative="0">
      <w:start w:val="1"/>
      <w:numFmt w:val="decimal"/>
      <w:lvlText w:val="%4."/>
      <w:lvlJc w:val="left"/>
      <w:pPr>
        <w:ind w:left="2102" w:hanging="420"/>
      </w:pPr>
      <w:rPr>
        <w:rFonts w:hint="eastAsia"/>
      </w:rPr>
    </w:lvl>
    <w:lvl w:ilvl="4" w:tentative="0">
      <w:start w:val="1"/>
      <w:numFmt w:val="lowerLetter"/>
      <w:lvlText w:val="%5)"/>
      <w:lvlJc w:val="left"/>
      <w:pPr>
        <w:ind w:left="2522" w:hanging="420"/>
      </w:pPr>
      <w:rPr>
        <w:rFonts w:hint="eastAsia"/>
      </w:rPr>
    </w:lvl>
    <w:lvl w:ilvl="5" w:tentative="0">
      <w:start w:val="1"/>
      <w:numFmt w:val="lowerRoman"/>
      <w:lvlText w:val="%6."/>
      <w:lvlJc w:val="right"/>
      <w:pPr>
        <w:ind w:left="2942" w:hanging="420"/>
      </w:pPr>
      <w:rPr>
        <w:rFonts w:hint="eastAsia"/>
      </w:rPr>
    </w:lvl>
    <w:lvl w:ilvl="6" w:tentative="0">
      <w:start w:val="1"/>
      <w:numFmt w:val="decimal"/>
      <w:lvlText w:val="%7."/>
      <w:lvlJc w:val="left"/>
      <w:pPr>
        <w:ind w:left="3362" w:hanging="420"/>
      </w:pPr>
      <w:rPr>
        <w:rFonts w:hint="eastAsia"/>
      </w:rPr>
    </w:lvl>
    <w:lvl w:ilvl="7" w:tentative="0">
      <w:start w:val="1"/>
      <w:numFmt w:val="lowerLetter"/>
      <w:lvlText w:val="%8)"/>
      <w:lvlJc w:val="left"/>
      <w:pPr>
        <w:ind w:left="3782" w:hanging="420"/>
      </w:pPr>
      <w:rPr>
        <w:rFonts w:hint="eastAsia"/>
      </w:rPr>
    </w:lvl>
    <w:lvl w:ilvl="8" w:tentative="0">
      <w:start w:val="1"/>
      <w:numFmt w:val="lowerRoman"/>
      <w:lvlText w:val="%9."/>
      <w:lvlJc w:val="right"/>
      <w:pPr>
        <w:ind w:left="4202" w:hanging="420"/>
      </w:pPr>
      <w:rPr>
        <w:rFonts w:hint="eastAsia"/>
      </w:rPr>
    </w:lvl>
  </w:abstractNum>
  <w:abstractNum w:abstractNumId="1">
    <w:nsid w:val="60D17F01"/>
    <w:multiLevelType w:val="multilevel"/>
    <w:tmpl w:val="60D17F0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793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jc w:val="center"/>
      <w:outlineLvl w:val="0"/>
    </w:pPr>
    <w:rPr>
      <w:b/>
      <w:bCs/>
      <w:sz w:val="24"/>
      <w:szCs w:val="20"/>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ind w:left="420" w:leftChars="200"/>
    </w:pPr>
  </w:style>
  <w:style w:type="paragraph" w:styleId="6">
    <w:name w:val="Plain Text"/>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customXml" Target="ink/ink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4-12-23T10:25:1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11325.000 1000851.000 767</inkml:trace>
</inkml:ink>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cp:lastModifiedBy>
  <dcterms:modified xsi:type="dcterms:W3CDTF">2024-12-23T03:53:14Z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1E8DF53DEB774AFC96BD43C8C9576B6B_12</vt:lpwstr>
  </property>
</Properties>
</file>