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441901-2024-07540</w:t>
      </w:r>
    </w:p>
    <w:p>
      <w:pPr>
        <w:pStyle w:val="null3"/>
        <w:jc w:val="center"/>
        <w:outlineLvl w:val="3"/>
      </w:pPr>
      <w:r>
        <w:rPr>
          <w:sz w:val="24"/>
          <w:b/>
        </w:rPr>
        <w:t>采购项目编号：</w:t>
      </w:r>
      <w:r>
        <w:rPr>
          <w:sz w:val="24"/>
          <w:b/>
        </w:rPr>
        <w:t>441901-2024-07540</w:t>
      </w:r>
    </w:p>
    <w:p>
      <w:pPr>
        <w:pStyle w:val="null3"/>
        <w:jc w:val="center"/>
        <w:outlineLvl w:val="3"/>
      </w:pPr>
      <w:r>
        <w:rPr>
          <w:sz w:val="24"/>
          <w:b/>
        </w:rPr>
        <w:t>项目名称：</w:t>
      </w:r>
      <w:r>
        <w:rPr>
          <w:sz w:val="24"/>
          <w:b/>
        </w:rPr>
        <w:t>东莞市人民医院中心实验室设备一批采购项目(二次)</w:t>
      </w:r>
    </w:p>
    <w:p>
      <w:pPr>
        <w:pStyle w:val="null3"/>
        <w:jc w:val="center"/>
        <w:outlineLvl w:val="3"/>
      </w:pPr>
      <w:r>
        <w:rPr>
          <w:sz w:val="24"/>
          <w:b/>
        </w:rPr>
        <w:t>采购人：</w:t>
      </w:r>
      <w:r>
        <w:rPr>
          <w:sz w:val="24"/>
          <w:b/>
        </w:rPr>
        <w:t>东莞市人民医院</w:t>
      </w:r>
    </w:p>
    <w:p>
      <w:pPr>
        <w:pStyle w:val="null3"/>
        <w:jc w:val="center"/>
        <w:outlineLvl w:val="3"/>
      </w:pPr>
      <w:r>
        <w:rPr>
          <w:sz w:val="24"/>
          <w:b/>
        </w:rPr>
        <w:t>采购代理机构：</w:t>
      </w:r>
      <w:r>
        <w:rPr>
          <w:sz w:val="24"/>
          <w:b/>
        </w:rPr>
        <w:t>广东和正招标有限公司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广东和正招标有限公司</w:t>
      </w:r>
      <w:r>
        <w:rPr/>
        <w:t>受</w:t>
      </w:r>
      <w:r>
        <w:rPr/>
        <w:t>东莞市人民医院</w:t>
      </w:r>
      <w:r>
        <w:rPr/>
        <w:t>的委托，采用</w:t>
      </w:r>
      <w:r>
        <w:rPr/>
        <w:t>公开招标</w:t>
      </w:r>
      <w:r>
        <w:rPr/>
        <w:t>方式组织采购</w:t>
      </w:r>
      <w:r>
        <w:rPr/>
        <w:t>东莞市人民医院中心实验室设备一批采购项目(二次)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东莞市人民医院中心实验室设备一批采购项目(二次)</w:t>
      </w:r>
    </w:p>
    <w:p>
      <w:pPr>
        <w:pStyle w:val="null3"/>
        <w:ind w:firstLine="480"/>
      </w:pPr>
      <w:r>
        <w:rPr/>
        <w:t>采购计划编号：</w:t>
      </w:r>
      <w:r>
        <w:rPr/>
        <w:t>441901-2024-07540</w:t>
      </w:r>
    </w:p>
    <w:p>
      <w:pPr>
        <w:pStyle w:val="null3"/>
        <w:ind w:firstLine="480"/>
      </w:pPr>
      <w:r>
        <w:rPr/>
        <w:t>采购项目编号：</w:t>
      </w:r>
      <w:r>
        <w:rPr/>
        <w:t>441901-2024-07540</w:t>
      </w:r>
    </w:p>
    <w:p>
      <w:pPr>
        <w:pStyle w:val="null3"/>
        <w:ind w:firstLine="480"/>
      </w:pPr>
      <w:r>
        <w:rPr/>
        <w:t>采购方式：</w:t>
      </w:r>
      <w:r>
        <w:rPr/>
        <w:t>公开招标</w:t>
      </w:r>
    </w:p>
    <w:p>
      <w:pPr>
        <w:pStyle w:val="null3"/>
        <w:ind w:firstLine="480"/>
      </w:pPr>
      <w:r>
        <w:rPr/>
        <w:t>预算金额：</w:t>
      </w:r>
      <w:r>
        <w:rPr/>
        <w:t>1,383,820.00</w:t>
      </w:r>
      <w:r>
        <w:rPr/>
        <w:t>元</w:t>
      </w:r>
    </w:p>
    <w:p>
      <w:pPr>
        <w:pStyle w:val="null3"/>
        <w:outlineLvl w:val="3"/>
      </w:pPr>
      <w:r>
        <w:rPr>
          <w:sz w:val="24"/>
          <w:b/>
        </w:rPr>
        <w:t>2.项目内容及需求情况（采购项目技术规格、参数及要求）</w:t>
      </w:r>
    </w:p>
    <w:p>
      <w:pPr>
        <w:pStyle w:val="null3"/>
      </w:pPr>
      <w:r>
        <w:rPr/>
        <w:t>采购包1(中心实验室设备一批):</w:t>
      </w:r>
    </w:p>
    <w:p>
      <w:pPr>
        <w:pStyle w:val="null3"/>
      </w:pPr>
      <w:r>
        <w:rPr/>
        <w:t>采购包预算金额：1,383,820.00元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其他医疗设备</w:t>
            </w:r>
          </w:p>
        </w:tc>
        <w:tc>
          <w:tcPr>
            <w:tcW w:type="dxa" w:w="2052"/>
          </w:tcPr>
          <w:p>
            <w:pPr>
              <w:pStyle w:val="null3"/>
            </w:pPr>
            <w:r>
              <w:rPr/>
              <w:t>生物安全柜（一）</w:t>
            </w:r>
          </w:p>
        </w:tc>
        <w:tc>
          <w:tcPr>
            <w:tcW w:type="dxa" w:w="977"/>
          </w:tcPr>
          <w:p>
            <w:pPr>
              <w:pStyle w:val="null3"/>
            </w:pPr>
            <w:r>
              <w:rPr/>
              <w:t>16(台)</w:t>
            </w:r>
          </w:p>
        </w:tc>
        <w:tc>
          <w:tcPr>
            <w:tcW w:type="dxa" w:w="977"/>
          </w:tcPr>
          <w:p>
            <w:pPr>
              <w:pStyle w:val="null3"/>
            </w:pPr>
            <w:r>
              <w:rPr/>
              <w:t>详见第二章</w:t>
            </w:r>
          </w:p>
        </w:tc>
        <w:tc>
          <w:tcPr>
            <w:tcW w:type="dxa" w:w="977"/>
          </w:tcPr>
          <w:p>
            <w:pPr>
              <w:pStyle w:val="null3"/>
            </w:pPr>
            <w:r>
              <w:rPr/>
              <w:t>493,120.00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其他医疗设备</w:t>
            </w:r>
          </w:p>
        </w:tc>
        <w:tc>
          <w:tcPr>
            <w:tcW w:type="dxa" w:w="2052"/>
          </w:tcPr>
          <w:p>
            <w:pPr>
              <w:pStyle w:val="null3"/>
            </w:pPr>
            <w:r>
              <w:rPr/>
              <w:t>生物安全柜（二）</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54,200.00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其他医疗设备</w:t>
            </w:r>
          </w:p>
        </w:tc>
        <w:tc>
          <w:tcPr>
            <w:tcW w:type="dxa" w:w="2052"/>
          </w:tcPr>
          <w:p>
            <w:pPr>
              <w:pStyle w:val="null3"/>
            </w:pPr>
            <w:r>
              <w:rPr/>
              <w:t>二氧化碳培养箱</w:t>
            </w:r>
          </w:p>
        </w:tc>
        <w:tc>
          <w:tcPr>
            <w:tcW w:type="dxa" w:w="977"/>
          </w:tcPr>
          <w:p>
            <w:pPr>
              <w:pStyle w:val="null3"/>
            </w:pPr>
            <w:r>
              <w:rPr/>
              <w:t>16(台)</w:t>
            </w:r>
          </w:p>
        </w:tc>
        <w:tc>
          <w:tcPr>
            <w:tcW w:type="dxa" w:w="977"/>
          </w:tcPr>
          <w:p>
            <w:pPr>
              <w:pStyle w:val="null3"/>
            </w:pPr>
            <w:r>
              <w:rPr/>
              <w:t>详见第二章</w:t>
            </w:r>
          </w:p>
        </w:tc>
        <w:tc>
          <w:tcPr>
            <w:tcW w:type="dxa" w:w="977"/>
          </w:tcPr>
          <w:p>
            <w:pPr>
              <w:pStyle w:val="null3"/>
            </w:pPr>
            <w:r>
              <w:rPr/>
              <w:t>332,800.00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医用低温、冷疗设备</w:t>
            </w:r>
          </w:p>
        </w:tc>
        <w:tc>
          <w:tcPr>
            <w:tcW w:type="dxa" w:w="2052"/>
          </w:tcPr>
          <w:p>
            <w:pPr>
              <w:pStyle w:val="null3"/>
            </w:pPr>
            <w:r>
              <w:rPr/>
              <w:t>超低温冰箱</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108,000.00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医用低温、冷疗设备</w:t>
            </w:r>
          </w:p>
        </w:tc>
        <w:tc>
          <w:tcPr>
            <w:tcW w:type="dxa" w:w="2052"/>
          </w:tcPr>
          <w:p>
            <w:pPr>
              <w:pStyle w:val="null3"/>
            </w:pPr>
            <w:r>
              <w:rPr/>
              <w:t>液氮罐</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128,000.00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消毒灭菌设备及器具</w:t>
            </w:r>
          </w:p>
        </w:tc>
        <w:tc>
          <w:tcPr>
            <w:tcW w:type="dxa" w:w="2052"/>
          </w:tcPr>
          <w:p>
            <w:pPr>
              <w:pStyle w:val="null3"/>
            </w:pPr>
            <w:r>
              <w:rPr/>
              <w:t>高压灭菌锅</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102,000.00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临床检验设备</w:t>
            </w:r>
          </w:p>
        </w:tc>
        <w:tc>
          <w:tcPr>
            <w:tcW w:type="dxa" w:w="2052"/>
          </w:tcPr>
          <w:p>
            <w:pPr>
              <w:pStyle w:val="null3"/>
            </w:pPr>
            <w:r>
              <w:rPr/>
              <w:t>台式高速冷冻离心机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75,900.00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其他医疗设备</w:t>
            </w:r>
          </w:p>
        </w:tc>
        <w:tc>
          <w:tcPr>
            <w:tcW w:type="dxa" w:w="2052"/>
          </w:tcPr>
          <w:p>
            <w:pPr>
              <w:pStyle w:val="null3"/>
            </w:pPr>
            <w:r>
              <w:rPr/>
              <w:t>超纯水仪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89,800.00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合同履行期限：合同签订之日起至售后服务期结束；交货时，货物的生产日期必须在一年内。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承诺函，格式自拟）。</w:t>
      </w:r>
    </w:p>
    <w:p>
      <w:pPr>
        <w:pStyle w:val="null3"/>
      </w:pPr>
      <w:r>
        <w:rPr/>
        <w:t>3）具有良好的商业信誉和健全的财务会计制度：供应商必须具有良好的商业信誉和健全的财务会计制度&lt;提供2023（或2022）年度财务状况报告或基本开户行出具的资信证明&gt;（或提供承诺函，格式自拟）。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采购包1（中心实验室设备一批）：</w:t>
      </w:r>
      <w:r>
        <w:rPr/>
        <w:t>1)本采购包不专门面向中小企业采购的项目，本项目中小企业划分标准所属行业为：工业。 2)《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关于运用政府采购政策支持脱贫攻坚的通知》（财库〔2019〕27号）、《关于印发&lt;商品包装政府采购需求标准（试行）&gt;、&lt;快递包装政府采购需求标准（试行）&gt;的通知》（财办库〔2020〕123号）。</w:t>
      </w:r>
    </w:p>
    <w:p>
      <w:pPr>
        <w:pStyle w:val="null3"/>
        <w:outlineLvl w:val="3"/>
      </w:pPr>
      <w:r>
        <w:rPr>
          <w:sz w:val="24"/>
          <w:b/>
        </w:rPr>
        <w:t>3.本项目特定的资格要求：</w:t>
      </w:r>
    </w:p>
    <w:p>
      <w:pPr>
        <w:pStyle w:val="null3"/>
      </w:pPr>
      <w:r>
        <w:rPr/>
        <w:t>采购包1（中心实验室设备一批）：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3.1投标人应具有有效的且与所投项目相适应的医疗器械生产许可或经营许可，即：①供应商为生产商：提供食品药品监督管理部门签发的有效的《医疗器械生产许可证》复印件；（如国家另有规定，则适用其规定）；②供应商为代理商或经销商：提供食品药品监督管理部门签发的有效的《医疗器械经营许可证》复印件；（如国家另有规定，则适用其规定）。 3.2投标人所投产品（高压灭菌锅）的生产企业需具备特种设备安全监督管理部门颁发的有效期内的《特种设备生产许可证》，以及卫生行政部门颁发的有效期内的《消毒产品生产企业卫生许可证》，提供文件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东莞市人民医院</w:t>
      </w:r>
    </w:p>
    <w:p>
      <w:pPr>
        <w:pStyle w:val="null3"/>
        <w:ind w:firstLine="480"/>
      </w:pPr>
      <w:r>
        <w:rPr/>
        <w:t xml:space="preserve"> 地址：</w:t>
      </w:r>
      <w:r>
        <w:rPr/>
        <w:t>东莞市万江区万道路78号</w:t>
      </w:r>
    </w:p>
    <w:p>
      <w:pPr>
        <w:pStyle w:val="null3"/>
        <w:ind w:firstLine="480"/>
      </w:pPr>
      <w:r>
        <w:rPr/>
        <w:t xml:space="preserve"> 联系方式：</w:t>
      </w:r>
      <w:r>
        <w:rPr/>
        <w:t>0769-28637276</w:t>
      </w:r>
    </w:p>
    <w:p>
      <w:pPr>
        <w:pStyle w:val="null3"/>
        <w:outlineLvl w:val="3"/>
      </w:pPr>
      <w:r>
        <w:rPr>
          <w:sz w:val="24"/>
          <w:b/>
        </w:rPr>
        <w:t xml:space="preserve"> 2.采购代理机构信息</w:t>
      </w:r>
    </w:p>
    <w:p>
      <w:pPr>
        <w:pStyle w:val="null3"/>
        <w:ind w:firstLine="480"/>
      </w:pPr>
      <w:r>
        <w:rPr/>
        <w:t xml:space="preserve"> 名称：</w:t>
      </w:r>
      <w:r>
        <w:rPr/>
        <w:t>广东和正招标有限公司</w:t>
      </w:r>
    </w:p>
    <w:p>
      <w:pPr>
        <w:pStyle w:val="null3"/>
        <w:ind w:firstLine="480"/>
      </w:pPr>
      <w:r>
        <w:rPr/>
        <w:t xml:space="preserve"> 地址：</w:t>
      </w:r>
      <w:r>
        <w:rPr/>
        <w:t>广东省东莞市南城街道南城街道雅园工业区大道88号B栋201</w:t>
      </w:r>
    </w:p>
    <w:p>
      <w:pPr>
        <w:pStyle w:val="null3"/>
        <w:ind w:firstLine="480"/>
      </w:pPr>
      <w:r>
        <w:rPr/>
        <w:t xml:space="preserve"> 联系方式：</w:t>
      </w:r>
      <w:r>
        <w:rPr/>
        <w:t>0769-21669369</w:t>
      </w:r>
    </w:p>
    <w:p>
      <w:pPr>
        <w:pStyle w:val="null3"/>
        <w:outlineLvl w:val="3"/>
      </w:pPr>
      <w:r>
        <w:rPr>
          <w:sz w:val="24"/>
          <w:b/>
        </w:rPr>
        <w:t xml:space="preserve"> 3.项目联系方式</w:t>
      </w:r>
    </w:p>
    <w:p>
      <w:pPr>
        <w:pStyle w:val="null3"/>
        <w:ind w:firstLine="480"/>
      </w:pPr>
      <w:r>
        <w:rPr/>
        <w:t xml:space="preserve"> 项目联系人：</w:t>
      </w:r>
      <w:r>
        <w:rPr/>
        <w:t>孙沙</w:t>
      </w:r>
    </w:p>
    <w:p>
      <w:pPr>
        <w:pStyle w:val="null3"/>
        <w:ind w:firstLine="480"/>
      </w:pPr>
      <w:r>
        <w:rPr/>
        <w:t xml:space="preserve"> 电话：</w:t>
      </w:r>
      <w:r>
        <w:rPr/>
        <w:t>0769-21669369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65"/>
        <w:gridCol w:w="1557"/>
        <w:gridCol w:w="519"/>
        <w:gridCol w:w="519"/>
        <w:gridCol w:w="1730"/>
        <w:gridCol w:w="1730"/>
        <w:gridCol w:w="1384"/>
      </w:tblGrid>
      <w:tr>
        <w:tc>
          <w:tcPr>
            <w:tcW w:type="dxa" w:w="86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品目号</w:t>
            </w:r>
          </w:p>
          <w:p>
            <w:pPr>
              <w:pStyle w:val="null3"/>
              <w:jc w:val="center"/>
            </w:pPr>
            <w:r>
              <w:rPr>
                <w:sz w:val="21"/>
                <w:b/>
                <w:color w:val="000000"/>
              </w:rPr>
              <w:t>（包号）</w:t>
            </w:r>
          </w:p>
        </w:tc>
        <w:tc>
          <w:tcPr>
            <w:tcW w:type="dxa" w:w="1557"/>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采购项目名称</w:t>
            </w:r>
          </w:p>
        </w:tc>
        <w:tc>
          <w:tcPr>
            <w:tcW w:type="dxa" w:w="519"/>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数量</w:t>
            </w:r>
          </w:p>
        </w:tc>
        <w:tc>
          <w:tcPr>
            <w:tcW w:type="dxa" w:w="519"/>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单位</w:t>
            </w:r>
          </w:p>
        </w:tc>
        <w:tc>
          <w:tcPr>
            <w:tcW w:type="dxa" w:w="1730"/>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单价最高限价（元）</w:t>
            </w:r>
          </w:p>
        </w:tc>
        <w:tc>
          <w:tcPr>
            <w:tcW w:type="dxa" w:w="1730"/>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总价最高限价（元）</w:t>
            </w:r>
          </w:p>
        </w:tc>
        <w:tc>
          <w:tcPr>
            <w:tcW w:type="dxa" w:w="1384"/>
            <w:tcBorders>
              <w:top w:val="single" w:color="000000" w:sz="4"/>
              <w:left w:val="none" w:color="000000" w:sz="4"/>
              <w:bottom w:val="single" w:color="000000" w:sz="4"/>
              <w:right w:val="single" w:color="000000" w:sz="4"/>
            </w:tcBorders>
            <w:shd w:fill="C0C0C0"/>
            <w:tcMar>
              <w:top w:type="dxa" w:w="0"/>
              <w:left w:type="dxa" w:w="105"/>
              <w:bottom w:type="dxa" w:w="0"/>
              <w:right w:type="dxa" w:w="105"/>
            </w:tcMar>
          </w:tcPr>
          <w:p>
            <w:pPr>
              <w:pStyle w:val="null3"/>
              <w:jc w:val="center"/>
            </w:pPr>
            <w:r>
              <w:rPr>
                <w:sz w:val="21"/>
                <w:b/>
                <w:color w:val="000000"/>
              </w:rPr>
              <w:t>是否允许进口产品</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生物安全柜（一）</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30,820.00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493,120.00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生物安全柜（二）</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27,100.00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54,200.00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二氧化碳培养箱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20,800.00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332,800.00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超低温冰箱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54,000.00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108,000.00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液氮罐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64,000.00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128,000.00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高压灭菌锅</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51,000.00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102,000.00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台式高速冷冻离心机</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25,300.00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75,900.00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超纯水仪</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89,800.00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89,800.00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center"/>
            </w:pPr>
            <w:r>
              <w:rPr>
                <w:sz w:val="21"/>
                <w:color w:val="000000"/>
              </w:rPr>
              <w:t>否</w:t>
            </w:r>
          </w:p>
        </w:tc>
      </w:tr>
    </w:tbl>
    <w:p>
      <w:pPr>
        <w:pStyle w:val="null3"/>
        <w:ind w:firstLine="480"/>
        <w:jc w:val="both"/>
      </w:pPr>
      <w:r>
        <w:rPr>
          <w:sz w:val="21"/>
          <w:b/>
        </w:rPr>
        <w:t>附件一：售后服务承诺书</w:t>
      </w:r>
    </w:p>
    <w:p>
      <w:pPr>
        <w:pStyle w:val="null3"/>
        <w:spacing w:after="240"/>
        <w:jc w:val="center"/>
      </w:pPr>
      <w:r>
        <w:rPr>
          <w:sz w:val="21"/>
          <w:b/>
        </w:rPr>
        <w:t>售后服务承诺书（国产产品）</w:t>
      </w:r>
    </w:p>
    <w:p>
      <w:pPr>
        <w:pStyle w:val="null3"/>
        <w:ind w:firstLine="420"/>
        <w:jc w:val="both"/>
      </w:pPr>
      <w:r>
        <w:rPr>
          <w:sz w:val="21"/>
        </w:rPr>
        <w:t>致：东莞市人民医院</w:t>
      </w:r>
    </w:p>
    <w:p>
      <w:pPr>
        <w:pStyle w:val="null3"/>
        <w:ind w:firstLine="420"/>
        <w:jc w:val="both"/>
      </w:pPr>
      <w:r>
        <w:rPr>
          <w:sz w:val="21"/>
        </w:rPr>
        <w:t>本公司参加项目名称：</w:t>
      </w:r>
      <w:r>
        <w:rPr>
          <w:sz w:val="21"/>
          <w:u w:val="single"/>
        </w:rPr>
        <w:t xml:space="preserve">                    </w:t>
      </w:r>
      <w:r>
        <w:rPr>
          <w:sz w:val="21"/>
        </w:rPr>
        <w:t>的政府采购活动，并作出以下书面承诺：</w:t>
      </w:r>
    </w:p>
    <w:p>
      <w:pPr>
        <w:pStyle w:val="null3"/>
        <w:ind w:firstLine="420"/>
        <w:jc w:val="both"/>
      </w:pPr>
      <w:r>
        <w:rPr>
          <w:sz w:val="21"/>
        </w:rPr>
        <w:t>若本公司有幸中标，本公司承诺本项目售后服务期：</w:t>
      </w:r>
      <w:r>
        <w:rPr>
          <w:sz w:val="21"/>
          <w:u w:val="single"/>
        </w:rPr>
        <w:t xml:space="preserve">       </w:t>
      </w:r>
      <w:r>
        <w:rPr>
          <w:sz w:val="21"/>
        </w:rPr>
        <w:t>，终身维修保养；在售后服务期内，售后服务由原厂提供，针对此产品产生的如维修、保养、升级等行为产生的一切费用由投标人承担；在签订合同时我公司将提供产品生产厂家出具的售后服务期承诺书</w:t>
      </w:r>
      <w:r>
        <w:rPr>
          <w:sz w:val="21"/>
        </w:rPr>
        <w:t>（</w:t>
      </w:r>
      <w:r>
        <w:rPr>
          <w:sz w:val="21"/>
        </w:rPr>
        <w:t>承诺对象需明确指向东莞市人民医院及本采购项目标的产品，售后服务期与投标文件响应时间一致，由产品生产厂家和供应商加盖公章）。若无法按要求提供，视为放弃中标。</w:t>
      </w:r>
      <w:r>
        <w:rPr>
          <w:sz w:val="21"/>
        </w:rPr>
        <w:t>如涉及医院信息系统接入要求，须无条件开放设备信息端口且提供中文文档并提供技术支持。</w:t>
      </w:r>
    </w:p>
    <w:p>
      <w:pPr>
        <w:pStyle w:val="null3"/>
        <w:ind w:firstLine="420"/>
        <w:jc w:val="both"/>
      </w:pPr>
      <w:r>
        <w:rPr>
          <w:sz w:val="21"/>
        </w:rPr>
        <w:t>特此承诺！</w:t>
      </w:r>
    </w:p>
    <w:p>
      <w:pPr>
        <w:pStyle w:val="null3"/>
        <w:ind w:firstLine="420"/>
        <w:jc w:val="both"/>
      </w:pPr>
      <w:r>
        <w:rPr>
          <w:sz w:val="21"/>
        </w:rPr>
        <w:t>供应商（加盖公章）：</w:t>
      </w:r>
    </w:p>
    <w:p>
      <w:pPr>
        <w:pStyle w:val="null3"/>
        <w:ind w:firstLine="420"/>
        <w:jc w:val="both"/>
      </w:pPr>
      <w:r>
        <w:rPr>
          <w:sz w:val="21"/>
        </w:rPr>
        <w:t>供应商法定代表人或受委托人（签名或盖私章）：</w:t>
      </w:r>
    </w:p>
    <w:p>
      <w:pPr>
        <w:pStyle w:val="null3"/>
        <w:ind w:firstLine="420"/>
        <w:jc w:val="both"/>
      </w:pPr>
      <w:r>
        <w:rPr>
          <w:sz w:val="21"/>
        </w:rPr>
        <w:t>日       期：</w:t>
      </w:r>
    </w:p>
    <w:p>
      <w:pPr>
        <w:pStyle w:val="null3"/>
        <w:ind w:firstLine="480"/>
        <w:jc w:val="both"/>
      </w:pPr>
      <w:r>
        <w:rPr>
          <w:sz w:val="21"/>
          <w:b/>
        </w:rPr>
        <w:t>附件二：政府采购履约担保函</w:t>
      </w:r>
    </w:p>
    <w:p>
      <w:pPr>
        <w:pStyle w:val="null3"/>
        <w:jc w:val="center"/>
      </w:pPr>
      <w:r>
        <w:rPr>
          <w:sz w:val="21"/>
          <w:b/>
        </w:rPr>
        <w:t>政府采购履约担保函</w:t>
      </w:r>
    </w:p>
    <w:p>
      <w:pPr>
        <w:pStyle w:val="null3"/>
        <w:jc w:val="right"/>
      </w:pPr>
      <w:r>
        <w:rPr>
          <w:sz w:val="21"/>
        </w:rPr>
        <w:t>编号：</w:t>
      </w:r>
    </w:p>
    <w:p>
      <w:pPr>
        <w:pStyle w:val="null3"/>
        <w:ind w:right="840"/>
        <w:jc w:val="right"/>
      </w:pPr>
      <w:r>
        <w:rPr>
          <w:sz w:val="21"/>
        </w:rPr>
        <w:t>东莞市人民医院:</w:t>
      </w:r>
    </w:p>
    <w:p>
      <w:pPr>
        <w:pStyle w:val="null3"/>
        <w:ind w:firstLine="420"/>
        <w:jc w:val="both"/>
      </w:pPr>
      <w:r>
        <w:rPr>
          <w:sz w:val="21"/>
          <w:color w:val="000000"/>
        </w:rPr>
        <w:t>鉴于</w:t>
      </w:r>
      <w:r>
        <w:rPr>
          <w:sz w:val="21"/>
          <w:color w:val="000000"/>
          <w:u w:val="single"/>
        </w:rPr>
        <w:t xml:space="preserve">XX公司 </w:t>
      </w:r>
      <w:r>
        <w:rPr>
          <w:sz w:val="21"/>
          <w:color w:val="000000"/>
        </w:rPr>
        <w:t>（以下简称供应商）在贵单位的</w:t>
      </w:r>
      <w:r>
        <w:rPr>
          <w:sz w:val="21"/>
          <w:color w:val="000000"/>
          <w:u w:val="single"/>
        </w:rPr>
        <w:t xml:space="preserve"> 东莞市人民医院XX采购项目（采购编号：XX） </w:t>
      </w:r>
      <w:r>
        <w:rPr>
          <w:sz w:val="21"/>
          <w:color w:val="000000"/>
        </w:rPr>
        <w:t>中</w:t>
      </w:r>
      <w:r>
        <w:rPr>
          <w:sz w:val="21"/>
        </w:rPr>
        <w:t>标，</w:t>
      </w:r>
      <w:r>
        <w:rPr>
          <w:sz w:val="21"/>
          <w:color w:val="000000"/>
        </w:rPr>
        <w:t>应供应商的申请，</w:t>
      </w:r>
      <w:r>
        <w:rPr>
          <w:sz w:val="21"/>
        </w:rPr>
        <w:t>我</w:t>
      </w:r>
      <w:r>
        <w:rPr>
          <w:sz w:val="21"/>
          <w:color w:val="000000"/>
        </w:rPr>
        <w:t>方兹同意为供应商</w:t>
      </w:r>
      <w:r>
        <w:rPr>
          <w:sz w:val="21"/>
        </w:rPr>
        <w:t>《</w:t>
      </w:r>
      <w:r>
        <w:rPr>
          <w:sz w:val="21"/>
          <w:u w:val="single"/>
        </w:rPr>
        <w:t xml:space="preserve">东莞市人民医院XX采购合同 </w:t>
      </w:r>
      <w:r>
        <w:rPr>
          <w:sz w:val="21"/>
        </w:rPr>
        <w:t>》（以下简称主合同）</w:t>
      </w:r>
      <w:r>
        <w:rPr>
          <w:sz w:val="21"/>
          <w:color w:val="000000"/>
        </w:rPr>
        <w:t>开立以你方为受益人的不可撤销、见索即付履约担保函，本保函有效期</w:t>
      </w:r>
      <w:r>
        <w:rPr>
          <w:sz w:val="21"/>
          <w:color w:val="000000"/>
          <w:u w:val="single"/>
        </w:rPr>
        <w:t>至XX年XX月XX日</w:t>
      </w:r>
      <w:r>
        <w:rPr>
          <w:sz w:val="21"/>
          <w:color w:val="000000"/>
        </w:rPr>
        <w:t>，</w:t>
      </w:r>
      <w:r>
        <w:rPr>
          <w:sz w:val="21"/>
        </w:rPr>
        <w:t>以保证的方式向你方提供如下履约保证金担保：</w:t>
      </w:r>
    </w:p>
    <w:p>
      <w:pPr>
        <w:pStyle w:val="null3"/>
        <w:ind w:firstLine="420"/>
        <w:jc w:val="both"/>
      </w:pPr>
      <w:r>
        <w:rPr>
          <w:sz w:val="21"/>
        </w:rPr>
        <w:t>一、保证责任的情形及保证金额</w:t>
      </w:r>
    </w:p>
    <w:p>
      <w:pPr>
        <w:pStyle w:val="null3"/>
        <w:ind w:firstLine="420"/>
        <w:jc w:val="both"/>
      </w:pPr>
      <w:r>
        <w:rPr>
          <w:sz w:val="21"/>
        </w:rPr>
        <w:t>(</w:t>
      </w:r>
      <w:r>
        <w:rPr>
          <w:sz w:val="21"/>
        </w:rPr>
        <w:t>一)在供应商出现下列情形之一时，我方承担保证责任：</w:t>
      </w:r>
    </w:p>
    <w:p>
      <w:pPr>
        <w:pStyle w:val="null3"/>
        <w:ind w:firstLine="420"/>
        <w:jc w:val="both"/>
      </w:pPr>
      <w:r>
        <w:rPr>
          <w:sz w:val="21"/>
        </w:rPr>
        <w:t>1.</w:t>
      </w:r>
      <w:r>
        <w:rPr>
          <w:sz w:val="21"/>
        </w:rPr>
        <w:t>将中标项目转让给他人，或者在投标文件中未说明，且未经采购招标机构人同意，将中标项目分包给他人的；</w:t>
      </w:r>
    </w:p>
    <w:p>
      <w:pPr>
        <w:pStyle w:val="null3"/>
        <w:ind w:firstLine="420"/>
        <w:jc w:val="both"/>
      </w:pPr>
      <w:r>
        <w:rPr>
          <w:sz w:val="21"/>
        </w:rPr>
        <w:t>2.</w:t>
      </w:r>
      <w:r>
        <w:rPr>
          <w:sz w:val="21"/>
        </w:rPr>
        <w:t>招标文件要求、投标文件响应和主合同约定的应当缴纳履约保证金的情形：</w:t>
      </w:r>
    </w:p>
    <w:p>
      <w:pPr>
        <w:pStyle w:val="null3"/>
        <w:ind w:firstLine="420"/>
        <w:jc w:val="both"/>
      </w:pPr>
      <w:r>
        <w:rPr>
          <w:sz w:val="21"/>
        </w:rPr>
        <w:t xml:space="preserve">(1) </w:t>
      </w:r>
      <w:r>
        <w:rPr>
          <w:sz w:val="21"/>
        </w:rPr>
        <w:t>招标文件要求、投标文件响应和未按主合同约定的质量、数量和期限供应货物和提供售后服务的；</w:t>
      </w:r>
    </w:p>
    <w:p>
      <w:pPr>
        <w:pStyle w:val="null3"/>
        <w:ind w:firstLine="420"/>
        <w:jc w:val="both"/>
      </w:pPr>
      <w:r>
        <w:rPr>
          <w:sz w:val="21"/>
        </w:rPr>
        <w:t xml:space="preserve">(2) </w:t>
      </w:r>
      <w:r>
        <w:rPr>
          <w:sz w:val="21"/>
        </w:rPr>
        <w:t>履约保函有效期须至项目售后服务期结束。如在合同签订前提交的保函有效期未能覆盖项目使用验收合格后你方和供应商双方确认的售后服务期截止时间，则供应商应在使用验收合格后两个月内无条件办理续保手续。如供应商未能按要求进行续保，则采购人在履约保函有效期届满前90个日历日内，向出具保函的商业银行或担保公司提出保函担保金额全额支付；</w:t>
      </w:r>
    </w:p>
    <w:p>
      <w:pPr>
        <w:pStyle w:val="null3"/>
        <w:ind w:firstLine="420"/>
        <w:jc w:val="both"/>
      </w:pPr>
      <w:r>
        <w:rPr>
          <w:sz w:val="21"/>
        </w:rPr>
        <w:t>（二）我方的保证范围是主合同约定的合同价款总额的</w:t>
      </w:r>
      <w:r>
        <w:rPr>
          <w:sz w:val="21"/>
          <w:u w:val="single"/>
        </w:rPr>
        <w:t>XX%</w:t>
      </w:r>
      <w:r>
        <w:rPr>
          <w:sz w:val="21"/>
        </w:rPr>
        <w:t>数额为</w:t>
      </w:r>
      <w:r>
        <w:rPr>
          <w:sz w:val="21"/>
          <w:u w:val="single"/>
        </w:rPr>
        <w:t>¥</w:t>
      </w:r>
      <w:r>
        <w:rPr>
          <w:sz w:val="21"/>
          <w:u w:val="single"/>
        </w:rPr>
        <w:t>XX</w:t>
      </w:r>
      <w:r>
        <w:rPr>
          <w:sz w:val="21"/>
          <w:u w:val="single"/>
        </w:rPr>
        <w:t>元</w:t>
      </w:r>
      <w:r>
        <w:rPr>
          <w:sz w:val="21"/>
        </w:rPr>
        <w:t>(</w:t>
      </w:r>
      <w:r>
        <w:rPr>
          <w:sz w:val="21"/>
        </w:rPr>
        <w:t>大写：</w:t>
      </w:r>
      <w:r>
        <w:rPr>
          <w:sz w:val="21"/>
          <w:u w:val="single"/>
        </w:rPr>
        <w:t>人民币XXX</w:t>
      </w:r>
      <w:r>
        <w:rPr>
          <w:sz w:val="21"/>
        </w:rPr>
        <w:t>),币种为人民币。(即主合同履约保证金金额)</w:t>
      </w:r>
    </w:p>
    <w:p>
      <w:pPr>
        <w:pStyle w:val="null3"/>
        <w:ind w:firstLine="420"/>
        <w:jc w:val="both"/>
      </w:pPr>
      <w:r>
        <w:rPr>
          <w:sz w:val="21"/>
        </w:rPr>
        <w:t>二、保证的方式及保证期间</w:t>
      </w:r>
    </w:p>
    <w:p>
      <w:pPr>
        <w:pStyle w:val="null3"/>
        <w:ind w:firstLine="420"/>
        <w:jc w:val="both"/>
      </w:pPr>
      <w:r>
        <w:rPr>
          <w:sz w:val="21"/>
        </w:rPr>
        <w:t>我方保证的方式为：连带责任保证。</w:t>
      </w:r>
    </w:p>
    <w:p>
      <w:pPr>
        <w:pStyle w:val="null3"/>
        <w:ind w:firstLine="420"/>
        <w:jc w:val="both"/>
      </w:pPr>
      <w:r>
        <w:rPr>
          <w:sz w:val="21"/>
        </w:rPr>
        <w:t>我方保证的期间为：自本合同生效之日起至供应商按照主合同约定的供货和提供售后服务期限届满后2年内。</w:t>
      </w:r>
    </w:p>
    <w:p>
      <w:pPr>
        <w:pStyle w:val="null3"/>
        <w:ind w:firstLine="420"/>
        <w:jc w:val="both"/>
      </w:pPr>
      <w:r>
        <w:rPr>
          <w:sz w:val="21"/>
        </w:rPr>
        <w:t>如果供应商未按主合同约定向贵方供应货物和提供售后服务的，由我方在保证金额内向你方支付上述款项。</w:t>
      </w:r>
    </w:p>
    <w:p>
      <w:pPr>
        <w:pStyle w:val="null3"/>
        <w:ind w:firstLine="420"/>
        <w:jc w:val="both"/>
      </w:pPr>
      <w:r>
        <w:rPr>
          <w:sz w:val="21"/>
        </w:rPr>
        <w:t>三、承担保证责任的程序</w:t>
      </w:r>
    </w:p>
    <w:p>
      <w:pPr>
        <w:pStyle w:val="null3"/>
        <w:ind w:firstLine="420"/>
        <w:jc w:val="both"/>
      </w:pPr>
      <w:r>
        <w:rPr>
          <w:sz w:val="21"/>
        </w:rPr>
        <w:t>1.</w:t>
      </w:r>
      <w:r>
        <w:rPr>
          <w:sz w:val="21"/>
        </w:rPr>
        <w:t>你方要求我方承担保证责任的，应在本保函保证期间内向我方发出书面索赔通知。索赔通知应写明要求索赔的金额，支付款项应到达的帐号。</w:t>
      </w:r>
    </w:p>
    <w:p>
      <w:pPr>
        <w:pStyle w:val="null3"/>
        <w:ind w:firstLine="420"/>
        <w:jc w:val="both"/>
      </w:pPr>
      <w:r>
        <w:rPr>
          <w:sz w:val="21"/>
        </w:rPr>
        <w:t>2.</w:t>
      </w:r>
      <w:r>
        <w:rPr>
          <w:sz w:val="21"/>
        </w:rPr>
        <w:t>我方收到你方的书面索赔通知及相应证明材料，在十个工作日内进行核定后按照本保函的承诺承担保证责任。</w:t>
      </w:r>
    </w:p>
    <w:p>
      <w:pPr>
        <w:pStyle w:val="null3"/>
        <w:ind w:firstLine="420"/>
        <w:jc w:val="both"/>
      </w:pPr>
      <w:r>
        <w:rPr>
          <w:sz w:val="21"/>
        </w:rPr>
        <w:t>四、保证责任的终止</w:t>
      </w:r>
    </w:p>
    <w:p>
      <w:pPr>
        <w:pStyle w:val="null3"/>
        <w:ind w:firstLine="420"/>
        <w:jc w:val="both"/>
      </w:pPr>
      <w:r>
        <w:rPr>
          <w:sz w:val="21"/>
        </w:rPr>
        <w:t>1.</w:t>
      </w:r>
      <w:r>
        <w:rPr>
          <w:sz w:val="21"/>
        </w:rPr>
        <w:t>保证期间届满你方未向我方书面主张保证责任的，自保证期间届满次日起，我方保证责任自动终止。保证期间届满前，主合同约定的货物和售后服务全部验收合格的，自验收合格日起，我方保证责任自动终止。</w:t>
      </w:r>
    </w:p>
    <w:p>
      <w:pPr>
        <w:pStyle w:val="null3"/>
        <w:ind w:firstLine="420"/>
        <w:jc w:val="both"/>
      </w:pPr>
      <w:r>
        <w:rPr>
          <w:sz w:val="21"/>
        </w:rPr>
        <w:t>2.</w:t>
      </w:r>
      <w:r>
        <w:rPr>
          <w:sz w:val="21"/>
        </w:rPr>
        <w:t>我方按照本保函向你方履行了保证责任后，自我方向你方支付款项(支付款项从我方账户划出)之日起，保证责任即终止。</w:t>
      </w:r>
    </w:p>
    <w:p>
      <w:pPr>
        <w:pStyle w:val="null3"/>
        <w:ind w:firstLine="420"/>
        <w:jc w:val="both"/>
      </w:pPr>
      <w:r>
        <w:rPr>
          <w:sz w:val="21"/>
        </w:rPr>
        <w:t>3.</w:t>
      </w:r>
      <w:r>
        <w:rPr>
          <w:sz w:val="21"/>
        </w:rPr>
        <w:t>按照法律法规的规定或出现应终止我方保证责任的其它情形的，我方在本保函项下的保证责任亦终止。</w:t>
      </w:r>
    </w:p>
    <w:p>
      <w:pPr>
        <w:pStyle w:val="null3"/>
        <w:ind w:firstLine="420"/>
        <w:jc w:val="both"/>
      </w:pPr>
      <w:r>
        <w:rPr>
          <w:sz w:val="21"/>
        </w:rPr>
        <w:t>4.</w:t>
      </w:r>
      <w:r>
        <w:rPr>
          <w:sz w:val="21"/>
        </w:rPr>
        <w:t>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Style w:val="null3"/>
        <w:ind w:firstLine="420"/>
        <w:jc w:val="both"/>
      </w:pPr>
      <w:r>
        <w:rPr>
          <w:sz w:val="21"/>
        </w:rPr>
        <w:t>五、免责条款</w:t>
      </w:r>
    </w:p>
    <w:p>
      <w:pPr>
        <w:pStyle w:val="null3"/>
        <w:ind w:firstLine="420"/>
        <w:jc w:val="both"/>
      </w:pPr>
      <w:r>
        <w:rPr>
          <w:sz w:val="21"/>
        </w:rPr>
        <w:t>1.</w:t>
      </w:r>
      <w:r>
        <w:rPr>
          <w:sz w:val="21"/>
        </w:rPr>
        <w:t>因你方违反主合同约定致使供应商不能履行义务的，我方不承担保证责任。</w:t>
      </w:r>
    </w:p>
    <w:p>
      <w:pPr>
        <w:pStyle w:val="null3"/>
        <w:ind w:firstLine="420"/>
        <w:jc w:val="both"/>
      </w:pPr>
      <w:r>
        <w:rPr>
          <w:sz w:val="21"/>
        </w:rPr>
        <w:t>2.</w:t>
      </w:r>
      <w:r>
        <w:rPr>
          <w:sz w:val="21"/>
        </w:rPr>
        <w:t>依照法律法规的规定或你方与供应商的另行约定，全部或者部分免除供应商应缴纳的保证金义务的，我方亦免除相应的保证责任。</w:t>
      </w:r>
    </w:p>
    <w:p>
      <w:pPr>
        <w:pStyle w:val="null3"/>
        <w:ind w:firstLine="420"/>
        <w:jc w:val="both"/>
      </w:pPr>
      <w:r>
        <w:rPr>
          <w:sz w:val="21"/>
        </w:rPr>
        <w:t>3.</w:t>
      </w:r>
      <w:r>
        <w:rPr>
          <w:sz w:val="21"/>
        </w:rPr>
        <w:t>因不可抗力造成供应商不能履行供货义务的，我方不承担保证责任。</w:t>
      </w:r>
    </w:p>
    <w:p>
      <w:pPr>
        <w:pStyle w:val="null3"/>
        <w:ind w:firstLine="420"/>
        <w:jc w:val="both"/>
      </w:pPr>
      <w:r>
        <w:rPr>
          <w:sz w:val="21"/>
        </w:rPr>
        <w:t>六、争议的解决</w:t>
      </w:r>
    </w:p>
    <w:p>
      <w:pPr>
        <w:pStyle w:val="null3"/>
        <w:ind w:firstLine="420"/>
        <w:jc w:val="both"/>
      </w:pPr>
      <w:r>
        <w:rPr>
          <w:sz w:val="21"/>
        </w:rPr>
        <w:t>因本保函发生的纠纷，由你我双方协商解决，协商不成的，通过诉讼程序解决，诉讼管辖地法院为东莞市第一人民法院。</w:t>
      </w:r>
    </w:p>
    <w:p>
      <w:pPr>
        <w:pStyle w:val="null3"/>
        <w:ind w:firstLine="420"/>
        <w:jc w:val="both"/>
      </w:pPr>
      <w:r>
        <w:rPr>
          <w:sz w:val="21"/>
        </w:rPr>
        <w:t>七、保函的生效</w:t>
      </w:r>
    </w:p>
    <w:p>
      <w:pPr>
        <w:pStyle w:val="null3"/>
        <w:ind w:firstLine="420"/>
        <w:jc w:val="both"/>
      </w:pPr>
      <w:r>
        <w:rPr>
          <w:sz w:val="21"/>
        </w:rPr>
        <w:t>本保函自我方加盖公章之日起生效。</w:t>
      </w:r>
    </w:p>
    <w:p>
      <w:pPr>
        <w:pStyle w:val="null3"/>
        <w:ind w:firstLine="420"/>
        <w:jc w:val="both"/>
      </w:pPr>
      <w:r>
        <w:rPr>
          <w:sz w:val="21"/>
        </w:rPr>
        <w:t>联系人：XXX  联系电话：XXX</w:t>
      </w:r>
    </w:p>
    <w:p>
      <w:pPr>
        <w:pStyle w:val="null3"/>
        <w:jc w:val="right"/>
      </w:pPr>
      <w:r>
        <w:rPr>
          <w:sz w:val="21"/>
        </w:rPr>
        <w:t>保证人：XX公司（公章）</w:t>
      </w:r>
    </w:p>
    <w:p>
      <w:pPr>
        <w:pStyle w:val="null3"/>
        <w:ind w:firstLine="420"/>
        <w:jc w:val="right"/>
      </w:pPr>
      <w:r>
        <w:rPr>
          <w:sz w:val="21"/>
        </w:rPr>
        <w:t>XX</w:t>
      </w:r>
      <w:r>
        <w:rPr>
          <w:sz w:val="21"/>
        </w:rPr>
        <w:t>年XX月XX日</w:t>
      </w:r>
    </w:p>
    <w:p>
      <w:pPr>
        <w:pStyle w:val="null3"/>
      </w:pPr>
      <w:r>
        <w:rPr/>
        <w:t>采购包1（中心实验室设备一批）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★在签订合同后60个自然日交货并完成安装；交货时，货物的生产日期必须在一年内。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收到中标人相应金额发票，采购人在10个工作日内向中标人支付合同金额30％作为预付款。设备安装调试完毕，设备正常运行一个月后进行使用验收。使用验收合格后，收到中标人的相应发票，采购人在10个工作日内支付合同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1期：详见合同约定条款。</w:t>
            </w:r>
          </w:p>
        </w:tc>
      </w:tr>
      <w:tr>
        <w:tc>
          <w:tcPr>
            <w:tcW w:type="dxa" w:w="4153"/>
          </w:tcPr>
          <w:p>
            <w:pPr>
              <w:pStyle w:val="null3"/>
            </w:pPr>
            <w:r>
              <w:rPr/>
              <w:t>履约保证金</w:t>
            </w:r>
          </w:p>
        </w:tc>
        <w:tc>
          <w:tcPr>
            <w:tcW w:type="dxa" w:w="4153"/>
          </w:tcPr>
          <w:p>
            <w:pPr>
              <w:pStyle w:val="null3"/>
            </w:pPr>
            <w:r>
              <w:rPr/>
              <w:t>收取比例：5%,说明：★要求：1）中标人在签订合同前须递交履约保证金或履约保函，履约保证金或履约保函担保金额为中标价的5%，否则采购人可拒签采购合同。中标人应在汇入履约保证金时在汇款单备注中注明：采购编号：，包号：，履约保证金。该履约保证金收取期限至项目售后服务期结束。 2）履约保证金可以采用以下任何一种形式： ①采用保证金（银行转帐、电汇等）方式：中标人必须保证资金在签订合同前到帐（以银行收到为准），到期后无息退还。账户信息如下： 户名：东莞市人民医院 账号：100764593350012288 开户行：中国邮政储蓄银行东莞昌平支行 ②履约保函：履约保函开具应选择商业银行或专业担保机构。保函应为不可撤销、见索即赔。如中标人未能按招标文件要求、投标文件响应和采购合同约定提供货物和售后服务，采购人向出具保函的商业银行或担保公司提出保函担保金额全额支付。 3）履约保函的续期：履约保函有效期须至项目售后服务期结束。如在合同签订前提交的保函有效期未能覆盖项目使用验收合格后中标人和采购人双方确认的售后服务期截止时间，则中标人应在使用验收合格后两个月内无条件办理续保手续。如中标人未能按要求进行续保，则采购人在履约保函有效期届满前90个日历日内，向出具保函的商业银行或担保公司提出保函担保金额全额支付。 4）履约保证金退回： ①使用验收合格后，中标人和采购人双方须确认项目售后服务期截止时间。在售后服务期内，中标人按招标文件要求、投标文件响应和采购合同约定提供货物和售后服务的，在项目售后服务期期满后，中标人向采购人提交退回履约保证金的申请、履约保证金汇款凭证复印件、采购项目验收报告、中标通知书复印件，采购人在收齐以上资料28天内办理履约保证金退还手续。 ②在售后服务期内，中标人未能按招标文件要求、投标文件响应和采购合同约定提供货物和售后服务的，采购人按合同约定向中标人收取违约金。违约金由采购人在中标人办理履约保证金退还时相应扣除。 5）发生下列情况之一的，履约保证金将被没收： ①中标人将本项目转让给他人，或者在投标文件中未说明，且未经采购人同意，将中标项目分包给他人的，采购人可依法没收其履约保证金； ②中标人履行采购合同期间，违反有关法律法规的规定及合同约定的条款，损害了采购人的利益的，采购人可依法没收其履约保证金； ③履约保函有效期须至项目售后服务期结束。如在合同签订前提交的保函有效期未能覆盖项目使用验收合格后采购人和中标人双方确认的售后服务期截止时间，则中标人应在使用验收合格后两个月内无条件办理续保手续。如中标人未能按要求进行续保，则采购人在履约保函有效期届满前90个日历日内，向出具保函的商业银行或担保公司提出保函担保金额全额支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★其他，1.售后服务 1）售后服务期（售后服务期由采购人使用验收合格之日起算）：售后服务由原厂提供；售后服务期间保证机器的开机率不低于95%（以一年365天计算，故障停机天数≤18天），每超出1天，售后服务期顺延2天；如进口产品投标，投标人须承诺在签订合同时提供国内总代理商出具的售后服务期承诺书；如国产产品投标，则须在签订合同时提供产品生产厂家出具的售后服务期承诺书。（售后服务期承诺书内容需明确指向东莞市人民医院及本次采购项目的标的产品，售后服务期与投标文件响应时间一致，并由投标人和生产厂家或者国内总代理商共同加盖公章）。若无法按要求提供，视为放弃中标。如涉及医院信息系统接入要求，须无条件开放设备信息端口且提供中文文档并提供技术支持；按采购人的要求开放设备的接口、定制开发或修改和设备相关的软件系统并承担相关费用。（需提供承诺函，承诺函格式见附件）。 2）售后响应：收到设备出现故障的报修通知，中标人应在1小时内响应，24小时内到达采购人设备使用现场（包括节假日）进行故障处理，因天气等不可抗力因素无法按要求到现场，需要提前与采购人沟通协商。 2.合同条款：投标人实质响应合同各条款。 3.生物安全柜最终安装方案需经采购人确认。 4.生物安全柜安装完后须提供具备资质的第三方机构进行性能检测服务并提供检测合格报告作为验收依据之一，并且售后服务期内须每年提供一次具备资质的第三方机构进行性能检测服务并出具检测合格报告。 5.中标人在采购人的协助下，负责高压灭菌锅相关监检部门的报检、验收及办理特种设备使用登记证等工作，取得特种设备检测研究院出具的高压灭菌锅检测合格证书及特种设备使用登记证，并承担相关检测办证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生物安全柜（一）</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30,820.00</w:t>
            </w:r>
          </w:p>
        </w:tc>
        <w:tc>
          <w:tcPr>
            <w:tcW w:type="dxa" w:w="831"/>
          </w:tcPr>
          <w:p>
            <w:pPr>
              <w:pStyle w:val="null3"/>
              <w:jc w:val="right"/>
            </w:pPr>
            <w:r>
              <w:rPr/>
              <w:t>493,120.00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其他医疗设备</w:t>
            </w:r>
          </w:p>
        </w:tc>
        <w:tc>
          <w:tcPr>
            <w:tcW w:type="dxa" w:w="831"/>
          </w:tcPr>
          <w:p>
            <w:pPr>
              <w:pStyle w:val="null3"/>
              <w:jc w:val="left"/>
            </w:pPr>
            <w:r>
              <w:rPr/>
              <w:t>生物安全柜（二）</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27,100.00</w:t>
            </w:r>
          </w:p>
        </w:tc>
        <w:tc>
          <w:tcPr>
            <w:tcW w:type="dxa" w:w="831"/>
          </w:tcPr>
          <w:p>
            <w:pPr>
              <w:pStyle w:val="null3"/>
              <w:jc w:val="right"/>
            </w:pPr>
            <w:r>
              <w:rPr/>
              <w:t>54,200.00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二氧化碳培养箱</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20,800.00</w:t>
            </w:r>
          </w:p>
        </w:tc>
        <w:tc>
          <w:tcPr>
            <w:tcW w:type="dxa" w:w="831"/>
          </w:tcPr>
          <w:p>
            <w:pPr>
              <w:pStyle w:val="null3"/>
              <w:jc w:val="right"/>
            </w:pPr>
            <w:r>
              <w:rPr/>
              <w:t>332,800.00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医用低温、冷疗设备</w:t>
            </w:r>
          </w:p>
        </w:tc>
        <w:tc>
          <w:tcPr>
            <w:tcW w:type="dxa" w:w="831"/>
          </w:tcPr>
          <w:p>
            <w:pPr>
              <w:pStyle w:val="null3"/>
              <w:jc w:val="left"/>
            </w:pPr>
            <w:r>
              <w:rPr/>
              <w:t>超低温冰箱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54,000.00</w:t>
            </w:r>
          </w:p>
        </w:tc>
        <w:tc>
          <w:tcPr>
            <w:tcW w:type="dxa" w:w="831"/>
          </w:tcPr>
          <w:p>
            <w:pPr>
              <w:pStyle w:val="null3"/>
              <w:jc w:val="right"/>
            </w:pPr>
            <w:r>
              <w:rPr/>
              <w:t>108,000.00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医用低温、冷疗设备</w:t>
            </w:r>
          </w:p>
        </w:tc>
        <w:tc>
          <w:tcPr>
            <w:tcW w:type="dxa" w:w="831"/>
          </w:tcPr>
          <w:p>
            <w:pPr>
              <w:pStyle w:val="null3"/>
              <w:jc w:val="left"/>
            </w:pPr>
            <w:r>
              <w:rPr/>
              <w:t>液氮罐</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64,000.00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消毒灭菌设备及器具</w:t>
            </w:r>
          </w:p>
        </w:tc>
        <w:tc>
          <w:tcPr>
            <w:tcW w:type="dxa" w:w="831"/>
          </w:tcPr>
          <w:p>
            <w:pPr>
              <w:pStyle w:val="null3"/>
              <w:jc w:val="left"/>
            </w:pPr>
            <w:r>
              <w:rPr/>
              <w:t>高压灭菌锅</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51,000.00</w:t>
            </w:r>
          </w:p>
        </w:tc>
        <w:tc>
          <w:tcPr>
            <w:tcW w:type="dxa" w:w="831"/>
          </w:tcPr>
          <w:p>
            <w:pPr>
              <w:pStyle w:val="null3"/>
              <w:jc w:val="right"/>
            </w:pPr>
            <w:r>
              <w:rPr/>
              <w:t>102,000.00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台式高速冷冻离心机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25,300.00</w:t>
            </w:r>
          </w:p>
        </w:tc>
        <w:tc>
          <w:tcPr>
            <w:tcW w:type="dxa" w:w="831"/>
          </w:tcPr>
          <w:p>
            <w:pPr>
              <w:pStyle w:val="null3"/>
              <w:jc w:val="right"/>
            </w:pPr>
            <w:r>
              <w:rPr/>
              <w:t>75,900.00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其他医疗设备</w:t>
            </w:r>
          </w:p>
        </w:tc>
        <w:tc>
          <w:tcPr>
            <w:tcW w:type="dxa" w:w="831"/>
          </w:tcPr>
          <w:p>
            <w:pPr>
              <w:pStyle w:val="null3"/>
              <w:jc w:val="left"/>
            </w:pPr>
            <w:r>
              <w:rPr/>
              <w:t>超纯水仪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89,800.00</w:t>
            </w:r>
          </w:p>
        </w:tc>
        <w:tc>
          <w:tcPr>
            <w:tcW w:type="dxa" w:w="831"/>
          </w:tcPr>
          <w:p>
            <w:pPr>
              <w:pStyle w:val="null3"/>
              <w:jc w:val="right"/>
            </w:pPr>
            <w:r>
              <w:rPr/>
              <w:t>89,800.00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生物安全柜（一）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2"/>
                    <w:jc w:val="both"/>
                  </w:pPr>
                  <w:r>
                    <w:rPr>
                      <w:sz w:val="21"/>
                      <w:b/>
                    </w:rPr>
                    <w:t>一、项目名称、采购数量及预算：</w:t>
                  </w:r>
                </w:p>
                <w:tbl>
                  <w:tblPr>
                    <w:tblBorders>
                      <w:top w:val="none" w:color="000000" w:sz="4"/>
                      <w:left w:val="none" w:color="000000" w:sz="4"/>
                      <w:bottom w:val="none" w:color="000000" w:sz="4"/>
                      <w:right w:val="none" w:color="000000" w:sz="4"/>
                      <w:insideH w:val="none"/>
                      <w:insideV w:val="none"/>
                    </w:tblBorders>
                  </w:tblPr>
                  <w:tblGrid>
                    <w:gridCol w:w="924"/>
                    <w:gridCol w:w="544"/>
                    <w:gridCol w:w="435"/>
                    <w:gridCol w:w="1359"/>
                    <w:gridCol w:w="1359"/>
                    <w:gridCol w:w="761"/>
                  </w:tblGrid>
                  <w:tr>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采购项目名称</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采购数量</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单价最高限价（元）</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总价最高限价（元）</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是否允许进口产品</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中心实验室设备一批</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批</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1,383,820.00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1,383,820.00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否</w:t>
                        </w:r>
                      </w:p>
                    </w:tc>
                  </w:tr>
                </w:tbl>
                <w:p>
                  <w:pPr>
                    <w:pStyle w:val="null3"/>
                    <w:ind w:firstLine="422"/>
                    <w:jc w:val="both"/>
                  </w:pPr>
                  <w:r>
                    <w:rPr>
                      <w:sz w:val="21"/>
                      <w:b/>
                    </w:rPr>
                    <w:t>二、设备技术参数及配置需求：</w:t>
                  </w:r>
                </w:p>
                <w:p>
                  <w:pPr>
                    <w:pStyle w:val="null3"/>
                    <w:jc w:val="both"/>
                  </w:pPr>
                  <w:r>
                    <w:rPr>
                      <w:sz w:val="21"/>
                      <w:b/>
                    </w:rPr>
                    <w:t>序号1：生物安全柜（一）</w:t>
                  </w:r>
                </w:p>
                <w:tbl>
                  <w:tblPr>
                    <w:tblBorders>
                      <w:top w:val="none" w:color="000000" w:sz="4"/>
                      <w:left w:val="none" w:color="000000" w:sz="4"/>
                      <w:bottom w:val="none" w:color="000000" w:sz="4"/>
                      <w:right w:val="none" w:color="000000" w:sz="4"/>
                      <w:insideH w:val="none"/>
                      <w:insideV w:val="none"/>
                    </w:tblBorders>
                  </w:tblPr>
                  <w:tblGrid>
                    <w:gridCol w:w="384"/>
                    <w:gridCol w:w="659"/>
                    <w:gridCol w:w="433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II</w:t>
                        </w:r>
                        <w:r>
                          <w:rPr>
                            <w:sz w:val="21"/>
                          </w:rPr>
                          <w:t>级A2型生物安全柜</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工作区尺寸（L×D×H）≥1350×600×650mm</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外形尺寸要求：因采购人安装场地高度为2m，需确保所投设备满足场地安装要求，并且安装完成后操作台底部到地面垂直距离≥50cm</w:t>
                        </w:r>
                        <w:r>
                          <w:rPr>
                            <w:sz w:val="21"/>
                            <w:b/>
                          </w:rPr>
                          <w:t>（需提供承诺函作为证明材料）。</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流入气流平均风速0.53±0.025m/s，下降气流平均风速0.33±0.025m/s。</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系统排风总量：≥520m³/h。</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噪音值：≤65dB。</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采用超高效空气过滤器，针对直径0.12μm颗粒过滤效率≥99.9995%</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具有气流隔断技术，沿玻璃门上沿缝隙有负压气流阻断保护，防止工作区内外气体交互。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洁净等级优于10级。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通过碘化钾测试，前窗操作口的保护因子≥</w:t>
                        </w:r>
                        <w:r>
                          <w:rPr>
                            <w:sz w:val="24"/>
                          </w:rPr>
                          <w:t>10</w:t>
                        </w:r>
                        <w:r>
                          <w:rPr>
                            <w:sz w:val="24"/>
                            <w:vertAlign w:val="superscript"/>
                          </w:rPr>
                          <w:t>5</w:t>
                        </w:r>
                        <w:r>
                          <w:rPr>
                            <w:sz w:val="21"/>
                          </w:rPr>
                          <w:t>,</w:t>
                        </w:r>
                        <w:r>
                          <w:rPr>
                            <w:sz w:val="21"/>
                          </w:rPr>
                          <w:t>产品安全性：菌落数≤5CFU/次，交叉污染安全性：菌落数≤2CFU/次。</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前窗采用电动升降方式，可电动控制上升或者下降到安全高度</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前窗玻璃采用透视清晰的防爆安全玻璃，清洁和消毒不会对其产生不良影响。</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液晶屏彩色显示，触摸式按键，可显示时钟、工作区温度与湿度、气流流速、送风以及排风过滤器压差、系统时间、过滤膜使用寿命、紫外使用时间、功能图标以及报警提示等参数。</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具有一键紫外灯预约功能，并可设定更改预约时长。</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系统自带开机预洁净程序，防止操作者在风速未稳定时直接开始操作、造成污染。</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在线实时监测并显示高效过滤器的使用寿命，具有过滤器失效声光报警功能。</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具有断电记忆功能，恢复供电后，恢复断电前的运行状态并有报警提示。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具有关门监测功能，未关严门有声光报警提示。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具有开门高度警示功能，开门超高或过低均有声光报警提示。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具有监测气流波动功能，气流波动超过20%有声光报警提示。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负压风道设有过滤格栅，防止纸屑等杂物进入后部负压腔体。</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柜内电源：双防水插座设计，插座位于安全柜操作区的左右两侧。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具有水阀、气阀孔交错设计，位于安全柜左侧。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一体式搁手板大平面设计，与胳膊的接触面积更大，人员操作更舒适；工作区域台面材料采用304不锈钢一体化结构，内部可清洗部位采用圆角处理，易于清洁。</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上柜体底部为可搬抬结构设计；柜体和支架可分离，支架高度可根据实际情况订制修改。</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柜体底座下方没有横撑横杆设计，方便放置或移动物品及座椅推进。</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脚轮与支架一体化设计，柜体可实现万向移动，也可调节支脚高度来固定柜体和调平工作台平面。</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具有热保护装置，并能在1.15倍额定电压值的条件下稳定工作。</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II类分类等级管理。所投产品应获得监督管理部门的III类分类等级的注册许可，取得监督管理部门颁发的相应的有效期内的《中华人民共和国医疗器械注册证》。供应商提供有效期内的《中华人民共和国医疗器械注册证》（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510"/>
                          <w:gridCol w:w="2593"/>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数量</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1</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生物安全柜（箱体+支架）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台</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2</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紫外灯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支</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3</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照明灯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支</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4</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过滤器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5</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防水插座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套</w:t>
                              </w:r>
                            </w:p>
                          </w:tc>
                        </w:tr>
                      </w:tbl>
                      <w:p>
                        <w:pPr>
                          <w:pStyle w:val="null3"/>
                          <w:jc w:val="both"/>
                        </w:pPr>
                      </w:p>
                    </w:tc>
                  </w:tr>
                </w:tbl>
                <w:p>
                  <w:pPr>
                    <w:pStyle w:val="null3"/>
                    <w:jc w:val="both"/>
                  </w:pPr>
                  <w:r>
                    <w:rPr>
                      <w:sz w:val="21"/>
                      <w:b/>
                    </w:rPr>
                    <w:t>序号2：生物安全柜（二）</w:t>
                  </w:r>
                </w:p>
                <w:tbl>
                  <w:tblPr>
                    <w:tblBorders>
                      <w:top w:val="none" w:color="000000" w:sz="4"/>
                      <w:left w:val="none" w:color="000000" w:sz="4"/>
                      <w:bottom w:val="none" w:color="000000" w:sz="4"/>
                      <w:right w:val="none" w:color="000000" w:sz="4"/>
                      <w:insideH w:val="none"/>
                      <w:insideV w:val="none"/>
                    </w:tblBorders>
                  </w:tblPr>
                  <w:tblGrid>
                    <w:gridCol w:w="384"/>
                    <w:gridCol w:w="659"/>
                    <w:gridCol w:w="433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II</w:t>
                        </w:r>
                        <w:r>
                          <w:rPr>
                            <w:sz w:val="21"/>
                          </w:rPr>
                          <w:t>级A2型生物安全柜</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尺寸要求：外形尺寸（L×D×H）≤700mm×720mm×1920mm，内部尺寸（L×D×H）≥600mm×500mm×540mm</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流入气流平均风速0.53±0.025m/s，下降气流平均风速0.33±0.025m/s。</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系统排风总量：≥230m</w:t>
                        </w:r>
                        <w:r>
                          <w:rPr>
                            <w:sz w:val="21"/>
                          </w:rPr>
                          <w:t>³</w:t>
                        </w:r>
                        <w:r>
                          <w:rPr>
                            <w:sz w:val="21"/>
                          </w:rPr>
                          <w:t>/h</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噪音值：≤65dB。</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送风过滤器与排风过滤器均采用超高效空气过滤器，针对直径0.12μm颗粒过滤效率≥99.9995%。</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具有气流隔断技术，沿玻璃门上沿缝隙有负压气流阻断保护，防止工作区内外气体交互。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洁净等级优于10级。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液晶屏彩色显示，触摸式按键，可显示时钟、工作区温度与湿度、气流流速、送风以及排风过滤器压差、系统时间、过滤膜使用寿命、紫外使用时间、功能图标以及报警提示等参数。</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前窗采用电动升降方式，可电动控制上升或者下降到安全高度</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具有一键紫外灯预约功能，并可设定更改预约时长；同时紫外灯剩余寿命不足10%发出更换预警。</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前窗玻璃采用双层夹胶防爆安全玻璃。</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具备双路压力传感器，实时监测送风过滤器以及排风过滤器的压差,压力变化超限时自动声光报警。</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具有断电记忆功能，恢复供电后，恢复断电前的运行状态并有报警提示。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具有关门监测功能，未关严门有声光报警提示。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具有开门高度警示功能，开门超高或过低均有声光报警提示。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具有监测气流波动功能，气流波动超过20%有声光报警提示。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具有监测气流波动功能，气流波动超过20%有声光报警提示。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负压风道设有过滤格栅，防止纸屑等杂物进入后部负压腔体。</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一体式搁手板大平面设计，与胳膊的接触面积更大，</w:t>
                        </w:r>
                        <w:r>
                          <w:rPr>
                            <w:sz w:val="21"/>
                          </w:rPr>
                          <w:t>人员操作更舒适。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柜内电源：双防水插座设计，插座位于安全柜操作区后部的左右两侧。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具有水阀、气阀孔交错设计，位于安全柜左侧。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具有水阀、气阀孔交错设计，位于安全柜左侧。</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脚轮与支架一体化设计，柜体可实现万向移动，也可以调节支脚高度来固定柜体和调平工作台平面。</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II类分类等级管理。所投产品应获得监督管理部门的III类分类等级的注册许可，取得监督管理部门颁发的相应的有效期内的《中华人民共和国医疗器械注册证》</w:t>
                        </w:r>
                        <w:r>
                          <w:rPr>
                            <w:sz w:val="21"/>
                          </w:rPr>
                          <w:t>。供应商提供有效期内的《中华人民共和国医疗器械注册证》</w:t>
                        </w:r>
                        <w:r>
                          <w:rPr>
                            <w:sz w:val="21"/>
                          </w:rPr>
                          <w:t>（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510"/>
                          <w:gridCol w:w="2593"/>
                          <w:gridCol w:w="510"/>
                          <w:gridCol w:w="51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260"/>
                                <w:jc w:val="both"/>
                              </w:pPr>
                              <w:r>
                                <w:rPr>
                                  <w:sz w:val="21"/>
                                </w:rPr>
                                <w:t>名称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数量</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生物安全柜（箱体+支架）</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台</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紫外灯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支</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照明灯</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支</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过滤器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center"/>
                              </w:pPr>
                              <w:r>
                                <w:rPr>
                                  <w:sz w:val="21"/>
                                </w:rPr>
                                <w:t>防水插座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sz w:val="21"/>
                                </w:rPr>
                                <w:t>套</w:t>
                              </w:r>
                            </w:p>
                          </w:tc>
                        </w:tr>
                      </w:tbl>
                      <w:p>
                        <w:pPr>
                          <w:pStyle w:val="null3"/>
                          <w:jc w:val="both"/>
                        </w:pPr>
                      </w:p>
                    </w:tc>
                  </w:tr>
                </w:tbl>
                <w:p>
                  <w:pPr>
                    <w:pStyle w:val="null3"/>
                    <w:jc w:val="both"/>
                  </w:pPr>
                  <w:r>
                    <w:rPr>
                      <w:sz w:val="21"/>
                      <w:b/>
                    </w:rPr>
                    <w:t>序号3：二氧化碳培养箱</w:t>
                  </w:r>
                </w:p>
                <w:tbl>
                  <w:tblPr>
                    <w:tblBorders>
                      <w:top w:val="none" w:color="000000" w:sz="4"/>
                      <w:left w:val="none" w:color="000000" w:sz="4"/>
                      <w:bottom w:val="none" w:color="000000" w:sz="4"/>
                      <w:right w:val="none" w:color="000000" w:sz="4"/>
                      <w:insideH w:val="none"/>
                      <w:insideV w:val="none"/>
                    </w:tblBorders>
                  </w:tblPr>
                  <w:tblGrid>
                    <w:gridCol w:w="326"/>
                    <w:gridCol w:w="326"/>
                    <w:gridCol w:w="4730"/>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7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类型：气套式。</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容积≥80L；控温范围：RT+5～50℃；二氧化碳控制范围：0～20%</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温度波动≤±0.3℃（@37℃），温度均匀性≤±0.5℃（@37℃）。</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温度波动≤±0.3℃（@37℃），温度均匀性≤±0.5℃（@37℃）。</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二氧化碳控制精度：≤±0.1%。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二氧化碳恢复时间：≤3分钟（开门30秒恢复到5%浓度）。</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相对湿度：≥90%。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消毒方式：具备紫外线（UV）消毒和高温湿热灭菌</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显示：液晶触摸屏，实时显示温度、二氧化碳浓度，并有变化曲线显示界面。</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数据存储：USB接口。</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采用不锈钢内胆和搁板，四角半圆弧设计，搁板可自由装卸，方便清洗。</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具有微生物高效过滤器，针对直径≥0.3μm的颗粒过滤效率≥99.97%。</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可堆叠放置，便于实验室空间的充分利用。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具有门温加热系统，有效防止玻璃门和门框四周产生冷凝水。</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具有循环风扇速度自动控制功能。</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I类分类等级管理。所投产品应获得监督管理部门的II类分类等级的注册许可，取得监督管理部门颁发的相应的有效期内的《中华人民共和国医疗器械注册证》</w:t>
                        </w:r>
                        <w:r>
                          <w:rPr>
                            <w:sz w:val="21"/>
                          </w:rPr>
                          <w:t>。供应商提供有效期内的《中华人民共和国医疗器械注册证》</w:t>
                        </w:r>
                        <w:r>
                          <w:rPr>
                            <w:sz w:val="21"/>
                          </w:rPr>
                          <w:t>（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1059"/>
                          <w:gridCol w:w="1290"/>
                          <w:gridCol w:w="875"/>
                          <w:gridCol w:w="1290"/>
                        </w:tblGrid>
                        <w:tr>
                          <w:tc>
                            <w:tcPr>
                              <w:tcW w:type="dxa" w:w="105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630"/>
                                <w:jc w:val="both"/>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搁板</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块</w:t>
                              </w:r>
                            </w:p>
                          </w:tc>
                        </w:tr>
                        <w:tr>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过滤器</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bl>
                      <w:p>
                        <w:pPr>
                          <w:pStyle w:val="null3"/>
                          <w:jc w:val="both"/>
                        </w:pPr>
                      </w:p>
                    </w:tc>
                  </w:tr>
                </w:tbl>
                <w:p>
                  <w:pPr>
                    <w:pStyle w:val="null3"/>
                    <w:jc w:val="both"/>
                  </w:pPr>
                  <w:r>
                    <w:rPr>
                      <w:sz w:val="21"/>
                      <w:b/>
                    </w:rPr>
                    <w:t>序号4：超低温冰箱</w:t>
                  </w:r>
                </w:p>
                <w:tbl>
                  <w:tblPr>
                    <w:tblBorders>
                      <w:top w:val="none" w:color="000000" w:sz="4"/>
                      <w:left w:val="none" w:color="000000" w:sz="4"/>
                      <w:bottom w:val="none" w:color="000000" w:sz="4"/>
                      <w:right w:val="none" w:color="000000" w:sz="4"/>
                      <w:insideH w:val="none"/>
                      <w:insideV w:val="none"/>
                    </w:tblBorders>
                  </w:tblPr>
                  <w:tblGrid>
                    <w:gridCol w:w="326"/>
                    <w:gridCol w:w="326"/>
                    <w:gridCol w:w="4730"/>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7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样式：立式，单门。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有效容积：≥830L；温度范围：-40℃～-86℃（需完全覆盖此范围）</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匹配冻存盒数量和规格：≥600个10×10cm冻存盒，≥60000支2ml冻存管。</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控温精度≤0.1℃，温度波动度≤3.5℃，温度均匀度≤2.2℃。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箱体材料采用冷轧喷涂钢板，内胆材料采用304镜面不锈钢内胆，易清洁、抗腐蚀。</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箱内配备≥3层304不锈钢搁架，≥4个内门，每个内门都配有压紧式把手。</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外门标配≥4道门封，内门≥1道门封，门封采用硅胶材料，最低耐温-100℃。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≥10英寸显示屏，可显示箱内温度、环境温度、冷凝器温度、温度曲线等数据，可连接wifi实现网络功能。</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具有多重保护系统：开机延时保护、停机间隔保护、压机高温保护、显示大屏密码保护、断电记忆数据保护等。</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具有多重报警系统：高低温报警、开门报警、断电报警、冷凝器高温报警、环温报警、电池电量低报警、通讯故障报警、传感器故障报警，远程报警等。</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报警方式：声光报警方式。</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标配密码、指纹、NFC屏幕解锁功能，防止无关人员随意修改参数。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双压缩机，完全独立的两套变频系统，可以保证当一套系统出现故障时，另外一套系统还能保持冰箱稳定运行</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标配 USB，可通过USB接口下载温度数据，用于记录箱内温度数据。</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具有测试孔，直径≥25mm，方便实验使用和监控箱内温度。</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噪音值：≤55dB。</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采用高性能保温材料纳米薄膜板，厚度≥25mm，搭配LBA发泡剂保温层，保温层厚度≥90mm。</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稳定状态下断电，箱内特性点温度从-81℃回升到-50℃的时间≥5.5h。</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箱内特性点处的温度降至-81℃温度时所需时间≤3.5h。</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标配USB模块，可记录箱内实际温度等数据长达10年以上。</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标配蓄电池，断电状态可持续为温度报警、USB端口供电。</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底部带有四个万向轮和两个调节脚，方便移动和固定。</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具有可加热泄压阀，可满足短时间内连续开门。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I类分类等级管理。所投产品应获得监督管理部门的II类分类等级的注册许可，取得监督管理部门颁发的相应的有效期内的《中华人民共和国医疗器械注册证》</w:t>
                        </w:r>
                        <w:r>
                          <w:rPr>
                            <w:sz w:val="21"/>
                          </w:rPr>
                          <w:t>。供应商提供有效期内的《中华人民共和国医疗器械注册证》</w:t>
                        </w:r>
                        <w:r>
                          <w:rPr>
                            <w:sz w:val="21"/>
                          </w:rPr>
                          <w:t>（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7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512"/>
                          <w:gridCol w:w="2885"/>
                          <w:gridCol w:w="605"/>
                          <w:gridCol w:w="512"/>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8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6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搁板</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块</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冻存架</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冻存盒</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温度监控系统（含远程报警功能）</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冰铲</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防冻手套</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双</w:t>
                              </w:r>
                            </w:p>
                          </w:tc>
                        </w:tr>
                      </w:tbl>
                      <w:p>
                        <w:pPr>
                          <w:pStyle w:val="null3"/>
                          <w:jc w:val="both"/>
                        </w:pPr>
                      </w:p>
                    </w:tc>
                  </w:tr>
                </w:tbl>
                <w:p>
                  <w:pPr>
                    <w:pStyle w:val="null3"/>
                    <w:jc w:val="both"/>
                  </w:pPr>
                  <w:r>
                    <w:rPr>
                      <w:sz w:val="21"/>
                      <w:b/>
                    </w:rPr>
                    <w:t>序号5：液氮罐</w:t>
                  </w:r>
                </w:p>
                <w:tbl>
                  <w:tblPr>
                    <w:tblBorders>
                      <w:top w:val="none" w:color="000000" w:sz="4"/>
                      <w:left w:val="none" w:color="000000" w:sz="4"/>
                      <w:bottom w:val="none" w:color="000000" w:sz="4"/>
                      <w:right w:val="none" w:color="000000" w:sz="4"/>
                      <w:insideH w:val="none"/>
                      <w:insideV w:val="none"/>
                    </w:tblBorders>
                  </w:tblPr>
                  <w:tblGrid>
                    <w:gridCol w:w="384"/>
                    <w:gridCol w:w="659"/>
                    <w:gridCol w:w="433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液氮容积≥175L</w:t>
                        </w:r>
                        <w:r>
                          <w:rPr>
                            <w:sz w:val="21"/>
                            <w:b/>
                          </w:rPr>
                          <w:t>（需提供产品检验报告，或产品说明书，或彩页作为证明材料）</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样本储存温度≤-180℃。</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瓶颈大小：20～22cm之间。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静态液氮蒸发率L/day（升/天）：≤0.95，静态液氮保存期/d（天）：≥180</w:t>
                        </w:r>
                        <w:r>
                          <w:rPr>
                            <w:sz w:val="21"/>
                            <w:b/>
                          </w:rPr>
                          <w:t>（需提供产品检验报告，或产品说明书，或彩页作为证明材料）</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具有安全锁扣设计。</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具有液晶显示屏，可显示温度、液位等参数。</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标配≥6个冻存架，每个冻存架可容纳冻存盒≥10个，可储存2mL冻存管≥6000支。</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多层方形提桶,内部标配冻存盒,紧凑储存冻存管,节省液氮。</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具有高温报警、超高或超低液位报警、远程报警、传感器故障报警、开盖报警等。</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463"/>
                          <w:gridCol w:w="2735"/>
                          <w:gridCol w:w="463"/>
                          <w:gridCol w:w="463"/>
                        </w:tblGrid>
                        <w:tr>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7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液氮罐</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温度及液位监控系统（含远程报警功能）</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冻存架</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冻存盒</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运输小车</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bl>
                      <w:p>
                        <w:pPr>
                          <w:pStyle w:val="null3"/>
                          <w:jc w:val="both"/>
                        </w:pPr>
                      </w:p>
                    </w:tc>
                  </w:tr>
                </w:tbl>
                <w:p>
                  <w:pPr>
                    <w:pStyle w:val="null3"/>
                    <w:jc w:val="both"/>
                  </w:pPr>
                  <w:r>
                    <w:rPr>
                      <w:sz w:val="21"/>
                      <w:b/>
                    </w:rPr>
                    <w:t>序号6：高压灭菌锅</w:t>
                  </w:r>
                </w:p>
                <w:tbl>
                  <w:tblPr>
                    <w:tblBorders>
                      <w:top w:val="none" w:color="000000" w:sz="4"/>
                      <w:left w:val="none" w:color="000000" w:sz="4"/>
                      <w:bottom w:val="none" w:color="000000" w:sz="4"/>
                      <w:right w:val="none" w:color="000000" w:sz="4"/>
                      <w:insideH w:val="none"/>
                      <w:insideV w:val="none"/>
                    </w:tblBorders>
                  </w:tblPr>
                  <w:tblGrid>
                    <w:gridCol w:w="384"/>
                    <w:gridCol w:w="659"/>
                    <w:gridCol w:w="433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容积：≥60L；灭菌温度选择范围：105～138℃（需完全覆盖此范围）</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材质：304不锈钢或更优材质。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设计压力：≥0.34MPa</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设计温度：≥145℃。</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温度显示精度：≤0.1℃。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压力显示精度：≤1kPa。</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具有保温功能，保温温度45～70℃；具有融化/熔解功能，融化温度60～100℃</w:t>
                        </w:r>
                        <w:r>
                          <w:rPr>
                            <w:sz w:val="21"/>
                            <w:b/>
                          </w:rPr>
                          <w:t>（需完全覆盖此范围，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灭菌时间设定：0～9999min；保温时间设定：0～160h；融化时间设定：0～9999min。</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具有延时启动功能，可按设定时间自动运行，预约时间设定范围0～160h。</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底部带脚轮，腔体直径≥40cm。</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开关门方式：翻盖式自动门，一键式开关门。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升温、灭菌、排汽/冷却、保温等全过程自动运行。</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具有压力安全联锁装置：门只有关闭到位，电源才能接通加热产生蒸汽；内室有压力，门无法打开。</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灭菌室标配验证孔，方便验证腔内温度、压力。</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门密封方式：自胀式密封胶圈，采用透明医用硅橡胶模压而成。</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蒸汽产生方式：主体内加热，直接产生饱和蒸汽，无需外接蒸汽源。</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压力表：量程：-0.1～0.5MPa；精度等级：1.6级以上。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冷凝系统：  内置蒸汽冷凝系统，灭菌结束后对内腔排出的水和蒸汽进行冷却处理。</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集气瓶：设备配备集气瓶，用于收集蒸汽和冷凝水。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操作方式：  面板感应式操作，采用PLC控制,模块化设计的专用灭菌器控制器。</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界面显示：≥5英寸液晶显示屏，显示温度、压力、报警信息，支持多语言切换，支持无线通讯功能。</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具有传感器故障自检及保护功能：设备自动检测传感器故障，并声光指示。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排汽模式：可设定排汽阀开启的温度和时间，排汽速度可调，可避免液体灭菌时液体的溢出。</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具有水位检测报警功能：灭菌器内水位未达到规定水位，低水位报警，自动切断加热电源。</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权限管理：多级密码权限管理，只有输入正确密码，进入不同权限，进行参数修改。</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安全保护：1）超温自动保护装置：超过设定温度，系统自动切断加热电源；2）防干烧保护装置：水位过低时，系统自动切断加热电源；3）超压自动泄放装置：超过安全阀开启压力，安全阀开启泄压；4）过流保护装置：设备电流过载时，系统自动切断电源。</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具有医用程序、实验室程序、自定义程序三大类，≥100个程序可供选择和设定。</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可存储≥100个不同参数的程序。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I类分类等级管理。所投产品应获得监督管理部门的II类分类等级的注册许可，取得监督管理部门颁发的相应的有效期内的《中华人民共和国医疗器械注册证》</w:t>
                        </w:r>
                        <w:r>
                          <w:rPr>
                            <w:sz w:val="21"/>
                          </w:rPr>
                          <w:t>。供应商提供有效期内的《中华人民共和国医疗器械注册证》</w:t>
                        </w:r>
                        <w:r>
                          <w:rPr>
                            <w:sz w:val="21"/>
                          </w:rPr>
                          <w:t>（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高压灭菌锅对应的生产企业或责任单位已将产品备案，在主管部门官网可查并提供查询结果截图，并提供《消毒产品卫生安全评价报告》。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884"/>
                          <w:gridCol w:w="1472"/>
                          <w:gridCol w:w="884"/>
                          <w:gridCol w:w="884"/>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灭菌容器</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集气瓶</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bl>
                      <w:p>
                        <w:pPr>
                          <w:pStyle w:val="null3"/>
                          <w:jc w:val="both"/>
                        </w:pPr>
                      </w:p>
                    </w:tc>
                  </w:tr>
                </w:tbl>
                <w:p>
                  <w:pPr>
                    <w:pStyle w:val="null3"/>
                    <w:jc w:val="both"/>
                  </w:pPr>
                  <w:r>
                    <w:rPr>
                      <w:sz w:val="21"/>
                      <w:b/>
                    </w:rPr>
                    <w:t>序号7：台式高速冷冻离心机</w:t>
                  </w:r>
                </w:p>
                <w:tbl>
                  <w:tblPr>
                    <w:tblBorders>
                      <w:top w:val="none" w:color="000000" w:sz="4"/>
                      <w:left w:val="none" w:color="000000" w:sz="4"/>
                      <w:bottom w:val="none" w:color="000000" w:sz="4"/>
                      <w:right w:val="none" w:color="000000" w:sz="4"/>
                      <w:insideH w:val="none"/>
                      <w:insideV w:val="none"/>
                    </w:tblBorders>
                  </w:tblPr>
                  <w:tblGrid>
                    <w:gridCol w:w="330"/>
                    <w:gridCol w:w="275"/>
                    <w:gridCol w:w="4778"/>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7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最大转速：≥20000r/min，最大离心力：≥30000×g</w:t>
                        </w:r>
                        <w:r>
                          <w:rPr>
                            <w:sz w:val="21"/>
                            <w:b/>
                          </w:rPr>
                          <w:t>（需完全覆盖此范围，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转速精度：≤±10r/min；温控精度：≤±1℃</w:t>
                        </w:r>
                        <w:r>
                          <w:rPr>
                            <w:sz w:val="21"/>
                            <w:b/>
                          </w:rPr>
                          <w:t>（需完全覆盖此范围，需提供注册证及其附件技术要求，或注册检验报告，或产品说明书，或彩页作为证明材料；注册证附件、注册检验报告是该产品进行备案或注册时，向药品监督管理部门提交的产品技术要求和产品检验报告）</w:t>
                        </w:r>
                        <w:r>
                          <w:rPr>
                            <w:sz w:val="21"/>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温度控制范围：-20℃～+40℃（需完全覆盖此范围）（需完全覆盖此范围，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定时范围：1s～99min。</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整机噪音：≤60dB。</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微电脑控制，交流变频电机驱动，触摸屏显示全部运行参数。</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具有转子自动识别、故障诊断、超速报警、电子安全门锁等多级保护功能。</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三级阻尼减震，≥10种升降速曲线，≥30种自由程序可编可存，可满足不同实验需求。</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门盖机身双层密封圈。</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电源：AC220V，50HZ，10A。</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整机功率：≤650W。</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所采购货物属于中国医疗器械注册管理范围内，根据国家药品监督管理局于2017年8月31日发布的《医疗器械分类目录》规定及最新调整公告，属于I类分类等级管理。所投产品应获得监督管理部门的I类或以上分类等级的注册许可，</w:t>
                        </w:r>
                        <w:r>
                          <w:rPr>
                            <w:sz w:val="21"/>
                          </w:rPr>
                          <w:t>取得监督管理部门颁发相应的有效期内的</w:t>
                        </w:r>
                        <w:r>
                          <w:rPr>
                            <w:sz w:val="21"/>
                          </w:rPr>
                          <w:t>《第一类医疗器械备案凭证/备案编号告知书》</w:t>
                        </w:r>
                        <w:r>
                          <w:rPr>
                            <w:sz w:val="21"/>
                          </w:rPr>
                          <w:t>。供应商提供有效期内的</w:t>
                        </w:r>
                        <w:r>
                          <w:rPr>
                            <w:sz w:val="21"/>
                          </w:rPr>
                          <w:t>《第一类医疗器械备案凭证/备案编号告知书》（包括《第一类医疗器械备案信息表》及附件“产品技术要求”）。自《医疗器械分类目录》实施之日(2018年8月1日)起，如国家药品监督管理局对货物的分类管理进行调整的，请投标人提供分类调整的相关证明文件（包括公告内容及附件）。</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669"/>
                          <w:gridCol w:w="2224"/>
                          <w:gridCol w:w="828"/>
                          <w:gridCol w:w="839"/>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角转子及相应的适配器（12×1.5/2.0ml、8×15ml、6×50ml）</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扳手</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把</w:t>
                              </w:r>
                            </w:p>
                          </w:tc>
                        </w:tr>
                      </w:tbl>
                      <w:p>
                        <w:pPr>
                          <w:pStyle w:val="null3"/>
                          <w:jc w:val="both"/>
                        </w:pPr>
                      </w:p>
                    </w:tc>
                  </w:tr>
                </w:tbl>
                <w:p>
                  <w:pPr>
                    <w:pStyle w:val="null3"/>
                    <w:jc w:val="both"/>
                  </w:pPr>
                  <w:r>
                    <w:rPr>
                      <w:sz w:val="21"/>
                      <w:b/>
                    </w:rPr>
                    <w:t>序号8：超纯水仪</w:t>
                  </w:r>
                </w:p>
                <w:tbl>
                  <w:tblPr>
                    <w:tblBorders>
                      <w:top w:val="none" w:color="000000" w:sz="4"/>
                      <w:left w:val="none" w:color="000000" w:sz="4"/>
                      <w:bottom w:val="none" w:color="000000" w:sz="4"/>
                      <w:right w:val="none" w:color="000000" w:sz="4"/>
                      <w:insideH w:val="none"/>
                      <w:insideV w:val="none"/>
                    </w:tblBorders>
                  </w:tblPr>
                  <w:tblGrid>
                    <w:gridCol w:w="330"/>
                    <w:gridCol w:w="275"/>
                    <w:gridCol w:w="4778"/>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参数性质</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7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具体技术(参数)要求</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一机两用，可同时制备取用两种水质的水，即RO纯水和UP超纯水。取水水质、水温均在线监测。可以定时定量定质取水。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进水水源：城市自来水或地下水均可。</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产水量：≥12L/h</w:t>
                        </w:r>
                        <w:r>
                          <w:rPr>
                            <w:sz w:val="21"/>
                            <w:b/>
                          </w:rPr>
                          <w:t>（需提供产品检验报告，或产品说明书，或彩页作为证明材料）</w:t>
                        </w:r>
                        <w:r>
                          <w:rPr>
                            <w:sz w:val="21"/>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产水水质要求：纯水电导率≤5μS/cm（0.5mS/m）；超纯水电阻率≥18.2 MΩ·cm</w:t>
                        </w:r>
                        <w:r>
                          <w:rPr>
                            <w:sz w:val="21"/>
                            <w:b/>
                          </w:rPr>
                          <w:t>（需提供产品检验报告，或产品说明书，或彩页作为证明材料）</w:t>
                        </w:r>
                        <w:r>
                          <w:rPr>
                            <w:sz w:val="21"/>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取水流速：纯水：1.8～2L/min；超纯水：1.5～1.8L/min。</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超纯水技术指标：TOC（总有机碳）≤5μg/L(ppb)；细菌≤0.01CFU/mL；内毒素（热原）≤0.005EU/mL</w:t>
                        </w:r>
                        <w:r>
                          <w:rPr>
                            <w:sz w:val="21"/>
                            <w:b/>
                          </w:rPr>
                          <w:t>（需提供产品检验报告，或产品说明书，或彩页作为证明材料）</w:t>
                        </w:r>
                        <w:r>
                          <w:rPr>
                            <w:sz w:val="21"/>
                          </w:rPr>
                          <w:t>。</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超纯水RNase（核糖核酸酶）含量≤0.5pg/mL，DNase（脱氧核糖核酸酶）含量≤10pg/mL。</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颗粒物：无粒径超过0.22μm的颗粒。</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无机离子含量：Pb/Hg/Cr/As重金属离子≤0.01μg/L；Mn/Fe/Cu/Zn微量元素离子含量≤0.01μg/L；Cl/F阴离子≤0.5μg/L。</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配备≥30L无菌储水桶，无菌桶水位控制器为液压传感器，动态显示并能控制水位。</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配备水箱自动循环模块，可在线监测储水水质，当水质下降时可通过纯化柱及紫外灯自动提升水质。</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紫外消毒：标配氧化紫外灯（含185/254nm紫外灯），有效杀菌和降低TOC水平至5ppb以下；配置TOC检测模块，精度≤0.1ppb。</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系统清洗：具有≥2种清洗程序，包括氯洗和pH清洗，可定期对反渗膜和纯水管路执行清洗消毒。</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系统可自动监测并调整RO膜回收率。</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定时取水模块：可在0～9999min内自由选择取水时间；设定10min、30min、60min、120min四个时间直接选择取水。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定量取水模块：可在0～9999ml内自由选择取水量；设定500ml、1000ml、2000ml、5000ml范围内直接选择取水。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全自动微电脑控制系统，多级菜单式操作，触摸按键设计，高清显示屏，模块化控制系统。</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主控制器可独立于主机和取水器，可移动设计。</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具有与主机分离的远程取水器，可调节高度，可360°旋转，可实现定量取水和流速调节。</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中英文菜单可自由切换，可显示出水关键信息：包括水质、水温、RO膜截留率、系统工作状态、水箱液位、流速、消耗品寿命和警告等信息。</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具有缺水报警、水满报警，源水、纯水、超纯水水质超标报警。</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RO</w:t>
                        </w:r>
                        <w:r>
                          <w:rPr>
                            <w:sz w:val="21"/>
                          </w:rPr>
                          <w:t>膜防垢程序冲洗程序分为自动和手动两种，方便用户及时清理，并延长RO膜的使用寿命。</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系统配置漏水保护器，当侦测到有泄漏时，会切断自来水进水，系统会自动待机，并发出声光报警。</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系统具备存储功能，可以随时查看运行及报警数据。</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售后服务期：整机5年。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单套配置清单（以下为基本配置要求，为实现用户需求中功能、性能及参数的需要增加的其他配置，请投标人在本配置清单的基础上增加并填报）：</w:t>
                        </w:r>
                      </w:p>
                      <w:tbl>
                        <w:tblPr>
                          <w:tblBorders>
                            <w:top w:val="none" w:color="000000" w:sz="4"/>
                            <w:left w:val="none" w:color="000000" w:sz="4"/>
                            <w:bottom w:val="none" w:color="000000" w:sz="4"/>
                            <w:right w:val="none" w:color="000000" w:sz="4"/>
                            <w:insideH w:val="none"/>
                            <w:insideV w:val="none"/>
                          </w:tblBorders>
                        </w:tblPr>
                        <w:tblGrid>
                          <w:gridCol w:w="652"/>
                          <w:gridCol w:w="2607"/>
                          <w:gridCol w:w="652"/>
                          <w:gridCol w:w="652"/>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6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主机（含TOC检测模块）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各级纯化柱</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纯水水箱</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紫外杀菌模块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终端过滤器</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远程取水器（含输水管）</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6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清洗药片</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盒</w:t>
                              </w:r>
                            </w:p>
                          </w:tc>
                        </w:tr>
                      </w:tbl>
                      <w:p>
                        <w:pPr>
                          <w:pStyle w:val="null3"/>
                          <w:jc w:val="both"/>
                        </w:pPr>
                      </w:p>
                    </w:tc>
                  </w:tr>
                </w:tbl>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生物安全柜（二）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二氧化碳培养箱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超低温冰箱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液氮罐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高压灭菌锅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台式高速冷冻离心机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超纯水仪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详见附表1-1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原国家计委文件“计价格[2002]1980号文”和国家发展改革委文件“发改价格[2011]534号文”的规定标准下浮20%执行&lt;如无具体中标（成交）金额的或以单价金额中标（成交）的项目，按项目预算金额作为计算依据&gt;。若据此计算不足8,000.00元，则向中标（成交）人固定收取服务费8,000.00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其他，投标文件：1、电子版投标文件应在投标截止时间前上传到广东政府采购智慧云平台。 2、纸质版投标文件应在投标截止时间前送达代理机构（东莞市南城街道雅园工业区大道88号万嘉科技园B栋201，李小姐，0769-21669309），投标人可选择邮寄或自行送达，时间以送达时间为准。如邮寄纸质版投标文件，请邮寄后将快递单号发至gddghz@qq.com，以便及时查收（本次评审以电子版投标文件为准，当项目采购系统出现故障，无法使用电子投标文件评标时，代理机构可根据云平台发布的通知指引，根据实际情况使用纸质投标文件评标）。</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广东和正招标有限公司</w:t>
      </w:r>
      <w:r>
        <w:rPr/>
        <w:t>代收。具体操作要求详见</w:t>
      </w:r>
      <w:r>
        <w:rPr/>
        <w:t>广东和正招标有限公司</w:t>
      </w:r>
      <w:r>
        <w:rPr/>
        <w:t>有关指引，递交事宜请自行咨询</w:t>
      </w:r>
      <w:r>
        <w:rPr/>
        <w:t>广东和正招标有限公司</w:t>
      </w:r>
      <w:r>
        <w:rPr/>
        <w:t>；请各投标人在投标文件递交截止时间前按须知前附表规定的金额递交至</w:t>
      </w:r>
      <w:r>
        <w:rPr/>
        <w:t>广东和正招标有限公司</w:t>
      </w:r>
      <w:r>
        <w:rPr/>
        <w:t>，到账情况以开标时</w:t>
      </w:r>
      <w:r>
        <w:rPr/>
        <w:t>广东和正招标有限公司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孙先生</w:t>
      </w:r>
    </w:p>
    <w:p>
      <w:pPr>
        <w:pStyle w:val="null3"/>
        <w:ind w:firstLine="480"/>
      </w:pPr>
      <w:r>
        <w:rPr/>
        <w:t>电话：</w:t>
      </w:r>
      <w:r>
        <w:rPr/>
        <w:t>0769-21669369</w:t>
      </w:r>
    </w:p>
    <w:p>
      <w:pPr>
        <w:pStyle w:val="null3"/>
        <w:ind w:firstLine="480"/>
      </w:pPr>
      <w:r>
        <w:rPr/>
        <w:t>传真：</w:t>
      </w:r>
      <w:r>
        <w:rPr/>
        <w:t>/</w:t>
      </w:r>
    </w:p>
    <w:p>
      <w:pPr>
        <w:pStyle w:val="null3"/>
        <w:ind w:firstLine="480"/>
      </w:pPr>
      <w:r>
        <w:rPr/>
        <w:t>邮箱：</w:t>
      </w:r>
      <w:r>
        <w:rPr/>
        <w:t>gddghz@qq.com</w:t>
      </w:r>
    </w:p>
    <w:p>
      <w:pPr>
        <w:pStyle w:val="null3"/>
        <w:ind w:firstLine="480"/>
      </w:pPr>
      <w:r>
        <w:rPr/>
        <w:t>地址：</w:t>
      </w:r>
      <w:r>
        <w:rPr/>
        <w:t>东莞市南城街道雅园工业区大道88号B栋201</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采购包1(中心实验室设备一批)：综合评分法,是指投标文件满足招标文件全部实质性要求，且按照评审因素的量化指标评审得分最高的投标人为中标候选人的评标方法。（最低报价不是中标的唯一依据。）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广东和正招标有限公司</w:t>
      </w:r>
      <w:r>
        <w:rPr/>
        <w:t>统一对外发布。</w:t>
      </w:r>
    </w:p>
    <w:p>
      <w:pPr>
        <w:pStyle w:val="null3"/>
        <w:ind w:firstLine="480"/>
      </w:pPr>
      <w:r>
        <w:rPr/>
        <w:t>（2）对</w:t>
      </w:r>
      <w:r>
        <w:rPr/>
        <w:t>广东和正招标有限公司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采购包1（中心实验室设备一批）：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采购包1（中心实验室设备一批）：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供应商必须具有良好的商业信誉和健全的财务会计制度&lt;提供2023（或2022）年度财务状况报告或基本开户行出具的资信证明&gt;（或提供承诺函，格式自拟）。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3.1投标人应具有有效的且与所投项目相适应的医疗器械生产许可或经营许可，即：①供应商为生产商：提供食品药品监督管理部门签发的有效的《医疗器械生产许可证》复印件；（如国家另有规定，则适用其规定）；②供应商为代理商或经销商：提供食品药品监督管理部门签发的有效的《医疗器械经营许可证》复印件；（如国家另有规定，则适用其规定）。 3.2投标人所投产品（高压灭菌锅）的生产企业需具备特种设备安全监督管理部门颁发的有效期内的《特种设备生产许可证》，以及卫生行政部门颁发的有效期内的《消毒产品生产企业卫生许可证》，提供文件复印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1)本采购包不专门面向中小企业采购的项目，本项目中小企业划分标准所属行业为：工业。 2)《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关于运用政府采购政策支持脱贫攻坚的通知》（财库〔2019〕27号）、《关于印发&lt;商品包装政府采购需求标准（试行）&gt;、&lt;快递包装政府采购需求标准（试行）&gt;的通知》（财办库〔2020〕123号）。</w:t>
            </w:r>
          </w:p>
        </w:tc>
      </w:tr>
    </w:tbl>
    <w:p>
      <w:pPr>
        <w:pStyle w:val="null3"/>
        <w:ind w:firstLine="480"/>
      </w:pPr>
      <w:r>
        <w:rPr/>
        <w:t>表二符合性审查表：</w:t>
      </w:r>
    </w:p>
    <w:p>
      <w:pPr>
        <w:pStyle w:val="null3"/>
      </w:pPr>
      <w:r>
        <w:rPr/>
        <w:t>采购包1（中心实验室设备一批）：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未按照招标文件的要求提交投标保证金的，视为投标无效。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未按照招标文件的要求签署、盖章的，视为投标无效。</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未按照招标文件的要求保证投标有效期的，视为投标无效。</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不满足招标文件中带“★”要求的，视为投标无效。</w:t>
            </w:r>
          </w:p>
        </w:tc>
      </w:tr>
      <w:tr>
        <w:tc>
          <w:tcPr>
            <w:tcW w:type="dxa" w:w="890"/>
          </w:tcPr>
          <w:p>
            <w:pPr>
              <w:pStyle w:val="null3"/>
            </w:pPr>
            <w:r>
              <w:rPr/>
              <w:t>5</w:t>
            </w:r>
          </w:p>
        </w:tc>
        <w:tc>
          <w:tcPr>
            <w:tcW w:type="dxa" w:w="3178"/>
          </w:tcPr>
          <w:p>
            <w:pPr>
              <w:pStyle w:val="null3"/>
            </w:pPr>
            <w:r>
              <w:rPr/>
              <w:t>报价</w:t>
            </w:r>
          </w:p>
        </w:tc>
        <w:tc>
          <w:tcPr>
            <w:tcW w:type="dxa" w:w="4238"/>
          </w:tcPr>
          <w:p>
            <w:pPr>
              <w:pStyle w:val="null3"/>
            </w:pPr>
            <w:r>
              <w:rPr/>
              <w:t>报价超过招标文件中规定的预算金额或者最高限价的，视为投标无效。</w:t>
            </w:r>
          </w:p>
        </w:tc>
      </w:tr>
      <w:tr>
        <w:tc>
          <w:tcPr>
            <w:tcW w:type="dxa" w:w="890"/>
          </w:tcPr>
          <w:p>
            <w:pPr>
              <w:pStyle w:val="null3"/>
            </w:pPr>
            <w:r>
              <w:rPr/>
              <w:t>6</w:t>
            </w:r>
          </w:p>
        </w:tc>
        <w:tc>
          <w:tcPr>
            <w:tcW w:type="dxa" w:w="3178"/>
          </w:tcPr>
          <w:p>
            <w:pPr>
              <w:pStyle w:val="null3"/>
            </w:pPr>
            <w:r>
              <w:rPr/>
              <w:t>报价及投标方案</w:t>
            </w:r>
          </w:p>
        </w:tc>
        <w:tc>
          <w:tcPr>
            <w:tcW w:type="dxa" w:w="4238"/>
          </w:tcPr>
          <w:p>
            <w:pPr>
              <w:pStyle w:val="null3"/>
            </w:pPr>
            <w:r>
              <w:rPr/>
              <w:t>报价不是固定价，投标方案是可选择的的，视为投标无效。</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响应文件含有采购人不能接受的附加条件的的，视为投标无效。</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不符合法律、法规和招标文件规定的其他要求的，视为投标无效。</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采购包1(中心实验室设备一批):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技术参数的响应情况 (56.0分)</w:t>
            </w:r>
          </w:p>
        </w:tc>
        <w:tc>
          <w:tcPr>
            <w:tcW w:type="dxa" w:w="5076"/>
          </w:tcPr>
          <w:p>
            <w:pPr>
              <w:pStyle w:val="null3"/>
              <w:jc w:val="left"/>
            </w:pPr>
            <w:r>
              <w:rPr/>
              <w:t>对采购需求的响应程度，包括需求理解深度、对技术参数的响应程度进行评分，每有一项“▲”参数不满足的，每项扣7分，扣完为止。 注：1.采购需求要求提供证明材料的，需按照具体条款要求提供，否则不得分。2.本项目“▲”条款合计8个。</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p>
        </w:tc>
        <w:tc>
          <w:tcPr>
            <w:tcW w:type="dxa" w:w="5076"/>
          </w:tcPr>
          <w:p>
            <w:pPr>
              <w:pStyle w:val="null3"/>
              <w:jc w:val="left"/>
            </w:pPr>
            <w:r>
              <w:rPr/>
              <w:t>投标人提供自本公司成立以来，投标人作为供应商具有的同类医疗设备项目（实验室设备）业绩，同时提供：①采购合同复印件，并加盖投标人公章；②相应的发票复印件，并加盖投标人公章。每个业绩得1分，序号①和②二者缺一的，该业绩不得分。 上述资料，必须清晰可辨；本项满分为4分。</w:t>
            </w:r>
          </w:p>
        </w:tc>
      </w:tr>
      <w:tr>
        <w:tc>
          <w:tcPr>
            <w:tcW w:type="dxa" w:w="922"/>
            <w:gridSpan w:val="2"/>
            <w:vMerge/>
          </w:tcPr>
          <w:p/>
        </w:tc>
        <w:tc>
          <w:tcPr>
            <w:tcW w:type="dxa" w:w="2307"/>
          </w:tcPr>
          <w:p>
            <w:pPr>
              <w:pStyle w:val="null3"/>
              <w:jc w:val="left"/>
            </w:pPr>
            <w:r>
              <w:rPr/>
              <w:t>故障响应 (3.0分)</w:t>
            </w:r>
          </w:p>
        </w:tc>
        <w:tc>
          <w:tcPr>
            <w:tcW w:type="dxa" w:w="5076"/>
          </w:tcPr>
          <w:p>
            <w:pPr>
              <w:pStyle w:val="null3"/>
              <w:jc w:val="left"/>
            </w:pPr>
            <w:r>
              <w:rPr/>
              <w:t>在售后服务期内，承诺出现故障后预计72小时内无法修复的，提供功能、性能、技术参数相同或优于的备用设备，得3分； 提供承诺函并加盖投标人公章,不承诺不得分。</w:t>
            </w:r>
          </w:p>
        </w:tc>
      </w:tr>
      <w:tr>
        <w:tc>
          <w:tcPr>
            <w:tcW w:type="dxa" w:w="922"/>
            <w:gridSpan w:val="2"/>
            <w:vMerge/>
          </w:tcPr>
          <w:p/>
        </w:tc>
        <w:tc>
          <w:tcPr>
            <w:tcW w:type="dxa" w:w="2307"/>
          </w:tcPr>
          <w:p>
            <w:pPr>
              <w:pStyle w:val="null3"/>
              <w:jc w:val="left"/>
            </w:pPr>
            <w:r>
              <w:rPr/>
              <w:t>售后服务维保次数 (4.0分)</w:t>
            </w:r>
          </w:p>
        </w:tc>
        <w:tc>
          <w:tcPr>
            <w:tcW w:type="dxa" w:w="5076"/>
          </w:tcPr>
          <w:p>
            <w:pPr>
              <w:pStyle w:val="null3"/>
              <w:jc w:val="left"/>
            </w:pPr>
            <w:r>
              <w:rPr/>
              <w:t>1.在售后服务期内，一年提供4次或以上设备维护保养并有详细报告和记录的，得4分；（提供承诺函并加盖投标人公章） 2.在售后服务期内，一年提供3次设备维护保养并有详细报告和记录的，得2分；（提供承诺函并加盖投标人公章） 3.在售后服务期内，一年提供2次设备维护保养并有详细报告和记录的，得1分；（提供承诺函并加盖投标人公章） 4.在售后服务期内，一年提供少于2次设备维护保养的，不得分。</w:t>
            </w:r>
          </w:p>
        </w:tc>
      </w:tr>
      <w:tr>
        <w:tc>
          <w:tcPr>
            <w:tcW w:type="dxa" w:w="922"/>
            <w:gridSpan w:val="2"/>
            <w:vMerge/>
          </w:tcPr>
          <w:p/>
        </w:tc>
        <w:tc>
          <w:tcPr>
            <w:tcW w:type="dxa" w:w="2307"/>
          </w:tcPr>
          <w:p>
            <w:pPr>
              <w:pStyle w:val="null3"/>
              <w:jc w:val="left"/>
            </w:pPr>
            <w:r>
              <w:rPr/>
              <w:t>售后服务方案完整性 (3.0分)</w:t>
            </w:r>
          </w:p>
        </w:tc>
        <w:tc>
          <w:tcPr>
            <w:tcW w:type="dxa" w:w="5076"/>
          </w:tcPr>
          <w:p>
            <w:pPr>
              <w:pStyle w:val="null3"/>
              <w:jc w:val="left"/>
            </w:pPr>
            <w:r>
              <w:rPr/>
              <w:t>根据项目特点编制售后服务方案，内容包括但不限于：项目送货安装调试环节的实施进度安排、售后服务包括培训和维修维护保养的响应时间、售后服务及维修技术人员的资质和技能、故障维修应急预案、售后维护保养方案内涵及质量、维修维护工作清单及报告质量、日常保养和使用培训安排等方面编制售后服务方案。对该方案进行综合评价： 1.售后服务方案表述完整并涵盖上述事项，得3分； 2.售后服务方案不完整，得0分。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left"/>
      </w:pPr>
      <w:r>
        <w:rPr>
          <w:sz w:val="21"/>
        </w:rPr>
        <w:t>甲方：东莞市人民医院                              合同编号：</w:t>
      </w:r>
    </w:p>
    <w:p>
      <w:pPr>
        <w:pStyle w:val="null3"/>
        <w:jc w:val="left"/>
      </w:pPr>
      <w:r>
        <w:rPr>
          <w:sz w:val="21"/>
        </w:rPr>
        <w:t>乙方：                                            签约地点：东莞市人民医院</w:t>
      </w:r>
    </w:p>
    <w:p>
      <w:pPr>
        <w:pStyle w:val="null3"/>
        <w:ind w:firstLine="420"/>
        <w:jc w:val="left"/>
      </w:pPr>
      <w:r>
        <w:rPr>
          <w:sz w:val="21"/>
        </w:rPr>
        <w:t>根据采购编号为XXXXXXX的采购文件，甲乙双方协商一致，签订本合同。</w:t>
      </w:r>
    </w:p>
    <w:p>
      <w:pPr>
        <w:pStyle w:val="null3"/>
        <w:ind w:firstLine="422"/>
        <w:jc w:val="left"/>
      </w:pPr>
      <w:r>
        <w:rPr>
          <w:sz w:val="21"/>
          <w:b/>
        </w:rPr>
        <w:t>一、合同设备</w:t>
      </w:r>
    </w:p>
    <w:p>
      <w:pPr>
        <w:pStyle w:val="null3"/>
        <w:ind w:firstLine="420"/>
        <w:jc w:val="left"/>
      </w:pPr>
      <w:r>
        <w:rPr>
          <w:sz w:val="21"/>
        </w:rPr>
        <w:t>乙方负责向甲方供应下表中所列产品及负责安装调试。</w:t>
      </w:r>
    </w:p>
    <w:tbl>
      <w:tblPr>
        <w:tblW w:w="0" w:type="auto"/>
        <w:tblBorders>
          <w:top w:val="single"/>
          <w:left w:val="single"/>
          <w:bottom w:val="single"/>
          <w:right w:val="single"/>
          <w:insideH w:val="single"/>
          <w:insideV w:val="single"/>
        </w:tblBorders>
      </w:tblPr>
      <w:tblGrid>
        <w:gridCol w:w="685"/>
        <w:gridCol w:w="2055"/>
        <w:gridCol w:w="1199"/>
        <w:gridCol w:w="1199"/>
        <w:gridCol w:w="942"/>
        <w:gridCol w:w="1027"/>
        <w:gridCol w:w="1199"/>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序号</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设备</w:t>
            </w:r>
            <w:r>
              <w:rPr>
                <w:sz w:val="21"/>
              </w:rPr>
              <w:t>名称</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品牌型号</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生产厂家</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数量（台）</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单价（元）</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总价</w:t>
            </w:r>
          </w:p>
          <w:p>
            <w:pPr>
              <w:pStyle w:val="null3"/>
              <w:jc w:val="left"/>
            </w:pPr>
            <w:r>
              <w:rPr>
                <w:sz w:val="21"/>
              </w:rPr>
              <w:t>（元）</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合计</w:t>
            </w:r>
          </w:p>
        </w:tc>
        <w:tc>
          <w:tcPr>
            <w:tcW w:type="dxa" w:w="7621"/>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人民币（大写）：******元整，小写：¥******元</w:t>
            </w:r>
          </w:p>
        </w:tc>
      </w:tr>
    </w:tbl>
    <w:p>
      <w:pPr>
        <w:pStyle w:val="null3"/>
        <w:ind w:firstLine="420"/>
        <w:jc w:val="left"/>
      </w:pPr>
      <w:r>
        <w:rPr>
          <w:sz w:val="21"/>
        </w:rPr>
        <w:t>合同总额包含但不限于运至合同指定地点的货物、搬运费、运输费、卸装费、保险费、培训费、安装调试费、验收、人力成本、税金等完成本采购内容所需的一切费用。本合同执行期间合同总金额不变。</w:t>
      </w:r>
    </w:p>
    <w:p>
      <w:pPr>
        <w:pStyle w:val="null3"/>
        <w:ind w:firstLine="422"/>
        <w:jc w:val="left"/>
      </w:pPr>
      <w:r>
        <w:rPr>
          <w:sz w:val="21"/>
          <w:b/>
        </w:rPr>
        <w:t>二、合同组成</w:t>
      </w:r>
    </w:p>
    <w:p>
      <w:pPr>
        <w:pStyle w:val="null3"/>
        <w:ind w:firstLine="420"/>
        <w:jc w:val="left"/>
      </w:pPr>
      <w:r>
        <w:rPr>
          <w:sz w:val="21"/>
        </w:rPr>
        <w:t>详细价格、技术说明及其他有关合同设备的特定信息由合同附件说明。合同文件组成包括但不限于以下资料：（1）本合同书和合同附件；（2）中标通知书（或成交通知书）、招标文件（或竞价文件或竞争性磋商文件，含澄清内容）、投标文件（或响应文件，含澄清通知）或院内招标采购招（议）标记录表、项目购置前期调研表、调研公告等技术参数和供应商响应文件及公司资质等所有资料；（3）在合同订立及履行过程中形成的与合同有关的文件等。合同文件组成部分与本合同有冲突的，以本合同为准。</w:t>
      </w:r>
    </w:p>
    <w:p>
      <w:pPr>
        <w:pStyle w:val="null3"/>
        <w:ind w:firstLine="422"/>
        <w:jc w:val="left"/>
      </w:pPr>
      <w:r>
        <w:rPr>
          <w:sz w:val="21"/>
          <w:b/>
        </w:rPr>
        <w:t>三、设备要求：</w:t>
      </w:r>
    </w:p>
    <w:p>
      <w:pPr>
        <w:pStyle w:val="null3"/>
        <w:ind w:firstLine="420"/>
        <w:jc w:val="left"/>
      </w:pPr>
      <w:r>
        <w:rPr>
          <w:sz w:val="21"/>
        </w:rPr>
        <w:t>1.</w:t>
      </w:r>
      <w:r>
        <w:rPr>
          <w:sz w:val="21"/>
        </w:rPr>
        <w:t>货物为原制造商制造的全新产品，整机无污染，无侵权行为、表面无划损、无任何缺陷隐患，在中国境内可依常规安全合法使用。</w:t>
      </w:r>
    </w:p>
    <w:p>
      <w:pPr>
        <w:pStyle w:val="null3"/>
        <w:ind w:firstLine="420"/>
        <w:jc w:val="left"/>
      </w:pPr>
      <w:r>
        <w:rPr>
          <w:sz w:val="21"/>
        </w:rPr>
        <w:t>2.</w:t>
      </w:r>
      <w:r>
        <w:rPr>
          <w:sz w:val="21"/>
        </w:rPr>
        <w:t>交付验收标准依次序对照适用标准为：①符合中华人民共和国国家安全质量标准、环保标准或行业标准；②符合甲方认可的合理最佳配置、参数及各项要求；③货物来源国官方标准。</w:t>
      </w:r>
    </w:p>
    <w:p>
      <w:pPr>
        <w:pStyle w:val="null3"/>
        <w:ind w:firstLine="420"/>
        <w:jc w:val="left"/>
      </w:pPr>
      <w:r>
        <w:rPr>
          <w:sz w:val="21"/>
        </w:rPr>
        <w:t>3.</w:t>
      </w:r>
      <w:r>
        <w:rPr>
          <w:sz w:val="21"/>
        </w:rPr>
        <w:t>进口产品必须具备原产地证明和商检局的检验证明及合法进货渠道证明（如有适用）。</w:t>
      </w:r>
    </w:p>
    <w:p>
      <w:pPr>
        <w:pStyle w:val="null3"/>
        <w:ind w:firstLine="420"/>
        <w:jc w:val="left"/>
      </w:pPr>
      <w:r>
        <w:rPr>
          <w:sz w:val="21"/>
        </w:rPr>
        <w:t>4.</w:t>
      </w:r>
      <w:r>
        <w:rPr>
          <w:sz w:val="21"/>
        </w:rPr>
        <w:t>货物为原厂商未启封全新包装，具出厂合格证，序列号、包装箱号与出厂批号一致，并可追索查阅。</w:t>
      </w:r>
    </w:p>
    <w:p>
      <w:pPr>
        <w:pStyle w:val="null3"/>
        <w:ind w:firstLine="420"/>
        <w:jc w:val="left"/>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ind w:firstLine="420"/>
        <w:jc w:val="left"/>
      </w:pPr>
      <w:r>
        <w:rPr>
          <w:sz w:val="21"/>
        </w:rPr>
        <w:t>6.</w:t>
      </w:r>
      <w:r>
        <w:rPr>
          <w:sz w:val="21"/>
        </w:rPr>
        <w:t>特别要求：交货时要求乙方提供产品说明书，同时甲方有权要求乙方对产品的合法供货渠道进行说明，经核实如乙方提供非法渠道的商品，视为欺诈，为维护甲方合法权益，乙方要承担商品价值双倍的赔偿；同时，依据现行的国家法律法规追究其他责任，并连带追究所投产品制造商的责任。</w:t>
      </w:r>
    </w:p>
    <w:p>
      <w:pPr>
        <w:pStyle w:val="null3"/>
        <w:ind w:firstLine="420"/>
        <w:jc w:val="left"/>
      </w:pPr>
      <w:r>
        <w:rPr>
          <w:sz w:val="21"/>
        </w:rPr>
        <w:t>7.</w:t>
      </w:r>
      <w:r>
        <w:rPr>
          <w:sz w:val="21"/>
        </w:rPr>
        <w:t>交货时，货物的生产日期在一年内。</w:t>
      </w:r>
    </w:p>
    <w:p>
      <w:pPr>
        <w:pStyle w:val="null3"/>
        <w:ind w:firstLine="422"/>
        <w:jc w:val="left"/>
      </w:pPr>
      <w:r>
        <w:rPr>
          <w:sz w:val="21"/>
          <w:b/>
        </w:rPr>
        <w:t>四、履约保证金或履约保函要求：（按采购需求要求）</w:t>
      </w:r>
    </w:p>
    <w:p>
      <w:pPr>
        <w:pStyle w:val="null3"/>
        <w:ind w:firstLine="422"/>
        <w:jc w:val="left"/>
      </w:pPr>
      <w:r>
        <w:rPr>
          <w:sz w:val="21"/>
          <w:b/>
        </w:rPr>
        <w:t>五、交货时间：在签订合同后60个自然日内交货并完成安装。</w:t>
      </w:r>
    </w:p>
    <w:p>
      <w:pPr>
        <w:pStyle w:val="null3"/>
        <w:ind w:firstLine="422"/>
        <w:jc w:val="left"/>
      </w:pPr>
      <w:r>
        <w:rPr>
          <w:sz w:val="21"/>
          <w:b/>
        </w:rPr>
        <w:t>六、交货地点：东莞市人民医院指定地点。</w:t>
      </w:r>
    </w:p>
    <w:p>
      <w:pPr>
        <w:pStyle w:val="null3"/>
        <w:ind w:firstLine="422"/>
        <w:jc w:val="left"/>
      </w:pPr>
      <w:r>
        <w:rPr>
          <w:sz w:val="21"/>
          <w:b/>
        </w:rPr>
        <w:t>七、付款方式：（按采购需求要求）</w:t>
      </w:r>
    </w:p>
    <w:p>
      <w:pPr>
        <w:pStyle w:val="null3"/>
        <w:ind w:firstLine="422"/>
        <w:jc w:val="left"/>
      </w:pPr>
      <w:r>
        <w:rPr>
          <w:sz w:val="21"/>
          <w:b/>
        </w:rPr>
        <w:t>八、包装、保险及发运、保管要求等</w:t>
      </w:r>
    </w:p>
    <w:p>
      <w:pPr>
        <w:pStyle w:val="null3"/>
        <w:ind w:firstLine="420"/>
        <w:jc w:val="left"/>
      </w:pPr>
      <w:r>
        <w:rPr>
          <w:sz w:val="21"/>
        </w:rPr>
        <w:t>1.</w:t>
      </w:r>
      <w:r>
        <w:rPr>
          <w:sz w:val="21"/>
        </w:rPr>
        <w:t>设备材料的包装必须是制造商原厂包装，其包装均应有良好的防湿、防锈、防潮、防雨、防腐及防碰撞的措施。凡由于包装不良造成的损失和由此产生的费用均由乙方承担。</w:t>
      </w:r>
    </w:p>
    <w:p>
      <w:pPr>
        <w:pStyle w:val="null3"/>
        <w:ind w:firstLine="420"/>
        <w:jc w:val="left"/>
      </w:pPr>
      <w:r>
        <w:rPr>
          <w:sz w:val="21"/>
        </w:rPr>
        <w:t>2.</w:t>
      </w:r>
      <w:r>
        <w:rPr>
          <w:sz w:val="21"/>
        </w:rPr>
        <w:t>乙方负责将设备材料货到现场过程中的全部运输，包括装卸车、货物现场的搬运。</w:t>
      </w:r>
    </w:p>
    <w:p>
      <w:pPr>
        <w:pStyle w:val="null3"/>
        <w:ind w:firstLine="420"/>
        <w:jc w:val="left"/>
      </w:pPr>
      <w:r>
        <w:rPr>
          <w:sz w:val="21"/>
        </w:rPr>
        <w:t>3.</w:t>
      </w:r>
      <w:r>
        <w:rPr>
          <w:sz w:val="21"/>
        </w:rPr>
        <w:t>各种设备必须提供装箱清单，按装箱清单验收货物。</w:t>
      </w:r>
    </w:p>
    <w:p>
      <w:pPr>
        <w:pStyle w:val="null3"/>
        <w:ind w:firstLine="420"/>
        <w:jc w:val="left"/>
      </w:pPr>
      <w:r>
        <w:rPr>
          <w:sz w:val="21"/>
        </w:rPr>
        <w:t>4.</w:t>
      </w:r>
      <w:r>
        <w:rPr>
          <w:sz w:val="21"/>
        </w:rPr>
        <w:t>货物在系统安装调试验收合格前的保险由乙方负责，乙方负责其派出的现场服务人员人身意外保险。</w:t>
      </w:r>
    </w:p>
    <w:p>
      <w:pPr>
        <w:pStyle w:val="null3"/>
        <w:ind w:firstLine="420"/>
        <w:jc w:val="left"/>
      </w:pPr>
      <w:r>
        <w:rPr>
          <w:sz w:val="21"/>
        </w:rPr>
        <w:t>5.</w:t>
      </w:r>
      <w:r>
        <w:rPr>
          <w:sz w:val="21"/>
        </w:rPr>
        <w:t>设备至甲方指定的使用现场的包装、保险及发运等环节和费用均由乙方负责。</w:t>
      </w:r>
    </w:p>
    <w:p>
      <w:pPr>
        <w:pStyle w:val="null3"/>
        <w:ind w:firstLine="422"/>
        <w:jc w:val="left"/>
      </w:pPr>
      <w:r>
        <w:rPr>
          <w:sz w:val="21"/>
          <w:b/>
        </w:rPr>
        <w:t>九、安装调试：</w:t>
      </w:r>
    </w:p>
    <w:p>
      <w:pPr>
        <w:pStyle w:val="null3"/>
        <w:ind w:firstLine="420"/>
        <w:jc w:val="left"/>
      </w:pPr>
      <w:r>
        <w:rPr>
          <w:sz w:val="21"/>
        </w:rPr>
        <w:t>1.</w:t>
      </w:r>
      <w:r>
        <w:rPr>
          <w:sz w:val="21"/>
        </w:rPr>
        <w:t>乙方需根据甲方实际情况对产品进行安装调试，所有费用全部由乙方负责。</w:t>
      </w:r>
    </w:p>
    <w:p>
      <w:pPr>
        <w:pStyle w:val="null3"/>
        <w:ind w:firstLine="420"/>
        <w:jc w:val="left"/>
      </w:pPr>
      <w:r>
        <w:rPr>
          <w:sz w:val="21"/>
        </w:rPr>
        <w:t>2.</w:t>
      </w:r>
      <w:r>
        <w:rPr>
          <w:sz w:val="21"/>
        </w:rPr>
        <w:t>乙方安装时须对各安装场地内的其他设备、设施有良好的保护措施。</w:t>
      </w:r>
    </w:p>
    <w:p>
      <w:pPr>
        <w:pStyle w:val="null3"/>
        <w:ind w:firstLine="420"/>
        <w:jc w:val="left"/>
      </w:pPr>
      <w:r>
        <w:rPr>
          <w:sz w:val="21"/>
        </w:rPr>
        <w:t>3.</w:t>
      </w:r>
      <w:r>
        <w:rPr>
          <w:sz w:val="21"/>
        </w:rPr>
        <w:t>乙方在施工中要遵守安全操作规程，把安全施工放在第一位，由于乙方原因出现任何人员伤亡事故由乙方负全部责任。</w:t>
      </w:r>
    </w:p>
    <w:p>
      <w:pPr>
        <w:pStyle w:val="null3"/>
        <w:ind w:firstLine="420"/>
        <w:jc w:val="left"/>
      </w:pPr>
      <w:r>
        <w:rPr>
          <w:sz w:val="21"/>
        </w:rPr>
        <w:t>4.</w:t>
      </w:r>
      <w:r>
        <w:rPr>
          <w:sz w:val="21"/>
        </w:rPr>
        <w:t>乙方在设备的安装、调试、验收完毕后即进行现场培训直至甲方基本掌握使用操作、维护保养技术。</w:t>
      </w:r>
    </w:p>
    <w:p>
      <w:pPr>
        <w:pStyle w:val="null3"/>
        <w:ind w:firstLine="420"/>
        <w:jc w:val="left"/>
      </w:pPr>
      <w:r>
        <w:rPr>
          <w:sz w:val="21"/>
        </w:rPr>
        <w:t>4.1</w:t>
      </w:r>
      <w:r>
        <w:rPr>
          <w:sz w:val="21"/>
        </w:rPr>
        <w:t>专门培训：乙方就设备的安装、检验、调试、使用和维护等培训甲方不少于3名技术人员，直到甲方受训人员全部掌握运用操作、维护保养技术，并能达到正确检修、维护、排除一般故障为止。</w:t>
      </w:r>
    </w:p>
    <w:p>
      <w:pPr>
        <w:pStyle w:val="null3"/>
        <w:ind w:firstLine="420"/>
        <w:jc w:val="left"/>
      </w:pPr>
      <w:r>
        <w:rPr>
          <w:sz w:val="21"/>
        </w:rPr>
        <w:t>4.2</w:t>
      </w:r>
      <w:r>
        <w:rPr>
          <w:sz w:val="21"/>
        </w:rPr>
        <w:t>培训方式：技术培训、操作培训。</w:t>
      </w:r>
    </w:p>
    <w:p>
      <w:pPr>
        <w:pStyle w:val="null3"/>
        <w:ind w:firstLine="420"/>
        <w:jc w:val="left"/>
      </w:pPr>
      <w:r>
        <w:rPr>
          <w:sz w:val="21"/>
        </w:rPr>
        <w:t>4.3</w:t>
      </w:r>
      <w:r>
        <w:rPr>
          <w:sz w:val="21"/>
        </w:rPr>
        <w:t>培训人员、地点和时间：受训人员数量由甲方确定，培训地点和时间由双方商定。</w:t>
      </w:r>
    </w:p>
    <w:p>
      <w:pPr>
        <w:pStyle w:val="null3"/>
        <w:ind w:firstLine="420"/>
        <w:jc w:val="left"/>
      </w:pPr>
      <w:r>
        <w:rPr>
          <w:sz w:val="21"/>
        </w:rPr>
        <w:t>5.</w:t>
      </w:r>
      <w:r>
        <w:rPr>
          <w:sz w:val="21"/>
        </w:rPr>
        <w:t>若甲方要求乙方延迟交货的，应提前5天书面通知乙方。</w:t>
      </w:r>
    </w:p>
    <w:p>
      <w:pPr>
        <w:pStyle w:val="null3"/>
        <w:ind w:firstLine="422"/>
        <w:jc w:val="left"/>
      </w:pPr>
      <w:r>
        <w:rPr>
          <w:sz w:val="21"/>
          <w:b/>
        </w:rPr>
        <w:t>十、验收</w:t>
      </w:r>
    </w:p>
    <w:p>
      <w:pPr>
        <w:pStyle w:val="null3"/>
        <w:ind w:firstLine="420"/>
        <w:jc w:val="left"/>
      </w:pPr>
      <w:r>
        <w:rPr>
          <w:sz w:val="21"/>
        </w:rPr>
        <w:t>1.</w:t>
      </w:r>
      <w:r>
        <w:rPr>
          <w:sz w:val="21"/>
        </w:rPr>
        <w:t>验收应在甲乙双方共同参加下进行，依据制定的方案及招标文件进行验收，并按国家有关规定、规范进行。</w:t>
      </w:r>
    </w:p>
    <w:p>
      <w:pPr>
        <w:pStyle w:val="null3"/>
        <w:ind w:firstLine="420"/>
        <w:jc w:val="left"/>
      </w:pPr>
      <w:r>
        <w:rPr>
          <w:sz w:val="21"/>
        </w:rPr>
        <w:t>2.</w:t>
      </w:r>
      <w:r>
        <w:rPr>
          <w:sz w:val="21"/>
        </w:rPr>
        <w:t>甲方组织项目验收小组按国家有关规定、规范进行验收，必要时邀请相关专业人员或机构参与验收。</w:t>
      </w:r>
    </w:p>
    <w:p>
      <w:pPr>
        <w:pStyle w:val="null3"/>
        <w:ind w:firstLine="420"/>
        <w:jc w:val="left"/>
      </w:pPr>
      <w:r>
        <w:rPr>
          <w:sz w:val="21"/>
        </w:rPr>
        <w:t>3.</w:t>
      </w:r>
      <w:r>
        <w:rPr>
          <w:sz w:val="21"/>
        </w:rPr>
        <w:t>若经甲方检验发现产品质量不合格的，经双方协商完善，协商不成的，甲方有权选择要求①相应调减货款；②调换产品；③退货；④解除合同，并由乙方承担由此引起的违约责任。如发现产品不符合合同要求或破损、缺失等情况，由乙方负责调换或补足，直至符合要求为止。乙方承担修理、调换、退货发生的一切费用。对验收不合格的部分，乙方应在甲方规定时间内及时整改完善直至合格。</w:t>
      </w:r>
    </w:p>
    <w:p>
      <w:pPr>
        <w:pStyle w:val="null3"/>
        <w:ind w:firstLine="420"/>
        <w:jc w:val="left"/>
      </w:pPr>
      <w:r>
        <w:rPr>
          <w:sz w:val="21"/>
        </w:rPr>
        <w:t>4.</w:t>
      </w:r>
      <w:r>
        <w:rPr>
          <w:sz w:val="21"/>
        </w:rPr>
        <w:t>因乙方原因导致未在约定期限内完成验收的，视为乙方未能按时交货，应承担相应的违约责任。</w:t>
      </w:r>
    </w:p>
    <w:p>
      <w:pPr>
        <w:pStyle w:val="null3"/>
        <w:ind w:firstLine="422"/>
        <w:jc w:val="left"/>
      </w:pPr>
      <w:r>
        <w:rPr>
          <w:sz w:val="21"/>
          <w:b/>
        </w:rPr>
        <w:t>十一、售后服务</w:t>
      </w:r>
    </w:p>
    <w:p>
      <w:pPr>
        <w:pStyle w:val="null3"/>
        <w:ind w:firstLine="420"/>
        <w:jc w:val="left"/>
      </w:pPr>
      <w:r>
        <w:rPr>
          <w:sz w:val="21"/>
        </w:rPr>
        <w:t xml:space="preserve">1. </w:t>
      </w:r>
      <w:r>
        <w:rPr>
          <w:sz w:val="21"/>
        </w:rPr>
        <w:t>售后服务期（由甲方使用验收合格之日起算）：X年；售后服务由原厂提供。</w:t>
      </w:r>
    </w:p>
    <w:p>
      <w:pPr>
        <w:pStyle w:val="null3"/>
        <w:ind w:firstLine="420"/>
        <w:jc w:val="left"/>
      </w:pPr>
      <w:r>
        <w:rPr>
          <w:sz w:val="21"/>
        </w:rPr>
        <w:t xml:space="preserve">2. </w:t>
      </w:r>
      <w:r>
        <w:rPr>
          <w:sz w:val="21"/>
        </w:rPr>
        <w:t>售后服务期内，不限零配件更换次数、不限维修次数，按产品生产标准进行定期维护保养，软件升级。</w:t>
      </w:r>
    </w:p>
    <w:p>
      <w:pPr>
        <w:pStyle w:val="null3"/>
        <w:ind w:firstLine="420"/>
        <w:jc w:val="left"/>
      </w:pPr>
      <w:r>
        <w:rPr>
          <w:sz w:val="21"/>
        </w:rPr>
        <w:t xml:space="preserve">3. </w:t>
      </w:r>
      <w:r>
        <w:rPr>
          <w:sz w:val="21"/>
        </w:rPr>
        <w:t>售后服务期内出现产品质量或安装问题，由乙方负责包修、包换或包退，并承担因此而产生的一切修理、调换或退货的实际费用。</w:t>
      </w:r>
    </w:p>
    <w:p>
      <w:pPr>
        <w:pStyle w:val="null3"/>
        <w:ind w:firstLine="420"/>
        <w:jc w:val="left"/>
      </w:pPr>
      <w:r>
        <w:rPr>
          <w:sz w:val="21"/>
        </w:rPr>
        <w:t>4.</w:t>
      </w:r>
      <w:r>
        <w:rPr>
          <w:sz w:val="21"/>
        </w:rPr>
        <w:t>乙方应在售后服务期内提供上门维修服务。乙方在收到用户要求对所采购仪器进行维修通知后，应在X小时内做出响应，并在X小时内派出专门维修人员到现场维修。维修超过X小时未能恢复正常运行的，应用同规格同型号设备替换使用，以免影响甲方正常工作需求。如未能在规定时间内派人保修的，甲方可自行或委托第三方保修，费用由乙方支付。发生紧急抢修事故的，乙方在接到通知后，应立即到达事故现场抢修。因天气等不可抗力因素无法按要求到现场，需要提前与甲方沟通协商；单次故障修复时间从接到报修通知后不超过21个日历天，否则超出的时间以1:2延长售后服务期。</w:t>
      </w:r>
    </w:p>
    <w:p>
      <w:pPr>
        <w:pStyle w:val="null3"/>
        <w:ind w:firstLine="420"/>
        <w:jc w:val="left"/>
      </w:pPr>
      <w:r>
        <w:rPr>
          <w:sz w:val="21"/>
        </w:rPr>
        <w:t>5.</w:t>
      </w:r>
      <w:r>
        <w:rPr>
          <w:sz w:val="21"/>
        </w:rPr>
        <w:t>乙方应提供最近的售后服务地址、电话及工作人员名单，并详细说明售后服务的范围和承诺。其中包括产品售后服务年限、售后服务期内发生故障响应及到达现场时间等。</w:t>
      </w:r>
    </w:p>
    <w:p>
      <w:pPr>
        <w:pStyle w:val="null3"/>
        <w:ind w:firstLine="420"/>
        <w:jc w:val="left"/>
      </w:pPr>
      <w:r>
        <w:rPr>
          <w:sz w:val="21"/>
        </w:rPr>
        <w:t>6.</w:t>
      </w:r>
      <w:r>
        <w:rPr>
          <w:sz w:val="21"/>
        </w:rPr>
        <w:t>本项目所有需要与计算机连接设备，乙方须无条件向甲方开放端口及端口文件，且必须支持现软件系统国家标准与国际标准接口规范，按甲方的要求开放设备的接口、定制开发或修改和设备相关的软件系统并承担各项相关费用，本条要求作为项目验收的条件之一。</w:t>
      </w:r>
    </w:p>
    <w:p>
      <w:pPr>
        <w:pStyle w:val="null3"/>
        <w:ind w:firstLine="420"/>
        <w:jc w:val="left"/>
      </w:pPr>
      <w:r>
        <w:rPr>
          <w:sz w:val="21"/>
        </w:rPr>
        <w:t xml:space="preserve">7. </w:t>
      </w:r>
      <w:r>
        <w:rPr>
          <w:sz w:val="21"/>
        </w:rPr>
        <w:t>售后服务期满后乙方继续提供终身维修保养服务，只收取零配件费，无零配件更换时不收费。</w:t>
      </w:r>
    </w:p>
    <w:p>
      <w:pPr>
        <w:pStyle w:val="null3"/>
        <w:ind w:firstLine="420"/>
        <w:jc w:val="left"/>
      </w:pPr>
      <w:r>
        <w:rPr>
          <w:sz w:val="21"/>
        </w:rPr>
        <w:t xml:space="preserve">8. </w:t>
      </w:r>
      <w:r>
        <w:rPr>
          <w:sz w:val="21"/>
        </w:rPr>
        <w:t>售后服务期内如设备或零部件因非人为因素出现故障而造成短期停用时,则售后服务期相应顺延,如停用时间累计超过 60 天则售后服务期重新计算。</w:t>
      </w:r>
    </w:p>
    <w:p>
      <w:pPr>
        <w:pStyle w:val="null3"/>
        <w:ind w:firstLine="422"/>
        <w:jc w:val="left"/>
      </w:pPr>
      <w:r>
        <w:rPr>
          <w:sz w:val="21"/>
          <w:b/>
        </w:rPr>
        <w:t>十二、违约责任：</w:t>
      </w:r>
    </w:p>
    <w:p>
      <w:pPr>
        <w:pStyle w:val="null3"/>
        <w:ind w:firstLine="420"/>
        <w:jc w:val="left"/>
      </w:pPr>
      <w:r>
        <w:rPr>
          <w:sz w:val="21"/>
        </w:rPr>
        <w:t>1.</w:t>
      </w:r>
      <w:r>
        <w:rPr>
          <w:sz w:val="21"/>
        </w:rPr>
        <w:t>乙方交付的货物/提供的服务不符合本合同规定的，甲方有权拒收，并且乙方须向甲方支付该设备采购价5%的违约金及给甲方造成的经济损失由乙方承担赔偿责任。</w:t>
      </w:r>
    </w:p>
    <w:p>
      <w:pPr>
        <w:pStyle w:val="null3"/>
        <w:ind w:firstLine="420"/>
        <w:jc w:val="left"/>
      </w:pPr>
      <w:r>
        <w:rPr>
          <w:sz w:val="21"/>
        </w:rPr>
        <w:t>2.</w:t>
      </w:r>
      <w:r>
        <w:rPr>
          <w:sz w:val="21"/>
        </w:rPr>
        <w:t>乙方未能按本合同规定的交货时间交付货物的/提供服务，从逾期之日起每日按该设备采购价5‰的数额向甲方支付违约金；逾期15天以上（含15天）的，甲方有权终止合同，要求乙方支付违约金，并且给甲方造成的经济损失由乙方承担赔偿责任。</w:t>
      </w:r>
    </w:p>
    <w:p>
      <w:pPr>
        <w:pStyle w:val="null3"/>
        <w:ind w:firstLine="420"/>
        <w:jc w:val="left"/>
      </w:pPr>
      <w:r>
        <w:rPr>
          <w:sz w:val="21"/>
        </w:rPr>
        <w:t>3.</w:t>
      </w:r>
      <w:r>
        <w:rPr>
          <w:sz w:val="21"/>
        </w:rPr>
        <w:t>甲方无正当理由拒收货物/接受服务，到期拒付货物/服务款项的，甲方向乙方偿付本合同总价的5%的违约金。</w:t>
      </w:r>
    </w:p>
    <w:p>
      <w:pPr>
        <w:pStyle w:val="null3"/>
        <w:ind w:firstLine="420"/>
        <w:jc w:val="left"/>
      </w:pPr>
      <w:r>
        <w:rPr>
          <w:sz w:val="21"/>
        </w:rPr>
        <w:t>4.</w:t>
      </w:r>
      <w:r>
        <w:rPr>
          <w:sz w:val="21"/>
        </w:rPr>
        <w:t>其它违约责任按《中华人民共和国民法典》处理。</w:t>
      </w:r>
    </w:p>
    <w:p>
      <w:pPr>
        <w:pStyle w:val="null3"/>
        <w:ind w:firstLine="420"/>
        <w:jc w:val="left"/>
      </w:pPr>
      <w:r>
        <w:rPr>
          <w:sz w:val="21"/>
        </w:rPr>
        <w:t>5.</w:t>
      </w:r>
      <w:r>
        <w:rPr>
          <w:sz w:val="21"/>
        </w:rPr>
        <w:t>乙方保证合同项下提供的所有货物或服务均得到合法授权，不受第三方提出的侵犯专利权、著作权、商标权和工业设计权等的起诉。如果任何第三方提出由乙方所提供的货物或服务所引起的侵权指控，乙方须自付费用与第三方交涉，如果法院作出不可上诉的、确定该侵权指控成立的判决，乙方应依据该判决承担责任、费用和经济赔偿，导致甲方不能正常使用设备的应退还该设备的项目费用，并且给甲方造成的经济损失由乙方承担赔偿责任。</w:t>
      </w:r>
    </w:p>
    <w:p>
      <w:pPr>
        <w:pStyle w:val="null3"/>
        <w:ind w:firstLine="420"/>
        <w:jc w:val="left"/>
      </w:pPr>
      <w:r>
        <w:rPr>
          <w:sz w:val="21"/>
        </w:rPr>
        <w:t>6.</w:t>
      </w:r>
      <w:r>
        <w:rPr>
          <w:sz w:val="21"/>
        </w:rPr>
        <w:t>本合同所述的经济损失，包括但不限于鉴定费、诉讼费、公证费、律师费、重新向第三方采购的差价、预期利益等合理费用。</w:t>
      </w:r>
    </w:p>
    <w:p>
      <w:pPr>
        <w:pStyle w:val="null3"/>
        <w:ind w:firstLine="422"/>
        <w:jc w:val="left"/>
      </w:pPr>
      <w:r>
        <w:rPr>
          <w:sz w:val="21"/>
          <w:b/>
        </w:rPr>
        <w:t>十三、保密条款</w:t>
      </w:r>
    </w:p>
    <w:p>
      <w:pPr>
        <w:pStyle w:val="null3"/>
        <w:ind w:firstLine="420"/>
        <w:jc w:val="left"/>
      </w:pPr>
      <w:r>
        <w:rPr>
          <w:sz w:val="21"/>
        </w:rPr>
        <w:t>未经对方许可，任何一方不得向第三方（有关法律、法规、政府部门、证券交易所或其他监管机构要求和双方的法律、会计、商业及其他顾问、雇员除外）泄露本合同的条款的任何内容以及本合同的签订及履行情况，以及通过签订和履行本合同而获知的对方及对方关联公司的任何信息。否则，甲乙双方都有权利向对方请求损失赔偿，并依法追究法律责任。</w:t>
      </w:r>
    </w:p>
    <w:p>
      <w:pPr>
        <w:pStyle w:val="null3"/>
        <w:ind w:firstLine="422"/>
        <w:jc w:val="left"/>
      </w:pPr>
      <w:r>
        <w:rPr>
          <w:sz w:val="21"/>
          <w:b/>
        </w:rPr>
        <w:t>十四、廉洁条款：</w:t>
      </w:r>
    </w:p>
    <w:p>
      <w:pPr>
        <w:pStyle w:val="null3"/>
        <w:ind w:firstLine="420"/>
        <w:jc w:val="left"/>
      </w:pPr>
      <w:r>
        <w:rPr>
          <w:sz w:val="21"/>
        </w:rPr>
        <w:t>1.</w:t>
      </w:r>
      <w:r>
        <w:rPr>
          <w:sz w:val="21"/>
        </w:rPr>
        <w:t>禁止乙方及其工作人员向甲方工作人员进行商业贿赂（包括但不限于请吃、请玩、各种形式的送礼、给予甲方工作人员任何馈赠等方式）。</w:t>
      </w:r>
    </w:p>
    <w:p>
      <w:pPr>
        <w:pStyle w:val="null3"/>
        <w:ind w:firstLine="420"/>
        <w:jc w:val="left"/>
      </w:pPr>
      <w:r>
        <w:rPr>
          <w:sz w:val="21"/>
        </w:rPr>
        <w:t>2.</w:t>
      </w:r>
      <w:r>
        <w:rPr>
          <w:sz w:val="21"/>
        </w:rPr>
        <w:t>甲方人员未经甲方书面授权，不得向乙方或乙方工作人员借钱、借物或调货，如有发生，视为个人行为，甲方不承担任何责任。</w:t>
      </w:r>
    </w:p>
    <w:p>
      <w:pPr>
        <w:pStyle w:val="null3"/>
        <w:ind w:firstLine="420"/>
        <w:jc w:val="left"/>
      </w:pPr>
      <w:r>
        <w:rPr>
          <w:sz w:val="21"/>
        </w:rPr>
        <w:t>3.</w:t>
      </w:r>
      <w:r>
        <w:rPr>
          <w:sz w:val="21"/>
        </w:rPr>
        <w:t>乙方违反廉洁条款，甲方有权单方解除与乙方所有合作项目。</w:t>
      </w:r>
    </w:p>
    <w:p>
      <w:pPr>
        <w:pStyle w:val="null3"/>
        <w:ind w:firstLine="422"/>
        <w:jc w:val="left"/>
      </w:pPr>
      <w:r>
        <w:rPr>
          <w:sz w:val="21"/>
          <w:b/>
        </w:rPr>
        <w:t>十五、不可抗力</w:t>
      </w:r>
    </w:p>
    <w:p>
      <w:pPr>
        <w:pStyle w:val="null3"/>
        <w:ind w:firstLine="420"/>
        <w:jc w:val="left"/>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1"/>
          <w:b/>
        </w:rPr>
        <w:t>十六、法律诉讼</w:t>
      </w:r>
    </w:p>
    <w:p>
      <w:pPr>
        <w:pStyle w:val="null3"/>
        <w:ind w:firstLine="420"/>
        <w:jc w:val="left"/>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left"/>
      </w:pPr>
      <w:r>
        <w:rPr>
          <w:sz w:val="21"/>
          <w:b/>
        </w:rPr>
        <w:t>十七、其他条款：</w:t>
      </w:r>
    </w:p>
    <w:p>
      <w:pPr>
        <w:pStyle w:val="null3"/>
        <w:ind w:firstLine="420"/>
        <w:jc w:val="left"/>
      </w:pPr>
      <w:r>
        <w:rPr>
          <w:sz w:val="21"/>
        </w:rPr>
        <w:t>1.</w:t>
      </w:r>
      <w:r>
        <w:rPr>
          <w:sz w:val="21"/>
        </w:rPr>
        <w:t>本合同自甲乙双方签约代表签章之日起生效。</w:t>
      </w:r>
    </w:p>
    <w:p>
      <w:pPr>
        <w:pStyle w:val="null3"/>
        <w:ind w:firstLine="420"/>
        <w:jc w:val="left"/>
      </w:pPr>
      <w:r>
        <w:rPr>
          <w:sz w:val="21"/>
        </w:rPr>
        <w:t>2.</w:t>
      </w:r>
      <w:r>
        <w:rPr>
          <w:sz w:val="21"/>
        </w:rPr>
        <w:t>签约双方不得单方修改合同，如乙方因故转让、变更或解除本合同，需经双方协商一致另立协议。</w:t>
      </w:r>
    </w:p>
    <w:p>
      <w:pPr>
        <w:pStyle w:val="null3"/>
        <w:ind w:firstLine="420"/>
        <w:jc w:val="left"/>
      </w:pPr>
      <w:r>
        <w:rPr>
          <w:sz w:val="21"/>
        </w:rPr>
        <w:t>3.</w:t>
      </w:r>
      <w:r>
        <w:rPr>
          <w:sz w:val="21"/>
        </w:rPr>
        <w:t>未尽事宜由双方协商解决。达成协议后作为本合同的补充条款。</w:t>
      </w:r>
    </w:p>
    <w:p>
      <w:pPr>
        <w:pStyle w:val="null3"/>
        <w:ind w:firstLine="420"/>
        <w:jc w:val="left"/>
      </w:pPr>
      <w:r>
        <w:rPr>
          <w:sz w:val="21"/>
        </w:rPr>
        <w:t>4.</w:t>
      </w:r>
      <w:r>
        <w:rPr>
          <w:sz w:val="21"/>
        </w:rPr>
        <w:t>本合同一式贰份，甲乙双方各持壹份，具有同等法律效力。</w:t>
      </w:r>
    </w:p>
    <w:tbl>
      <w:tblPr>
        <w:tblW w:w="0" w:type="auto"/>
        <w:tblBorders>
          <w:top w:val="single"/>
          <w:left w:val="single"/>
          <w:bottom w:val="single"/>
          <w:right w:val="single"/>
          <w:insideH w:val="single"/>
          <w:insideV w:val="single"/>
        </w:tblBorders>
      </w:tblPr>
      <w:tblGrid>
        <w:gridCol w:w="3859"/>
        <w:gridCol w:w="4446"/>
      </w:tblGrid>
      <w:tr>
        <w:tc>
          <w:tcPr>
            <w:tcW w:type="dxa" w:w="3859"/>
            <w:tcMar>
              <w:top w:type="dxa" w:w="0"/>
              <w:left w:type="dxa" w:w="105"/>
              <w:bottom w:type="dxa" w:w="0"/>
              <w:right w:type="dxa" w:w="105"/>
            </w:tcMar>
            <w:vAlign w:val="top"/>
          </w:tcPr>
          <w:p>
            <w:pPr>
              <w:pStyle w:val="null3"/>
              <w:ind w:right="90"/>
              <w:jc w:val="both"/>
            </w:pPr>
            <w:r>
              <w:rPr>
                <w:sz w:val="21"/>
              </w:rPr>
              <w:t>甲方：东莞市人民医院</w:t>
            </w:r>
          </w:p>
          <w:p>
            <w:pPr>
              <w:pStyle w:val="null3"/>
              <w:ind w:right="90"/>
              <w:jc w:val="both"/>
            </w:pPr>
            <w:r>
              <w:rPr>
                <w:sz w:val="21"/>
              </w:rPr>
              <w:t>地址：东莞市万江街道万道路78号</w:t>
            </w:r>
          </w:p>
          <w:p>
            <w:pPr>
              <w:pStyle w:val="null3"/>
              <w:ind w:right="90"/>
              <w:jc w:val="both"/>
            </w:pPr>
            <w:r>
              <w:rPr>
                <w:sz w:val="21"/>
              </w:rPr>
              <w:t>法定代表人：</w:t>
            </w:r>
          </w:p>
          <w:p>
            <w:pPr>
              <w:pStyle w:val="null3"/>
              <w:ind w:right="90"/>
              <w:jc w:val="both"/>
            </w:pPr>
            <w:r>
              <w:rPr>
                <w:sz w:val="21"/>
              </w:rPr>
              <w:t>经办人：</w:t>
            </w:r>
          </w:p>
          <w:p>
            <w:pPr>
              <w:pStyle w:val="null3"/>
              <w:ind w:right="90"/>
              <w:jc w:val="both"/>
            </w:pPr>
            <w:r>
              <w:rPr>
                <w:sz w:val="21"/>
              </w:rPr>
              <w:t>日期：     年   月   日</w:t>
            </w:r>
          </w:p>
        </w:tc>
        <w:tc>
          <w:tcPr>
            <w:tcW w:type="dxa" w:w="4446"/>
            <w:tcMar>
              <w:top w:type="dxa" w:w="0"/>
              <w:left w:type="dxa" w:w="105"/>
              <w:bottom w:type="dxa" w:w="0"/>
              <w:right w:type="dxa" w:w="105"/>
            </w:tcMar>
            <w:vAlign w:val="top"/>
          </w:tcPr>
          <w:p>
            <w:pPr>
              <w:pStyle w:val="null3"/>
              <w:ind w:right="90" w:firstLine="210"/>
              <w:jc w:val="both"/>
            </w:pPr>
            <w:r>
              <w:rPr>
                <w:sz w:val="21"/>
              </w:rPr>
              <w:t>乙方：</w:t>
            </w:r>
          </w:p>
          <w:p>
            <w:pPr>
              <w:pStyle w:val="null3"/>
              <w:ind w:left="630" w:right="90"/>
              <w:jc w:val="both"/>
            </w:pPr>
            <w:r>
              <w:rPr>
                <w:sz w:val="21"/>
              </w:rPr>
              <w:t>地址：</w:t>
            </w:r>
          </w:p>
          <w:p>
            <w:pPr>
              <w:pStyle w:val="null3"/>
              <w:ind w:right="90" w:firstLine="210"/>
              <w:jc w:val="both"/>
            </w:pPr>
            <w:r>
              <w:rPr>
                <w:sz w:val="21"/>
              </w:rPr>
              <w:t xml:space="preserve">法定代表人：              </w:t>
            </w:r>
          </w:p>
          <w:p>
            <w:pPr>
              <w:pStyle w:val="null3"/>
              <w:ind w:right="90" w:firstLine="210"/>
              <w:jc w:val="both"/>
            </w:pPr>
            <w:r>
              <w:rPr>
                <w:sz w:val="21"/>
              </w:rPr>
              <w:t>经办人：</w:t>
            </w:r>
          </w:p>
          <w:p>
            <w:pPr>
              <w:pStyle w:val="null3"/>
              <w:ind w:right="90" w:firstLine="210"/>
              <w:jc w:val="both"/>
            </w:pPr>
            <w:r>
              <w:rPr>
                <w:sz w:val="21"/>
              </w:rPr>
              <w:t>帐户名：</w:t>
            </w:r>
          </w:p>
          <w:p>
            <w:pPr>
              <w:pStyle w:val="null3"/>
              <w:ind w:left="1050" w:right="90"/>
              <w:jc w:val="both"/>
            </w:pPr>
            <w:r>
              <w:rPr>
                <w:sz w:val="21"/>
              </w:rPr>
              <w:t>开户银行：</w:t>
            </w:r>
          </w:p>
          <w:p>
            <w:pPr>
              <w:pStyle w:val="null3"/>
              <w:ind w:right="90" w:firstLine="210"/>
              <w:jc w:val="both"/>
            </w:pPr>
            <w:r>
              <w:rPr>
                <w:sz w:val="21"/>
              </w:rPr>
              <w:t>账号：</w:t>
            </w:r>
          </w:p>
          <w:p>
            <w:pPr>
              <w:pStyle w:val="null3"/>
              <w:ind w:right="90" w:firstLine="210"/>
              <w:jc w:val="both"/>
            </w:pPr>
            <w:r>
              <w:rPr>
                <w:sz w:val="21"/>
              </w:rPr>
              <w:t>日期：     年   月   日</w:t>
            </w:r>
          </w:p>
        </w:tc>
      </w:tr>
    </w:tbl>
    <w:p>
      <w:pPr>
        <w:pStyle w:val="null3"/>
        <w:ind w:right="90"/>
        <w:jc w:val="both"/>
      </w:pPr>
      <w:r>
        <w:rPr>
          <w:sz w:val="21"/>
          <w:b/>
        </w:rPr>
        <w:t>附件：配置清单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441901-2024-07540</w:t>
      </w:r>
    </w:p>
    <w:p>
      <w:pPr>
        <w:pStyle w:val="null3"/>
        <w:jc w:val="center"/>
        <w:outlineLvl w:val="3"/>
      </w:pPr>
      <w:r>
        <w:rPr>
          <w:sz w:val="24"/>
          <w:b/>
        </w:rPr>
        <w:t>采购项目编号：</w:t>
      </w:r>
      <w:r>
        <w:rPr>
          <w:sz w:val="24"/>
          <w:b/>
        </w:rPr>
        <w:t>441901-2024-07540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广东和正招标有限公司</w:t>
      </w:r>
    </w:p>
    <w:p>
      <w:pPr>
        <w:pStyle w:val="null3"/>
        <w:ind w:firstLine="480"/>
      </w:pPr>
      <w:r>
        <w:rPr/>
        <w:t xml:space="preserve"> 你方组织的</w:t>
      </w:r>
      <w:r>
        <w:rPr>
          <w:u w:val="single"/>
        </w:rPr>
        <w:t>“</w:t>
      </w:r>
      <w:r>
        <w:rPr>
          <w:u w:val="single"/>
        </w:rPr>
        <w:t>东莞市人民医院中心实验室设备一批采购项目(二次)</w:t>
      </w:r>
      <w:r>
        <w:rPr>
          <w:u w:val="single"/>
        </w:rPr>
        <w:t>”</w:t>
      </w:r>
      <w:r>
        <w:rPr/>
        <w:t>项目的招标[采购项目编号为：</w:t>
      </w:r>
      <w:r>
        <w:rPr>
          <w:u w:val="single"/>
        </w:rPr>
        <w:t>441901-2024-07540</w:t>
      </w:r>
      <w:r>
        <w:rPr/>
        <w:t>]，我方愿参与投标。</w:t>
      </w:r>
    </w:p>
    <w:p>
      <w:pPr>
        <w:pStyle w:val="null3"/>
        <w:ind w:firstLine="480"/>
      </w:pPr>
      <w:r>
        <w:rPr/>
        <w:t>我方确认收到贵方提供的</w:t>
      </w:r>
      <w:r>
        <w:rPr>
          <w:u w:val="single"/>
        </w:rPr>
        <w:t>“</w:t>
      </w:r>
      <w:r>
        <w:rPr>
          <w:u w:val="single"/>
        </w:rPr>
        <w:t>东莞市人民医院中心实验室设备一批采购项目(二次)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东莞市人民医院中心实验室设备一批采购项目(二次)</w:t>
      </w:r>
      <w:r>
        <w:rPr/>
        <w:t>”项目采购[采购项目编号为</w:t>
      </w:r>
      <w:r>
        <w:rPr/>
        <w:t>441901-2024-07540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广东和正招标有限公司</w:t>
      </w:r>
    </w:p>
    <w:p>
      <w:pPr>
        <w:pStyle w:val="null3"/>
        <w:ind w:firstLine="480"/>
      </w:pPr>
      <w:r>
        <w:rPr/>
        <w:t xml:space="preserve"> 如果我方在贵采购代理机构组织的</w:t>
      </w:r>
      <w:r>
        <w:rPr/>
        <w:t>东莞市人民医院中心实验室设备一批采购项目(二次)</w:t>
      </w:r>
      <w:r>
        <w:rPr/>
        <w:t>招标中获中标（采购项目编号：</w:t>
      </w:r>
      <w:r>
        <w:rPr/>
        <w:t>441901-2024-07540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广东和正招标有限公司</w:t>
      </w:r>
    </w:p>
    <w:p>
      <w:pPr>
        <w:pStyle w:val="null3"/>
        <w:ind w:firstLine="480"/>
      </w:pPr>
      <w:r>
        <w:rPr/>
        <w:t>我单位已登记并准备参与“</w:t>
      </w:r>
      <w:r>
        <w:rPr/>
        <w:t>东莞市人民医院中心实验室设备一批采购项目(二次)</w:t>
      </w:r>
      <w:r>
        <w:rPr/>
        <w:t>”项目（采购项目编号：</w:t>
      </w:r>
      <w:r>
        <w:rPr/>
        <w:t>441901-2024-07540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