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F22B96">
      <w:pPr>
        <w:pStyle w:val="14"/>
        <w:shd w:val="clear" w:color="auto" w:fill="auto"/>
        <w:rPr>
          <w:rFonts w:hint="eastAsia" w:ascii="宋体" w:hAnsi="宋体" w:cs="宋体"/>
          <w:b/>
          <w:bCs/>
          <w:color w:val="000000"/>
          <w:sz w:val="28"/>
          <w:szCs w:val="28"/>
          <w:highlight w:val="none"/>
        </w:rPr>
      </w:pPr>
      <w:r>
        <w:rPr>
          <w:rFonts w:hint="eastAsia" w:ascii="宋体" w:hAnsi="宋体" w:cs="宋体"/>
          <w:color w:val="000000"/>
          <w:sz w:val="28"/>
          <w:szCs w:val="28"/>
          <w:highlight w:val="none"/>
        </w:rPr>
        <w:t xml:space="preserve">                                  </w:t>
      </w:r>
      <w:r>
        <w:rPr>
          <w:rFonts w:hint="eastAsia" w:ascii="宋体" w:hAnsi="宋体" w:cs="宋体"/>
          <w:b/>
          <w:bCs/>
          <w:color w:val="000000"/>
          <w:sz w:val="28"/>
          <w:szCs w:val="28"/>
          <w:highlight w:val="none"/>
        </w:rPr>
        <w:t xml:space="preserve">                         </w:t>
      </w:r>
    </w:p>
    <w:p w14:paraId="38629338">
      <w:pPr>
        <w:shd w:val="clear" w:color="auto" w:fill="auto"/>
        <w:spacing w:line="480" w:lineRule="auto"/>
        <w:jc w:val="center"/>
        <w:rPr>
          <w:rFonts w:hint="eastAsia" w:ascii="宋体" w:hAnsi="宋体" w:eastAsia="宋体" w:cs="宋体"/>
          <w:b/>
          <w:bCs/>
          <w:color w:val="000000"/>
          <w:sz w:val="52"/>
          <w:szCs w:val="52"/>
          <w:highlight w:val="none"/>
          <w:lang w:eastAsia="zh-CN"/>
        </w:rPr>
      </w:pPr>
      <w:r>
        <w:rPr>
          <w:rFonts w:hint="eastAsia" w:ascii="宋体" w:hAnsi="宋体" w:cs="宋体"/>
          <w:b/>
          <w:bCs/>
          <w:color w:val="000000"/>
          <w:sz w:val="52"/>
          <w:szCs w:val="52"/>
          <w:highlight w:val="none"/>
          <w:lang w:eastAsia="zh-CN"/>
        </w:rPr>
        <w:t>宜良县部分耕地园地等种植状况摸排技术服务</w:t>
      </w:r>
    </w:p>
    <w:p w14:paraId="17051793">
      <w:pPr>
        <w:shd w:val="clear" w:color="auto" w:fill="auto"/>
        <w:spacing w:line="480" w:lineRule="auto"/>
        <w:jc w:val="center"/>
        <w:rPr>
          <w:rFonts w:hint="eastAsia" w:ascii="宋体" w:hAnsi="宋体" w:cs="宋体"/>
          <w:color w:val="000000"/>
          <w:sz w:val="32"/>
          <w:szCs w:val="32"/>
          <w:highlight w:val="none"/>
        </w:rPr>
      </w:pPr>
    </w:p>
    <w:p w14:paraId="376B8220">
      <w:pPr>
        <w:shd w:val="clear" w:color="auto" w:fill="auto"/>
        <w:spacing w:line="480" w:lineRule="auto"/>
        <w:jc w:val="center"/>
        <w:rPr>
          <w:rFonts w:hint="eastAsia" w:ascii="宋体" w:hAnsi="宋体" w:cs="宋体"/>
          <w:color w:val="000000"/>
          <w:sz w:val="32"/>
          <w:szCs w:val="32"/>
          <w:highlight w:val="none"/>
        </w:rPr>
      </w:pPr>
    </w:p>
    <w:p w14:paraId="0771FF6E">
      <w:pPr>
        <w:pStyle w:val="14"/>
        <w:shd w:val="clear" w:color="auto" w:fill="auto"/>
        <w:rPr>
          <w:rFonts w:hint="eastAsia" w:ascii="宋体" w:hAnsi="宋体" w:cs="宋体"/>
          <w:color w:val="000000"/>
          <w:sz w:val="28"/>
          <w:szCs w:val="28"/>
          <w:highlight w:val="none"/>
        </w:rPr>
      </w:pPr>
    </w:p>
    <w:p w14:paraId="5B0948C1">
      <w:pPr>
        <w:pStyle w:val="14"/>
        <w:shd w:val="clear" w:color="auto" w:fill="auto"/>
        <w:rPr>
          <w:rFonts w:hint="eastAsia" w:ascii="宋体" w:hAnsi="宋体" w:cs="宋体"/>
          <w:color w:val="000000"/>
          <w:sz w:val="28"/>
          <w:szCs w:val="28"/>
          <w:highlight w:val="none"/>
        </w:rPr>
      </w:pPr>
    </w:p>
    <w:p w14:paraId="1CA444E2">
      <w:pPr>
        <w:shd w:val="clear" w:color="auto" w:fill="auto"/>
        <w:jc w:val="center"/>
        <w:rPr>
          <w:rFonts w:hint="eastAsia" w:ascii="宋体" w:hAnsi="宋体" w:cs="宋体"/>
          <w:b/>
          <w:bCs/>
          <w:color w:val="000000"/>
          <w:sz w:val="96"/>
          <w:szCs w:val="96"/>
          <w:highlight w:val="none"/>
        </w:rPr>
      </w:pPr>
      <w:r>
        <w:rPr>
          <w:rFonts w:hint="eastAsia" w:ascii="宋体" w:hAnsi="宋体" w:cs="宋体"/>
          <w:b/>
          <w:bCs/>
          <w:color w:val="000000"/>
          <w:sz w:val="96"/>
          <w:szCs w:val="96"/>
          <w:highlight w:val="none"/>
        </w:rPr>
        <w:t>招标文件</w:t>
      </w:r>
    </w:p>
    <w:p w14:paraId="0F6F362A">
      <w:pPr>
        <w:spacing w:line="360" w:lineRule="auto"/>
        <w:jc w:val="center"/>
        <w:rPr>
          <w:rFonts w:hint="eastAsia" w:ascii="宋体" w:hAnsi="宋体" w:eastAsia="宋体" w:cs="宋体"/>
          <w:b/>
          <w:bCs/>
          <w:sz w:val="36"/>
          <w:szCs w:val="36"/>
          <w:lang w:val="en-US" w:eastAsia="zh-CN"/>
        </w:rPr>
      </w:pPr>
      <w:r>
        <w:rPr>
          <w:rFonts w:hint="eastAsia" w:ascii="宋体" w:hAnsi="宋体" w:cs="宋体"/>
          <w:b/>
          <w:bCs/>
          <w:spacing w:val="10"/>
          <w:sz w:val="36"/>
          <w:szCs w:val="36"/>
        </w:rPr>
        <w:t>项目</w:t>
      </w:r>
      <w:r>
        <w:rPr>
          <w:rFonts w:hint="eastAsia" w:ascii="宋体" w:hAnsi="宋体" w:cs="宋体"/>
          <w:b/>
          <w:bCs/>
          <w:sz w:val="36"/>
          <w:szCs w:val="36"/>
        </w:rPr>
        <w:t>编号：</w:t>
      </w:r>
      <w:r>
        <w:rPr>
          <w:rFonts w:hint="eastAsia" w:ascii="宋体" w:hAnsi="宋体" w:cs="宋体"/>
          <w:b/>
          <w:bCs/>
          <w:sz w:val="36"/>
          <w:szCs w:val="36"/>
          <w:lang w:eastAsia="zh-CN"/>
        </w:rPr>
        <w:t>TPZB-KMYL-2025-035</w:t>
      </w:r>
    </w:p>
    <w:p w14:paraId="70DB6A57">
      <w:pPr>
        <w:pStyle w:val="14"/>
        <w:rPr>
          <w:rFonts w:hint="eastAsia"/>
        </w:rPr>
      </w:pPr>
    </w:p>
    <w:p w14:paraId="7048E71F">
      <w:pPr>
        <w:pStyle w:val="14"/>
        <w:shd w:val="clear" w:color="auto" w:fill="auto"/>
        <w:rPr>
          <w:rFonts w:hint="eastAsia" w:ascii="宋体" w:hAnsi="宋体" w:cs="宋体"/>
          <w:color w:val="000000"/>
          <w:sz w:val="28"/>
          <w:szCs w:val="28"/>
          <w:highlight w:val="none"/>
        </w:rPr>
      </w:pPr>
    </w:p>
    <w:p w14:paraId="41A6C7F2">
      <w:pPr>
        <w:pStyle w:val="14"/>
        <w:shd w:val="clear" w:color="auto" w:fill="auto"/>
        <w:rPr>
          <w:rFonts w:hint="eastAsia" w:ascii="宋体" w:hAnsi="宋体" w:cs="宋体"/>
          <w:color w:val="000000"/>
          <w:sz w:val="28"/>
          <w:szCs w:val="28"/>
          <w:highlight w:val="none"/>
        </w:rPr>
      </w:pPr>
    </w:p>
    <w:p w14:paraId="638A1AC4">
      <w:pPr>
        <w:pStyle w:val="14"/>
        <w:shd w:val="clear" w:color="auto" w:fill="auto"/>
        <w:rPr>
          <w:rFonts w:hint="eastAsia" w:ascii="宋体" w:hAnsi="宋体" w:cs="宋体"/>
          <w:color w:val="000000"/>
          <w:sz w:val="28"/>
          <w:szCs w:val="28"/>
          <w:highlight w:val="none"/>
        </w:rPr>
      </w:pPr>
    </w:p>
    <w:p w14:paraId="61AF737F">
      <w:pPr>
        <w:rPr>
          <w:rFonts w:hint="eastAsia"/>
        </w:rPr>
      </w:pPr>
    </w:p>
    <w:p w14:paraId="3F649007">
      <w:pPr>
        <w:pStyle w:val="14"/>
        <w:shd w:val="clear" w:color="auto" w:fill="auto"/>
        <w:ind w:firstLine="2327" w:firstLineChars="644"/>
        <w:jc w:val="center"/>
        <w:rPr>
          <w:rFonts w:hint="eastAsia" w:ascii="宋体" w:hAnsi="宋体" w:cs="宋体"/>
          <w:b/>
          <w:color w:val="000000"/>
          <w:sz w:val="36"/>
          <w:szCs w:val="36"/>
          <w:highlight w:val="none"/>
        </w:rPr>
      </w:pPr>
    </w:p>
    <w:p w14:paraId="614C5C65">
      <w:pPr>
        <w:pStyle w:val="14"/>
        <w:shd w:val="clear" w:color="auto" w:fill="auto"/>
        <w:jc w:val="center"/>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采购人：</w:t>
      </w:r>
      <w:r>
        <w:rPr>
          <w:rFonts w:hint="eastAsia" w:ascii="宋体" w:hAnsi="宋体" w:cs="宋体"/>
          <w:b/>
          <w:color w:val="000000"/>
          <w:sz w:val="32"/>
          <w:szCs w:val="32"/>
          <w:highlight w:val="none"/>
          <w:lang w:eastAsia="zh-CN"/>
        </w:rPr>
        <w:t>宜良县自然资源局</w:t>
      </w:r>
    </w:p>
    <w:p w14:paraId="7D6CC2BB">
      <w:pPr>
        <w:pStyle w:val="14"/>
        <w:shd w:val="clear" w:color="auto" w:fill="auto"/>
        <w:jc w:val="center"/>
        <w:rPr>
          <w:rFonts w:hint="eastAsia" w:ascii="宋体" w:hAnsi="宋体" w:eastAsia="宋体" w:cs="宋体"/>
          <w:bCs/>
          <w:color w:val="000000"/>
          <w:sz w:val="32"/>
          <w:szCs w:val="32"/>
          <w:highlight w:val="none"/>
          <w:lang w:eastAsia="zh-CN"/>
        </w:rPr>
      </w:pPr>
      <w:r>
        <w:rPr>
          <w:rFonts w:hint="eastAsia" w:ascii="宋体" w:hAnsi="宋体" w:cs="宋体"/>
          <w:b/>
          <w:color w:val="000000"/>
          <w:sz w:val="32"/>
          <w:szCs w:val="32"/>
          <w:highlight w:val="none"/>
        </w:rPr>
        <w:t>采购代理机构：</w:t>
      </w:r>
      <w:r>
        <w:rPr>
          <w:rFonts w:hint="eastAsia" w:ascii="宋体" w:hAnsi="宋体" w:cs="宋体"/>
          <w:b/>
          <w:color w:val="000000"/>
          <w:sz w:val="32"/>
          <w:szCs w:val="32"/>
          <w:highlight w:val="none"/>
          <w:lang w:eastAsia="zh-CN"/>
        </w:rPr>
        <w:t>云南天平工程项目管理有限公司</w:t>
      </w:r>
    </w:p>
    <w:p w14:paraId="0E755A4B">
      <w:pPr>
        <w:pStyle w:val="14"/>
        <w:shd w:val="clear" w:color="auto" w:fill="auto"/>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t>日期：202</w:t>
      </w:r>
      <w:r>
        <w:rPr>
          <w:rFonts w:hint="eastAsia" w:ascii="宋体" w:hAnsi="宋体" w:cs="宋体"/>
          <w:b/>
          <w:color w:val="000000"/>
          <w:sz w:val="32"/>
          <w:szCs w:val="32"/>
          <w:highlight w:val="none"/>
          <w:lang w:val="en-US" w:eastAsia="zh-CN"/>
        </w:rPr>
        <w:t>5</w:t>
      </w:r>
      <w:r>
        <w:rPr>
          <w:rFonts w:hint="eastAsia" w:ascii="宋体" w:hAnsi="宋体" w:cs="宋体"/>
          <w:b/>
          <w:color w:val="000000"/>
          <w:sz w:val="32"/>
          <w:szCs w:val="32"/>
          <w:highlight w:val="none"/>
        </w:rPr>
        <w:t>年</w:t>
      </w:r>
      <w:r>
        <w:rPr>
          <w:rFonts w:hint="eastAsia" w:ascii="宋体" w:hAnsi="宋体" w:cs="宋体"/>
          <w:b/>
          <w:color w:val="000000"/>
          <w:sz w:val="32"/>
          <w:szCs w:val="32"/>
          <w:highlight w:val="none"/>
          <w:lang w:val="en-US" w:eastAsia="zh-CN"/>
        </w:rPr>
        <w:t>05</w:t>
      </w:r>
      <w:r>
        <w:rPr>
          <w:rFonts w:hint="eastAsia" w:ascii="宋体" w:hAnsi="宋体" w:cs="宋体"/>
          <w:b/>
          <w:color w:val="000000"/>
          <w:sz w:val="32"/>
          <w:szCs w:val="32"/>
          <w:highlight w:val="none"/>
        </w:rPr>
        <w:t>月</w:t>
      </w:r>
    </w:p>
    <w:p w14:paraId="58A6DAE4">
      <w:pPr>
        <w:pStyle w:val="33"/>
        <w:shd w:val="clear" w:color="auto" w:fill="auto"/>
        <w:ind w:firstLine="361"/>
        <w:jc w:val="center"/>
        <w:rPr>
          <w:rFonts w:hint="eastAsia" w:ascii="宋体" w:hAnsi="宋体" w:cs="宋体"/>
          <w:b/>
          <w:color w:val="000000"/>
          <w:sz w:val="36"/>
          <w:szCs w:val="36"/>
          <w:highlight w:val="none"/>
        </w:rPr>
      </w:pPr>
    </w:p>
    <w:p w14:paraId="33D59E15">
      <w:pPr>
        <w:pStyle w:val="33"/>
        <w:shd w:val="clear" w:color="auto" w:fill="auto"/>
        <w:ind w:firstLine="361"/>
        <w:jc w:val="center"/>
        <w:rPr>
          <w:rFonts w:hint="eastAsia" w:ascii="宋体" w:hAnsi="宋体" w:cs="宋体"/>
          <w:b/>
          <w:color w:val="000000"/>
          <w:sz w:val="36"/>
          <w:szCs w:val="36"/>
          <w:highlight w:val="none"/>
        </w:rPr>
        <w:sectPr>
          <w:headerReference r:id="rId4" w:type="first"/>
          <w:headerReference r:id="rId3" w:type="even"/>
          <w:footerReference r:id="rId5" w:type="even"/>
          <w:pgSz w:w="11906" w:h="16838"/>
          <w:pgMar w:top="1440" w:right="1083" w:bottom="1440" w:left="1083" w:header="720" w:footer="720" w:gutter="0"/>
          <w:pgBorders w:offsetFrom="page">
            <w:top w:val="none" w:sz="0" w:space="0"/>
            <w:left w:val="none" w:sz="0" w:space="0"/>
            <w:bottom w:val="none" w:sz="0" w:space="0"/>
            <w:right w:val="none" w:sz="0" w:space="0"/>
          </w:pgBorders>
          <w:pgNumType w:fmt="numberInDash" w:start="1"/>
          <w:cols w:space="708" w:num="1"/>
          <w:titlePg/>
          <w:docGrid w:type="lines" w:linePitch="317" w:charSpace="0"/>
        </w:sectPr>
      </w:pPr>
    </w:p>
    <w:p w14:paraId="03277414">
      <w:pPr>
        <w:pStyle w:val="2"/>
        <w:shd w:val="clear" w:color="auto" w:fill="auto"/>
        <w:spacing w:before="0" w:after="0" w:line="360" w:lineRule="auto"/>
        <w:jc w:val="center"/>
        <w:rPr>
          <w:rFonts w:hint="eastAsia" w:ascii="宋体" w:hAnsi="宋体" w:cs="宋体"/>
          <w:color w:val="000000"/>
          <w:highlight w:val="none"/>
        </w:rPr>
      </w:pPr>
      <w:bookmarkStart w:id="0" w:name="_Toc28691"/>
      <w:bookmarkStart w:id="1" w:name="_Toc7214"/>
      <w:r>
        <w:rPr>
          <w:rFonts w:hint="eastAsia" w:ascii="宋体" w:hAnsi="宋体" w:cs="宋体"/>
          <w:color w:val="000000"/>
          <w:szCs w:val="32"/>
          <w:highlight w:val="none"/>
        </w:rPr>
        <w:t>第一章 公开招标公告</w:t>
      </w:r>
      <w:bookmarkEnd w:id="0"/>
      <w:bookmarkEnd w:id="1"/>
    </w:p>
    <w:p w14:paraId="29A34226">
      <w:pPr>
        <w:pBdr>
          <w:top w:val="single" w:color="auto" w:sz="4" w:space="1"/>
          <w:left w:val="single" w:color="auto" w:sz="4" w:space="4"/>
          <w:bottom w:val="single" w:color="auto" w:sz="4" w:space="1"/>
          <w:right w:val="single" w:color="auto" w:sz="4" w:space="4"/>
        </w:pBdr>
        <w:shd w:val="clear" w:color="auto" w:fill="auto"/>
        <w:spacing w:line="360" w:lineRule="auto"/>
        <w:ind w:firstLine="562" w:firstLineChars="200"/>
        <w:jc w:val="center"/>
        <w:rPr>
          <w:rFonts w:hint="eastAsia" w:ascii="宋体" w:hAnsi="宋体" w:cs="宋体"/>
          <w:b/>
          <w:bCs/>
          <w:color w:val="000000"/>
          <w:sz w:val="28"/>
          <w:szCs w:val="28"/>
          <w:highlight w:val="none"/>
        </w:rPr>
      </w:pPr>
      <w:bookmarkStart w:id="2" w:name="_Toc18212"/>
      <w:r>
        <w:rPr>
          <w:rFonts w:hint="eastAsia" w:ascii="宋体" w:hAnsi="宋体" w:cs="宋体"/>
          <w:b/>
          <w:bCs/>
          <w:color w:val="000000"/>
          <w:sz w:val="28"/>
          <w:szCs w:val="28"/>
          <w:highlight w:val="none"/>
        </w:rPr>
        <w:t>项目概况</w:t>
      </w:r>
    </w:p>
    <w:p w14:paraId="1E58E3D9">
      <w:pPr>
        <w:pBdr>
          <w:top w:val="single" w:color="auto" w:sz="4" w:space="1"/>
          <w:left w:val="single" w:color="auto" w:sz="4" w:space="4"/>
          <w:bottom w:val="single" w:color="auto" w:sz="4" w:space="1"/>
          <w:right w:val="single" w:color="auto" w:sz="4" w:space="4"/>
        </w:pBdr>
        <w:shd w:val="clear" w:color="auto" w:fill="auto"/>
        <w:wordWrap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u w:val="single"/>
          <w:lang w:eastAsia="zh-CN"/>
        </w:rPr>
        <w:t>宜良县部分耕地园地等种植状况摸排技术服务</w:t>
      </w:r>
      <w:r>
        <w:rPr>
          <w:rFonts w:hint="eastAsia" w:ascii="宋体" w:hAnsi="宋体" w:cs="宋体"/>
          <w:color w:val="000000"/>
          <w:sz w:val="24"/>
          <w:szCs w:val="24"/>
          <w:highlight w:val="none"/>
        </w:rPr>
        <w:t>招标项目的潜在投标人应在</w:t>
      </w:r>
      <w:r>
        <w:rPr>
          <w:rFonts w:hint="eastAsia" w:ascii="宋体" w:hAnsi="宋体" w:cs="宋体"/>
          <w:color w:val="000000"/>
          <w:sz w:val="24"/>
          <w:szCs w:val="24"/>
          <w:highlight w:val="none"/>
          <w:u w:val="single"/>
        </w:rPr>
        <w:fldChar w:fldCharType="begin"/>
      </w:r>
      <w:r>
        <w:rPr>
          <w:rFonts w:hint="eastAsia" w:ascii="宋体" w:hAnsi="宋体" w:cs="宋体"/>
          <w:color w:val="000000"/>
          <w:sz w:val="24"/>
          <w:szCs w:val="24"/>
          <w:highlight w:val="none"/>
          <w:u w:val="single"/>
        </w:rPr>
        <w:instrText xml:space="preserve"> HYPERLINK "https://www.kmggzy.com/Index.html)获取招标文件，并于" </w:instrText>
      </w:r>
      <w:r>
        <w:rPr>
          <w:rFonts w:hint="eastAsia" w:ascii="宋体" w:hAnsi="宋体" w:cs="宋体"/>
          <w:color w:val="000000"/>
          <w:sz w:val="24"/>
          <w:szCs w:val="24"/>
          <w:highlight w:val="none"/>
          <w:u w:val="single"/>
        </w:rPr>
        <w:fldChar w:fldCharType="separate"/>
      </w:r>
      <w:r>
        <w:rPr>
          <w:rStyle w:val="38"/>
          <w:rFonts w:hint="eastAsia" w:ascii="宋体" w:hAnsi="宋体" w:cs="宋体"/>
          <w:color w:val="000000"/>
          <w:sz w:val="24"/>
          <w:szCs w:val="24"/>
          <w:highlight w:val="none"/>
          <w:u w:val="single"/>
          <w:lang w:eastAsia="zh-CN"/>
        </w:rPr>
        <w:t>“政采云”平台（网址：http：//www.zcygov.cn）</w:t>
      </w:r>
      <w:r>
        <w:rPr>
          <w:rStyle w:val="38"/>
          <w:rFonts w:hint="eastAsia" w:ascii="宋体" w:hAnsi="宋体" w:cs="宋体"/>
          <w:color w:val="000000"/>
          <w:sz w:val="24"/>
          <w:szCs w:val="24"/>
          <w:highlight w:val="none"/>
        </w:rPr>
        <w:t>获取招标文件，并于</w:t>
      </w:r>
      <w:r>
        <w:rPr>
          <w:rFonts w:hint="eastAsia" w:ascii="宋体" w:hAnsi="宋体" w:cs="宋体"/>
          <w:color w:val="000000"/>
          <w:sz w:val="24"/>
          <w:szCs w:val="24"/>
          <w:highlight w:val="none"/>
          <w:u w:val="single"/>
        </w:rPr>
        <w:fldChar w:fldCharType="end"/>
      </w:r>
      <w:r>
        <w:rPr>
          <w:rFonts w:hint="eastAsia" w:ascii="宋体" w:hAnsi="宋体" w:cs="宋体"/>
          <w:color w:val="000000"/>
          <w:sz w:val="24"/>
          <w:szCs w:val="24"/>
          <w:highlight w:val="none"/>
          <w:u w:val="single"/>
        </w:rPr>
        <w:t>202</w:t>
      </w:r>
      <w:r>
        <w:rPr>
          <w:rFonts w:hint="eastAsia" w:ascii="宋体" w:hAnsi="宋体" w:cs="宋体"/>
          <w:color w:val="000000"/>
          <w:sz w:val="24"/>
          <w:szCs w:val="24"/>
          <w:highlight w:val="none"/>
          <w:u w:val="single"/>
          <w:lang w:val="en-US" w:eastAsia="zh-CN"/>
        </w:rPr>
        <w:t>5</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lang w:val="en-US" w:eastAsia="zh-CN"/>
        </w:rPr>
        <w:t>06</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lang w:val="en-US" w:eastAsia="zh-CN"/>
        </w:rPr>
        <w:t>06</w:t>
      </w:r>
      <w:r>
        <w:rPr>
          <w:rFonts w:hint="eastAsia" w:ascii="宋体" w:hAnsi="宋体" w:cs="宋体"/>
          <w:color w:val="000000"/>
          <w:sz w:val="24"/>
          <w:szCs w:val="24"/>
          <w:highlight w:val="none"/>
        </w:rPr>
        <w:t>日</w:t>
      </w:r>
      <w:r>
        <w:rPr>
          <w:rFonts w:hint="eastAsia" w:ascii="宋体" w:hAnsi="宋体" w:cs="宋体"/>
          <w:color w:val="000000"/>
          <w:sz w:val="24"/>
          <w:szCs w:val="24"/>
          <w:highlight w:val="none"/>
          <w:u w:val="single"/>
          <w:lang w:val="en-US" w:eastAsia="zh-CN"/>
        </w:rPr>
        <w:t>09</w:t>
      </w:r>
      <w:r>
        <w:rPr>
          <w:rFonts w:hint="eastAsia" w:ascii="宋体" w:hAnsi="宋体" w:cs="宋体"/>
          <w:color w:val="000000"/>
          <w:sz w:val="24"/>
          <w:szCs w:val="24"/>
          <w:highlight w:val="none"/>
        </w:rPr>
        <w:t>时</w:t>
      </w:r>
      <w:r>
        <w:rPr>
          <w:rFonts w:hint="eastAsia" w:ascii="宋体" w:hAnsi="宋体" w:cs="宋体"/>
          <w:color w:val="000000"/>
          <w:sz w:val="24"/>
          <w:szCs w:val="24"/>
          <w:highlight w:val="none"/>
          <w:u w:val="single"/>
          <w:lang w:val="en-US" w:eastAsia="zh-CN"/>
        </w:rPr>
        <w:t>30</w:t>
      </w:r>
      <w:r>
        <w:rPr>
          <w:rFonts w:hint="eastAsia" w:ascii="宋体" w:hAnsi="宋体" w:cs="宋体"/>
          <w:color w:val="000000"/>
          <w:sz w:val="24"/>
          <w:szCs w:val="24"/>
          <w:highlight w:val="none"/>
        </w:rPr>
        <w:t>分</w:t>
      </w:r>
      <w:r>
        <w:rPr>
          <w:rFonts w:hint="eastAsia" w:ascii="宋体" w:hAnsi="宋体" w:cs="宋体"/>
          <w:bCs/>
          <w:color w:val="000000"/>
          <w:sz w:val="24"/>
          <w:szCs w:val="24"/>
          <w:highlight w:val="none"/>
        </w:rPr>
        <w:t>（北京时间）前递交投标文件</w:t>
      </w:r>
      <w:r>
        <w:rPr>
          <w:rFonts w:hint="eastAsia" w:ascii="宋体" w:hAnsi="宋体" w:cs="宋体"/>
          <w:color w:val="000000"/>
          <w:sz w:val="24"/>
          <w:szCs w:val="24"/>
          <w:highlight w:val="none"/>
        </w:rPr>
        <w:t>。</w:t>
      </w:r>
    </w:p>
    <w:p w14:paraId="2096AC5A">
      <w:pPr>
        <w:pStyle w:val="3"/>
        <w:keepNext w:val="0"/>
        <w:keepLines w:val="0"/>
        <w:shd w:val="clear" w:color="auto" w:fill="auto"/>
        <w:spacing w:before="0" w:after="0" w:line="360" w:lineRule="auto"/>
        <w:rPr>
          <w:rFonts w:hint="eastAsia" w:ascii="宋体" w:hAnsi="宋体" w:eastAsia="宋体" w:cs="宋体"/>
          <w:color w:val="000000"/>
          <w:sz w:val="28"/>
          <w:szCs w:val="28"/>
          <w:highlight w:val="none"/>
        </w:rPr>
      </w:pPr>
      <w:bookmarkStart w:id="3" w:name="_Toc28359002"/>
      <w:bookmarkStart w:id="4" w:name="_Toc28359079"/>
      <w:bookmarkStart w:id="5" w:name="_Toc35393790"/>
      <w:bookmarkStart w:id="6" w:name="_Toc1125"/>
      <w:bookmarkStart w:id="7" w:name="_Toc35393621"/>
      <w:bookmarkStart w:id="8" w:name="_Toc29027"/>
      <w:bookmarkStart w:id="9" w:name="_Toc16168"/>
      <w:bookmarkStart w:id="10" w:name="_Toc22852"/>
      <w:bookmarkStart w:id="11" w:name="_Toc1876"/>
      <w:bookmarkStart w:id="12" w:name="_Hlk24379207"/>
      <w:r>
        <w:rPr>
          <w:rFonts w:hint="eastAsia" w:ascii="宋体" w:hAnsi="宋体" w:eastAsia="宋体" w:cs="宋体"/>
          <w:color w:val="000000"/>
          <w:sz w:val="28"/>
          <w:szCs w:val="28"/>
          <w:highlight w:val="none"/>
        </w:rPr>
        <w:t>一、项目基本情况</w:t>
      </w:r>
      <w:bookmarkEnd w:id="3"/>
      <w:bookmarkEnd w:id="4"/>
      <w:bookmarkEnd w:id="5"/>
      <w:bookmarkEnd w:id="6"/>
      <w:bookmarkEnd w:id="7"/>
      <w:bookmarkEnd w:id="8"/>
      <w:bookmarkEnd w:id="9"/>
      <w:bookmarkEnd w:id="10"/>
      <w:bookmarkEnd w:id="11"/>
    </w:p>
    <w:p w14:paraId="223D46E5">
      <w:pPr>
        <w:shd w:val="clear" w:color="auto" w:fill="auto"/>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1.1项目编号：</w:t>
      </w:r>
      <w:r>
        <w:rPr>
          <w:rFonts w:hint="eastAsia" w:ascii="宋体" w:hAnsi="宋体" w:cs="宋体"/>
          <w:color w:val="000000"/>
          <w:sz w:val="24"/>
          <w:szCs w:val="24"/>
          <w:highlight w:val="none"/>
          <w:lang w:eastAsia="zh-CN"/>
        </w:rPr>
        <w:t>TPZB-KMYL-2025-035。</w:t>
      </w:r>
    </w:p>
    <w:p w14:paraId="1E60F995">
      <w:pPr>
        <w:shd w:val="clear" w:color="auto" w:fill="auto"/>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1.2项目名称：</w:t>
      </w:r>
      <w:r>
        <w:rPr>
          <w:rFonts w:hint="eastAsia" w:ascii="宋体" w:hAnsi="宋体" w:cs="宋体"/>
          <w:color w:val="000000"/>
          <w:sz w:val="24"/>
          <w:szCs w:val="24"/>
          <w:highlight w:val="none"/>
          <w:lang w:eastAsia="zh-CN"/>
        </w:rPr>
        <w:t>宜良县部分耕地园地等种植状况摸排技术服务。</w:t>
      </w:r>
    </w:p>
    <w:bookmarkEnd w:id="12"/>
    <w:p w14:paraId="01C411AF">
      <w:pPr>
        <w:pStyle w:val="14"/>
        <w:shd w:val="clear" w:color="auto" w:fill="auto"/>
        <w:ind w:firstLine="480" w:firstLineChars="200"/>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1.3预算金额：</w:t>
      </w:r>
      <w:r>
        <w:rPr>
          <w:rFonts w:hint="eastAsia" w:ascii="宋体" w:hAnsi="宋体" w:cs="宋体"/>
          <w:color w:val="auto"/>
          <w:sz w:val="24"/>
          <w:szCs w:val="24"/>
          <w:highlight w:val="none"/>
          <w:lang w:val="en-US" w:eastAsia="zh-CN"/>
        </w:rPr>
        <w:t>300万元，一标段90万元，二标段80万元，三标段70万元，四标段60万元。</w:t>
      </w:r>
    </w:p>
    <w:p w14:paraId="29F9D410">
      <w:pPr>
        <w:pStyle w:val="14"/>
        <w:shd w:val="clear" w:color="auto" w:fill="auto"/>
        <w:ind w:firstLine="480" w:firstLineChars="200"/>
        <w:rPr>
          <w:rFonts w:hint="eastAsia" w:ascii="宋体" w:hAnsi="宋体" w:cs="宋体"/>
          <w:color w:val="auto"/>
          <w:sz w:val="24"/>
          <w:szCs w:val="24"/>
          <w:highlight w:val="none"/>
          <w:lang w:eastAsia="zh-CN"/>
        </w:rPr>
      </w:pPr>
      <w:r>
        <w:rPr>
          <w:rFonts w:hint="eastAsia" w:ascii="宋体" w:hAnsi="宋体" w:cs="宋体"/>
          <w:color w:val="auto"/>
          <w:sz w:val="24"/>
          <w:highlight w:val="none"/>
          <w:lang w:val="en-US" w:eastAsia="zh-CN"/>
        </w:rPr>
        <w:t>1.4</w:t>
      </w:r>
      <w:r>
        <w:rPr>
          <w:rFonts w:hint="eastAsia" w:ascii="宋体" w:hAnsi="宋体" w:cs="宋体"/>
          <w:color w:val="auto"/>
          <w:sz w:val="24"/>
          <w:highlight w:val="none"/>
        </w:rPr>
        <w:t>最高限价：</w:t>
      </w:r>
      <w:r>
        <w:rPr>
          <w:rFonts w:hint="eastAsia" w:ascii="宋体" w:hAnsi="宋体" w:cs="宋体"/>
          <w:color w:val="auto"/>
          <w:sz w:val="24"/>
          <w:szCs w:val="24"/>
          <w:highlight w:val="none"/>
          <w:lang w:val="en-US" w:eastAsia="zh-CN"/>
        </w:rPr>
        <w:t>300万元，一标段90万元，二标段80万元，三标段70万元，四标段60万元。</w:t>
      </w:r>
    </w:p>
    <w:p w14:paraId="2E75AD1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采购需求：</w:t>
      </w:r>
      <w:r>
        <w:rPr>
          <w:rFonts w:hint="eastAsia" w:ascii="宋体" w:hAnsi="宋体" w:eastAsia="宋体" w:cs="宋体"/>
          <w:color w:val="auto"/>
          <w:sz w:val="24"/>
          <w:szCs w:val="24"/>
          <w:highlight w:val="none"/>
        </w:rPr>
        <w:t>宜良县部分耕地园地设施农用地等种植情况摸排工作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本项目划分为四个标段，具体内容为：</w:t>
      </w:r>
    </w:p>
    <w:p w14:paraId="13D26E60">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负责狗街镇、竹山镇外业举证培训、县级增补图斑提取、部分增补图斑外业举证、县级内业审核、排查成果汇总分析、配合完成置换方案制定工作，图斑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6AD536A5">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负责匡远街道、南羊街道外业举证培训、县级增补图斑提取、部分增补图斑外业举证、县级内业审核、排查成果汇总分析、配合完成置换方案制定工作，图斑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35D127A7">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负责北古城镇、马街镇外业举证培训、县级增补图斑提取、部分增补图斑外业举证、县级内业审核、排查成果汇总分析、配合完成置换方案制定工作，图斑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632043C5">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负责耿家营乡、九乡乡外业举证培训、县级增补图斑提取、部分增补图斑外业举证、县级内业审核、排查成果汇总分析、配合完成置换方案制定工作，图斑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000个。</w:t>
      </w:r>
    </w:p>
    <w:p w14:paraId="6ED9364C">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rPr>
        <w:t>按照采购人要求的时间节点完成</w:t>
      </w:r>
      <w:r>
        <w:rPr>
          <w:rFonts w:hint="eastAsia" w:ascii="宋体" w:hAnsi="宋体" w:eastAsia="宋体" w:cs="宋体"/>
          <w:color w:val="auto"/>
          <w:sz w:val="24"/>
          <w:szCs w:val="24"/>
          <w:lang w:eastAsia="zh-CN"/>
        </w:rPr>
        <w:t>。</w:t>
      </w:r>
    </w:p>
    <w:p w14:paraId="29C59CE8">
      <w:pPr>
        <w:shd w:val="clear" w:color="auto" w:fill="auto"/>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项目实施地点</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宜良县境内</w:t>
      </w:r>
      <w:r>
        <w:rPr>
          <w:rFonts w:hint="eastAsia" w:ascii="宋体" w:hAnsi="宋体" w:cs="宋体"/>
          <w:color w:val="auto"/>
          <w:sz w:val="24"/>
          <w:szCs w:val="24"/>
          <w:highlight w:val="none"/>
          <w:lang w:eastAsia="zh-CN"/>
        </w:rPr>
        <w:t>。</w:t>
      </w:r>
    </w:p>
    <w:p w14:paraId="6CE3421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lang w:val="en-US" w:eastAsia="zh-CN"/>
        </w:rPr>
        <w:t>质量标准：</w:t>
      </w:r>
      <w:r>
        <w:rPr>
          <w:rFonts w:hint="eastAsia" w:ascii="宋体" w:hAnsi="宋体" w:cs="宋体"/>
          <w:color w:val="auto"/>
          <w:sz w:val="24"/>
          <w:szCs w:val="24"/>
          <w:highlight w:val="none"/>
          <w:lang w:val="en-US" w:eastAsia="zh-CN"/>
        </w:rPr>
        <w:t>符合现行国家及行业相关标准和规范要求。</w:t>
      </w:r>
    </w:p>
    <w:p w14:paraId="7FDA73A7">
      <w:pPr>
        <w:shd w:val="clear" w:color="auto" w:fill="auto"/>
        <w:spacing w:line="360" w:lineRule="auto"/>
        <w:ind w:firstLine="480" w:firstLineChars="20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1.9本项目不接受联合体投标。</w:t>
      </w:r>
    </w:p>
    <w:p w14:paraId="30252A0B">
      <w:pPr>
        <w:keepNext w:val="0"/>
        <w:keepLines w:val="0"/>
        <w:widowControl/>
        <w:suppressLineNumbers w:val="0"/>
        <w:spacing w:line="360" w:lineRule="auto"/>
        <w:ind w:firstLine="480" w:firstLineChars="20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符合报名条件的潜在投标人可对本项目其中的一个标段或多个标段进行投标，但最多只允许中一个标段，如投标人已被确定为某标段的第一中标候选人时，在后续标段评审中将不被推荐为中标候选人，但其投标报价为有效报价时，参与其它标段评标基准价的计算。 </w:t>
      </w:r>
    </w:p>
    <w:p w14:paraId="0AAE7FB2">
      <w:pPr>
        <w:keepNext w:val="0"/>
        <w:keepLines w:val="0"/>
        <w:widowControl/>
        <w:suppressLineNumbers w:val="0"/>
        <w:spacing w:line="360" w:lineRule="auto"/>
        <w:ind w:firstLine="480" w:firstLineChars="200"/>
        <w:jc w:val="left"/>
        <w:rPr>
          <w:rFonts w:hint="default"/>
          <w:lang w:val="en-US" w:eastAsia="zh-CN"/>
        </w:rPr>
      </w:pPr>
      <w:r>
        <w:rPr>
          <w:rFonts w:hint="eastAsia" w:ascii="宋体" w:hAnsi="宋体" w:eastAsia="宋体" w:cs="宋体"/>
          <w:color w:val="000000"/>
          <w:kern w:val="0"/>
          <w:sz w:val="24"/>
          <w:szCs w:val="24"/>
          <w:lang w:val="en-US" w:eastAsia="zh-CN" w:bidi="ar"/>
        </w:rPr>
        <w:t>本项目评标顺序为 1标段→2标段→3标段→4标段。</w:t>
      </w:r>
    </w:p>
    <w:p w14:paraId="5B34B6E6">
      <w:pPr>
        <w:pStyle w:val="3"/>
        <w:keepNext w:val="0"/>
        <w:keepLines w:val="0"/>
        <w:shd w:val="clear" w:color="auto" w:fill="auto"/>
        <w:spacing w:before="0" w:after="0" w:line="360" w:lineRule="auto"/>
        <w:rPr>
          <w:rFonts w:hint="eastAsia" w:ascii="宋体" w:hAnsi="宋体" w:eastAsia="宋体" w:cs="宋体"/>
          <w:color w:val="000000"/>
          <w:sz w:val="28"/>
          <w:szCs w:val="28"/>
          <w:highlight w:val="none"/>
        </w:rPr>
      </w:pPr>
      <w:bookmarkStart w:id="13" w:name="_Toc27804"/>
      <w:bookmarkStart w:id="14" w:name="_Toc28359080"/>
      <w:bookmarkStart w:id="15" w:name="_Toc15757"/>
      <w:bookmarkStart w:id="16" w:name="_Toc28359003"/>
      <w:bookmarkStart w:id="17" w:name="_Toc17289"/>
      <w:bookmarkStart w:id="18" w:name="_Toc1007"/>
      <w:bookmarkStart w:id="19" w:name="_Toc35393622"/>
      <w:bookmarkStart w:id="20" w:name="_Toc35393791"/>
      <w:bookmarkStart w:id="21" w:name="_Toc24270"/>
      <w:r>
        <w:rPr>
          <w:rFonts w:hint="eastAsia" w:ascii="宋体" w:hAnsi="宋体" w:eastAsia="宋体" w:cs="宋体"/>
          <w:color w:val="000000"/>
          <w:sz w:val="28"/>
          <w:szCs w:val="28"/>
          <w:highlight w:val="none"/>
        </w:rPr>
        <w:t>二、申请人的资格要求</w:t>
      </w:r>
      <w:bookmarkEnd w:id="13"/>
      <w:bookmarkEnd w:id="14"/>
      <w:bookmarkEnd w:id="15"/>
      <w:bookmarkEnd w:id="16"/>
      <w:bookmarkEnd w:id="17"/>
      <w:bookmarkEnd w:id="18"/>
      <w:bookmarkEnd w:id="19"/>
      <w:bookmarkEnd w:id="20"/>
      <w:bookmarkEnd w:id="21"/>
    </w:p>
    <w:p w14:paraId="60AD046B">
      <w:pPr>
        <w:shd w:val="clear" w:color="auto" w:fill="auto"/>
        <w:wordWrap w:val="0"/>
        <w:spacing w:line="360" w:lineRule="auto"/>
        <w:ind w:firstLine="480" w:firstLineChars="200"/>
        <w:rPr>
          <w:rFonts w:hint="eastAsia" w:ascii="宋体" w:hAnsi="宋体" w:eastAsia="宋体" w:cs="宋体"/>
          <w:color w:val="000000"/>
          <w:sz w:val="24"/>
          <w:szCs w:val="24"/>
          <w:highlight w:val="none"/>
          <w:lang w:eastAsia="zh-CN"/>
        </w:rPr>
      </w:pPr>
      <w:bookmarkStart w:id="22" w:name="_Toc28359004"/>
      <w:bookmarkStart w:id="23" w:name="_Toc21085"/>
      <w:bookmarkStart w:id="24" w:name="_Toc28745"/>
      <w:bookmarkStart w:id="25" w:name="_Toc21880"/>
      <w:bookmarkStart w:id="26" w:name="_Toc28359081"/>
      <w:bookmarkStart w:id="27" w:name="_Toc35393792"/>
      <w:bookmarkStart w:id="28" w:name="_Toc35393623"/>
      <w:r>
        <w:rPr>
          <w:rFonts w:hint="eastAsia" w:ascii="宋体" w:hAnsi="宋体" w:cs="宋体"/>
          <w:color w:val="000000"/>
          <w:sz w:val="24"/>
          <w:szCs w:val="24"/>
          <w:highlight w:val="none"/>
        </w:rPr>
        <w:t>2.1满足《中华人民共和国政府采购法》第二十二条规定</w:t>
      </w:r>
      <w:r>
        <w:rPr>
          <w:rFonts w:hint="eastAsia" w:ascii="宋体" w:hAnsi="宋体" w:cs="宋体"/>
          <w:color w:val="000000"/>
          <w:sz w:val="24"/>
          <w:szCs w:val="24"/>
          <w:highlight w:val="none"/>
          <w:lang w:eastAsia="zh-CN"/>
        </w:rPr>
        <w:t>：</w:t>
      </w:r>
    </w:p>
    <w:p w14:paraId="2FDC07BB">
      <w:pPr>
        <w:shd w:val="clear" w:color="auto" w:fill="auto"/>
        <w:wordWrap w:val="0"/>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2.1.1</w:t>
      </w:r>
      <w:r>
        <w:rPr>
          <w:rFonts w:hint="eastAsia" w:ascii="宋体" w:hAnsi="宋体" w:cs="宋体"/>
          <w:color w:val="000000"/>
          <w:sz w:val="24"/>
          <w:szCs w:val="24"/>
          <w:highlight w:val="none"/>
          <w:lang w:eastAsia="zh-CN"/>
        </w:rPr>
        <w:t>具有独立承担民事责任的能力：投标供应商须提供法人或者其他组织的营业执照等证明文件，自然人</w:t>
      </w:r>
      <w:r>
        <w:rPr>
          <w:rFonts w:hint="eastAsia" w:ascii="宋体" w:hAnsi="宋体" w:cs="宋体"/>
          <w:color w:val="000000"/>
          <w:sz w:val="24"/>
          <w:szCs w:val="24"/>
          <w:highlight w:val="none"/>
          <w:lang w:val="en-US" w:eastAsia="zh-CN"/>
        </w:rPr>
        <w:t>提供</w:t>
      </w:r>
      <w:r>
        <w:rPr>
          <w:rFonts w:hint="eastAsia" w:ascii="宋体" w:hAnsi="宋体" w:cs="宋体"/>
          <w:color w:val="000000"/>
          <w:sz w:val="24"/>
          <w:szCs w:val="24"/>
          <w:highlight w:val="none"/>
          <w:lang w:eastAsia="zh-CN"/>
        </w:rPr>
        <w:t>身份证明；</w:t>
      </w:r>
    </w:p>
    <w:p w14:paraId="26CFD001">
      <w:pPr>
        <w:shd w:val="clear" w:color="auto" w:fill="auto"/>
        <w:wordWrap w:val="0"/>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2.1.2具有良好的商业信誉和健全的财务会计制度：</w:t>
      </w:r>
      <w:r>
        <w:rPr>
          <w:rFonts w:hint="eastAsia" w:ascii="宋体" w:hAnsi="宋体" w:cs="宋体"/>
          <w:color w:val="000000"/>
          <w:sz w:val="24"/>
          <w:szCs w:val="24"/>
          <w:highlight w:val="none"/>
          <w:lang w:eastAsia="zh-CN"/>
        </w:rPr>
        <w:t>根据投标人性质提供下列任意材料</w:t>
      </w:r>
      <w:r>
        <w:rPr>
          <w:rFonts w:hint="eastAsia" w:ascii="宋体" w:hAnsi="宋体" w:cs="宋体"/>
          <w:color w:val="000000"/>
          <w:sz w:val="24"/>
          <w:szCs w:val="24"/>
          <w:highlight w:val="none"/>
        </w:rPr>
        <w:t>：①</w:t>
      </w:r>
      <w:r>
        <w:rPr>
          <w:rFonts w:hint="eastAsia" w:ascii="宋体" w:hAnsi="宋体" w:cs="宋体"/>
          <w:color w:val="000000"/>
          <w:sz w:val="24"/>
          <w:szCs w:val="24"/>
          <w:highlight w:val="none"/>
          <w:lang w:eastAsia="zh-CN"/>
        </w:rPr>
        <w:t>提供2022年至今任意一年经第三方审计</w:t>
      </w:r>
      <w:r>
        <w:rPr>
          <w:rFonts w:hint="eastAsia" w:ascii="宋体" w:hAnsi="宋体" w:cs="宋体"/>
          <w:color w:val="000000"/>
          <w:sz w:val="24"/>
          <w:szCs w:val="24"/>
          <w:highlight w:val="none"/>
        </w:rPr>
        <w:t>的审计报告及财务报表(包括资产负债表、利润表、现金流量表），成立不满1年的，提供自成立至今财务报表(包括资产负债表、利润表、现金流量表）。②也可提供距文件递交截止日一年内</w:t>
      </w:r>
      <w:r>
        <w:rPr>
          <w:rFonts w:hint="eastAsia" w:ascii="宋体" w:hAnsi="宋体" w:cs="宋体"/>
          <w:color w:val="000000"/>
          <w:sz w:val="24"/>
          <w:szCs w:val="24"/>
          <w:highlight w:val="none"/>
          <w:lang w:eastAsia="zh-CN"/>
        </w:rPr>
        <w:t>银行开户行出具的资信证明</w:t>
      </w:r>
      <w:r>
        <w:rPr>
          <w:rFonts w:hint="eastAsia" w:ascii="宋体" w:hAnsi="宋体" w:cs="宋体"/>
          <w:color w:val="000000"/>
          <w:sz w:val="24"/>
          <w:szCs w:val="24"/>
          <w:highlight w:val="none"/>
        </w:rPr>
        <w:t>；③非营利性单位或者社会团体或者其他机关事业单位也可提供以符合财务会计制度为准或者提供承诺函；④投标人为自然人的也可提供承诺函（格式自拟）</w:t>
      </w:r>
      <w:r>
        <w:rPr>
          <w:rFonts w:hint="eastAsia" w:ascii="宋体" w:hAnsi="宋体" w:cs="宋体"/>
          <w:color w:val="000000"/>
          <w:sz w:val="24"/>
          <w:szCs w:val="24"/>
          <w:highlight w:val="none"/>
          <w:lang w:eastAsia="zh-CN"/>
        </w:rPr>
        <w:t>；</w:t>
      </w:r>
    </w:p>
    <w:p w14:paraId="6C0AD0AA">
      <w:pPr>
        <w:shd w:val="clear" w:color="auto" w:fill="auto"/>
        <w:wordWrap w:val="0"/>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2.1.3具有履行合同所必须的设备和专业技术能力</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提供相关证明材料</w:t>
      </w:r>
      <w:r>
        <w:rPr>
          <w:rFonts w:hint="eastAsia" w:ascii="宋体" w:hAnsi="宋体" w:cs="宋体"/>
          <w:sz w:val="24"/>
        </w:rPr>
        <w:t>或声明函</w:t>
      </w:r>
      <w:r>
        <w:rPr>
          <w:rFonts w:hint="eastAsia" w:ascii="宋体" w:hAnsi="宋体" w:cs="宋体"/>
          <w:color w:val="000000"/>
          <w:sz w:val="24"/>
          <w:szCs w:val="24"/>
          <w:highlight w:val="none"/>
          <w:lang w:eastAsia="zh-CN"/>
        </w:rPr>
        <w:t>；</w:t>
      </w:r>
    </w:p>
    <w:p w14:paraId="5516A8E8">
      <w:pPr>
        <w:shd w:val="clear" w:color="auto" w:fill="auto"/>
        <w:wordWrap w:val="0"/>
        <w:spacing w:line="360" w:lineRule="auto"/>
        <w:ind w:firstLine="480" w:firstLineChars="200"/>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2.1.4</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具有依法缴纳税收和社会保障资金的良好记录</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提供2024年01月至今任意1个月的税务局税收通用缴款书复印件或银行电子缴税（费）凭证或税务局出具纳税情况的相关证明，依法免税的，应提供依法免税的相关证明文件（新成立未产生税务缴纳的单位提供情况说明）；提供2024年01月至今任意1个月的社会保险费缴款书或银行电子缴税（费）凭证或相关部门出具的有效的缴款证明，依法免缴的，应提供依法免缴的相关证明文件；属于个体工商户或自然人的只需提供个体工商户经营者或自然人本人的社会保障金缴纳记录证明材料。无需缴纳社会保障资金的需提供相应证明文件（新成立尚未缴纳社保的单位提供情况说明）</w:t>
      </w:r>
      <w:r>
        <w:rPr>
          <w:rFonts w:hint="eastAsia" w:ascii="宋体" w:hAnsi="宋体" w:cs="宋体"/>
          <w:color w:val="000000"/>
          <w:sz w:val="24"/>
          <w:szCs w:val="24"/>
          <w:highlight w:val="none"/>
          <w:lang w:eastAsia="zh-CN"/>
        </w:rPr>
        <w:t>；</w:t>
      </w:r>
    </w:p>
    <w:p w14:paraId="7576ACD1">
      <w:pPr>
        <w:shd w:val="clear" w:color="auto" w:fill="auto"/>
        <w:wordWrap w:val="0"/>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2.1.5参加政府采购活动前三年内，在经营活动中没有重大违法记录</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提供书面声明参加</w:t>
      </w:r>
      <w:r>
        <w:rPr>
          <w:rFonts w:hint="eastAsia" w:ascii="宋体" w:hAnsi="宋体" w:cs="宋体"/>
          <w:color w:val="000000"/>
          <w:sz w:val="24"/>
          <w:szCs w:val="24"/>
          <w:highlight w:val="none"/>
          <w:lang w:eastAsia="zh-CN"/>
        </w:rPr>
        <w:t>采购</w:t>
      </w:r>
      <w:r>
        <w:rPr>
          <w:rFonts w:hint="eastAsia" w:ascii="宋体" w:hAnsi="宋体" w:cs="宋体"/>
          <w:color w:val="000000"/>
          <w:sz w:val="24"/>
          <w:szCs w:val="24"/>
          <w:highlight w:val="none"/>
        </w:rPr>
        <w:t>活动前三年内无因违法经营受到刑事处罚或者责令停产停业吊销许可证或者执照，较大数额罚款等行政处罚等违法记录</w:t>
      </w:r>
      <w:r>
        <w:rPr>
          <w:rFonts w:hint="eastAsia" w:ascii="宋体" w:hAnsi="宋体" w:cs="宋体"/>
          <w:color w:val="000000"/>
          <w:sz w:val="24"/>
          <w:szCs w:val="24"/>
          <w:highlight w:val="none"/>
          <w:lang w:eastAsia="zh-CN"/>
        </w:rPr>
        <w:t>；</w:t>
      </w:r>
    </w:p>
    <w:p w14:paraId="69541A0C">
      <w:pPr>
        <w:shd w:val="clear" w:color="auto" w:fill="auto"/>
        <w:wordWrap w:val="0"/>
        <w:spacing w:line="360" w:lineRule="auto"/>
        <w:ind w:firstLine="480" w:firstLineChars="20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2.1.6法律、行政法规规定的其他条件：供应商在“中国执行信息公开网”网站未被列为失信被执行人名单，在“信用中国”网站未被列为政府采购严重违法失信行为记录名单、重大税收违法失信主体，在“中国政府采购网”未被列入政府采购严重违法失信行为记录(以开标当天由代理机构查询结果为准；</w:t>
      </w:r>
    </w:p>
    <w:p w14:paraId="1EC974EF">
      <w:pPr>
        <w:shd w:val="clear" w:color="auto" w:fill="auto"/>
        <w:wordWrap w:val="0"/>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2.2落实政府采购政策需满足的资格要求：本项目为非专门面向中小企业采购</w:t>
      </w:r>
      <w:r>
        <w:rPr>
          <w:rFonts w:hint="eastAsia" w:ascii="宋体" w:hAnsi="宋体" w:cs="宋体"/>
          <w:color w:val="000000"/>
          <w:sz w:val="24"/>
          <w:szCs w:val="24"/>
          <w:highlight w:val="none"/>
          <w:lang w:eastAsia="zh-CN"/>
        </w:rPr>
        <w:t>，但本项目针对小型和微型企业产品或残疾人福利性单位的价格给予10%的扣除，用扣除后的价格参与评审</w:t>
      </w:r>
      <w:r>
        <w:rPr>
          <w:rFonts w:hint="eastAsia" w:ascii="宋体" w:hAnsi="宋体" w:cs="宋体"/>
          <w:sz w:val="24"/>
        </w:rPr>
        <w:t>。</w:t>
      </w:r>
    </w:p>
    <w:p w14:paraId="634BBB8D">
      <w:pPr>
        <w:widowControl/>
        <w:spacing w:line="360" w:lineRule="auto"/>
        <w:ind w:firstLine="480" w:firstLineChars="200"/>
        <w:rPr>
          <w:rFonts w:hint="eastAsia" w:eastAsia="宋体"/>
          <w:color w:val="auto"/>
          <w:lang w:val="en-US" w:eastAsia="zh-CN"/>
        </w:rPr>
      </w:pPr>
      <w:r>
        <w:rPr>
          <w:rFonts w:hint="eastAsia" w:ascii="宋体" w:hAnsi="宋体" w:cs="宋体"/>
          <w:color w:val="000000"/>
          <w:sz w:val="24"/>
          <w:szCs w:val="24"/>
          <w:highlight w:val="none"/>
        </w:rPr>
        <w:t>2.3本项目的特定资格要求：</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）具备国家测绘主管部门颁发的乙级（含乙级）及以上测绘资质，并在有效期内</w:t>
      </w:r>
      <w:r>
        <w:rPr>
          <w:rFonts w:hint="eastAsia" w:ascii="宋体" w:hAnsi="宋体" w:cs="宋体"/>
          <w:color w:val="auto"/>
          <w:sz w:val="24"/>
          <w:szCs w:val="24"/>
          <w:highlight w:val="none"/>
        </w:rPr>
        <w:t>。</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）项目负责人：</w:t>
      </w:r>
      <w:r>
        <w:rPr>
          <w:rFonts w:hint="eastAsia" w:ascii="宋体" w:hAnsi="宋体"/>
          <w:color w:val="auto"/>
          <w:sz w:val="24"/>
          <w:szCs w:val="24"/>
          <w:highlight w:val="none"/>
          <w:lang w:eastAsia="zh-CN"/>
        </w:rPr>
        <w:t>项目负责人应具备测绘和地理信息相关专业中级及以上职称。拟派项目负责人不得更换（提供不更换承诺）</w:t>
      </w:r>
      <w:r>
        <w:rPr>
          <w:rFonts w:hint="eastAsia" w:ascii="宋体" w:hAnsi="宋体"/>
          <w:color w:val="auto"/>
          <w:sz w:val="24"/>
          <w:szCs w:val="24"/>
          <w:highlight w:val="none"/>
        </w:rPr>
        <w:t>。</w:t>
      </w:r>
    </w:p>
    <w:p w14:paraId="5EFD05AD">
      <w:pPr>
        <w:pStyle w:val="3"/>
        <w:keepNext w:val="0"/>
        <w:keepLines w:val="0"/>
        <w:shd w:val="clear" w:color="auto" w:fill="auto"/>
        <w:spacing w:before="0" w:after="0" w:line="360" w:lineRule="auto"/>
        <w:rPr>
          <w:rFonts w:hint="eastAsia" w:ascii="宋体" w:hAnsi="宋体" w:eastAsia="宋体" w:cs="宋体"/>
          <w:color w:val="000000"/>
          <w:sz w:val="28"/>
          <w:szCs w:val="28"/>
          <w:highlight w:val="none"/>
        </w:rPr>
      </w:pPr>
      <w:bookmarkStart w:id="29" w:name="_Toc9877"/>
      <w:r>
        <w:rPr>
          <w:rFonts w:hint="eastAsia" w:ascii="宋体" w:hAnsi="宋体" w:eastAsia="宋体" w:cs="宋体"/>
          <w:color w:val="000000"/>
          <w:sz w:val="28"/>
          <w:szCs w:val="28"/>
          <w:highlight w:val="none"/>
        </w:rPr>
        <w:t>三、获取招标文件</w:t>
      </w:r>
      <w:bookmarkEnd w:id="22"/>
      <w:bookmarkEnd w:id="23"/>
      <w:bookmarkEnd w:id="24"/>
      <w:bookmarkEnd w:id="25"/>
      <w:bookmarkEnd w:id="26"/>
      <w:bookmarkEnd w:id="27"/>
      <w:bookmarkEnd w:id="28"/>
      <w:bookmarkEnd w:id="29"/>
    </w:p>
    <w:p w14:paraId="4B98AE84">
      <w:pPr>
        <w:shd w:val="clear" w:color="auto" w:fill="auto"/>
        <w:spacing w:line="360" w:lineRule="auto"/>
        <w:ind w:firstLine="480" w:firstLineChars="200"/>
        <w:rPr>
          <w:rFonts w:hint="eastAsia" w:ascii="宋体" w:hAnsi="宋体" w:cs="宋体"/>
          <w:color w:val="000000"/>
          <w:sz w:val="24"/>
          <w:szCs w:val="24"/>
          <w:highlight w:val="none"/>
        </w:rPr>
      </w:pPr>
      <w:bookmarkStart w:id="30" w:name="_Toc28359005"/>
      <w:bookmarkStart w:id="31" w:name="_Toc28359082"/>
      <w:bookmarkStart w:id="32" w:name="_Toc35393793"/>
      <w:bookmarkStart w:id="33" w:name="_Toc35393624"/>
      <w:bookmarkStart w:id="34" w:name="_Toc8021"/>
      <w:bookmarkStart w:id="35" w:name="_Toc7098"/>
      <w:bookmarkStart w:id="36" w:name="_Toc11959"/>
      <w:bookmarkStart w:id="37" w:name="_Toc13581"/>
      <w:r>
        <w:rPr>
          <w:rFonts w:hint="eastAsia" w:ascii="宋体" w:hAnsi="宋体" w:cs="宋体"/>
          <w:color w:val="000000"/>
          <w:sz w:val="24"/>
          <w:szCs w:val="24"/>
          <w:highlight w:val="none"/>
        </w:rPr>
        <w:t>3.1时间：</w:t>
      </w:r>
      <w:r>
        <w:rPr>
          <w:rFonts w:hint="eastAsia" w:ascii="宋体" w:hAnsi="宋体" w:cs="宋体"/>
          <w:color w:val="000000"/>
          <w:sz w:val="24"/>
          <w:szCs w:val="24"/>
          <w:highlight w:val="none"/>
          <w:u w:val="single"/>
        </w:rPr>
        <w:t>202</w:t>
      </w:r>
      <w:r>
        <w:rPr>
          <w:rFonts w:hint="eastAsia" w:ascii="宋体" w:hAnsi="宋体" w:cs="宋体"/>
          <w:color w:val="000000"/>
          <w:sz w:val="24"/>
          <w:szCs w:val="24"/>
          <w:highlight w:val="none"/>
          <w:u w:val="single"/>
          <w:lang w:val="en-US" w:eastAsia="zh-CN"/>
        </w:rPr>
        <w:t>5</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lang w:val="en-US" w:eastAsia="zh-CN"/>
        </w:rPr>
        <w:t>05</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lang w:val="en-US" w:eastAsia="zh-CN"/>
        </w:rPr>
        <w:t>16</w:t>
      </w:r>
      <w:r>
        <w:rPr>
          <w:rFonts w:hint="eastAsia" w:ascii="宋体" w:hAnsi="宋体" w:cs="宋体"/>
          <w:color w:val="000000"/>
          <w:sz w:val="24"/>
          <w:szCs w:val="24"/>
          <w:highlight w:val="none"/>
        </w:rPr>
        <w:t>日至</w:t>
      </w:r>
      <w:r>
        <w:rPr>
          <w:rFonts w:hint="eastAsia" w:ascii="宋体" w:hAnsi="宋体" w:cs="宋体"/>
          <w:color w:val="000000"/>
          <w:sz w:val="24"/>
          <w:szCs w:val="24"/>
          <w:highlight w:val="none"/>
          <w:u w:val="single"/>
        </w:rPr>
        <w:t>202</w:t>
      </w:r>
      <w:r>
        <w:rPr>
          <w:rFonts w:hint="eastAsia" w:ascii="宋体" w:hAnsi="宋体" w:cs="宋体"/>
          <w:color w:val="000000"/>
          <w:sz w:val="24"/>
          <w:szCs w:val="24"/>
          <w:highlight w:val="none"/>
          <w:u w:val="single"/>
          <w:lang w:val="en-US" w:eastAsia="zh-CN"/>
        </w:rPr>
        <w:t>5</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lang w:val="en-US" w:eastAsia="zh-CN"/>
        </w:rPr>
        <w:t>05</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lang w:val="en-US" w:eastAsia="zh-CN"/>
        </w:rPr>
        <w:t>23</w:t>
      </w:r>
      <w:r>
        <w:rPr>
          <w:rFonts w:hint="eastAsia" w:ascii="宋体" w:hAnsi="宋体" w:cs="宋体"/>
          <w:color w:val="000000"/>
          <w:sz w:val="24"/>
          <w:szCs w:val="24"/>
          <w:highlight w:val="none"/>
        </w:rPr>
        <w:t>日。</w:t>
      </w:r>
    </w:p>
    <w:p w14:paraId="14C919A6">
      <w:pPr>
        <w:shd w:val="clear" w:color="auto" w:fill="auto"/>
        <w:wordWrap w:val="0"/>
        <w:spacing w:line="360" w:lineRule="auto"/>
        <w:ind w:left="479" w:leftChars="228"/>
        <w:rPr>
          <w:rFonts w:hint="eastAsia" w:ascii="宋体" w:hAnsi="宋体" w:cs="宋体"/>
          <w:color w:val="000000"/>
          <w:sz w:val="24"/>
          <w:szCs w:val="24"/>
          <w:highlight w:val="none"/>
        </w:rPr>
      </w:pPr>
      <w:r>
        <w:rPr>
          <w:rFonts w:hint="eastAsia" w:ascii="宋体" w:hAnsi="宋体" w:cs="宋体"/>
          <w:color w:val="000000"/>
          <w:sz w:val="24"/>
          <w:szCs w:val="24"/>
          <w:highlight w:val="none"/>
        </w:rPr>
        <w:t>3.2地点：</w:t>
      </w:r>
      <w:r>
        <w:rPr>
          <w:rFonts w:hint="eastAsia" w:ascii="宋体" w:hAnsi="宋体" w:cs="宋体"/>
          <w:color w:val="000000"/>
          <w:sz w:val="24"/>
          <w:szCs w:val="24"/>
          <w:highlight w:val="none"/>
          <w:lang w:eastAsia="zh-CN"/>
        </w:rPr>
        <w:t>“政采云”平台（网址：http：//www.zcygov.cn）</w:t>
      </w:r>
      <w:r>
        <w:rPr>
          <w:rFonts w:hint="eastAsia" w:ascii="宋体" w:hAnsi="宋体" w:cs="宋体"/>
          <w:color w:val="000000"/>
          <w:sz w:val="24"/>
          <w:szCs w:val="24"/>
          <w:highlight w:val="none"/>
        </w:rPr>
        <w:t>。</w:t>
      </w:r>
    </w:p>
    <w:p w14:paraId="4CB8C33E">
      <w:pPr>
        <w:shd w:val="clear" w:color="auto" w:fill="auto"/>
        <w:spacing w:line="360" w:lineRule="auto"/>
        <w:ind w:left="479" w:leftChars="228"/>
        <w:rPr>
          <w:rFonts w:hint="eastAsia" w:ascii="宋体" w:hAnsi="宋体" w:cs="宋体"/>
          <w:color w:val="000000"/>
          <w:sz w:val="24"/>
          <w:szCs w:val="24"/>
          <w:highlight w:val="none"/>
        </w:rPr>
      </w:pPr>
      <w:r>
        <w:rPr>
          <w:rFonts w:hint="eastAsia" w:ascii="宋体" w:hAnsi="宋体" w:cs="宋体"/>
          <w:color w:val="000000"/>
          <w:sz w:val="24"/>
          <w:szCs w:val="24"/>
          <w:highlight w:val="none"/>
        </w:rPr>
        <w:t>3.3方式：网上获取。</w:t>
      </w:r>
    </w:p>
    <w:p w14:paraId="4F5AE75C">
      <w:pPr>
        <w:shd w:val="clear" w:color="auto" w:fill="auto"/>
        <w:spacing w:line="360" w:lineRule="auto"/>
        <w:ind w:firstLine="480" w:firstLineChars="200"/>
        <w:rPr>
          <w:rFonts w:ascii="宋体" w:hAnsi="宋体" w:cs="宋体"/>
          <w:color w:val="000000"/>
          <w:sz w:val="24"/>
          <w:szCs w:val="24"/>
          <w:highlight w:val="none"/>
        </w:rPr>
      </w:pPr>
      <w:r>
        <w:rPr>
          <w:rFonts w:hint="eastAsia" w:ascii="宋体" w:hAnsi="宋体" w:cs="宋体"/>
          <w:color w:val="000000"/>
          <w:sz w:val="24"/>
          <w:szCs w:val="24"/>
          <w:highlight w:val="none"/>
        </w:rPr>
        <w:t>3.4售价（元）：0。</w:t>
      </w:r>
    </w:p>
    <w:p w14:paraId="076DB839">
      <w:pPr>
        <w:pStyle w:val="3"/>
        <w:keepNext w:val="0"/>
        <w:keepLines w:val="0"/>
        <w:shd w:val="clear" w:color="auto" w:fill="auto"/>
        <w:spacing w:before="0" w:after="0" w:line="360" w:lineRule="auto"/>
        <w:rPr>
          <w:rFonts w:hint="eastAsia" w:ascii="宋体" w:hAnsi="宋体" w:eastAsia="宋体" w:cs="宋体"/>
          <w:color w:val="000000"/>
          <w:sz w:val="28"/>
          <w:szCs w:val="28"/>
          <w:highlight w:val="none"/>
        </w:rPr>
      </w:pPr>
      <w:bookmarkStart w:id="38" w:name="_Toc24877"/>
      <w:r>
        <w:rPr>
          <w:rFonts w:hint="eastAsia" w:ascii="宋体" w:hAnsi="宋体" w:eastAsia="宋体" w:cs="宋体"/>
          <w:color w:val="000000"/>
          <w:sz w:val="28"/>
          <w:szCs w:val="28"/>
          <w:highlight w:val="none"/>
        </w:rPr>
        <w:t>四、提交投标文件</w:t>
      </w:r>
      <w:bookmarkEnd w:id="30"/>
      <w:bookmarkEnd w:id="31"/>
      <w:r>
        <w:rPr>
          <w:rFonts w:hint="eastAsia" w:ascii="宋体" w:hAnsi="宋体" w:eastAsia="宋体" w:cs="宋体"/>
          <w:color w:val="000000"/>
          <w:sz w:val="28"/>
          <w:szCs w:val="28"/>
          <w:highlight w:val="none"/>
        </w:rPr>
        <w:t>截止时间、开标时间和地点</w:t>
      </w:r>
      <w:bookmarkEnd w:id="32"/>
      <w:bookmarkEnd w:id="33"/>
      <w:bookmarkEnd w:id="34"/>
      <w:bookmarkEnd w:id="35"/>
      <w:bookmarkEnd w:id="36"/>
      <w:bookmarkEnd w:id="37"/>
      <w:bookmarkEnd w:id="38"/>
    </w:p>
    <w:p w14:paraId="4209747C">
      <w:pPr>
        <w:shd w:val="clear" w:color="auto" w:fill="auto"/>
        <w:spacing w:line="360" w:lineRule="auto"/>
        <w:ind w:firstLine="480" w:firstLineChars="200"/>
        <w:rPr>
          <w:rFonts w:ascii="宋体" w:hAnsi="宋体" w:cs="宋体"/>
          <w:color w:val="000000"/>
          <w:sz w:val="24"/>
          <w:szCs w:val="24"/>
          <w:highlight w:val="none"/>
        </w:rPr>
      </w:pPr>
      <w:bookmarkStart w:id="39" w:name="_Toc28359007"/>
      <w:bookmarkStart w:id="40" w:name="_Toc19027"/>
      <w:bookmarkStart w:id="41" w:name="_Toc23944"/>
      <w:bookmarkStart w:id="42" w:name="_Toc35393625"/>
      <w:bookmarkStart w:id="43" w:name="_Toc35393794"/>
      <w:bookmarkStart w:id="44" w:name="_Toc28359084"/>
      <w:r>
        <w:rPr>
          <w:rFonts w:hint="eastAsia" w:ascii="宋体" w:hAnsi="宋体" w:cs="宋体"/>
          <w:color w:val="000000"/>
          <w:sz w:val="24"/>
          <w:szCs w:val="24"/>
          <w:highlight w:val="none"/>
        </w:rPr>
        <w:t xml:space="preserve">4.1 </w:t>
      </w:r>
      <w:r>
        <w:rPr>
          <w:rFonts w:hint="eastAsia" w:ascii="宋体" w:hAnsi="宋体" w:cs="宋体"/>
          <w:color w:val="000000"/>
          <w:sz w:val="24"/>
          <w:szCs w:val="24"/>
          <w:highlight w:val="none"/>
          <w:u w:val="single"/>
        </w:rPr>
        <w:t>202</w:t>
      </w:r>
      <w:r>
        <w:rPr>
          <w:rFonts w:hint="eastAsia" w:ascii="宋体" w:hAnsi="宋体" w:cs="宋体"/>
          <w:color w:val="000000"/>
          <w:sz w:val="24"/>
          <w:szCs w:val="24"/>
          <w:highlight w:val="none"/>
          <w:u w:val="single"/>
          <w:lang w:val="en-US" w:eastAsia="zh-CN"/>
        </w:rPr>
        <w:t>5</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lang w:val="en-US" w:eastAsia="zh-CN"/>
        </w:rPr>
        <w:t>06</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lang w:val="en-US" w:eastAsia="zh-CN"/>
        </w:rPr>
        <w:t>06</w:t>
      </w:r>
      <w:r>
        <w:rPr>
          <w:rFonts w:hint="eastAsia" w:ascii="宋体" w:hAnsi="宋体" w:cs="宋体"/>
          <w:color w:val="000000"/>
          <w:sz w:val="24"/>
          <w:szCs w:val="24"/>
          <w:highlight w:val="none"/>
        </w:rPr>
        <w:t>日</w:t>
      </w:r>
      <w:r>
        <w:rPr>
          <w:rFonts w:hint="eastAsia" w:ascii="宋体" w:hAnsi="宋体" w:cs="宋体"/>
          <w:color w:val="000000"/>
          <w:sz w:val="24"/>
          <w:szCs w:val="24"/>
          <w:highlight w:val="none"/>
          <w:u w:val="single"/>
          <w:lang w:val="en-US" w:eastAsia="zh-CN"/>
        </w:rPr>
        <w:t>09</w:t>
      </w:r>
      <w:r>
        <w:rPr>
          <w:rFonts w:hint="eastAsia" w:ascii="宋体" w:hAnsi="宋体" w:cs="宋体"/>
          <w:color w:val="000000"/>
          <w:sz w:val="24"/>
          <w:szCs w:val="24"/>
          <w:highlight w:val="none"/>
        </w:rPr>
        <w:t>时</w:t>
      </w:r>
      <w:r>
        <w:rPr>
          <w:rFonts w:hint="eastAsia" w:ascii="宋体" w:hAnsi="宋体" w:cs="宋体"/>
          <w:color w:val="000000"/>
          <w:sz w:val="24"/>
          <w:szCs w:val="24"/>
          <w:highlight w:val="none"/>
          <w:u w:val="single"/>
          <w:lang w:val="en-US" w:eastAsia="zh-CN"/>
        </w:rPr>
        <w:t>30</w:t>
      </w:r>
      <w:r>
        <w:rPr>
          <w:rFonts w:hint="eastAsia" w:ascii="宋体" w:hAnsi="宋体" w:cs="宋体"/>
          <w:color w:val="000000"/>
          <w:sz w:val="24"/>
          <w:szCs w:val="24"/>
          <w:highlight w:val="none"/>
        </w:rPr>
        <w:t>分（北京时间）。</w:t>
      </w:r>
    </w:p>
    <w:p w14:paraId="0343D6D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4.2地点：</w:t>
      </w:r>
      <w:r>
        <w:rPr>
          <w:rFonts w:hint="eastAsia" w:ascii="宋体" w:hAnsi="宋体" w:cs="宋体"/>
          <w:sz w:val="24"/>
          <w:lang w:val="en-US" w:eastAsia="zh-CN"/>
        </w:rPr>
        <w:t>投标人</w:t>
      </w:r>
      <w:r>
        <w:rPr>
          <w:rFonts w:hint="eastAsia" w:ascii="宋体" w:hAnsi="宋体" w:cs="宋体"/>
          <w:sz w:val="24"/>
          <w:lang w:eastAsia="zh-CN"/>
        </w:rPr>
        <w:t>应按照本项目采购文件和"政采云"平台的要求编制、加密后在</w:t>
      </w:r>
      <w:r>
        <w:rPr>
          <w:rFonts w:hint="eastAsia" w:ascii="宋体" w:hAnsi="宋体" w:cs="宋体"/>
          <w:sz w:val="24"/>
          <w:lang w:val="en-US" w:eastAsia="zh-CN"/>
        </w:rPr>
        <w:t>投标</w:t>
      </w:r>
      <w:r>
        <w:rPr>
          <w:rFonts w:hint="eastAsia" w:ascii="宋体" w:hAnsi="宋体" w:cs="宋体"/>
          <w:sz w:val="24"/>
          <w:lang w:eastAsia="zh-CN"/>
        </w:rPr>
        <w:t>文件提交截止时间前上传至"政采云"平台，</w:t>
      </w:r>
      <w:r>
        <w:rPr>
          <w:rFonts w:hint="eastAsia" w:ascii="宋体" w:hAnsi="宋体" w:cs="宋体"/>
          <w:sz w:val="24"/>
          <w:lang w:val="en-US" w:eastAsia="zh-CN"/>
        </w:rPr>
        <w:t>投标</w:t>
      </w:r>
      <w:r>
        <w:rPr>
          <w:rFonts w:hint="eastAsia" w:ascii="宋体" w:hAnsi="宋体" w:cs="宋体"/>
          <w:sz w:val="24"/>
          <w:lang w:eastAsia="zh-CN"/>
        </w:rPr>
        <w:t>文件提交截止时间前未完成</w:t>
      </w:r>
      <w:r>
        <w:rPr>
          <w:rFonts w:hint="eastAsia" w:ascii="宋体" w:hAnsi="宋体" w:cs="宋体"/>
          <w:sz w:val="24"/>
          <w:lang w:val="en-US" w:eastAsia="zh-CN"/>
        </w:rPr>
        <w:t>投标</w:t>
      </w:r>
      <w:r>
        <w:rPr>
          <w:rFonts w:hint="eastAsia" w:ascii="宋体" w:hAnsi="宋体" w:cs="宋体"/>
          <w:sz w:val="24"/>
          <w:lang w:eastAsia="zh-CN"/>
        </w:rPr>
        <w:t>文件上传的，视为撤回投标文件。</w:t>
      </w:r>
      <w:r>
        <w:rPr>
          <w:rFonts w:hint="eastAsia" w:ascii="宋体" w:hAnsi="宋体" w:cs="宋体"/>
          <w:sz w:val="24"/>
          <w:lang w:val="en-US" w:eastAsia="zh-CN"/>
        </w:rPr>
        <w:t>投标</w:t>
      </w:r>
      <w:r>
        <w:rPr>
          <w:rFonts w:hint="eastAsia" w:ascii="宋体" w:hAnsi="宋体" w:cs="宋体"/>
          <w:sz w:val="24"/>
          <w:lang w:eastAsia="zh-CN"/>
        </w:rPr>
        <w:t>人在"政采云"平台提交电子版</w:t>
      </w:r>
      <w:r>
        <w:rPr>
          <w:rFonts w:hint="eastAsia" w:ascii="宋体" w:hAnsi="宋体" w:cs="宋体"/>
          <w:sz w:val="24"/>
          <w:lang w:val="en-US" w:eastAsia="zh-CN"/>
        </w:rPr>
        <w:t>投标</w:t>
      </w:r>
      <w:r>
        <w:rPr>
          <w:rFonts w:hint="eastAsia" w:ascii="宋体" w:hAnsi="宋体" w:cs="宋体"/>
          <w:sz w:val="24"/>
          <w:lang w:eastAsia="zh-CN"/>
        </w:rPr>
        <w:t>文件时，请填写参加远程采购活动经办</w:t>
      </w:r>
      <w:r>
        <w:rPr>
          <w:rFonts w:hint="eastAsia" w:ascii="宋体" w:hAnsi="宋体" w:cs="宋体"/>
          <w:color w:val="000000"/>
          <w:sz w:val="24"/>
          <w:szCs w:val="24"/>
          <w:highlight w:val="none"/>
        </w:rPr>
        <w:t>。</w:t>
      </w:r>
    </w:p>
    <w:p w14:paraId="5E49E35D">
      <w:pPr>
        <w:pStyle w:val="3"/>
        <w:keepNext w:val="0"/>
        <w:keepLines w:val="0"/>
        <w:shd w:val="clear" w:color="auto" w:fill="auto"/>
        <w:spacing w:before="0" w:after="0" w:line="360" w:lineRule="auto"/>
        <w:rPr>
          <w:rFonts w:hint="eastAsia" w:ascii="宋体" w:hAnsi="宋体" w:eastAsia="宋体" w:cs="宋体"/>
          <w:color w:val="000000"/>
          <w:sz w:val="28"/>
          <w:szCs w:val="28"/>
          <w:highlight w:val="none"/>
        </w:rPr>
      </w:pPr>
      <w:bookmarkStart w:id="45" w:name="_Toc11387"/>
      <w:bookmarkStart w:id="46" w:name="_Toc15991"/>
      <w:bookmarkStart w:id="47" w:name="_Toc30089"/>
      <w:r>
        <w:rPr>
          <w:rFonts w:hint="eastAsia" w:ascii="宋体" w:hAnsi="宋体" w:eastAsia="宋体" w:cs="宋体"/>
          <w:color w:val="000000"/>
          <w:sz w:val="28"/>
          <w:szCs w:val="28"/>
          <w:highlight w:val="none"/>
        </w:rPr>
        <w:t>五、公告期限</w:t>
      </w:r>
      <w:bookmarkEnd w:id="39"/>
      <w:bookmarkEnd w:id="40"/>
      <w:bookmarkEnd w:id="41"/>
      <w:bookmarkEnd w:id="42"/>
      <w:bookmarkEnd w:id="43"/>
      <w:bookmarkEnd w:id="44"/>
      <w:bookmarkEnd w:id="45"/>
      <w:bookmarkEnd w:id="46"/>
      <w:bookmarkEnd w:id="47"/>
    </w:p>
    <w:p w14:paraId="5BA5E5AA">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自本公告发布之日起5个工作日。</w:t>
      </w:r>
    </w:p>
    <w:p w14:paraId="2359EA5E">
      <w:pPr>
        <w:pStyle w:val="3"/>
        <w:keepNext w:val="0"/>
        <w:keepLines w:val="0"/>
        <w:shd w:val="clear" w:color="auto" w:fill="auto"/>
        <w:spacing w:before="0" w:after="0" w:line="360" w:lineRule="auto"/>
        <w:rPr>
          <w:rFonts w:hint="eastAsia" w:ascii="宋体" w:hAnsi="宋体" w:eastAsia="宋体" w:cs="宋体"/>
          <w:color w:val="000000"/>
          <w:sz w:val="28"/>
          <w:szCs w:val="28"/>
          <w:highlight w:val="none"/>
        </w:rPr>
      </w:pPr>
      <w:bookmarkStart w:id="48" w:name="_Toc13047"/>
      <w:bookmarkStart w:id="49" w:name="_Toc35393795"/>
      <w:bookmarkStart w:id="50" w:name="_Toc35393626"/>
      <w:bookmarkStart w:id="51" w:name="_Toc7948"/>
      <w:bookmarkStart w:id="52" w:name="_Toc811"/>
      <w:bookmarkStart w:id="53" w:name="_Toc9128"/>
      <w:bookmarkStart w:id="54" w:name="_Toc32"/>
      <w:r>
        <w:rPr>
          <w:rFonts w:hint="eastAsia" w:ascii="宋体" w:hAnsi="宋体" w:eastAsia="宋体" w:cs="宋体"/>
          <w:color w:val="000000"/>
          <w:sz w:val="28"/>
          <w:szCs w:val="28"/>
          <w:highlight w:val="none"/>
        </w:rPr>
        <w:t>六、其他补充事宜</w:t>
      </w:r>
      <w:bookmarkEnd w:id="48"/>
      <w:bookmarkEnd w:id="49"/>
      <w:bookmarkEnd w:id="50"/>
      <w:bookmarkEnd w:id="51"/>
      <w:bookmarkEnd w:id="52"/>
      <w:bookmarkEnd w:id="53"/>
      <w:bookmarkEnd w:id="54"/>
    </w:p>
    <w:p w14:paraId="75812D47">
      <w:pPr>
        <w:spacing w:line="360" w:lineRule="auto"/>
        <w:ind w:firstLine="360" w:firstLineChars="150"/>
        <w:rPr>
          <w:rFonts w:hint="eastAsia" w:ascii="宋体" w:hAnsi="宋体" w:cs="宋体"/>
          <w:sz w:val="24"/>
          <w:lang w:val="en-US" w:eastAsia="zh-CN"/>
        </w:rPr>
      </w:pPr>
      <w:bookmarkStart w:id="55" w:name="_Toc28359085"/>
      <w:bookmarkStart w:id="56" w:name="_Toc28359008"/>
      <w:bookmarkStart w:id="57" w:name="_Toc1401"/>
      <w:bookmarkStart w:id="58" w:name="_Toc16561"/>
      <w:bookmarkStart w:id="59" w:name="_Toc35393627"/>
      <w:bookmarkStart w:id="60" w:name="_Toc35393796"/>
      <w:bookmarkStart w:id="61" w:name="_Toc23360"/>
      <w:bookmarkStart w:id="62" w:name="_Toc17892"/>
      <w:bookmarkStart w:id="63" w:name="_Toc30298"/>
      <w:r>
        <w:rPr>
          <w:rFonts w:hint="eastAsia" w:ascii="宋体" w:hAnsi="宋体" w:cs="宋体"/>
          <w:sz w:val="24"/>
          <w:lang w:val="en-US" w:eastAsia="zh-CN"/>
        </w:rPr>
        <w:t>1.凡有意参加投标者，须在政采云平台办理数字证书（CA），CA申领链接：https://middle.zcygov.cn/ca/apply/list?_app_=zcy.sys，并在政采云绑定数字证书（CA）后在网上获取采购文件及其它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w:t>
      </w:r>
    </w:p>
    <w:p w14:paraId="2C3DA59E">
      <w:pPr>
        <w:spacing w:line="360" w:lineRule="auto"/>
        <w:ind w:firstLine="360" w:firstLineChars="150"/>
        <w:rPr>
          <w:rFonts w:hint="eastAsia" w:ascii="宋体" w:hAnsi="宋体" w:cs="宋体"/>
          <w:sz w:val="24"/>
          <w:lang w:val="en-US" w:eastAsia="zh-CN"/>
        </w:rPr>
      </w:pPr>
      <w:r>
        <w:rPr>
          <w:rFonts w:hint="eastAsia" w:ascii="宋体" w:hAnsi="宋体" w:cs="宋体"/>
          <w:sz w:val="24"/>
          <w:lang w:val="en-US" w:eastAsia="zh-CN"/>
        </w:rPr>
        <w:t>2.按上述要求获取文件的投标人视为合法获取了本项目采购文件，具备本项目的投标资格。</w:t>
      </w:r>
    </w:p>
    <w:p w14:paraId="4D9757D3">
      <w:pPr>
        <w:spacing w:line="360" w:lineRule="auto"/>
        <w:ind w:firstLine="361" w:firstLineChars="150"/>
        <w:rPr>
          <w:rFonts w:hint="eastAsia" w:ascii="宋体" w:hAnsi="宋体" w:cs="宋体"/>
          <w:sz w:val="24"/>
          <w:lang w:val="en-US" w:eastAsia="zh-CN"/>
        </w:rPr>
      </w:pPr>
      <w:r>
        <w:rPr>
          <w:rFonts w:hint="eastAsia" w:ascii="宋体" w:hAnsi="宋体" w:cs="宋体"/>
          <w:b/>
          <w:bCs/>
          <w:sz w:val="24"/>
          <w:lang w:val="en-US" w:eastAsia="zh-CN"/>
        </w:rPr>
        <w:t>注：参照“财政部印发《关于促进政府采购公平竞争优化营商环境的通知》第四条加快推进电子化政府采购”推进采购项目电子化实施。要加快完善电子化政府采购平台的网上交易功能，实现在线发布采购公告、提供采购文件、提交投标（响应）文件，实行电子开标、电子评审。</w:t>
      </w:r>
    </w:p>
    <w:p w14:paraId="42B852A2">
      <w:pPr>
        <w:pStyle w:val="3"/>
        <w:keepNext w:val="0"/>
        <w:keepLines w:val="0"/>
        <w:shd w:val="clear" w:color="auto" w:fill="auto"/>
        <w:spacing w:before="0" w:after="0"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七、对本次招标提出询问，请按以下方式联系</w:t>
      </w:r>
      <w:bookmarkEnd w:id="55"/>
      <w:bookmarkEnd w:id="56"/>
      <w:bookmarkEnd w:id="57"/>
      <w:bookmarkEnd w:id="58"/>
      <w:bookmarkEnd w:id="59"/>
      <w:bookmarkEnd w:id="60"/>
      <w:bookmarkEnd w:id="61"/>
      <w:bookmarkEnd w:id="62"/>
      <w:bookmarkEnd w:id="63"/>
    </w:p>
    <w:p w14:paraId="550CD2B2">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1.采购人信息</w:t>
      </w:r>
    </w:p>
    <w:p w14:paraId="4BC46115">
      <w:pPr>
        <w:shd w:val="clear" w:color="auto" w:fill="auto"/>
        <w:spacing w:line="360" w:lineRule="auto"/>
        <w:ind w:firstLine="480" w:firstLineChars="200"/>
        <w:rPr>
          <w:rFonts w:hint="eastAsia" w:ascii="宋体" w:hAnsi="宋体" w:eastAsia="宋体" w:cs="宋体"/>
          <w:color w:val="000000"/>
          <w:sz w:val="24"/>
          <w:szCs w:val="24"/>
          <w:highlight w:val="none"/>
          <w:lang w:eastAsia="zh-CN"/>
        </w:rPr>
      </w:pPr>
      <w:bookmarkStart w:id="64" w:name="_Toc28359009"/>
      <w:bookmarkStart w:id="65" w:name="_Toc28359086"/>
      <w:r>
        <w:rPr>
          <w:rFonts w:hint="eastAsia" w:ascii="宋体" w:hAnsi="宋体" w:cs="宋体"/>
          <w:color w:val="000000"/>
          <w:sz w:val="24"/>
          <w:szCs w:val="24"/>
          <w:highlight w:val="none"/>
        </w:rPr>
        <w:t>名 称：</w:t>
      </w:r>
      <w:r>
        <w:rPr>
          <w:rFonts w:hint="eastAsia" w:ascii="宋体" w:hAnsi="宋体" w:cs="宋体"/>
          <w:color w:val="000000"/>
          <w:sz w:val="24"/>
          <w:szCs w:val="24"/>
          <w:highlight w:val="none"/>
          <w:lang w:eastAsia="zh-CN"/>
        </w:rPr>
        <w:t>宜良县自然资源局</w:t>
      </w:r>
    </w:p>
    <w:p w14:paraId="34524F0F">
      <w:pPr>
        <w:shd w:val="clear" w:color="auto" w:fill="auto"/>
        <w:spacing w:line="360" w:lineRule="auto"/>
        <w:ind w:firstLine="480" w:firstLineChars="20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地址：</w:t>
      </w:r>
      <w:r>
        <w:rPr>
          <w:rFonts w:hint="eastAsia" w:ascii="宋体" w:hAnsi="宋体" w:cs="宋体"/>
          <w:color w:val="000000"/>
          <w:sz w:val="24"/>
          <w:szCs w:val="24"/>
          <w:highlight w:val="none"/>
          <w:lang w:val="en-US" w:eastAsia="zh-CN"/>
        </w:rPr>
        <w:t>宜良县匡远街道温泉路公务楼11楼</w:t>
      </w:r>
    </w:p>
    <w:p w14:paraId="17BBA7F7">
      <w:pPr>
        <w:shd w:val="clear" w:color="auto" w:fill="auto"/>
        <w:spacing w:line="360" w:lineRule="auto"/>
        <w:ind w:firstLine="480" w:firstLineChars="20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联系人：</w:t>
      </w:r>
      <w:r>
        <w:rPr>
          <w:rFonts w:hint="eastAsia" w:ascii="宋体" w:hAnsi="宋体" w:cs="宋体"/>
          <w:color w:val="000000"/>
          <w:sz w:val="24"/>
          <w:szCs w:val="24"/>
          <w:highlight w:val="none"/>
          <w:lang w:val="en-US" w:eastAsia="zh-CN"/>
        </w:rPr>
        <w:t>沈银珠</w:t>
      </w:r>
    </w:p>
    <w:p w14:paraId="264C5ED1">
      <w:pPr>
        <w:shd w:val="clear" w:color="auto" w:fill="auto"/>
        <w:spacing w:line="360" w:lineRule="auto"/>
        <w:ind w:firstLine="480" w:firstLineChars="200"/>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联系电话：</w:t>
      </w:r>
      <w:r>
        <w:rPr>
          <w:rFonts w:hint="eastAsia" w:ascii="宋体" w:hAnsi="宋体" w:cs="宋体"/>
          <w:color w:val="000000"/>
          <w:sz w:val="24"/>
          <w:szCs w:val="24"/>
          <w:highlight w:val="none"/>
          <w:lang w:val="en-US" w:eastAsia="zh-CN"/>
        </w:rPr>
        <w:t>0871-67524315</w:t>
      </w:r>
    </w:p>
    <w:p w14:paraId="4D701F6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2.采购代理机构信息</w:t>
      </w:r>
      <w:bookmarkEnd w:id="64"/>
      <w:bookmarkEnd w:id="65"/>
    </w:p>
    <w:p w14:paraId="402FB166">
      <w:pPr>
        <w:shd w:val="clear" w:color="auto" w:fill="auto"/>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名 称：</w:t>
      </w:r>
      <w:r>
        <w:rPr>
          <w:rFonts w:hint="eastAsia" w:ascii="宋体" w:hAnsi="宋体" w:cs="宋体"/>
          <w:color w:val="000000"/>
          <w:sz w:val="24"/>
          <w:szCs w:val="24"/>
          <w:highlight w:val="none"/>
          <w:lang w:eastAsia="zh-CN"/>
        </w:rPr>
        <w:t>云南天平工程项目管理有限公司</w:t>
      </w:r>
    </w:p>
    <w:p w14:paraId="7E9632F1">
      <w:pPr>
        <w:shd w:val="clear" w:color="auto" w:fill="auto"/>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地　址：</w:t>
      </w:r>
      <w:r>
        <w:rPr>
          <w:rFonts w:hint="eastAsia" w:ascii="宋体" w:hAnsi="宋体" w:cs="宋体"/>
          <w:color w:val="000000"/>
          <w:sz w:val="24"/>
          <w:szCs w:val="24"/>
          <w:highlight w:val="none"/>
          <w:lang w:eastAsia="zh-CN"/>
        </w:rPr>
        <w:t>昆明市五华区西城时代A座21楼</w:t>
      </w:r>
    </w:p>
    <w:p w14:paraId="0FA6E740">
      <w:pPr>
        <w:shd w:val="clear" w:color="auto" w:fill="auto"/>
        <w:spacing w:line="360" w:lineRule="auto"/>
        <w:ind w:firstLine="480" w:firstLineChars="200"/>
        <w:rPr>
          <w:rFonts w:hint="default" w:ascii="宋体" w:hAnsi="宋体" w:eastAsia="宋体" w:cs="宋体"/>
          <w:color w:val="000000"/>
          <w:sz w:val="24"/>
          <w:szCs w:val="24"/>
          <w:highlight w:val="none"/>
          <w:lang w:val="en-US" w:eastAsia="zh-CN"/>
        </w:rPr>
      </w:pPr>
      <w:bookmarkStart w:id="66" w:name="_Toc28359087"/>
      <w:bookmarkStart w:id="67" w:name="_Toc28359010"/>
      <w:r>
        <w:rPr>
          <w:rFonts w:hint="eastAsia" w:ascii="宋体" w:hAnsi="宋体" w:cs="宋体"/>
          <w:color w:val="000000"/>
          <w:sz w:val="24"/>
          <w:szCs w:val="24"/>
          <w:highlight w:val="none"/>
        </w:rPr>
        <w:t>联系方式：</w:t>
      </w:r>
      <w:r>
        <w:rPr>
          <w:rFonts w:hint="eastAsia" w:ascii="宋体" w:hAnsi="宋体" w:cs="宋体"/>
          <w:color w:val="000000"/>
          <w:sz w:val="24"/>
          <w:szCs w:val="24"/>
          <w:highlight w:val="none"/>
          <w:lang w:val="en-US" w:eastAsia="zh-CN"/>
        </w:rPr>
        <w:t>18687310100</w:t>
      </w:r>
    </w:p>
    <w:p w14:paraId="634D2D3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3.项目联系方式</w:t>
      </w:r>
      <w:bookmarkEnd w:id="66"/>
      <w:bookmarkEnd w:id="67"/>
    </w:p>
    <w:p w14:paraId="5B06EAD4">
      <w:pPr>
        <w:shd w:val="clear" w:color="auto" w:fill="auto"/>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项目联系人：</w:t>
      </w:r>
      <w:r>
        <w:rPr>
          <w:rFonts w:hint="eastAsia" w:ascii="宋体" w:hAnsi="宋体" w:cs="宋体"/>
          <w:color w:val="000000"/>
          <w:sz w:val="24"/>
          <w:szCs w:val="24"/>
          <w:highlight w:val="none"/>
          <w:lang w:val="en-US" w:eastAsia="zh-CN"/>
        </w:rPr>
        <w:t>招晓</w:t>
      </w:r>
      <w:r>
        <w:rPr>
          <w:rFonts w:hint="eastAsia" w:ascii="宋体" w:hAnsi="宋体" w:cs="宋体"/>
          <w:color w:val="000000"/>
          <w:sz w:val="24"/>
          <w:szCs w:val="24"/>
          <w:highlight w:val="none"/>
          <w:lang w:eastAsia="zh-CN"/>
        </w:rPr>
        <w:t>婷</w:t>
      </w:r>
    </w:p>
    <w:p w14:paraId="6ACDA62D">
      <w:pPr>
        <w:shd w:val="clear" w:color="auto" w:fill="auto"/>
        <w:spacing w:line="360" w:lineRule="auto"/>
        <w:ind w:firstLine="480" w:firstLineChars="200"/>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电　话：</w:t>
      </w:r>
      <w:r>
        <w:rPr>
          <w:rFonts w:hint="eastAsia" w:ascii="宋体" w:hAnsi="宋体" w:cs="宋体"/>
          <w:color w:val="000000"/>
          <w:sz w:val="24"/>
          <w:szCs w:val="24"/>
          <w:highlight w:val="none"/>
          <w:lang w:val="en-US" w:eastAsia="zh-CN"/>
        </w:rPr>
        <w:t>18687310100</w:t>
      </w:r>
    </w:p>
    <w:p w14:paraId="75362FAD">
      <w:pPr>
        <w:shd w:val="clear" w:color="auto" w:fill="auto"/>
        <w:spacing w:line="360" w:lineRule="auto"/>
        <w:ind w:firstLine="480" w:firstLineChars="200"/>
        <w:rPr>
          <w:rFonts w:hint="eastAsia" w:ascii="宋体" w:hAnsi="宋体" w:cs="宋体"/>
          <w:color w:val="000000"/>
          <w:sz w:val="24"/>
          <w:szCs w:val="24"/>
          <w:highlight w:val="none"/>
          <w:lang w:val="en-US" w:eastAsia="zh-CN"/>
        </w:rPr>
      </w:pPr>
    </w:p>
    <w:p w14:paraId="128F2D2B">
      <w:pPr>
        <w:shd w:val="clear" w:color="auto" w:fill="auto"/>
        <w:spacing w:line="360" w:lineRule="auto"/>
        <w:ind w:firstLine="480" w:firstLineChars="200"/>
        <w:rPr>
          <w:rFonts w:hint="eastAsia" w:ascii="宋体" w:hAnsi="宋体" w:cs="宋体"/>
          <w:color w:val="000000"/>
          <w:sz w:val="24"/>
          <w:szCs w:val="24"/>
          <w:highlight w:val="none"/>
          <w:lang w:val="en-US" w:eastAsia="zh-CN"/>
        </w:rPr>
      </w:pPr>
    </w:p>
    <w:p w14:paraId="37955AE5">
      <w:pPr>
        <w:shd w:val="clear" w:color="auto" w:fill="auto"/>
        <w:spacing w:line="360" w:lineRule="auto"/>
        <w:ind w:firstLine="480" w:firstLineChars="200"/>
        <w:rPr>
          <w:rFonts w:hint="eastAsia" w:ascii="宋体" w:hAnsi="宋体" w:cs="宋体"/>
          <w:color w:val="000000"/>
          <w:sz w:val="24"/>
          <w:szCs w:val="24"/>
          <w:highlight w:val="none"/>
          <w:lang w:val="en-US" w:eastAsia="zh-CN"/>
        </w:rPr>
      </w:pPr>
    </w:p>
    <w:p w14:paraId="79D7B0B3">
      <w:pPr>
        <w:shd w:val="clear" w:color="auto" w:fill="auto"/>
        <w:spacing w:line="360" w:lineRule="auto"/>
        <w:ind w:firstLine="480" w:firstLineChars="200"/>
        <w:rPr>
          <w:rFonts w:hint="eastAsia" w:ascii="宋体" w:hAnsi="宋体" w:cs="宋体"/>
          <w:color w:val="000000"/>
          <w:sz w:val="24"/>
          <w:szCs w:val="24"/>
          <w:highlight w:val="none"/>
          <w:lang w:val="en-US" w:eastAsia="zh-CN"/>
        </w:rPr>
      </w:pPr>
    </w:p>
    <w:p w14:paraId="443AE39F">
      <w:pPr>
        <w:shd w:val="clear" w:color="auto" w:fill="auto"/>
        <w:spacing w:line="360" w:lineRule="auto"/>
        <w:ind w:firstLine="480" w:firstLineChars="200"/>
        <w:rPr>
          <w:rFonts w:hint="eastAsia" w:ascii="宋体" w:hAnsi="宋体" w:cs="宋体"/>
          <w:color w:val="000000"/>
          <w:sz w:val="24"/>
          <w:szCs w:val="24"/>
          <w:highlight w:val="none"/>
          <w:lang w:val="en-US" w:eastAsia="zh-CN"/>
        </w:rPr>
      </w:pPr>
    </w:p>
    <w:p w14:paraId="225C45DE">
      <w:pPr>
        <w:shd w:val="clear" w:color="auto" w:fill="auto"/>
        <w:spacing w:line="360" w:lineRule="auto"/>
        <w:rPr>
          <w:rFonts w:hint="default" w:ascii="宋体" w:hAnsi="宋体" w:cs="宋体"/>
          <w:color w:val="000000"/>
          <w:sz w:val="24"/>
          <w:szCs w:val="24"/>
          <w:highlight w:val="none"/>
          <w:lang w:val="en-US" w:eastAsia="zh-CN"/>
        </w:rPr>
      </w:pPr>
    </w:p>
    <w:p w14:paraId="4D6A8D4B">
      <w:pPr>
        <w:shd w:val="clear" w:color="auto" w:fill="auto"/>
        <w:spacing w:line="360" w:lineRule="auto"/>
        <w:rPr>
          <w:rFonts w:hint="default" w:ascii="宋体" w:hAnsi="宋体" w:cs="宋体"/>
          <w:color w:val="000000"/>
          <w:sz w:val="24"/>
          <w:szCs w:val="24"/>
          <w:highlight w:val="none"/>
          <w:lang w:val="en-US" w:eastAsia="zh-CN"/>
        </w:rPr>
      </w:pPr>
    </w:p>
    <w:p w14:paraId="2E8CEDB5">
      <w:pPr>
        <w:shd w:val="clear" w:color="auto" w:fill="auto"/>
        <w:spacing w:line="360" w:lineRule="auto"/>
        <w:rPr>
          <w:rFonts w:hint="default" w:ascii="宋体" w:hAnsi="宋体" w:cs="宋体"/>
          <w:color w:val="000000"/>
          <w:sz w:val="24"/>
          <w:szCs w:val="24"/>
          <w:highlight w:val="none"/>
          <w:lang w:val="en-US" w:eastAsia="zh-CN"/>
        </w:rPr>
      </w:pPr>
    </w:p>
    <w:p w14:paraId="0A8179BB">
      <w:pPr>
        <w:shd w:val="clear" w:color="auto" w:fill="auto"/>
        <w:spacing w:line="360" w:lineRule="auto"/>
        <w:rPr>
          <w:rFonts w:hint="default" w:ascii="宋体" w:hAnsi="宋体" w:cs="宋体"/>
          <w:color w:val="000000"/>
          <w:sz w:val="24"/>
          <w:szCs w:val="24"/>
          <w:highlight w:val="none"/>
          <w:lang w:val="en-US" w:eastAsia="zh-CN"/>
        </w:rPr>
      </w:pPr>
    </w:p>
    <w:p w14:paraId="71602193">
      <w:pPr>
        <w:shd w:val="clear" w:color="auto" w:fill="auto"/>
        <w:spacing w:line="360" w:lineRule="auto"/>
        <w:rPr>
          <w:rFonts w:hint="default" w:ascii="宋体" w:hAnsi="宋体" w:cs="宋体"/>
          <w:color w:val="000000"/>
          <w:sz w:val="24"/>
          <w:szCs w:val="24"/>
          <w:highlight w:val="none"/>
          <w:lang w:val="en-US" w:eastAsia="zh-CN"/>
        </w:rPr>
      </w:pPr>
    </w:p>
    <w:p w14:paraId="5D5D1325">
      <w:pPr>
        <w:shd w:val="clear" w:color="auto" w:fill="auto"/>
        <w:spacing w:line="360" w:lineRule="auto"/>
        <w:rPr>
          <w:rFonts w:hint="default" w:ascii="宋体" w:hAnsi="宋体" w:cs="宋体"/>
          <w:color w:val="000000"/>
          <w:sz w:val="24"/>
          <w:szCs w:val="24"/>
          <w:highlight w:val="none"/>
          <w:lang w:val="en-US" w:eastAsia="zh-CN"/>
        </w:rPr>
      </w:pPr>
    </w:p>
    <w:p w14:paraId="17127241">
      <w:pPr>
        <w:shd w:val="clear" w:color="auto" w:fill="auto"/>
        <w:spacing w:line="360" w:lineRule="auto"/>
        <w:rPr>
          <w:rFonts w:hint="default" w:ascii="宋体" w:hAnsi="宋体" w:cs="宋体"/>
          <w:color w:val="000000"/>
          <w:sz w:val="24"/>
          <w:szCs w:val="24"/>
          <w:highlight w:val="none"/>
          <w:lang w:val="en-US" w:eastAsia="zh-CN"/>
        </w:rPr>
      </w:pPr>
    </w:p>
    <w:p w14:paraId="1B85B62D">
      <w:pPr>
        <w:shd w:val="clear" w:color="auto" w:fill="auto"/>
        <w:spacing w:line="360" w:lineRule="auto"/>
        <w:rPr>
          <w:rFonts w:hint="default" w:ascii="宋体" w:hAnsi="宋体" w:cs="宋体"/>
          <w:color w:val="000000"/>
          <w:sz w:val="24"/>
          <w:szCs w:val="24"/>
          <w:highlight w:val="none"/>
          <w:lang w:val="en-US" w:eastAsia="zh-CN"/>
        </w:rPr>
      </w:pPr>
    </w:p>
    <w:p w14:paraId="08F81909">
      <w:pPr>
        <w:shd w:val="clear" w:color="auto" w:fill="auto"/>
        <w:spacing w:line="360" w:lineRule="auto"/>
        <w:rPr>
          <w:rFonts w:hint="default" w:ascii="宋体" w:hAnsi="宋体" w:cs="宋体"/>
          <w:color w:val="000000"/>
          <w:sz w:val="24"/>
          <w:szCs w:val="24"/>
          <w:highlight w:val="none"/>
          <w:lang w:val="en-US" w:eastAsia="zh-CN"/>
        </w:rPr>
      </w:pPr>
    </w:p>
    <w:p w14:paraId="655B0F39">
      <w:pPr>
        <w:shd w:val="clear" w:color="auto" w:fill="auto"/>
        <w:spacing w:line="360" w:lineRule="auto"/>
        <w:rPr>
          <w:rFonts w:hint="default" w:ascii="宋体" w:hAnsi="宋体" w:cs="宋体"/>
          <w:color w:val="000000"/>
          <w:sz w:val="24"/>
          <w:szCs w:val="24"/>
          <w:highlight w:val="none"/>
          <w:lang w:val="en-US" w:eastAsia="zh-CN"/>
        </w:rPr>
      </w:pPr>
    </w:p>
    <w:p w14:paraId="5A0EFAEF">
      <w:pPr>
        <w:shd w:val="clear" w:color="auto" w:fill="auto"/>
        <w:spacing w:line="360" w:lineRule="auto"/>
        <w:rPr>
          <w:rFonts w:hint="default" w:ascii="宋体" w:hAnsi="宋体" w:cs="宋体"/>
          <w:color w:val="000000"/>
          <w:sz w:val="24"/>
          <w:szCs w:val="24"/>
          <w:highlight w:val="none"/>
          <w:lang w:val="en-US" w:eastAsia="zh-CN"/>
        </w:rPr>
      </w:pPr>
    </w:p>
    <w:p w14:paraId="7900D8DB">
      <w:pPr>
        <w:shd w:val="clear" w:color="auto" w:fill="auto"/>
        <w:spacing w:line="360" w:lineRule="auto"/>
        <w:rPr>
          <w:rFonts w:hint="default" w:ascii="宋体" w:hAnsi="宋体" w:cs="宋体"/>
          <w:color w:val="000000"/>
          <w:sz w:val="24"/>
          <w:szCs w:val="24"/>
          <w:highlight w:val="none"/>
          <w:lang w:val="en-US" w:eastAsia="zh-CN"/>
        </w:rPr>
      </w:pPr>
    </w:p>
    <w:p w14:paraId="2627DE15">
      <w:pPr>
        <w:shd w:val="clear" w:color="auto" w:fill="auto"/>
        <w:spacing w:line="360" w:lineRule="auto"/>
        <w:rPr>
          <w:rFonts w:hint="default" w:ascii="宋体" w:hAnsi="宋体" w:cs="宋体"/>
          <w:color w:val="000000"/>
          <w:sz w:val="24"/>
          <w:szCs w:val="24"/>
          <w:highlight w:val="none"/>
          <w:lang w:val="en-US" w:eastAsia="zh-CN"/>
        </w:rPr>
      </w:pPr>
    </w:p>
    <w:p w14:paraId="4348A616">
      <w:pPr>
        <w:shd w:val="clear" w:color="auto" w:fill="auto"/>
        <w:spacing w:line="360" w:lineRule="auto"/>
        <w:rPr>
          <w:rFonts w:hint="default" w:ascii="宋体" w:hAnsi="宋体" w:cs="宋体"/>
          <w:color w:val="000000"/>
          <w:sz w:val="24"/>
          <w:szCs w:val="24"/>
          <w:highlight w:val="none"/>
          <w:lang w:val="en-US" w:eastAsia="zh-CN"/>
        </w:rPr>
      </w:pPr>
    </w:p>
    <w:p w14:paraId="4B2EEA23">
      <w:pPr>
        <w:pStyle w:val="2"/>
        <w:keepNext w:val="0"/>
        <w:keepLines w:val="0"/>
        <w:shd w:val="clear" w:color="auto" w:fill="auto"/>
        <w:spacing w:before="0" w:after="0" w:line="360" w:lineRule="auto"/>
        <w:jc w:val="center"/>
        <w:rPr>
          <w:rStyle w:val="57"/>
          <w:rFonts w:hint="eastAsia" w:ascii="宋体" w:hAnsi="宋体" w:cs="宋体"/>
          <w:b w:val="0"/>
          <w:bCs w:val="0"/>
          <w:color w:val="000000"/>
          <w:highlight w:val="none"/>
        </w:rPr>
      </w:pPr>
      <w:bookmarkStart w:id="68" w:name="_Toc13994"/>
      <w:bookmarkEnd w:id="68"/>
      <w:bookmarkStart w:id="69" w:name="_Toc23419"/>
      <w:bookmarkEnd w:id="69"/>
      <w:bookmarkStart w:id="70" w:name="_Toc8120"/>
      <w:bookmarkEnd w:id="70"/>
      <w:bookmarkStart w:id="71" w:name="_Toc5498"/>
      <w:bookmarkEnd w:id="71"/>
      <w:bookmarkStart w:id="72" w:name="_Toc16794"/>
      <w:bookmarkEnd w:id="72"/>
      <w:bookmarkStart w:id="73" w:name="_Toc5710"/>
      <w:r>
        <w:rPr>
          <w:rFonts w:hint="eastAsia" w:ascii="宋体" w:hAnsi="宋体" w:cs="宋体"/>
          <w:color w:val="000000"/>
          <w:szCs w:val="32"/>
          <w:highlight w:val="none"/>
        </w:rPr>
        <w:t>第二章 投标人须知</w:t>
      </w:r>
      <w:bookmarkEnd w:id="2"/>
      <w:bookmarkEnd w:id="73"/>
    </w:p>
    <w:p w14:paraId="0CB5D804">
      <w:pPr>
        <w:pStyle w:val="3"/>
        <w:shd w:val="clear" w:color="auto" w:fill="auto"/>
        <w:spacing w:before="0" w:after="0" w:line="360" w:lineRule="auto"/>
        <w:ind w:firstLine="420"/>
        <w:jc w:val="center"/>
        <w:rPr>
          <w:rFonts w:hint="eastAsia" w:ascii="宋体" w:hAnsi="宋体" w:eastAsia="宋体" w:cs="宋体"/>
          <w:color w:val="000000"/>
          <w:sz w:val="28"/>
          <w:szCs w:val="28"/>
          <w:highlight w:val="none"/>
        </w:rPr>
      </w:pPr>
      <w:bookmarkStart w:id="74" w:name="_Toc13590"/>
      <w:bookmarkEnd w:id="74"/>
      <w:bookmarkStart w:id="75" w:name="_Toc21714"/>
      <w:bookmarkEnd w:id="75"/>
      <w:bookmarkStart w:id="76" w:name="_Toc26144"/>
      <w:bookmarkStart w:id="77" w:name="_Toc1225"/>
      <w:r>
        <w:rPr>
          <w:rFonts w:hint="eastAsia" w:ascii="宋体" w:hAnsi="宋体" w:eastAsia="宋体" w:cs="宋体"/>
          <w:color w:val="000000"/>
          <w:sz w:val="28"/>
          <w:szCs w:val="28"/>
          <w:highlight w:val="none"/>
        </w:rPr>
        <w:t>投标人须知前附表</w:t>
      </w:r>
      <w:bookmarkEnd w:id="76"/>
      <w:bookmarkEnd w:id="77"/>
    </w:p>
    <w:p w14:paraId="62AFE7E6">
      <w:pPr>
        <w:shd w:val="clear" w:color="auto" w:fill="auto"/>
        <w:spacing w:line="200" w:lineRule="exact"/>
        <w:rPr>
          <w:rFonts w:hint="eastAsia" w:ascii="宋体" w:hAnsi="宋体" w:cs="宋体"/>
          <w:color w:val="000000"/>
          <w:highlight w:val="none"/>
        </w:rPr>
      </w:pPr>
      <w:r>
        <w:rPr>
          <w:rFonts w:hint="eastAsia" w:ascii="宋体" w:hAnsi="宋体" w:cs="宋体"/>
          <w:color w:val="000000"/>
          <w:highlight w:val="none"/>
        </w:rPr>
        <w:t xml:space="preserve"> </w:t>
      </w:r>
    </w:p>
    <w:tbl>
      <w:tblPr>
        <w:tblStyle w:val="34"/>
        <w:tblW w:w="9882" w:type="dxa"/>
        <w:jc w:val="center"/>
        <w:tblLayout w:type="fixed"/>
        <w:tblCellMar>
          <w:top w:w="0" w:type="dxa"/>
          <w:left w:w="0" w:type="dxa"/>
          <w:bottom w:w="0" w:type="dxa"/>
          <w:right w:w="0" w:type="dxa"/>
        </w:tblCellMar>
      </w:tblPr>
      <w:tblGrid>
        <w:gridCol w:w="1047"/>
        <w:gridCol w:w="2009"/>
        <w:gridCol w:w="6826"/>
      </w:tblGrid>
      <w:tr w14:paraId="31585B9F">
        <w:tblPrEx>
          <w:tblCellMar>
            <w:top w:w="0" w:type="dxa"/>
            <w:left w:w="0" w:type="dxa"/>
            <w:bottom w:w="0" w:type="dxa"/>
            <w:right w:w="0" w:type="dxa"/>
          </w:tblCellMar>
        </w:tblPrEx>
        <w:trPr>
          <w:trHeight w:val="390" w:hRule="atLeast"/>
          <w:tblHeader/>
          <w:jc w:val="center"/>
        </w:trPr>
        <w:tc>
          <w:tcPr>
            <w:tcW w:w="1047" w:type="dxa"/>
            <w:tcBorders>
              <w:top w:val="single" w:color="auto" w:sz="8" w:space="0"/>
              <w:left w:val="single" w:color="auto" w:sz="8" w:space="0"/>
              <w:bottom w:val="single" w:color="auto" w:sz="8" w:space="0"/>
              <w:right w:val="single" w:color="auto" w:sz="8" w:space="0"/>
            </w:tcBorders>
            <w:vAlign w:val="center"/>
          </w:tcPr>
          <w:p w14:paraId="68AB8197">
            <w:pPr>
              <w:shd w:val="clear" w:color="auto" w:fill="auto"/>
              <w:spacing w:line="400" w:lineRule="exact"/>
              <w:jc w:val="center"/>
              <w:rPr>
                <w:rFonts w:hint="eastAsia" w:ascii="宋体" w:hAnsi="宋体" w:cs="宋体"/>
                <w:b/>
                <w:bCs/>
                <w:color w:val="000000"/>
                <w:kern w:val="2"/>
                <w:sz w:val="24"/>
                <w:szCs w:val="24"/>
                <w:highlight w:val="none"/>
              </w:rPr>
            </w:pPr>
            <w:r>
              <w:rPr>
                <w:rFonts w:hint="eastAsia" w:ascii="宋体" w:hAnsi="宋体" w:cs="宋体"/>
                <w:b/>
                <w:bCs/>
                <w:color w:val="000000"/>
                <w:kern w:val="2"/>
                <w:sz w:val="24"/>
                <w:szCs w:val="24"/>
                <w:highlight w:val="none"/>
              </w:rPr>
              <w:t>条款号</w:t>
            </w:r>
          </w:p>
        </w:tc>
        <w:tc>
          <w:tcPr>
            <w:tcW w:w="2009" w:type="dxa"/>
            <w:tcBorders>
              <w:top w:val="single" w:color="auto" w:sz="8" w:space="0"/>
              <w:left w:val="nil"/>
              <w:bottom w:val="single" w:color="auto" w:sz="8" w:space="0"/>
              <w:right w:val="single" w:color="auto" w:sz="8" w:space="0"/>
            </w:tcBorders>
            <w:vAlign w:val="bottom"/>
          </w:tcPr>
          <w:p w14:paraId="1878A901">
            <w:pPr>
              <w:shd w:val="clear" w:color="auto" w:fill="auto"/>
              <w:spacing w:line="400" w:lineRule="exact"/>
              <w:jc w:val="center"/>
              <w:rPr>
                <w:rFonts w:hint="eastAsia" w:ascii="宋体" w:hAnsi="宋体" w:cs="宋体"/>
                <w:b/>
                <w:bCs/>
                <w:color w:val="000000"/>
                <w:kern w:val="2"/>
                <w:sz w:val="24"/>
                <w:szCs w:val="24"/>
                <w:highlight w:val="none"/>
              </w:rPr>
            </w:pPr>
            <w:r>
              <w:rPr>
                <w:rFonts w:hint="eastAsia" w:ascii="宋体" w:hAnsi="宋体" w:cs="宋体"/>
                <w:b/>
                <w:bCs/>
                <w:color w:val="000000"/>
                <w:kern w:val="2"/>
                <w:sz w:val="24"/>
                <w:szCs w:val="24"/>
                <w:highlight w:val="none"/>
              </w:rPr>
              <w:t>条 款 名 称</w:t>
            </w:r>
          </w:p>
        </w:tc>
        <w:tc>
          <w:tcPr>
            <w:tcW w:w="6826" w:type="dxa"/>
            <w:tcBorders>
              <w:top w:val="single" w:color="auto" w:sz="8" w:space="0"/>
              <w:left w:val="nil"/>
              <w:bottom w:val="single" w:color="auto" w:sz="8" w:space="0"/>
              <w:right w:val="single" w:color="auto" w:sz="8" w:space="0"/>
            </w:tcBorders>
            <w:vAlign w:val="bottom"/>
          </w:tcPr>
          <w:p w14:paraId="597FBF8D">
            <w:pPr>
              <w:shd w:val="clear" w:color="auto" w:fill="auto"/>
              <w:spacing w:line="400" w:lineRule="exact"/>
              <w:ind w:left="1680"/>
              <w:rPr>
                <w:rFonts w:hint="eastAsia" w:ascii="宋体" w:hAnsi="宋体" w:cs="宋体"/>
                <w:b/>
                <w:bCs/>
                <w:color w:val="000000"/>
                <w:kern w:val="2"/>
                <w:sz w:val="24"/>
                <w:szCs w:val="24"/>
                <w:highlight w:val="none"/>
              </w:rPr>
            </w:pPr>
            <w:r>
              <w:rPr>
                <w:rFonts w:hint="eastAsia" w:ascii="宋体" w:hAnsi="宋体" w:cs="宋体"/>
                <w:b/>
                <w:bCs/>
                <w:color w:val="000000"/>
                <w:kern w:val="2"/>
                <w:sz w:val="24"/>
                <w:szCs w:val="24"/>
                <w:highlight w:val="none"/>
              </w:rPr>
              <w:t>编 列 内 容</w:t>
            </w:r>
          </w:p>
        </w:tc>
      </w:tr>
      <w:tr w14:paraId="6401202B">
        <w:tblPrEx>
          <w:tblCellMar>
            <w:top w:w="0" w:type="dxa"/>
            <w:left w:w="0" w:type="dxa"/>
            <w:bottom w:w="0" w:type="dxa"/>
            <w:right w:w="0" w:type="dxa"/>
          </w:tblCellMar>
        </w:tblPrEx>
        <w:trPr>
          <w:trHeight w:val="151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E54DF40">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1.1.2</w:t>
            </w:r>
          </w:p>
        </w:tc>
        <w:tc>
          <w:tcPr>
            <w:tcW w:w="2009" w:type="dxa"/>
            <w:tcBorders>
              <w:top w:val="single" w:color="auto" w:sz="8" w:space="0"/>
              <w:left w:val="nil"/>
              <w:bottom w:val="single" w:color="auto" w:sz="8" w:space="0"/>
              <w:right w:val="single" w:color="auto" w:sz="8" w:space="0"/>
            </w:tcBorders>
            <w:vAlign w:val="center"/>
          </w:tcPr>
          <w:p w14:paraId="67AD1DB2">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采购人</w:t>
            </w:r>
          </w:p>
        </w:tc>
        <w:tc>
          <w:tcPr>
            <w:tcW w:w="6826" w:type="dxa"/>
            <w:tcBorders>
              <w:top w:val="single" w:color="auto" w:sz="8" w:space="0"/>
              <w:left w:val="nil"/>
              <w:bottom w:val="single" w:color="auto" w:sz="8" w:space="0"/>
              <w:right w:val="single" w:color="auto" w:sz="8" w:space="0"/>
            </w:tcBorders>
            <w:vAlign w:val="center"/>
          </w:tcPr>
          <w:p w14:paraId="0C4C3CCC">
            <w:pPr>
              <w:shd w:val="clear" w:color="auto" w:fill="auto"/>
              <w:spacing w:line="400" w:lineRule="exact"/>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rPr>
              <w:t>名称：</w:t>
            </w:r>
            <w:r>
              <w:rPr>
                <w:rFonts w:hint="eastAsia" w:ascii="宋体" w:hAnsi="宋体" w:cs="宋体"/>
                <w:color w:val="000000"/>
                <w:sz w:val="24"/>
                <w:szCs w:val="24"/>
                <w:highlight w:val="none"/>
                <w:lang w:eastAsia="zh-CN"/>
              </w:rPr>
              <w:t>宜良县自然资源局</w:t>
            </w:r>
          </w:p>
          <w:p w14:paraId="257F78F5">
            <w:pPr>
              <w:shd w:val="clear" w:color="auto" w:fill="auto"/>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地址：</w:t>
            </w:r>
            <w:r>
              <w:rPr>
                <w:rFonts w:hint="eastAsia" w:ascii="宋体" w:hAnsi="宋体" w:cs="宋体"/>
                <w:color w:val="000000"/>
                <w:sz w:val="24"/>
                <w:szCs w:val="24"/>
                <w:highlight w:val="none"/>
                <w:lang w:val="en-US" w:eastAsia="zh-CN"/>
              </w:rPr>
              <w:t>宜良县匡远街道温泉路公务楼11楼</w:t>
            </w:r>
          </w:p>
          <w:p w14:paraId="2D666954">
            <w:pPr>
              <w:shd w:val="clear" w:color="auto" w:fill="auto"/>
              <w:spacing w:line="360" w:lineRule="auto"/>
              <w:rPr>
                <w:rFonts w:hint="default"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联系人：</w:t>
            </w:r>
            <w:r>
              <w:rPr>
                <w:rFonts w:hint="eastAsia" w:ascii="宋体" w:hAnsi="宋体" w:cs="宋体"/>
                <w:color w:val="000000"/>
                <w:sz w:val="24"/>
                <w:szCs w:val="24"/>
                <w:highlight w:val="none"/>
                <w:lang w:val="en-US" w:eastAsia="zh-CN"/>
              </w:rPr>
              <w:t>沈银珠</w:t>
            </w:r>
          </w:p>
          <w:p w14:paraId="77A289DE">
            <w:pPr>
              <w:shd w:val="clear" w:color="auto" w:fill="auto"/>
              <w:spacing w:line="360" w:lineRule="auto"/>
              <w:rPr>
                <w:rFonts w:hint="eastAsia" w:ascii="宋体" w:hAnsi="宋体" w:eastAsia="宋体" w:cs="宋体"/>
                <w:color w:val="000000"/>
                <w:kern w:val="2"/>
                <w:sz w:val="24"/>
                <w:szCs w:val="24"/>
                <w:highlight w:val="none"/>
                <w:lang w:eastAsia="zh-CN"/>
              </w:rPr>
            </w:pPr>
            <w:r>
              <w:rPr>
                <w:rFonts w:hint="eastAsia" w:ascii="宋体" w:hAnsi="宋体" w:cs="宋体"/>
                <w:color w:val="000000"/>
                <w:sz w:val="24"/>
                <w:szCs w:val="24"/>
                <w:highlight w:val="none"/>
              </w:rPr>
              <w:t>联系电话：</w:t>
            </w:r>
            <w:r>
              <w:rPr>
                <w:rFonts w:hint="eastAsia" w:ascii="宋体" w:hAnsi="宋体" w:cs="宋体"/>
                <w:color w:val="000000"/>
                <w:sz w:val="24"/>
                <w:szCs w:val="24"/>
                <w:highlight w:val="none"/>
                <w:lang w:val="en-US" w:eastAsia="zh-CN"/>
              </w:rPr>
              <w:t>0871-67524315</w:t>
            </w:r>
          </w:p>
        </w:tc>
      </w:tr>
      <w:tr w14:paraId="158A5299">
        <w:tblPrEx>
          <w:tblCellMar>
            <w:top w:w="0" w:type="dxa"/>
            <w:left w:w="0" w:type="dxa"/>
            <w:bottom w:w="0" w:type="dxa"/>
            <w:right w:w="0" w:type="dxa"/>
          </w:tblCellMar>
        </w:tblPrEx>
        <w:trPr>
          <w:trHeight w:val="160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A930468">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1.1.3</w:t>
            </w:r>
          </w:p>
        </w:tc>
        <w:tc>
          <w:tcPr>
            <w:tcW w:w="2009" w:type="dxa"/>
            <w:tcBorders>
              <w:top w:val="single" w:color="auto" w:sz="8" w:space="0"/>
              <w:left w:val="nil"/>
              <w:bottom w:val="single" w:color="auto" w:sz="8" w:space="0"/>
              <w:right w:val="single" w:color="auto" w:sz="8" w:space="0"/>
            </w:tcBorders>
            <w:vAlign w:val="center"/>
          </w:tcPr>
          <w:p w14:paraId="1C6D1DAF">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采购代理机构</w:t>
            </w:r>
          </w:p>
        </w:tc>
        <w:tc>
          <w:tcPr>
            <w:tcW w:w="6826" w:type="dxa"/>
            <w:tcBorders>
              <w:top w:val="single" w:color="auto" w:sz="8" w:space="0"/>
              <w:left w:val="nil"/>
              <w:bottom w:val="single" w:color="auto" w:sz="8" w:space="0"/>
              <w:right w:val="single" w:color="auto" w:sz="8" w:space="0"/>
            </w:tcBorders>
            <w:vAlign w:val="center"/>
          </w:tcPr>
          <w:p w14:paraId="32C3E7C5">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名称：</w:t>
            </w:r>
            <w:r>
              <w:rPr>
                <w:rFonts w:hint="eastAsia" w:ascii="宋体" w:hAnsi="宋体" w:cs="宋体"/>
                <w:color w:val="000000"/>
                <w:kern w:val="2"/>
                <w:sz w:val="24"/>
                <w:szCs w:val="24"/>
                <w:highlight w:val="none"/>
                <w:lang w:eastAsia="zh-CN"/>
              </w:rPr>
              <w:t>云南天平工程项目管理有限公司</w:t>
            </w:r>
            <w:r>
              <w:rPr>
                <w:rFonts w:hint="eastAsia" w:ascii="宋体" w:hAnsi="宋体" w:cs="宋体"/>
                <w:color w:val="000000"/>
                <w:kern w:val="2"/>
                <w:sz w:val="24"/>
                <w:szCs w:val="24"/>
                <w:highlight w:val="none"/>
              </w:rPr>
              <w:t xml:space="preserve"> </w:t>
            </w:r>
          </w:p>
          <w:p w14:paraId="25E0CBE9">
            <w:pPr>
              <w:shd w:val="clear" w:color="auto" w:fill="auto"/>
              <w:spacing w:line="400" w:lineRule="exact"/>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rPr>
              <w:t>地址：</w:t>
            </w:r>
            <w:r>
              <w:rPr>
                <w:rFonts w:hint="eastAsia" w:ascii="宋体" w:hAnsi="宋体" w:cs="宋体"/>
                <w:color w:val="000000"/>
                <w:kern w:val="2"/>
                <w:sz w:val="24"/>
                <w:szCs w:val="24"/>
                <w:highlight w:val="none"/>
                <w:lang w:eastAsia="zh-CN"/>
              </w:rPr>
              <w:t>昆明市五华区西城时代A座21楼</w:t>
            </w:r>
          </w:p>
          <w:p w14:paraId="3ECBCBAF">
            <w:pPr>
              <w:shd w:val="clear" w:color="auto" w:fill="auto"/>
              <w:spacing w:line="400" w:lineRule="exact"/>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rPr>
              <w:t>联系人：</w:t>
            </w:r>
            <w:r>
              <w:rPr>
                <w:rFonts w:hint="eastAsia" w:ascii="宋体" w:hAnsi="宋体" w:cs="宋体"/>
                <w:color w:val="000000"/>
                <w:sz w:val="24"/>
                <w:szCs w:val="24"/>
                <w:highlight w:val="none"/>
                <w:lang w:eastAsia="zh-CN"/>
              </w:rPr>
              <w:t>招晓婷</w:t>
            </w:r>
          </w:p>
          <w:p w14:paraId="77993CAD">
            <w:pPr>
              <w:shd w:val="clear" w:color="auto" w:fill="auto"/>
              <w:spacing w:line="400" w:lineRule="exact"/>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rPr>
              <w:t>电话：</w:t>
            </w:r>
            <w:r>
              <w:rPr>
                <w:rFonts w:hint="eastAsia" w:ascii="宋体" w:hAnsi="宋体" w:cs="宋体"/>
                <w:color w:val="000000"/>
                <w:kern w:val="2"/>
                <w:sz w:val="24"/>
                <w:szCs w:val="24"/>
                <w:highlight w:val="none"/>
                <w:lang w:eastAsia="zh-CN"/>
              </w:rPr>
              <w:t>18687310100</w:t>
            </w:r>
          </w:p>
        </w:tc>
      </w:tr>
      <w:tr w14:paraId="79AAA0ED">
        <w:tblPrEx>
          <w:tblCellMar>
            <w:top w:w="0" w:type="dxa"/>
            <w:left w:w="0" w:type="dxa"/>
            <w:bottom w:w="0" w:type="dxa"/>
            <w:right w:w="0" w:type="dxa"/>
          </w:tblCellMar>
        </w:tblPrEx>
        <w:trPr>
          <w:trHeight w:val="67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8BECE60">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1.1.4</w:t>
            </w:r>
          </w:p>
        </w:tc>
        <w:tc>
          <w:tcPr>
            <w:tcW w:w="2009" w:type="dxa"/>
            <w:tcBorders>
              <w:top w:val="single" w:color="auto" w:sz="8" w:space="0"/>
              <w:left w:val="nil"/>
              <w:bottom w:val="single" w:color="auto" w:sz="8" w:space="0"/>
              <w:right w:val="single" w:color="auto" w:sz="8" w:space="0"/>
            </w:tcBorders>
            <w:vAlign w:val="center"/>
          </w:tcPr>
          <w:p w14:paraId="1F0CA94E">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项目名称</w:t>
            </w:r>
          </w:p>
        </w:tc>
        <w:tc>
          <w:tcPr>
            <w:tcW w:w="6826" w:type="dxa"/>
            <w:tcBorders>
              <w:top w:val="single" w:color="auto" w:sz="8" w:space="0"/>
              <w:left w:val="nil"/>
              <w:bottom w:val="single" w:color="auto" w:sz="8" w:space="0"/>
              <w:right w:val="single" w:color="auto" w:sz="8" w:space="0"/>
            </w:tcBorders>
            <w:vAlign w:val="center"/>
          </w:tcPr>
          <w:p w14:paraId="3A0F2551">
            <w:pPr>
              <w:shd w:val="clear" w:color="auto" w:fill="auto"/>
              <w:spacing w:line="400" w:lineRule="exact"/>
              <w:jc w:val="both"/>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lang w:eastAsia="zh-CN"/>
              </w:rPr>
              <w:t>宜良县部分耕地园地等种植状况摸排技术服务</w:t>
            </w:r>
          </w:p>
        </w:tc>
      </w:tr>
      <w:tr w14:paraId="6E1B345A">
        <w:tblPrEx>
          <w:tblCellMar>
            <w:top w:w="0" w:type="dxa"/>
            <w:left w:w="0" w:type="dxa"/>
            <w:bottom w:w="0" w:type="dxa"/>
            <w:right w:w="0" w:type="dxa"/>
          </w:tblCellMar>
        </w:tblPrEx>
        <w:trPr>
          <w:trHeight w:val="6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E25C5EE">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1.2.1</w:t>
            </w:r>
          </w:p>
        </w:tc>
        <w:tc>
          <w:tcPr>
            <w:tcW w:w="2009" w:type="dxa"/>
            <w:tcBorders>
              <w:top w:val="single" w:color="auto" w:sz="8" w:space="0"/>
              <w:left w:val="nil"/>
              <w:bottom w:val="single" w:color="auto" w:sz="8" w:space="0"/>
              <w:right w:val="single" w:color="auto" w:sz="8" w:space="0"/>
            </w:tcBorders>
            <w:vAlign w:val="center"/>
          </w:tcPr>
          <w:p w14:paraId="4AACF226">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资金落实情况</w:t>
            </w:r>
          </w:p>
        </w:tc>
        <w:tc>
          <w:tcPr>
            <w:tcW w:w="6826" w:type="dxa"/>
            <w:tcBorders>
              <w:top w:val="single" w:color="auto" w:sz="8" w:space="0"/>
              <w:left w:val="nil"/>
              <w:bottom w:val="single" w:color="auto" w:sz="8" w:space="0"/>
              <w:right w:val="single" w:color="auto" w:sz="8" w:space="0"/>
            </w:tcBorders>
            <w:vAlign w:val="center"/>
          </w:tcPr>
          <w:p w14:paraId="28FA7C51">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已落实</w:t>
            </w:r>
          </w:p>
        </w:tc>
      </w:tr>
      <w:tr w14:paraId="26852DA2">
        <w:tblPrEx>
          <w:tblCellMar>
            <w:top w:w="0" w:type="dxa"/>
            <w:left w:w="0" w:type="dxa"/>
            <w:bottom w:w="0" w:type="dxa"/>
            <w:right w:w="0" w:type="dxa"/>
          </w:tblCellMar>
        </w:tblPrEx>
        <w:trPr>
          <w:trHeight w:val="6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1767360">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1.2.2</w:t>
            </w:r>
          </w:p>
        </w:tc>
        <w:tc>
          <w:tcPr>
            <w:tcW w:w="2009" w:type="dxa"/>
            <w:tcBorders>
              <w:top w:val="single" w:color="auto" w:sz="8" w:space="0"/>
              <w:left w:val="nil"/>
              <w:bottom w:val="single" w:color="auto" w:sz="8" w:space="0"/>
              <w:right w:val="single" w:color="auto" w:sz="8" w:space="0"/>
            </w:tcBorders>
            <w:vAlign w:val="center"/>
          </w:tcPr>
          <w:p w14:paraId="22472E1E">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预算金额</w:t>
            </w:r>
          </w:p>
        </w:tc>
        <w:tc>
          <w:tcPr>
            <w:tcW w:w="6826" w:type="dxa"/>
            <w:tcBorders>
              <w:top w:val="single" w:color="auto" w:sz="8" w:space="0"/>
              <w:left w:val="nil"/>
              <w:bottom w:val="single" w:color="auto" w:sz="8" w:space="0"/>
              <w:right w:val="single" w:color="auto" w:sz="8" w:space="0"/>
            </w:tcBorders>
            <w:vAlign w:val="center"/>
          </w:tcPr>
          <w:p w14:paraId="28522ECA">
            <w:pPr>
              <w:pStyle w:val="14"/>
              <w:shd w:val="clear" w:color="auto" w:fill="auto"/>
              <w:rPr>
                <w:rFonts w:hint="default" w:ascii="宋体" w:hAnsi="宋体" w:eastAsia="宋体" w:cs="宋体"/>
                <w:color w:val="000000"/>
                <w:kern w:val="2"/>
                <w:sz w:val="24"/>
                <w:szCs w:val="24"/>
                <w:highlight w:val="none"/>
                <w:lang w:val="en-US" w:eastAsia="zh-CN"/>
              </w:rPr>
            </w:pPr>
            <w:r>
              <w:rPr>
                <w:rFonts w:hint="eastAsia" w:ascii="宋体" w:hAnsi="宋体" w:cs="宋体"/>
                <w:color w:val="auto"/>
                <w:sz w:val="24"/>
                <w:szCs w:val="24"/>
                <w:highlight w:val="none"/>
                <w:lang w:val="en-US" w:eastAsia="zh-CN"/>
              </w:rPr>
              <w:t>300万元，一标段90万元，二标段80万元，三标段70万元，四标段60万元。</w:t>
            </w:r>
          </w:p>
        </w:tc>
      </w:tr>
      <w:tr w14:paraId="733E7378">
        <w:tblPrEx>
          <w:tblCellMar>
            <w:top w:w="0" w:type="dxa"/>
            <w:left w:w="0" w:type="dxa"/>
            <w:bottom w:w="0" w:type="dxa"/>
            <w:right w:w="0" w:type="dxa"/>
          </w:tblCellMar>
        </w:tblPrEx>
        <w:trPr>
          <w:trHeight w:val="29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5579EAF">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1.3.1</w:t>
            </w:r>
          </w:p>
        </w:tc>
        <w:tc>
          <w:tcPr>
            <w:tcW w:w="2009" w:type="dxa"/>
            <w:tcBorders>
              <w:top w:val="single" w:color="auto" w:sz="8" w:space="0"/>
              <w:left w:val="nil"/>
              <w:bottom w:val="single" w:color="auto" w:sz="8" w:space="0"/>
              <w:right w:val="single" w:color="auto" w:sz="8" w:space="0"/>
            </w:tcBorders>
            <w:vAlign w:val="center"/>
          </w:tcPr>
          <w:p w14:paraId="55CFEB98">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采购需求</w:t>
            </w:r>
          </w:p>
        </w:tc>
        <w:tc>
          <w:tcPr>
            <w:tcW w:w="6826" w:type="dxa"/>
            <w:tcBorders>
              <w:top w:val="single" w:color="auto" w:sz="8" w:space="0"/>
              <w:left w:val="nil"/>
              <w:bottom w:val="single" w:color="auto" w:sz="8" w:space="0"/>
              <w:right w:val="single" w:color="auto" w:sz="8" w:space="0"/>
            </w:tcBorders>
            <w:vAlign w:val="center"/>
          </w:tcPr>
          <w:p w14:paraId="573E4E5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宜良县部分耕地园地设施农用地等种植情况摸排工作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本项目划分为四个标段，具体内容为：</w:t>
            </w:r>
          </w:p>
          <w:p w14:paraId="719DAEAB">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负责狗街镇、竹山镇外业举证培训、县级增补图斑提取、部分增补图斑外业举证、县级内业审核、排查成果汇总分析、配合完成置换方案制定工作，图斑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4EA4C16E">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负责匡远街道、南羊街道外业举证培训、县级增补图斑提取、部分增补图斑外业举证、县级内业审核、排查成果汇总分析、配合完成置换方案制定工作，图斑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3359BED6">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负责北古城镇、马街镇外业举证培训、县级增补图斑提取、部分增补图斑外业举证、县级内业审核、排查成果汇总分析、配合完成置换方案制定工作，图斑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5CF4492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负责耿家营乡、九乡乡外业举证培训、县级增补图斑提取、部分增补图斑外业举证、县级内业审核、排查成果汇总分析、配合完成置换方案制定工作，图斑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000个。</w:t>
            </w:r>
          </w:p>
          <w:p w14:paraId="4015AD9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000000"/>
                <w:kern w:val="2"/>
                <w:sz w:val="24"/>
                <w:szCs w:val="24"/>
                <w:highlight w:val="none"/>
              </w:rPr>
            </w:pPr>
          </w:p>
        </w:tc>
      </w:tr>
      <w:tr w14:paraId="34244584">
        <w:tblPrEx>
          <w:tblCellMar>
            <w:top w:w="0" w:type="dxa"/>
            <w:left w:w="0" w:type="dxa"/>
            <w:bottom w:w="0" w:type="dxa"/>
            <w:right w:w="0" w:type="dxa"/>
          </w:tblCellMar>
        </w:tblPrEx>
        <w:trPr>
          <w:trHeight w:val="8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EA9947B">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1.3.2</w:t>
            </w:r>
          </w:p>
        </w:tc>
        <w:tc>
          <w:tcPr>
            <w:tcW w:w="2009" w:type="dxa"/>
            <w:tcBorders>
              <w:top w:val="single" w:color="auto" w:sz="8" w:space="0"/>
              <w:left w:val="nil"/>
              <w:bottom w:val="single" w:color="auto" w:sz="8" w:space="0"/>
              <w:right w:val="single" w:color="auto" w:sz="8" w:space="0"/>
            </w:tcBorders>
            <w:vAlign w:val="center"/>
          </w:tcPr>
          <w:p w14:paraId="0EB43C62">
            <w:pPr>
              <w:shd w:val="clear" w:color="auto" w:fill="auto"/>
              <w:spacing w:line="400" w:lineRule="exact"/>
              <w:jc w:val="center"/>
              <w:rPr>
                <w:rFonts w:hint="eastAsia" w:ascii="宋体" w:hAnsi="宋体" w:cs="宋体"/>
                <w:color w:val="000000"/>
                <w:kern w:val="2"/>
                <w:sz w:val="24"/>
                <w:szCs w:val="24"/>
                <w:highlight w:val="none"/>
                <w:u w:val="none"/>
              </w:rPr>
            </w:pPr>
            <w:r>
              <w:rPr>
                <w:rFonts w:hint="eastAsia" w:ascii="宋体" w:hAnsi="宋体" w:cs="宋体"/>
                <w:color w:val="000000"/>
                <w:kern w:val="2"/>
                <w:sz w:val="24"/>
                <w:szCs w:val="24"/>
                <w:highlight w:val="none"/>
                <w:u w:val="none"/>
              </w:rPr>
              <w:t>合同履行期限、质量标准</w:t>
            </w:r>
          </w:p>
        </w:tc>
        <w:tc>
          <w:tcPr>
            <w:tcW w:w="6826" w:type="dxa"/>
            <w:tcBorders>
              <w:top w:val="single" w:color="auto" w:sz="8" w:space="0"/>
              <w:left w:val="nil"/>
              <w:bottom w:val="single" w:color="auto" w:sz="8" w:space="0"/>
              <w:right w:val="single" w:color="auto" w:sz="8" w:space="0"/>
            </w:tcBorders>
            <w:vAlign w:val="center"/>
          </w:tcPr>
          <w:p w14:paraId="1DEA7B2B">
            <w:pPr>
              <w:spacing w:line="360" w:lineRule="auto"/>
              <w:rPr>
                <w:rFonts w:hint="default" w:ascii="宋体" w:hAnsi="宋体" w:eastAsia="宋体" w:cs="宋体"/>
                <w:color w:val="000000"/>
                <w:highlight w:val="none"/>
                <w:u w:val="none"/>
                <w:lang w:val="en-US" w:eastAsia="zh-CN"/>
              </w:rPr>
            </w:pPr>
            <w:r>
              <w:rPr>
                <w:rFonts w:hint="eastAsia" w:ascii="宋体" w:hAnsi="宋体" w:cs="宋体"/>
                <w:color w:val="000000"/>
                <w:kern w:val="2"/>
                <w:sz w:val="24"/>
                <w:szCs w:val="24"/>
                <w:highlight w:val="none"/>
                <w:u w:val="none"/>
              </w:rPr>
              <w:t>合同履行期限</w:t>
            </w:r>
            <w:r>
              <w:rPr>
                <w:rFonts w:hint="eastAsia" w:ascii="宋体" w:hAnsi="宋体" w:cs="宋体"/>
                <w:color w:val="000000"/>
                <w:kern w:val="2"/>
                <w:sz w:val="24"/>
                <w:szCs w:val="24"/>
                <w:highlight w:val="none"/>
                <w:u w:val="none"/>
                <w:lang w:eastAsia="zh-CN"/>
              </w:rPr>
              <w:t>：</w:t>
            </w:r>
            <w:r>
              <w:rPr>
                <w:rFonts w:hint="eastAsia" w:ascii="宋体" w:hAnsi="宋体" w:eastAsia="宋体" w:cs="宋体"/>
                <w:color w:val="auto"/>
                <w:sz w:val="24"/>
                <w:szCs w:val="24"/>
              </w:rPr>
              <w:t>按照采购人要求的时间节点完成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u w:val="none"/>
                <w:lang w:val="en-US" w:eastAsia="zh-CN"/>
              </w:rPr>
              <w:t>质量标准：</w:t>
            </w:r>
            <w:r>
              <w:rPr>
                <w:rFonts w:hint="eastAsia" w:ascii="宋体" w:hAnsi="宋体" w:cs="宋体"/>
                <w:color w:val="auto"/>
                <w:sz w:val="24"/>
                <w:szCs w:val="24"/>
                <w:highlight w:val="none"/>
                <w:u w:val="none"/>
                <w:lang w:val="en-US" w:eastAsia="zh-CN"/>
              </w:rPr>
              <w:t>符合现行国家及行业相关标准和规范要求。</w:t>
            </w:r>
          </w:p>
        </w:tc>
      </w:tr>
      <w:tr w14:paraId="464F2585">
        <w:tblPrEx>
          <w:tblCellMar>
            <w:top w:w="0" w:type="dxa"/>
            <w:left w:w="0" w:type="dxa"/>
            <w:bottom w:w="0" w:type="dxa"/>
            <w:right w:w="0" w:type="dxa"/>
          </w:tblCellMar>
        </w:tblPrEx>
        <w:trPr>
          <w:trHeight w:val="57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ADE0CE0">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1.3.3</w:t>
            </w:r>
          </w:p>
        </w:tc>
        <w:tc>
          <w:tcPr>
            <w:tcW w:w="2009" w:type="dxa"/>
            <w:tcBorders>
              <w:top w:val="single" w:color="auto" w:sz="8" w:space="0"/>
              <w:left w:val="nil"/>
              <w:bottom w:val="single" w:color="auto" w:sz="8" w:space="0"/>
              <w:right w:val="single" w:color="auto" w:sz="8" w:space="0"/>
            </w:tcBorders>
            <w:vAlign w:val="center"/>
          </w:tcPr>
          <w:p w14:paraId="207031BF">
            <w:pPr>
              <w:shd w:val="clear" w:color="auto" w:fill="auto"/>
              <w:spacing w:line="400" w:lineRule="exact"/>
              <w:jc w:val="center"/>
              <w:rPr>
                <w:rFonts w:hint="eastAsia"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eastAsia="zh-CN"/>
              </w:rPr>
              <w:t>项目实施地点</w:t>
            </w:r>
          </w:p>
        </w:tc>
        <w:tc>
          <w:tcPr>
            <w:tcW w:w="6826" w:type="dxa"/>
            <w:tcBorders>
              <w:top w:val="single" w:color="auto" w:sz="8" w:space="0"/>
              <w:left w:val="nil"/>
              <w:bottom w:val="single" w:color="auto" w:sz="8" w:space="0"/>
              <w:right w:val="single" w:color="auto" w:sz="8" w:space="0"/>
            </w:tcBorders>
            <w:vAlign w:val="center"/>
          </w:tcPr>
          <w:p w14:paraId="3951D644">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val="en-US" w:eastAsia="zh-CN"/>
              </w:rPr>
              <w:t>宜良县境内</w:t>
            </w:r>
          </w:p>
          <w:p w14:paraId="7B278D0E">
            <w:pPr>
              <w:shd w:val="clear" w:color="auto" w:fill="auto"/>
              <w:spacing w:line="400" w:lineRule="exact"/>
              <w:jc w:val="both"/>
              <w:rPr>
                <w:rFonts w:hint="default" w:ascii="宋体" w:hAnsi="宋体" w:eastAsia="宋体" w:cs="宋体"/>
                <w:color w:val="000000"/>
                <w:highlight w:val="none"/>
                <w:lang w:val="en-US" w:eastAsia="zh-CN"/>
              </w:rPr>
            </w:pPr>
          </w:p>
        </w:tc>
      </w:tr>
      <w:tr w14:paraId="4A171646">
        <w:tblPrEx>
          <w:tblCellMar>
            <w:top w:w="0" w:type="dxa"/>
            <w:left w:w="0" w:type="dxa"/>
            <w:bottom w:w="0" w:type="dxa"/>
            <w:right w:w="0" w:type="dxa"/>
          </w:tblCellMar>
        </w:tblPrEx>
        <w:trPr>
          <w:trHeight w:val="90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41F4402">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1.4.1</w:t>
            </w:r>
          </w:p>
        </w:tc>
        <w:tc>
          <w:tcPr>
            <w:tcW w:w="2009" w:type="dxa"/>
            <w:tcBorders>
              <w:top w:val="single" w:color="auto" w:sz="8" w:space="0"/>
              <w:left w:val="nil"/>
              <w:bottom w:val="single" w:color="auto" w:sz="8" w:space="0"/>
              <w:right w:val="single" w:color="auto" w:sz="8" w:space="0"/>
            </w:tcBorders>
            <w:vAlign w:val="center"/>
          </w:tcPr>
          <w:p w14:paraId="6DF9C42C">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投标人资格要求</w:t>
            </w:r>
          </w:p>
        </w:tc>
        <w:tc>
          <w:tcPr>
            <w:tcW w:w="6826" w:type="dxa"/>
            <w:tcBorders>
              <w:top w:val="single" w:color="auto" w:sz="8" w:space="0"/>
              <w:left w:val="nil"/>
              <w:bottom w:val="single" w:color="auto" w:sz="8" w:space="0"/>
              <w:right w:val="single" w:color="auto" w:sz="8" w:space="0"/>
            </w:tcBorders>
            <w:vAlign w:val="center"/>
          </w:tcPr>
          <w:p w14:paraId="58742F11">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详见“第一章 招标公告二、申请人的资格要求”</w:t>
            </w:r>
          </w:p>
        </w:tc>
      </w:tr>
      <w:tr w14:paraId="09F5203B">
        <w:tblPrEx>
          <w:tblCellMar>
            <w:top w:w="0" w:type="dxa"/>
            <w:left w:w="0" w:type="dxa"/>
            <w:bottom w:w="0" w:type="dxa"/>
            <w:right w:w="0" w:type="dxa"/>
          </w:tblCellMar>
        </w:tblPrEx>
        <w:trPr>
          <w:trHeight w:val="61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9112236">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1.4.2</w:t>
            </w:r>
          </w:p>
        </w:tc>
        <w:tc>
          <w:tcPr>
            <w:tcW w:w="2009" w:type="dxa"/>
            <w:tcBorders>
              <w:top w:val="single" w:color="auto" w:sz="8" w:space="0"/>
              <w:left w:val="nil"/>
              <w:bottom w:val="single" w:color="auto" w:sz="8" w:space="0"/>
              <w:right w:val="single" w:color="auto" w:sz="8" w:space="0"/>
            </w:tcBorders>
            <w:vAlign w:val="center"/>
          </w:tcPr>
          <w:p w14:paraId="5A0668D9">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是否接受联合体投标</w:t>
            </w:r>
          </w:p>
        </w:tc>
        <w:tc>
          <w:tcPr>
            <w:tcW w:w="6826" w:type="dxa"/>
            <w:tcBorders>
              <w:top w:val="single" w:color="auto" w:sz="8" w:space="0"/>
              <w:left w:val="nil"/>
              <w:bottom w:val="single" w:color="auto" w:sz="8" w:space="0"/>
              <w:right w:val="single" w:color="auto" w:sz="8" w:space="0"/>
            </w:tcBorders>
            <w:vAlign w:val="center"/>
          </w:tcPr>
          <w:p w14:paraId="6F2A9555">
            <w:pPr>
              <w:shd w:val="clear" w:color="auto" w:fill="auto"/>
              <w:spacing w:line="400" w:lineRule="exact"/>
              <w:jc w:val="left"/>
              <w:rPr>
                <w:rFonts w:hint="default" w:ascii="宋体" w:hAnsi="宋体" w:eastAsia="宋体" w:cs="宋体"/>
                <w:color w:val="000000"/>
                <w:highlight w:val="none"/>
                <w:lang w:val="en-US" w:eastAsia="zh-CN"/>
              </w:rPr>
            </w:pPr>
            <w:r>
              <w:rPr>
                <w:rFonts w:hint="eastAsia" w:ascii="宋体" w:hAnsi="宋体" w:cs="宋体"/>
                <w:color w:val="000000"/>
                <w:sz w:val="24"/>
                <w:szCs w:val="24"/>
                <w:highlight w:val="none"/>
                <w:u w:val="none"/>
                <w:lang w:val="en-US" w:eastAsia="zh-CN"/>
              </w:rPr>
              <w:t>本项目不接受联合体投标</w:t>
            </w:r>
          </w:p>
        </w:tc>
      </w:tr>
      <w:tr w14:paraId="43C6E8A9">
        <w:tblPrEx>
          <w:tblCellMar>
            <w:top w:w="0" w:type="dxa"/>
            <w:left w:w="0" w:type="dxa"/>
            <w:bottom w:w="0" w:type="dxa"/>
            <w:right w:w="0" w:type="dxa"/>
          </w:tblCellMar>
        </w:tblPrEx>
        <w:trPr>
          <w:trHeight w:val="1238"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608CDA6">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1.9.1</w:t>
            </w:r>
          </w:p>
        </w:tc>
        <w:tc>
          <w:tcPr>
            <w:tcW w:w="2009" w:type="dxa"/>
            <w:tcBorders>
              <w:top w:val="single" w:color="auto" w:sz="8" w:space="0"/>
              <w:left w:val="nil"/>
              <w:bottom w:val="single" w:color="auto" w:sz="8" w:space="0"/>
              <w:right w:val="single" w:color="auto" w:sz="8" w:space="0"/>
            </w:tcBorders>
            <w:vAlign w:val="center"/>
          </w:tcPr>
          <w:p w14:paraId="39C33CB4">
            <w:pPr>
              <w:shd w:val="clear" w:color="auto" w:fill="auto"/>
              <w:spacing w:line="400" w:lineRule="exact"/>
              <w:jc w:val="center"/>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rPr>
              <w:t>现场</w:t>
            </w:r>
            <w:r>
              <w:rPr>
                <w:rFonts w:hint="eastAsia" w:ascii="宋体" w:hAnsi="宋体" w:cs="宋体"/>
                <w:color w:val="000000"/>
                <w:kern w:val="2"/>
                <w:sz w:val="24"/>
                <w:szCs w:val="24"/>
                <w:highlight w:val="none"/>
                <w:lang w:val="en-US" w:eastAsia="zh-CN"/>
              </w:rPr>
              <w:t>踏勘</w:t>
            </w:r>
          </w:p>
        </w:tc>
        <w:tc>
          <w:tcPr>
            <w:tcW w:w="6826" w:type="dxa"/>
            <w:tcBorders>
              <w:top w:val="single" w:color="auto" w:sz="8" w:space="0"/>
              <w:left w:val="nil"/>
              <w:bottom w:val="single" w:color="auto" w:sz="8" w:space="0"/>
              <w:right w:val="single" w:color="auto" w:sz="8" w:space="0"/>
            </w:tcBorders>
            <w:vAlign w:val="center"/>
          </w:tcPr>
          <w:p w14:paraId="6D3D5475">
            <w:pPr>
              <w:shd w:val="clear" w:color="auto" w:fill="auto"/>
              <w:spacing w:line="400" w:lineRule="exact"/>
              <w:rPr>
                <w:rFonts w:hint="eastAsia" w:ascii="宋体" w:hAnsi="宋体" w:cs="宋体"/>
                <w:color w:val="000000"/>
                <w:kern w:val="2"/>
                <w:sz w:val="24"/>
                <w:szCs w:val="24"/>
                <w:highlight w:val="none"/>
              </w:rPr>
            </w:pPr>
            <w:r>
              <w:rPr>
                <w:color w:val="000000" w:themeColor="text1"/>
                <w:spacing w:val="0"/>
                <w:w w:val="100"/>
                <w:position w:val="0"/>
                <w:sz w:val="24"/>
                <w:szCs w:val="24"/>
                <w:highlight w:val="none"/>
                <w14:textFill>
                  <w14:solidFill>
                    <w14:schemeClr w14:val="tx1"/>
                  </w14:solidFill>
                </w14:textFill>
              </w:rPr>
              <w:t>投标人</w:t>
            </w:r>
            <w:r>
              <w:rPr>
                <w:rFonts w:hint="eastAsia"/>
                <w:color w:val="000000" w:themeColor="text1"/>
                <w:spacing w:val="0"/>
                <w:w w:val="100"/>
                <w:position w:val="0"/>
                <w:sz w:val="24"/>
                <w:szCs w:val="24"/>
                <w:highlight w:val="none"/>
                <w:lang w:eastAsia="zh-CN"/>
                <w14:textFill>
                  <w14:solidFill>
                    <w14:schemeClr w14:val="tx1"/>
                  </w14:solidFill>
                </w14:textFill>
              </w:rPr>
              <w:t>招标文件下载成功</w:t>
            </w:r>
            <w:r>
              <w:rPr>
                <w:color w:val="000000" w:themeColor="text1"/>
                <w:spacing w:val="0"/>
                <w:w w:val="100"/>
                <w:position w:val="0"/>
                <w:sz w:val="24"/>
                <w:szCs w:val="24"/>
                <w:highlight w:val="none"/>
                <w14:textFill>
                  <w14:solidFill>
                    <w14:schemeClr w14:val="tx1"/>
                  </w14:solidFill>
                </w14:textFill>
              </w:rPr>
              <w:t>后，可于项目正式开标前自行组织到项目所在地进行现场踏勘</w:t>
            </w:r>
            <w:r>
              <w:rPr>
                <w:rFonts w:hint="eastAsia"/>
                <w:color w:val="000000" w:themeColor="text1"/>
                <w:spacing w:val="0"/>
                <w:w w:val="100"/>
                <w:position w:val="0"/>
                <w:sz w:val="24"/>
                <w:szCs w:val="24"/>
                <w:highlight w:val="none"/>
                <w:lang w:eastAsia="zh-CN"/>
                <w14:textFill>
                  <w14:solidFill>
                    <w14:schemeClr w14:val="tx1"/>
                  </w14:solidFill>
                </w14:textFill>
              </w:rPr>
              <w:t>，</w:t>
            </w:r>
            <w:r>
              <w:rPr>
                <w:color w:val="000000" w:themeColor="text1"/>
                <w:spacing w:val="0"/>
                <w:w w:val="100"/>
                <w:position w:val="0"/>
                <w:sz w:val="24"/>
                <w:szCs w:val="24"/>
                <w:highlight w:val="none"/>
                <w14:textFill>
                  <w14:solidFill>
                    <w14:schemeClr w14:val="tx1"/>
                  </w14:solidFill>
                </w14:textFill>
              </w:rPr>
              <w:t>现场踏勘前请先联系招标单位联系人，踏勘时应严格遵守</w:t>
            </w:r>
            <w:r>
              <w:rPr>
                <w:rFonts w:hint="eastAsia"/>
                <w:color w:val="000000" w:themeColor="text1"/>
                <w:spacing w:val="0"/>
                <w:w w:val="100"/>
                <w:position w:val="0"/>
                <w:sz w:val="24"/>
                <w:szCs w:val="24"/>
                <w:highlight w:val="none"/>
                <w:lang w:eastAsia="zh-CN"/>
                <w14:textFill>
                  <w14:solidFill>
                    <w14:schemeClr w14:val="tx1"/>
                  </w14:solidFill>
                </w14:textFill>
              </w:rPr>
              <w:t>招标人</w:t>
            </w:r>
            <w:r>
              <w:rPr>
                <w:color w:val="000000" w:themeColor="text1"/>
                <w:spacing w:val="0"/>
                <w:w w:val="100"/>
                <w:position w:val="0"/>
                <w:sz w:val="24"/>
                <w:szCs w:val="24"/>
                <w:highlight w:val="none"/>
                <w14:textFill>
                  <w14:solidFill>
                    <w14:schemeClr w14:val="tx1"/>
                  </w14:solidFill>
                </w14:textFill>
              </w:rPr>
              <w:t>的相关规定及要求，同时投标人应承担现场踏勘的所有费用及探勘过程中及踏勘后的各种风险。</w:t>
            </w:r>
          </w:p>
        </w:tc>
      </w:tr>
      <w:tr w14:paraId="02063BC6">
        <w:tblPrEx>
          <w:tblCellMar>
            <w:top w:w="0" w:type="dxa"/>
            <w:left w:w="0" w:type="dxa"/>
            <w:bottom w:w="0" w:type="dxa"/>
            <w:right w:w="0" w:type="dxa"/>
          </w:tblCellMar>
        </w:tblPrEx>
        <w:trPr>
          <w:trHeight w:val="99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579ABE0">
            <w:pPr>
              <w:shd w:val="clear" w:color="auto" w:fill="auto"/>
              <w:spacing w:line="400" w:lineRule="exact"/>
              <w:jc w:val="center"/>
              <w:rPr>
                <w:rFonts w:hint="eastAsia" w:ascii="宋体" w:hAnsi="宋体" w:cs="宋体"/>
                <w:b/>
                <w:bCs/>
                <w:color w:val="000000"/>
                <w:kern w:val="2"/>
                <w:sz w:val="24"/>
                <w:szCs w:val="24"/>
                <w:highlight w:val="none"/>
              </w:rPr>
            </w:pPr>
            <w:r>
              <w:rPr>
                <w:rFonts w:hint="eastAsia" w:ascii="宋体" w:hAnsi="宋体" w:cs="宋体"/>
                <w:b/>
                <w:bCs/>
                <w:color w:val="000000"/>
                <w:kern w:val="2"/>
                <w:sz w:val="24"/>
                <w:szCs w:val="24"/>
                <w:highlight w:val="none"/>
              </w:rPr>
              <w:t>1.10</w:t>
            </w:r>
          </w:p>
          <w:p w14:paraId="571E9A6F">
            <w:pPr>
              <w:shd w:val="clear" w:color="auto" w:fill="auto"/>
              <w:spacing w:line="400" w:lineRule="exact"/>
              <w:jc w:val="center"/>
              <w:rPr>
                <w:rFonts w:hint="eastAsia" w:ascii="宋体" w:hAnsi="宋体" w:cs="宋体"/>
                <w:color w:val="000000"/>
                <w:highlight w:val="none"/>
              </w:rPr>
            </w:pPr>
            <w:r>
              <w:rPr>
                <w:rFonts w:hint="eastAsia" w:ascii="宋体" w:hAnsi="宋体" w:cs="宋体"/>
                <w:b/>
                <w:bCs/>
                <w:color w:val="000000"/>
                <w:kern w:val="2"/>
                <w:sz w:val="24"/>
                <w:szCs w:val="24"/>
                <w:highlight w:val="none"/>
              </w:rPr>
              <w:t>3.5.2</w:t>
            </w:r>
          </w:p>
        </w:tc>
        <w:tc>
          <w:tcPr>
            <w:tcW w:w="2009" w:type="dxa"/>
            <w:tcBorders>
              <w:top w:val="single" w:color="auto" w:sz="8" w:space="0"/>
              <w:left w:val="nil"/>
              <w:bottom w:val="single" w:color="auto" w:sz="8" w:space="0"/>
              <w:right w:val="single" w:color="auto" w:sz="8" w:space="0"/>
            </w:tcBorders>
            <w:vAlign w:val="center"/>
          </w:tcPr>
          <w:p w14:paraId="18F8A210">
            <w:pPr>
              <w:shd w:val="clear" w:color="auto" w:fill="auto"/>
              <w:spacing w:line="400" w:lineRule="exact"/>
              <w:jc w:val="center"/>
              <w:rPr>
                <w:rFonts w:hint="eastAsia" w:ascii="宋体" w:hAnsi="宋体" w:cs="宋体"/>
                <w:b/>
                <w:bCs/>
                <w:color w:val="000000"/>
                <w:kern w:val="2"/>
                <w:sz w:val="24"/>
                <w:szCs w:val="24"/>
                <w:highlight w:val="none"/>
              </w:rPr>
            </w:pPr>
            <w:r>
              <w:rPr>
                <w:rFonts w:hint="eastAsia" w:ascii="宋体" w:hAnsi="宋体" w:cs="宋体"/>
                <w:b/>
                <w:bCs/>
                <w:color w:val="000000"/>
                <w:kern w:val="2"/>
                <w:sz w:val="24"/>
                <w:szCs w:val="24"/>
                <w:highlight w:val="none"/>
              </w:rPr>
              <w:t>不允许偏离的实质性要求和条件</w:t>
            </w:r>
          </w:p>
        </w:tc>
        <w:tc>
          <w:tcPr>
            <w:tcW w:w="6826" w:type="dxa"/>
            <w:tcBorders>
              <w:top w:val="single" w:color="auto" w:sz="8" w:space="0"/>
              <w:left w:val="nil"/>
              <w:bottom w:val="single" w:color="auto" w:sz="8" w:space="0"/>
              <w:right w:val="single" w:color="auto" w:sz="8" w:space="0"/>
            </w:tcBorders>
            <w:vAlign w:val="center"/>
          </w:tcPr>
          <w:p w14:paraId="415FA9E3">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b/>
                <w:bCs/>
                <w:color w:val="000000"/>
                <w:kern w:val="2"/>
                <w:sz w:val="24"/>
                <w:szCs w:val="24"/>
                <w:highlight w:val="none"/>
              </w:rPr>
              <w:t>资格要求和符合性审查不允许负偏离</w:t>
            </w:r>
          </w:p>
        </w:tc>
      </w:tr>
      <w:tr w14:paraId="3DAABBE8">
        <w:tblPrEx>
          <w:tblCellMar>
            <w:top w:w="0" w:type="dxa"/>
            <w:left w:w="0" w:type="dxa"/>
            <w:bottom w:w="0" w:type="dxa"/>
            <w:right w:w="0" w:type="dxa"/>
          </w:tblCellMar>
        </w:tblPrEx>
        <w:trPr>
          <w:trHeight w:val="38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5EEFEA8">
            <w:pPr>
              <w:shd w:val="clear" w:color="auto" w:fill="auto"/>
              <w:spacing w:line="400" w:lineRule="exact"/>
              <w:jc w:val="center"/>
              <w:rPr>
                <w:rFonts w:hint="eastAsia" w:ascii="宋体" w:hAnsi="宋体" w:cs="宋体"/>
                <w:color w:val="000000"/>
                <w:kern w:val="2"/>
                <w:sz w:val="24"/>
                <w:szCs w:val="24"/>
                <w:highlight w:val="none"/>
              </w:rPr>
            </w:pPr>
            <w:bookmarkStart w:id="78" w:name="page17"/>
            <w:bookmarkEnd w:id="78"/>
            <w:r>
              <w:rPr>
                <w:rFonts w:hint="eastAsia" w:ascii="宋体" w:hAnsi="宋体" w:cs="宋体"/>
                <w:color w:val="000000"/>
                <w:kern w:val="2"/>
                <w:sz w:val="24"/>
                <w:szCs w:val="24"/>
                <w:highlight w:val="none"/>
              </w:rPr>
              <w:t>2.1</w:t>
            </w:r>
          </w:p>
        </w:tc>
        <w:tc>
          <w:tcPr>
            <w:tcW w:w="2009" w:type="dxa"/>
            <w:tcBorders>
              <w:top w:val="single" w:color="auto" w:sz="8" w:space="0"/>
              <w:left w:val="nil"/>
              <w:bottom w:val="single" w:color="auto" w:sz="8" w:space="0"/>
              <w:right w:val="single" w:color="auto" w:sz="8" w:space="0"/>
            </w:tcBorders>
            <w:vAlign w:val="center"/>
          </w:tcPr>
          <w:p w14:paraId="6A77DF13">
            <w:pPr>
              <w:pStyle w:val="71"/>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构成招标文件的其他资料</w:t>
            </w:r>
          </w:p>
        </w:tc>
        <w:tc>
          <w:tcPr>
            <w:tcW w:w="6826" w:type="dxa"/>
            <w:tcBorders>
              <w:top w:val="single" w:color="auto" w:sz="8" w:space="0"/>
              <w:left w:val="nil"/>
              <w:bottom w:val="single" w:color="auto" w:sz="8" w:space="0"/>
              <w:right w:val="single" w:color="auto" w:sz="8" w:space="0"/>
            </w:tcBorders>
            <w:vAlign w:val="center"/>
          </w:tcPr>
          <w:p w14:paraId="79A685D5">
            <w:pPr>
              <w:pStyle w:val="71"/>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澄清、修改等内容</w:t>
            </w:r>
          </w:p>
        </w:tc>
      </w:tr>
      <w:tr w14:paraId="15CD991A">
        <w:tblPrEx>
          <w:tblCellMar>
            <w:top w:w="0" w:type="dxa"/>
            <w:left w:w="0" w:type="dxa"/>
            <w:bottom w:w="0" w:type="dxa"/>
            <w:right w:w="0" w:type="dxa"/>
          </w:tblCellMar>
        </w:tblPrEx>
        <w:trPr>
          <w:trHeight w:val="52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B8623F6">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2.2.2</w:t>
            </w:r>
          </w:p>
        </w:tc>
        <w:tc>
          <w:tcPr>
            <w:tcW w:w="2009" w:type="dxa"/>
            <w:tcBorders>
              <w:top w:val="single" w:color="auto" w:sz="8" w:space="0"/>
              <w:left w:val="nil"/>
              <w:bottom w:val="single" w:color="auto" w:sz="8" w:space="0"/>
              <w:right w:val="single" w:color="auto" w:sz="8" w:space="0"/>
            </w:tcBorders>
            <w:vAlign w:val="center"/>
          </w:tcPr>
          <w:p w14:paraId="1B3897B2">
            <w:pPr>
              <w:pStyle w:val="71"/>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招标文件澄清发出的形式</w:t>
            </w:r>
          </w:p>
        </w:tc>
        <w:tc>
          <w:tcPr>
            <w:tcW w:w="6826" w:type="dxa"/>
            <w:tcBorders>
              <w:top w:val="single" w:color="auto" w:sz="8" w:space="0"/>
              <w:left w:val="nil"/>
              <w:bottom w:val="single" w:color="auto" w:sz="8" w:space="0"/>
              <w:right w:val="single" w:color="auto" w:sz="8" w:space="0"/>
            </w:tcBorders>
            <w:vAlign w:val="center"/>
          </w:tcPr>
          <w:p w14:paraId="3A8209D4">
            <w:pPr>
              <w:pStyle w:val="71"/>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在公告发布媒介上发布澄清公告</w:t>
            </w:r>
          </w:p>
        </w:tc>
      </w:tr>
      <w:tr w14:paraId="57DAEE4E">
        <w:tblPrEx>
          <w:tblCellMar>
            <w:top w:w="0" w:type="dxa"/>
            <w:left w:w="0" w:type="dxa"/>
            <w:bottom w:w="0" w:type="dxa"/>
            <w:right w:w="0" w:type="dxa"/>
          </w:tblCellMar>
        </w:tblPrEx>
        <w:trPr>
          <w:trHeight w:val="894" w:hRule="atLeast"/>
          <w:jc w:val="center"/>
        </w:trPr>
        <w:tc>
          <w:tcPr>
            <w:tcW w:w="1047" w:type="dxa"/>
            <w:tcBorders>
              <w:top w:val="nil"/>
              <w:left w:val="single" w:color="auto" w:sz="8" w:space="0"/>
              <w:bottom w:val="single" w:color="auto" w:sz="8" w:space="0"/>
              <w:right w:val="single" w:color="auto" w:sz="8" w:space="0"/>
            </w:tcBorders>
            <w:vAlign w:val="center"/>
          </w:tcPr>
          <w:p w14:paraId="522A1FE4">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2.2.3</w:t>
            </w:r>
          </w:p>
        </w:tc>
        <w:tc>
          <w:tcPr>
            <w:tcW w:w="2009" w:type="dxa"/>
            <w:tcBorders>
              <w:top w:val="nil"/>
              <w:left w:val="nil"/>
              <w:bottom w:val="single" w:color="auto" w:sz="8" w:space="0"/>
              <w:right w:val="single" w:color="auto" w:sz="8" w:space="0"/>
            </w:tcBorders>
            <w:vAlign w:val="center"/>
          </w:tcPr>
          <w:p w14:paraId="6C57B878">
            <w:pPr>
              <w:pStyle w:val="71"/>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投标人确认收到招标文件澄清</w:t>
            </w:r>
          </w:p>
        </w:tc>
        <w:tc>
          <w:tcPr>
            <w:tcW w:w="6826" w:type="dxa"/>
            <w:tcBorders>
              <w:top w:val="single" w:color="auto" w:sz="8" w:space="0"/>
              <w:left w:val="nil"/>
              <w:bottom w:val="single" w:color="auto" w:sz="8" w:space="0"/>
              <w:right w:val="single" w:color="auto" w:sz="8" w:space="0"/>
            </w:tcBorders>
            <w:vAlign w:val="center"/>
          </w:tcPr>
          <w:p w14:paraId="53A6E677">
            <w:pPr>
              <w:pStyle w:val="71"/>
              <w:shd w:val="clear" w:color="auto" w:fill="auto"/>
              <w:spacing w:line="400" w:lineRule="exact"/>
              <w:rPr>
                <w:rFonts w:hint="eastAsia" w:ascii="宋体" w:hAnsi="宋体" w:cs="宋体"/>
                <w:color w:val="000000"/>
                <w:kern w:val="2"/>
                <w:sz w:val="24"/>
                <w:szCs w:val="24"/>
                <w:highlight w:val="none"/>
                <w:u w:val="single"/>
              </w:rPr>
            </w:pPr>
            <w:r>
              <w:rPr>
                <w:rFonts w:hint="eastAsia" w:ascii="宋体" w:hAnsi="宋体" w:cs="宋体"/>
                <w:color w:val="000000"/>
                <w:kern w:val="2"/>
                <w:sz w:val="24"/>
                <w:szCs w:val="24"/>
                <w:highlight w:val="none"/>
              </w:rPr>
              <w:t>24小时内</w:t>
            </w:r>
          </w:p>
        </w:tc>
      </w:tr>
      <w:tr w14:paraId="3F9FF9B5">
        <w:tblPrEx>
          <w:tblCellMar>
            <w:top w:w="0" w:type="dxa"/>
            <w:left w:w="0" w:type="dxa"/>
            <w:bottom w:w="0" w:type="dxa"/>
            <w:right w:w="0" w:type="dxa"/>
          </w:tblCellMar>
        </w:tblPrEx>
        <w:trPr>
          <w:trHeight w:val="559"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3CBFCEC8">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2.3.1</w:t>
            </w:r>
          </w:p>
        </w:tc>
        <w:tc>
          <w:tcPr>
            <w:tcW w:w="2009" w:type="dxa"/>
            <w:tcBorders>
              <w:top w:val="single" w:color="auto" w:sz="8" w:space="0"/>
              <w:left w:val="nil"/>
              <w:bottom w:val="single" w:color="auto" w:sz="8" w:space="0"/>
              <w:right w:val="single" w:color="auto" w:sz="8" w:space="0"/>
            </w:tcBorders>
            <w:vAlign w:val="center"/>
          </w:tcPr>
          <w:p w14:paraId="3D1BD10B">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招标文件修改发出的形式</w:t>
            </w:r>
          </w:p>
        </w:tc>
        <w:tc>
          <w:tcPr>
            <w:tcW w:w="6826" w:type="dxa"/>
            <w:tcBorders>
              <w:top w:val="single" w:color="auto" w:sz="8" w:space="0"/>
              <w:left w:val="nil"/>
              <w:bottom w:val="single" w:color="auto" w:sz="8" w:space="0"/>
              <w:right w:val="single" w:color="auto" w:sz="8" w:space="0"/>
            </w:tcBorders>
            <w:vAlign w:val="center"/>
          </w:tcPr>
          <w:p w14:paraId="1238C1F1">
            <w:pPr>
              <w:pStyle w:val="71"/>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在公告发布媒介上发布澄清公告</w:t>
            </w:r>
          </w:p>
        </w:tc>
      </w:tr>
      <w:tr w14:paraId="0C672534">
        <w:tblPrEx>
          <w:tblCellMar>
            <w:top w:w="0" w:type="dxa"/>
            <w:left w:w="0" w:type="dxa"/>
            <w:bottom w:w="0" w:type="dxa"/>
            <w:right w:w="0" w:type="dxa"/>
          </w:tblCellMar>
        </w:tblPrEx>
        <w:trPr>
          <w:trHeight w:val="910" w:hRule="atLeast"/>
          <w:jc w:val="center"/>
        </w:trPr>
        <w:tc>
          <w:tcPr>
            <w:tcW w:w="1047" w:type="dxa"/>
            <w:tcBorders>
              <w:top w:val="nil"/>
              <w:left w:val="single" w:color="auto" w:sz="8" w:space="0"/>
              <w:bottom w:val="single" w:color="auto" w:sz="8" w:space="0"/>
              <w:right w:val="single" w:color="auto" w:sz="8" w:space="0"/>
            </w:tcBorders>
            <w:vAlign w:val="center"/>
          </w:tcPr>
          <w:p w14:paraId="609889A7">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2.3.2</w:t>
            </w:r>
          </w:p>
        </w:tc>
        <w:tc>
          <w:tcPr>
            <w:tcW w:w="2009" w:type="dxa"/>
            <w:tcBorders>
              <w:top w:val="nil"/>
              <w:left w:val="nil"/>
              <w:bottom w:val="single" w:color="auto" w:sz="8" w:space="0"/>
              <w:right w:val="single" w:color="auto" w:sz="8" w:space="0"/>
            </w:tcBorders>
            <w:vAlign w:val="center"/>
          </w:tcPr>
          <w:p w14:paraId="44F4B461">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投标人确认收到招标文件修改</w:t>
            </w:r>
          </w:p>
        </w:tc>
        <w:tc>
          <w:tcPr>
            <w:tcW w:w="6826" w:type="dxa"/>
            <w:tcBorders>
              <w:top w:val="single" w:color="auto" w:sz="8" w:space="0"/>
              <w:left w:val="nil"/>
              <w:bottom w:val="single" w:color="auto" w:sz="8" w:space="0"/>
              <w:right w:val="single" w:color="auto" w:sz="8" w:space="0"/>
            </w:tcBorders>
            <w:vAlign w:val="center"/>
          </w:tcPr>
          <w:p w14:paraId="7101B228">
            <w:pPr>
              <w:pStyle w:val="71"/>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24小时内</w:t>
            </w:r>
          </w:p>
        </w:tc>
      </w:tr>
      <w:tr w14:paraId="10BC829D">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0A4D3E1">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3.2.3</w:t>
            </w:r>
          </w:p>
        </w:tc>
        <w:tc>
          <w:tcPr>
            <w:tcW w:w="2009" w:type="dxa"/>
            <w:tcBorders>
              <w:top w:val="single" w:color="auto" w:sz="8" w:space="0"/>
              <w:left w:val="nil"/>
              <w:bottom w:val="single" w:color="auto" w:sz="8" w:space="0"/>
              <w:right w:val="single" w:color="auto" w:sz="8" w:space="0"/>
            </w:tcBorders>
            <w:vAlign w:val="center"/>
          </w:tcPr>
          <w:p w14:paraId="0FE8C0BB">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最高限价</w:t>
            </w:r>
          </w:p>
        </w:tc>
        <w:tc>
          <w:tcPr>
            <w:tcW w:w="6826" w:type="dxa"/>
            <w:tcBorders>
              <w:top w:val="single" w:color="auto" w:sz="8" w:space="0"/>
              <w:left w:val="nil"/>
              <w:bottom w:val="single" w:color="auto" w:sz="8" w:space="0"/>
              <w:right w:val="single" w:color="auto" w:sz="8" w:space="0"/>
            </w:tcBorders>
            <w:vAlign w:val="center"/>
          </w:tcPr>
          <w:p w14:paraId="78FA4E67">
            <w:pPr>
              <w:pStyle w:val="14"/>
              <w:shd w:val="clear" w:color="auto" w:fill="auto"/>
              <w:rPr>
                <w:rFonts w:hint="eastAsia" w:ascii="宋体" w:hAnsi="宋体" w:eastAsia="宋体" w:cs="宋体"/>
                <w:color w:val="000000"/>
                <w:sz w:val="24"/>
                <w:highlight w:val="none"/>
                <w:lang w:eastAsia="zh-CN"/>
              </w:rPr>
            </w:pPr>
            <w:r>
              <w:rPr>
                <w:rFonts w:hint="eastAsia" w:ascii="宋体" w:hAnsi="宋体" w:cs="宋体"/>
                <w:color w:val="auto"/>
                <w:kern w:val="2"/>
                <w:sz w:val="24"/>
                <w:szCs w:val="24"/>
                <w:highlight w:val="none"/>
                <w:lang w:val="en-US" w:eastAsia="zh-CN"/>
              </w:rPr>
              <w:t>本项目采用固定价格采购</w:t>
            </w:r>
          </w:p>
        </w:tc>
      </w:tr>
      <w:tr w14:paraId="0E0F6515">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BABD0FC">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3.2.4</w:t>
            </w:r>
          </w:p>
        </w:tc>
        <w:tc>
          <w:tcPr>
            <w:tcW w:w="2009" w:type="dxa"/>
            <w:tcBorders>
              <w:top w:val="single" w:color="auto" w:sz="8" w:space="0"/>
              <w:left w:val="nil"/>
              <w:bottom w:val="single" w:color="auto" w:sz="8" w:space="0"/>
              <w:right w:val="single" w:color="auto" w:sz="8" w:space="0"/>
            </w:tcBorders>
            <w:vAlign w:val="center"/>
          </w:tcPr>
          <w:p w14:paraId="7926508E">
            <w:pPr>
              <w:shd w:val="clear" w:color="auto" w:fill="auto"/>
              <w:spacing w:line="400" w:lineRule="exact"/>
              <w:jc w:val="center"/>
              <w:rPr>
                <w:rFonts w:hint="eastAsia" w:ascii="宋体" w:hAnsi="宋体" w:cs="宋体"/>
                <w:color w:val="auto"/>
                <w:kern w:val="2"/>
                <w:sz w:val="24"/>
                <w:szCs w:val="24"/>
                <w:highlight w:val="none"/>
              </w:rPr>
            </w:pPr>
            <w:r>
              <w:rPr>
                <w:rFonts w:hint="eastAsia" w:ascii="宋体" w:hAnsi="宋体" w:cs="宋体"/>
                <w:color w:val="auto"/>
                <w:kern w:val="2"/>
                <w:sz w:val="24"/>
                <w:szCs w:val="24"/>
                <w:highlight w:val="none"/>
              </w:rPr>
              <w:t>投标报价的其他要求</w:t>
            </w:r>
          </w:p>
        </w:tc>
        <w:tc>
          <w:tcPr>
            <w:tcW w:w="6826" w:type="dxa"/>
            <w:tcBorders>
              <w:top w:val="single" w:color="auto" w:sz="8" w:space="0"/>
              <w:left w:val="nil"/>
              <w:bottom w:val="single" w:color="auto" w:sz="8" w:space="0"/>
              <w:right w:val="single" w:color="auto" w:sz="8" w:space="0"/>
            </w:tcBorders>
            <w:vAlign w:val="center"/>
          </w:tcPr>
          <w:p w14:paraId="15C67F8D">
            <w:pPr>
              <w:spacing w:line="360" w:lineRule="auto"/>
              <w:rPr>
                <w:rFonts w:ascii="宋体" w:hAnsi="宋体" w:cs="宋体"/>
                <w:color w:val="auto"/>
                <w:sz w:val="24"/>
                <w:highlight w:val="none"/>
              </w:rPr>
            </w:pPr>
            <w:r>
              <w:rPr>
                <w:rFonts w:hint="eastAsia" w:ascii="宋体" w:hAnsi="宋体" w:cs="宋体"/>
                <w:color w:val="auto"/>
                <w:sz w:val="24"/>
                <w:highlight w:val="none"/>
              </w:rPr>
              <w:t>□不设采购控制价</w:t>
            </w:r>
          </w:p>
          <w:p w14:paraId="136570F5">
            <w:pPr>
              <w:pStyle w:val="14"/>
              <w:shd w:val="clear" w:color="auto" w:fill="auto"/>
              <w:ind w:firstLine="480" w:firstLineChars="200"/>
              <w:rPr>
                <w:rFonts w:hint="default" w:ascii="宋体" w:hAnsi="宋体" w:cs="宋体"/>
                <w:bCs/>
                <w:color w:val="auto"/>
                <w:sz w:val="24"/>
                <w:highlight w:val="none"/>
                <w:lang w:val="en-US" w:eastAsia="zh-CN"/>
              </w:rPr>
            </w:pPr>
            <w:r>
              <w:rPr>
                <w:rFonts w:hint="eastAsia" w:ascii="MS Mincho" w:hAnsi="MS Mincho" w:eastAsia="MS Mincho" w:cs="MS Mincho"/>
                <w:color w:val="auto"/>
                <w:sz w:val="24"/>
                <w:highlight w:val="none"/>
              </w:rPr>
              <w:t>☑</w:t>
            </w:r>
            <w:r>
              <w:rPr>
                <w:rFonts w:hint="eastAsia" w:ascii="宋体" w:hAnsi="宋体" w:cs="宋体"/>
                <w:color w:val="auto"/>
                <w:sz w:val="24"/>
                <w:highlight w:val="none"/>
              </w:rPr>
              <w:t>设采购控制价，采购控制价为：</w:t>
            </w:r>
            <w:r>
              <w:rPr>
                <w:rFonts w:hint="eastAsia" w:ascii="宋体" w:hAnsi="宋体" w:cs="宋体"/>
                <w:color w:val="auto"/>
                <w:sz w:val="24"/>
                <w:szCs w:val="24"/>
                <w:highlight w:val="none"/>
                <w:lang w:val="en-US" w:eastAsia="zh-CN"/>
              </w:rPr>
              <w:t>300万元，一标段90万元，二标段80万元，三标段70万元，四标段60万元</w:t>
            </w:r>
            <w:r>
              <w:rPr>
                <w:rFonts w:hint="eastAsia" w:ascii="宋体" w:hAnsi="宋体" w:cs="宋体"/>
                <w:bCs/>
                <w:color w:val="auto"/>
                <w:sz w:val="24"/>
                <w:highlight w:val="none"/>
              </w:rPr>
              <w:t>，</w:t>
            </w:r>
            <w:r>
              <w:rPr>
                <w:rFonts w:hint="eastAsia" w:ascii="宋体" w:hAnsi="宋体" w:cs="宋体"/>
                <w:bCs/>
                <w:color w:val="auto"/>
                <w:sz w:val="24"/>
                <w:highlight w:val="none"/>
                <w:lang w:val="en-US" w:eastAsia="zh-CN"/>
              </w:rPr>
              <w:t>投标报价为：</w:t>
            </w:r>
            <w:r>
              <w:rPr>
                <w:rFonts w:hint="eastAsia" w:ascii="宋体" w:hAnsi="宋体" w:cs="宋体"/>
                <w:bCs/>
                <w:color w:val="auto"/>
                <w:sz w:val="24"/>
                <w:highlight w:val="none"/>
              </w:rPr>
              <w:t>总价</w:t>
            </w:r>
            <w:r>
              <w:rPr>
                <w:rFonts w:hint="eastAsia" w:ascii="宋体" w:hAnsi="宋体" w:cs="宋体"/>
                <w:bCs/>
                <w:color w:val="auto"/>
                <w:sz w:val="24"/>
                <w:highlight w:val="none"/>
                <w:lang w:val="en-US" w:eastAsia="zh-CN"/>
              </w:rPr>
              <w:t>包干，</w:t>
            </w:r>
            <w:r>
              <w:rPr>
                <w:rFonts w:hint="eastAsia" w:ascii="宋体" w:hAnsi="宋体" w:cs="宋体"/>
                <w:bCs/>
                <w:color w:val="auto"/>
                <w:sz w:val="24"/>
                <w:highlight w:val="none"/>
              </w:rPr>
              <w:t>不得超过此预算价，否则将作为投标无效处理。</w:t>
            </w:r>
          </w:p>
        </w:tc>
      </w:tr>
      <w:tr w14:paraId="15A3BDF3">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1D51D45">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3.3.1</w:t>
            </w:r>
          </w:p>
        </w:tc>
        <w:tc>
          <w:tcPr>
            <w:tcW w:w="2009" w:type="dxa"/>
            <w:tcBorders>
              <w:top w:val="single" w:color="auto" w:sz="8" w:space="0"/>
              <w:left w:val="nil"/>
              <w:bottom w:val="single" w:color="auto" w:sz="8" w:space="0"/>
              <w:right w:val="single" w:color="auto" w:sz="8" w:space="0"/>
            </w:tcBorders>
            <w:vAlign w:val="center"/>
          </w:tcPr>
          <w:p w14:paraId="265009AB">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投标有效期</w:t>
            </w:r>
          </w:p>
        </w:tc>
        <w:tc>
          <w:tcPr>
            <w:tcW w:w="6826" w:type="dxa"/>
            <w:tcBorders>
              <w:top w:val="single" w:color="auto" w:sz="8" w:space="0"/>
              <w:left w:val="nil"/>
              <w:bottom w:val="single" w:color="auto" w:sz="8" w:space="0"/>
              <w:right w:val="single" w:color="auto" w:sz="8" w:space="0"/>
            </w:tcBorders>
            <w:vAlign w:val="center"/>
          </w:tcPr>
          <w:p w14:paraId="538C7705">
            <w:pPr>
              <w:pStyle w:val="71"/>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投标有效期为</w:t>
            </w:r>
            <w:r>
              <w:rPr>
                <w:rFonts w:hint="eastAsia" w:ascii="宋体" w:hAnsi="宋体" w:cs="宋体"/>
                <w:color w:val="000000"/>
                <w:kern w:val="2"/>
                <w:sz w:val="24"/>
                <w:szCs w:val="24"/>
                <w:highlight w:val="none"/>
                <w:u w:val="single"/>
              </w:rPr>
              <w:t>90</w:t>
            </w:r>
            <w:r>
              <w:rPr>
                <w:rFonts w:hint="eastAsia" w:ascii="宋体" w:hAnsi="宋体" w:cs="宋体"/>
                <w:color w:val="000000"/>
                <w:kern w:val="2"/>
                <w:sz w:val="24"/>
                <w:szCs w:val="24"/>
                <w:highlight w:val="none"/>
              </w:rPr>
              <w:t>日历天</w:t>
            </w:r>
            <w:r>
              <w:rPr>
                <w:rFonts w:hint="eastAsia" w:ascii="宋体" w:hAnsi="宋体" w:cs="宋体"/>
                <w:color w:val="000000"/>
                <w:sz w:val="24"/>
                <w:szCs w:val="24"/>
                <w:highlight w:val="none"/>
              </w:rPr>
              <w:t>（从投标截止之日算起）</w:t>
            </w:r>
            <w:r>
              <w:rPr>
                <w:rFonts w:hint="eastAsia" w:ascii="宋体" w:hAnsi="宋体" w:cs="宋体"/>
                <w:color w:val="000000"/>
                <w:kern w:val="2"/>
                <w:sz w:val="24"/>
                <w:szCs w:val="24"/>
                <w:highlight w:val="none"/>
              </w:rPr>
              <w:t>。</w:t>
            </w:r>
          </w:p>
        </w:tc>
      </w:tr>
      <w:tr w14:paraId="5F05D0DD">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1B0331F">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3.4.1</w:t>
            </w:r>
          </w:p>
        </w:tc>
        <w:tc>
          <w:tcPr>
            <w:tcW w:w="2009" w:type="dxa"/>
            <w:tcBorders>
              <w:top w:val="single" w:color="auto" w:sz="8" w:space="0"/>
              <w:left w:val="nil"/>
              <w:bottom w:val="single" w:color="auto" w:sz="8" w:space="0"/>
              <w:right w:val="single" w:color="auto" w:sz="8" w:space="0"/>
            </w:tcBorders>
            <w:vAlign w:val="center"/>
          </w:tcPr>
          <w:p w14:paraId="1471B6F3">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投标保证金</w:t>
            </w:r>
          </w:p>
        </w:tc>
        <w:tc>
          <w:tcPr>
            <w:tcW w:w="6826" w:type="dxa"/>
            <w:tcBorders>
              <w:top w:val="single" w:color="auto" w:sz="8" w:space="0"/>
              <w:left w:val="nil"/>
              <w:bottom w:val="single" w:color="auto" w:sz="8" w:space="0"/>
              <w:right w:val="single" w:color="auto" w:sz="8" w:space="0"/>
            </w:tcBorders>
            <w:vAlign w:val="center"/>
          </w:tcPr>
          <w:p w14:paraId="3D008A17">
            <w:pPr>
              <w:shd w:val="clear" w:color="auto" w:fill="auto"/>
              <w:wordWrap w:val="0"/>
              <w:autoSpaceDE w:val="0"/>
              <w:autoSpaceDN w:val="0"/>
              <w:spacing w:line="400" w:lineRule="exact"/>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无</w:t>
            </w:r>
          </w:p>
        </w:tc>
      </w:tr>
      <w:tr w14:paraId="0733ED4B">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1937FC7">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3.5.3</w:t>
            </w:r>
          </w:p>
        </w:tc>
        <w:tc>
          <w:tcPr>
            <w:tcW w:w="2009" w:type="dxa"/>
            <w:tcBorders>
              <w:top w:val="single" w:color="auto" w:sz="8" w:space="0"/>
              <w:left w:val="nil"/>
              <w:bottom w:val="single" w:color="auto" w:sz="8" w:space="0"/>
              <w:right w:val="single" w:color="auto" w:sz="8" w:space="0"/>
            </w:tcBorders>
            <w:vAlign w:val="center"/>
          </w:tcPr>
          <w:p w14:paraId="29C610DC">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rPr>
              <w:t>电子投标文件格式</w:t>
            </w:r>
          </w:p>
        </w:tc>
        <w:tc>
          <w:tcPr>
            <w:tcW w:w="6826" w:type="dxa"/>
            <w:tcBorders>
              <w:top w:val="single" w:color="auto" w:sz="8" w:space="0"/>
              <w:left w:val="nil"/>
              <w:bottom w:val="single" w:color="auto" w:sz="8" w:space="0"/>
              <w:right w:val="single" w:color="auto" w:sz="8" w:space="0"/>
            </w:tcBorders>
            <w:vAlign w:val="center"/>
          </w:tcPr>
          <w:p w14:paraId="0522D7FF">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sz w:val="24"/>
                <w:szCs w:val="24"/>
                <w:highlight w:val="none"/>
                <w:lang w:val="en-US" w:eastAsia="zh-CN"/>
              </w:rPr>
              <w:t>按政采云平台及投标文件格式要求编制</w:t>
            </w:r>
          </w:p>
        </w:tc>
      </w:tr>
      <w:tr w14:paraId="2EF22829">
        <w:tblPrEx>
          <w:tblCellMar>
            <w:top w:w="0" w:type="dxa"/>
            <w:left w:w="0" w:type="dxa"/>
            <w:bottom w:w="0" w:type="dxa"/>
            <w:right w:w="0" w:type="dxa"/>
          </w:tblCellMar>
        </w:tblPrEx>
        <w:trPr>
          <w:trHeight w:val="76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7207FC0">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4.1.1</w:t>
            </w:r>
          </w:p>
        </w:tc>
        <w:tc>
          <w:tcPr>
            <w:tcW w:w="2009" w:type="dxa"/>
            <w:tcBorders>
              <w:top w:val="single" w:color="auto" w:sz="8" w:space="0"/>
              <w:left w:val="nil"/>
              <w:bottom w:val="single" w:color="auto" w:sz="8" w:space="0"/>
              <w:right w:val="single" w:color="auto" w:sz="8" w:space="0"/>
            </w:tcBorders>
            <w:vAlign w:val="center"/>
          </w:tcPr>
          <w:p w14:paraId="3D981B61">
            <w:pPr>
              <w:shd w:val="clear" w:color="auto" w:fill="auto"/>
              <w:spacing w:line="400" w:lineRule="exact"/>
              <w:jc w:val="center"/>
              <w:rPr>
                <w:rFonts w:hint="eastAsia" w:ascii="宋体" w:hAnsi="宋体" w:cs="宋体"/>
                <w:color w:val="000000"/>
                <w:sz w:val="24"/>
                <w:szCs w:val="24"/>
                <w:highlight w:val="none"/>
              </w:rPr>
            </w:pPr>
            <w:r>
              <w:rPr>
                <w:rFonts w:hint="eastAsia" w:ascii="宋体" w:hAnsi="宋体" w:cs="宋体"/>
                <w:color w:val="000000"/>
                <w:kern w:val="2"/>
                <w:sz w:val="24"/>
                <w:szCs w:val="24"/>
                <w:highlight w:val="none"/>
              </w:rPr>
              <w:t>投标文件加密要求</w:t>
            </w:r>
          </w:p>
        </w:tc>
        <w:tc>
          <w:tcPr>
            <w:tcW w:w="6826" w:type="dxa"/>
            <w:tcBorders>
              <w:top w:val="single" w:color="auto" w:sz="8" w:space="0"/>
              <w:left w:val="nil"/>
              <w:bottom w:val="single" w:color="auto" w:sz="8" w:space="0"/>
              <w:right w:val="single" w:color="auto" w:sz="8" w:space="0"/>
            </w:tcBorders>
            <w:vAlign w:val="center"/>
          </w:tcPr>
          <w:p w14:paraId="2B1B928C">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CA锁加密</w:t>
            </w:r>
          </w:p>
        </w:tc>
      </w:tr>
      <w:tr w14:paraId="3A4ABD70">
        <w:tblPrEx>
          <w:tblCellMar>
            <w:top w:w="0" w:type="dxa"/>
            <w:left w:w="0" w:type="dxa"/>
            <w:bottom w:w="0" w:type="dxa"/>
            <w:right w:w="0" w:type="dxa"/>
          </w:tblCellMar>
        </w:tblPrEx>
        <w:trPr>
          <w:trHeight w:val="54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2738E65">
            <w:pPr>
              <w:shd w:val="clear" w:color="auto" w:fill="auto"/>
              <w:spacing w:line="400" w:lineRule="exact"/>
              <w:jc w:val="center"/>
              <w:rPr>
                <w:rFonts w:hint="eastAsia" w:ascii="宋体" w:hAnsi="宋体" w:cs="宋体"/>
                <w:color w:val="000000"/>
                <w:highlight w:val="none"/>
              </w:rPr>
            </w:pPr>
            <w:r>
              <w:rPr>
                <w:rFonts w:hint="eastAsia" w:ascii="宋体" w:hAnsi="宋体" w:cs="宋体"/>
                <w:color w:val="000000"/>
                <w:sz w:val="24"/>
                <w:szCs w:val="24"/>
                <w:highlight w:val="none"/>
              </w:rPr>
              <w:t>4.2.1.1</w:t>
            </w:r>
          </w:p>
        </w:tc>
        <w:tc>
          <w:tcPr>
            <w:tcW w:w="2009" w:type="dxa"/>
            <w:tcBorders>
              <w:top w:val="single" w:color="auto" w:sz="8" w:space="0"/>
              <w:left w:val="nil"/>
              <w:bottom w:val="single" w:color="auto" w:sz="8" w:space="0"/>
              <w:right w:val="single" w:color="auto" w:sz="8" w:space="0"/>
            </w:tcBorders>
            <w:vAlign w:val="center"/>
          </w:tcPr>
          <w:p w14:paraId="4B4A0596">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投标截止时间</w:t>
            </w:r>
          </w:p>
        </w:tc>
        <w:tc>
          <w:tcPr>
            <w:tcW w:w="6826" w:type="dxa"/>
            <w:tcBorders>
              <w:top w:val="single" w:color="auto" w:sz="8" w:space="0"/>
              <w:left w:val="nil"/>
              <w:bottom w:val="single" w:color="auto" w:sz="8" w:space="0"/>
              <w:right w:val="single" w:color="auto" w:sz="8" w:space="0"/>
            </w:tcBorders>
            <w:vAlign w:val="center"/>
          </w:tcPr>
          <w:p w14:paraId="26ADFF39">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sz w:val="24"/>
                <w:szCs w:val="24"/>
                <w:highlight w:val="none"/>
              </w:rPr>
              <w:t>详见“第一章 招标公告四、提交投标文件截止时间、开标时间和地点”</w:t>
            </w:r>
          </w:p>
        </w:tc>
      </w:tr>
      <w:tr w14:paraId="7A36A372">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A81812F">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4.2.1.2</w:t>
            </w:r>
          </w:p>
        </w:tc>
        <w:tc>
          <w:tcPr>
            <w:tcW w:w="2009" w:type="dxa"/>
            <w:tcBorders>
              <w:top w:val="single" w:color="auto" w:sz="8" w:space="0"/>
              <w:left w:val="nil"/>
              <w:bottom w:val="single" w:color="auto" w:sz="8" w:space="0"/>
              <w:right w:val="single" w:color="auto" w:sz="8" w:space="0"/>
            </w:tcBorders>
            <w:vAlign w:val="center"/>
          </w:tcPr>
          <w:p w14:paraId="724A5332">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投标文件递交地点</w:t>
            </w:r>
          </w:p>
        </w:tc>
        <w:tc>
          <w:tcPr>
            <w:tcW w:w="6826" w:type="dxa"/>
            <w:tcBorders>
              <w:top w:val="single" w:color="auto" w:sz="8" w:space="0"/>
              <w:left w:val="nil"/>
              <w:bottom w:val="single" w:color="auto" w:sz="8" w:space="0"/>
              <w:right w:val="single" w:color="auto" w:sz="8" w:space="0"/>
            </w:tcBorders>
            <w:vAlign w:val="center"/>
          </w:tcPr>
          <w:p w14:paraId="354A328B">
            <w:pPr>
              <w:shd w:val="clear" w:color="auto" w:fill="auto"/>
              <w:spacing w:line="4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详见“第一章 招标公告四、提交投标文件截止时间、开标时间和地点” </w:t>
            </w:r>
          </w:p>
        </w:tc>
      </w:tr>
      <w:tr w14:paraId="3A82EE73">
        <w:tblPrEx>
          <w:tblCellMar>
            <w:top w:w="0" w:type="dxa"/>
            <w:left w:w="0" w:type="dxa"/>
            <w:bottom w:w="0" w:type="dxa"/>
            <w:right w:w="0" w:type="dxa"/>
          </w:tblCellMar>
        </w:tblPrEx>
        <w:trPr>
          <w:trHeight w:val="94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65A2B61">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4.2.1.3</w:t>
            </w:r>
          </w:p>
        </w:tc>
        <w:tc>
          <w:tcPr>
            <w:tcW w:w="2009" w:type="dxa"/>
            <w:tcBorders>
              <w:top w:val="single" w:color="auto" w:sz="8" w:space="0"/>
              <w:left w:val="nil"/>
              <w:bottom w:val="single" w:color="auto" w:sz="8" w:space="0"/>
              <w:right w:val="single" w:color="auto" w:sz="8" w:space="0"/>
            </w:tcBorders>
            <w:vAlign w:val="center"/>
          </w:tcPr>
          <w:p w14:paraId="26642215">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投标文件是否退还</w:t>
            </w:r>
          </w:p>
        </w:tc>
        <w:tc>
          <w:tcPr>
            <w:tcW w:w="6826" w:type="dxa"/>
            <w:tcBorders>
              <w:top w:val="single" w:color="auto" w:sz="8" w:space="0"/>
              <w:left w:val="nil"/>
              <w:bottom w:val="single" w:color="auto" w:sz="8" w:space="0"/>
              <w:right w:val="single" w:color="auto" w:sz="8" w:space="0"/>
            </w:tcBorders>
            <w:vAlign w:val="center"/>
          </w:tcPr>
          <w:p w14:paraId="22DBF14C">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投标文件退还：☑否</w:t>
            </w:r>
          </w:p>
          <w:p w14:paraId="6C2800E5">
            <w:pPr>
              <w:shd w:val="clear" w:color="auto" w:fill="auto"/>
              <w:spacing w:line="400" w:lineRule="exact"/>
              <w:ind w:firstLine="1680"/>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□是，退还时间：</w:t>
            </w:r>
            <w:r>
              <w:rPr>
                <w:rFonts w:hint="eastAsia" w:ascii="宋体" w:hAnsi="宋体" w:cs="宋体"/>
                <w:color w:val="000000"/>
                <w:kern w:val="2"/>
                <w:sz w:val="24"/>
                <w:szCs w:val="24"/>
                <w:highlight w:val="none"/>
                <w:u w:val="single"/>
              </w:rPr>
              <w:t>/</w:t>
            </w:r>
          </w:p>
        </w:tc>
      </w:tr>
      <w:tr w14:paraId="1EF18F8F">
        <w:tblPrEx>
          <w:tblCellMar>
            <w:top w:w="0" w:type="dxa"/>
            <w:left w:w="0" w:type="dxa"/>
            <w:bottom w:w="0" w:type="dxa"/>
            <w:right w:w="0" w:type="dxa"/>
          </w:tblCellMar>
        </w:tblPrEx>
        <w:trPr>
          <w:trHeight w:val="902"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9020FAF">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5.1</w:t>
            </w:r>
          </w:p>
        </w:tc>
        <w:tc>
          <w:tcPr>
            <w:tcW w:w="2009" w:type="dxa"/>
            <w:tcBorders>
              <w:top w:val="single" w:color="auto" w:sz="8" w:space="0"/>
              <w:left w:val="nil"/>
              <w:bottom w:val="single" w:color="auto" w:sz="8" w:space="0"/>
              <w:right w:val="single" w:color="auto" w:sz="8" w:space="0"/>
            </w:tcBorders>
            <w:vAlign w:val="center"/>
          </w:tcPr>
          <w:p w14:paraId="107083E0">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开标时间和地点</w:t>
            </w:r>
          </w:p>
        </w:tc>
        <w:tc>
          <w:tcPr>
            <w:tcW w:w="6826" w:type="dxa"/>
            <w:tcBorders>
              <w:top w:val="single" w:color="auto" w:sz="8" w:space="0"/>
              <w:left w:val="nil"/>
              <w:bottom w:val="single" w:color="auto" w:sz="8" w:space="0"/>
              <w:right w:val="single" w:color="auto" w:sz="8" w:space="0"/>
            </w:tcBorders>
            <w:vAlign w:val="center"/>
          </w:tcPr>
          <w:p w14:paraId="5145417A">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开标时间：同投标截止时间</w:t>
            </w:r>
          </w:p>
          <w:p w14:paraId="2EF1986F">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开标地点：同投标文件递交地点</w:t>
            </w:r>
          </w:p>
        </w:tc>
      </w:tr>
      <w:tr w14:paraId="29452919">
        <w:tblPrEx>
          <w:tblCellMar>
            <w:top w:w="0" w:type="dxa"/>
            <w:left w:w="0" w:type="dxa"/>
            <w:bottom w:w="0" w:type="dxa"/>
            <w:right w:w="0" w:type="dxa"/>
          </w:tblCellMar>
        </w:tblPrEx>
        <w:trPr>
          <w:trHeight w:val="55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49F6927B">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5.2（4）</w:t>
            </w:r>
          </w:p>
        </w:tc>
        <w:tc>
          <w:tcPr>
            <w:tcW w:w="2009" w:type="dxa"/>
            <w:tcBorders>
              <w:top w:val="single" w:color="auto" w:sz="8" w:space="0"/>
              <w:left w:val="nil"/>
              <w:bottom w:val="single" w:color="auto" w:sz="8" w:space="0"/>
              <w:right w:val="single" w:color="auto" w:sz="8" w:space="0"/>
            </w:tcBorders>
            <w:vAlign w:val="center"/>
          </w:tcPr>
          <w:p w14:paraId="00008F82">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开标程序</w:t>
            </w:r>
          </w:p>
        </w:tc>
        <w:tc>
          <w:tcPr>
            <w:tcW w:w="6826" w:type="dxa"/>
            <w:tcBorders>
              <w:top w:val="single" w:color="auto" w:sz="8" w:space="0"/>
              <w:left w:val="nil"/>
              <w:bottom w:val="single" w:color="auto" w:sz="8" w:space="0"/>
              <w:right w:val="single" w:color="auto" w:sz="8" w:space="0"/>
            </w:tcBorders>
            <w:vAlign w:val="center"/>
          </w:tcPr>
          <w:p w14:paraId="05BBE45A">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开标顺序：□随机开启</w:t>
            </w:r>
          </w:p>
          <w:p w14:paraId="75E483FE">
            <w:pPr>
              <w:shd w:val="clear" w:color="auto" w:fill="auto"/>
              <w:spacing w:line="400" w:lineRule="exact"/>
              <w:ind w:firstLine="1200" w:firstLineChars="500"/>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□按递交先后顺序开启</w:t>
            </w:r>
          </w:p>
          <w:p w14:paraId="283C9EAD">
            <w:pPr>
              <w:shd w:val="clear" w:color="auto" w:fill="auto"/>
              <w:spacing w:line="400" w:lineRule="exact"/>
              <w:ind w:firstLine="1200" w:firstLineChars="500"/>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☑其他开启方式：</w:t>
            </w:r>
            <w:r>
              <w:rPr>
                <w:rFonts w:hint="eastAsia" w:ascii="宋体" w:hAnsi="宋体" w:cs="宋体"/>
                <w:color w:val="000000"/>
                <w:kern w:val="2"/>
                <w:sz w:val="24"/>
                <w:szCs w:val="24"/>
                <w:highlight w:val="none"/>
                <w:u w:val="single"/>
              </w:rPr>
              <w:t>按照交易平台自动提取所有投标人的顺序开启</w:t>
            </w:r>
          </w:p>
        </w:tc>
      </w:tr>
      <w:tr w14:paraId="4F00F69F">
        <w:tblPrEx>
          <w:tblCellMar>
            <w:top w:w="0" w:type="dxa"/>
            <w:left w:w="0" w:type="dxa"/>
            <w:bottom w:w="0" w:type="dxa"/>
            <w:right w:w="0" w:type="dxa"/>
          </w:tblCellMar>
        </w:tblPrEx>
        <w:trPr>
          <w:trHeight w:val="129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F96CF1C">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7.1.1</w:t>
            </w:r>
          </w:p>
        </w:tc>
        <w:tc>
          <w:tcPr>
            <w:tcW w:w="2009" w:type="dxa"/>
            <w:tcBorders>
              <w:top w:val="single" w:color="auto" w:sz="8" w:space="0"/>
              <w:left w:val="nil"/>
              <w:bottom w:val="single" w:color="auto" w:sz="8" w:space="0"/>
              <w:right w:val="single" w:color="auto" w:sz="8" w:space="0"/>
            </w:tcBorders>
            <w:vAlign w:val="center"/>
          </w:tcPr>
          <w:p w14:paraId="023CA7D7">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评标委员会的组成</w:t>
            </w:r>
          </w:p>
        </w:tc>
        <w:tc>
          <w:tcPr>
            <w:tcW w:w="6826" w:type="dxa"/>
            <w:tcBorders>
              <w:top w:val="single" w:color="auto" w:sz="8" w:space="0"/>
              <w:left w:val="nil"/>
              <w:bottom w:val="single" w:color="auto" w:sz="8" w:space="0"/>
              <w:right w:val="single" w:color="auto" w:sz="8" w:space="0"/>
            </w:tcBorders>
            <w:vAlign w:val="center"/>
          </w:tcPr>
          <w:p w14:paraId="3DE1A9E2">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sz w:val="24"/>
                <w:szCs w:val="24"/>
                <w:highlight w:val="none"/>
              </w:rPr>
              <w:t>评标委员会由评审专家</w:t>
            </w:r>
            <w:r>
              <w:rPr>
                <w:rFonts w:hint="eastAsia" w:ascii="宋体" w:hAnsi="宋体" w:cs="宋体"/>
                <w:color w:val="000000"/>
                <w:sz w:val="24"/>
                <w:szCs w:val="24"/>
                <w:highlight w:val="none"/>
                <w:lang w:val="en-US" w:eastAsia="zh-CN"/>
              </w:rPr>
              <w:t>及采购人代表</w:t>
            </w:r>
            <w:r>
              <w:rPr>
                <w:rFonts w:hint="eastAsia" w:ascii="宋体" w:hAnsi="宋体" w:cs="宋体"/>
                <w:color w:val="000000"/>
                <w:sz w:val="24"/>
                <w:szCs w:val="24"/>
                <w:highlight w:val="none"/>
              </w:rPr>
              <w:t>组成，成员人数为</w:t>
            </w:r>
            <w:r>
              <w:rPr>
                <w:rFonts w:hint="eastAsia" w:ascii="宋体" w:hAnsi="宋体" w:cs="宋体"/>
                <w:color w:val="000000"/>
                <w:sz w:val="24"/>
                <w:szCs w:val="24"/>
                <w:highlight w:val="none"/>
                <w:u w:val="single"/>
                <w:lang w:val="en-US" w:eastAsia="zh-CN"/>
              </w:rPr>
              <w:t>5</w:t>
            </w:r>
            <w:r>
              <w:rPr>
                <w:rFonts w:hint="eastAsia" w:ascii="宋体" w:hAnsi="宋体" w:cs="宋体"/>
                <w:color w:val="000000"/>
                <w:sz w:val="24"/>
                <w:szCs w:val="24"/>
                <w:highlight w:val="none"/>
              </w:rPr>
              <w:t>人及以上单数，其中技术、经济专家不得少于成员总数的三分之二。</w:t>
            </w:r>
          </w:p>
          <w:p w14:paraId="2713E516">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评标专家确定方式：从《云南省</w:t>
            </w:r>
            <w:r>
              <w:rPr>
                <w:rFonts w:hint="eastAsia" w:ascii="宋体" w:hAnsi="宋体" w:cs="宋体"/>
                <w:color w:val="000000"/>
                <w:kern w:val="2"/>
                <w:sz w:val="24"/>
                <w:szCs w:val="24"/>
                <w:highlight w:val="none"/>
                <w:lang w:val="en-US" w:eastAsia="zh-CN"/>
              </w:rPr>
              <w:t>政府采购网</w:t>
            </w:r>
            <w:r>
              <w:rPr>
                <w:rFonts w:hint="eastAsia" w:ascii="宋体" w:hAnsi="宋体" w:cs="宋体"/>
                <w:color w:val="000000"/>
                <w:kern w:val="2"/>
                <w:sz w:val="24"/>
                <w:szCs w:val="24"/>
                <w:highlight w:val="none"/>
              </w:rPr>
              <w:t>》中随机抽取。</w:t>
            </w:r>
          </w:p>
        </w:tc>
      </w:tr>
      <w:tr w14:paraId="2C583EF3">
        <w:tblPrEx>
          <w:tblCellMar>
            <w:top w:w="0" w:type="dxa"/>
            <w:left w:w="0" w:type="dxa"/>
            <w:bottom w:w="0" w:type="dxa"/>
            <w:right w:w="0" w:type="dxa"/>
          </w:tblCellMar>
        </w:tblPrEx>
        <w:trPr>
          <w:trHeight w:val="865"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8012E28">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7.3.2</w:t>
            </w:r>
          </w:p>
        </w:tc>
        <w:tc>
          <w:tcPr>
            <w:tcW w:w="2009" w:type="dxa"/>
            <w:tcBorders>
              <w:top w:val="single" w:color="auto" w:sz="8" w:space="0"/>
              <w:left w:val="nil"/>
              <w:bottom w:val="single" w:color="auto" w:sz="8" w:space="0"/>
              <w:right w:val="single" w:color="auto" w:sz="8" w:space="0"/>
            </w:tcBorders>
            <w:vAlign w:val="center"/>
          </w:tcPr>
          <w:p w14:paraId="4DF270E3">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评标委员会推荐中标候选人的人数</w:t>
            </w:r>
          </w:p>
        </w:tc>
        <w:tc>
          <w:tcPr>
            <w:tcW w:w="6826" w:type="dxa"/>
            <w:tcBorders>
              <w:top w:val="single" w:color="auto" w:sz="8" w:space="0"/>
              <w:left w:val="nil"/>
              <w:bottom w:val="single" w:color="auto" w:sz="8" w:space="0"/>
              <w:right w:val="single" w:color="auto" w:sz="8" w:space="0"/>
            </w:tcBorders>
            <w:vAlign w:val="center"/>
          </w:tcPr>
          <w:p w14:paraId="30931796">
            <w:pPr>
              <w:pStyle w:val="71"/>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sz w:val="24"/>
                <w:szCs w:val="24"/>
                <w:highlight w:val="none"/>
                <w:u w:val="single"/>
              </w:rPr>
              <w:t>3名</w:t>
            </w:r>
          </w:p>
        </w:tc>
      </w:tr>
      <w:tr w14:paraId="087B981F">
        <w:tblPrEx>
          <w:tblCellMar>
            <w:top w:w="0" w:type="dxa"/>
            <w:left w:w="0" w:type="dxa"/>
            <w:bottom w:w="0" w:type="dxa"/>
            <w:right w:w="0" w:type="dxa"/>
          </w:tblCellMar>
        </w:tblPrEx>
        <w:trPr>
          <w:trHeight w:val="827"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D290C24">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8.1</w:t>
            </w:r>
          </w:p>
        </w:tc>
        <w:tc>
          <w:tcPr>
            <w:tcW w:w="2009" w:type="dxa"/>
            <w:tcBorders>
              <w:top w:val="single" w:color="auto" w:sz="8" w:space="0"/>
              <w:left w:val="nil"/>
              <w:bottom w:val="single" w:color="auto" w:sz="8" w:space="0"/>
              <w:right w:val="single" w:color="auto" w:sz="8" w:space="0"/>
            </w:tcBorders>
            <w:vAlign w:val="center"/>
          </w:tcPr>
          <w:p w14:paraId="3EE8A8FF">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是否授权评标委员会确定中标人</w:t>
            </w:r>
          </w:p>
        </w:tc>
        <w:tc>
          <w:tcPr>
            <w:tcW w:w="6826" w:type="dxa"/>
            <w:tcBorders>
              <w:top w:val="single" w:color="auto" w:sz="8" w:space="0"/>
              <w:left w:val="nil"/>
              <w:bottom w:val="single" w:color="auto" w:sz="8" w:space="0"/>
              <w:right w:val="single" w:color="auto" w:sz="8" w:space="0"/>
            </w:tcBorders>
            <w:vAlign w:val="center"/>
          </w:tcPr>
          <w:p w14:paraId="0ABDB90C">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□是</w:t>
            </w:r>
          </w:p>
          <w:p w14:paraId="2E21CC78">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☑否</w:t>
            </w:r>
          </w:p>
        </w:tc>
      </w:tr>
      <w:tr w14:paraId="681D3178">
        <w:tblPrEx>
          <w:tblCellMar>
            <w:top w:w="0" w:type="dxa"/>
            <w:left w:w="0" w:type="dxa"/>
            <w:bottom w:w="0" w:type="dxa"/>
            <w:right w:w="0" w:type="dxa"/>
          </w:tblCellMar>
        </w:tblPrEx>
        <w:trPr>
          <w:trHeight w:val="846"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82442D5">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8.2</w:t>
            </w:r>
          </w:p>
        </w:tc>
        <w:tc>
          <w:tcPr>
            <w:tcW w:w="2009" w:type="dxa"/>
            <w:tcBorders>
              <w:top w:val="single" w:color="auto" w:sz="8" w:space="0"/>
              <w:left w:val="nil"/>
              <w:bottom w:val="single" w:color="auto" w:sz="8" w:space="0"/>
              <w:right w:val="single" w:color="auto" w:sz="8" w:space="0"/>
            </w:tcBorders>
            <w:vAlign w:val="center"/>
          </w:tcPr>
          <w:p w14:paraId="28FF0D31">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中标公告发布媒介及期限</w:t>
            </w:r>
          </w:p>
        </w:tc>
        <w:tc>
          <w:tcPr>
            <w:tcW w:w="6826" w:type="dxa"/>
            <w:tcBorders>
              <w:top w:val="single" w:color="auto" w:sz="8" w:space="0"/>
              <w:left w:val="nil"/>
              <w:bottom w:val="single" w:color="auto" w:sz="8" w:space="0"/>
              <w:right w:val="single" w:color="auto" w:sz="8" w:space="0"/>
            </w:tcBorders>
            <w:vAlign w:val="center"/>
          </w:tcPr>
          <w:p w14:paraId="2C2E8C82">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公告媒介：同发布招标公告的媒介</w:t>
            </w:r>
          </w:p>
          <w:p w14:paraId="08EE7A57">
            <w:pPr>
              <w:shd w:val="clear" w:color="auto" w:fill="auto"/>
              <w:spacing w:line="400" w:lineRule="exact"/>
              <w:rPr>
                <w:rFonts w:hint="eastAsia" w:ascii="宋体" w:hAnsi="宋体" w:cs="宋体"/>
                <w:color w:val="000000"/>
                <w:kern w:val="2"/>
                <w:sz w:val="24"/>
                <w:szCs w:val="24"/>
                <w:highlight w:val="none"/>
                <w:u w:val="single"/>
              </w:rPr>
            </w:pPr>
            <w:r>
              <w:rPr>
                <w:rFonts w:hint="eastAsia" w:ascii="宋体" w:hAnsi="宋体" w:cs="宋体"/>
                <w:color w:val="000000"/>
                <w:kern w:val="2"/>
                <w:sz w:val="24"/>
                <w:szCs w:val="24"/>
                <w:highlight w:val="none"/>
              </w:rPr>
              <w:t>公告期限：1个工作日</w:t>
            </w:r>
          </w:p>
        </w:tc>
      </w:tr>
      <w:tr w14:paraId="0A6EAE8B">
        <w:tblPrEx>
          <w:tblCellMar>
            <w:top w:w="0" w:type="dxa"/>
            <w:left w:w="0" w:type="dxa"/>
            <w:bottom w:w="0" w:type="dxa"/>
            <w:right w:w="0" w:type="dxa"/>
          </w:tblCellMar>
        </w:tblPrEx>
        <w:trPr>
          <w:trHeight w:val="111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EADF8CF">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8.4.1</w:t>
            </w:r>
          </w:p>
        </w:tc>
        <w:tc>
          <w:tcPr>
            <w:tcW w:w="2009" w:type="dxa"/>
            <w:tcBorders>
              <w:top w:val="single" w:color="auto" w:sz="8" w:space="0"/>
              <w:left w:val="nil"/>
              <w:bottom w:val="single" w:color="auto" w:sz="8" w:space="0"/>
              <w:right w:val="single" w:color="auto" w:sz="8" w:space="0"/>
            </w:tcBorders>
            <w:vAlign w:val="center"/>
          </w:tcPr>
          <w:p w14:paraId="14BD40D4">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履约保证金</w:t>
            </w:r>
          </w:p>
        </w:tc>
        <w:tc>
          <w:tcPr>
            <w:tcW w:w="6826" w:type="dxa"/>
            <w:tcBorders>
              <w:top w:val="single" w:color="auto" w:sz="8" w:space="0"/>
              <w:left w:val="nil"/>
              <w:bottom w:val="single" w:color="auto" w:sz="8" w:space="0"/>
              <w:right w:val="single" w:color="auto" w:sz="8" w:space="0"/>
            </w:tcBorders>
            <w:vAlign w:val="center"/>
          </w:tcPr>
          <w:p w14:paraId="102D6E97">
            <w:pPr>
              <w:keepNext w:val="0"/>
              <w:keepLines w:val="0"/>
              <w:pageBreakBefore w:val="0"/>
              <w:kinsoku/>
              <w:wordWrap/>
              <w:overflowPunct/>
              <w:topLinePunct w:val="0"/>
              <w:autoSpaceDE/>
              <w:autoSpaceDN/>
              <w:bidi w:val="0"/>
              <w:adjustRightInd/>
              <w:snapToGrid/>
              <w:ind w:left="105" w:leftChars="50"/>
              <w:jc w:val="both"/>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是否要求中标供应商提交履约保证金：</w:t>
            </w:r>
          </w:p>
          <w:p w14:paraId="651E6543">
            <w:pPr>
              <w:keepNext w:val="0"/>
              <w:keepLines w:val="0"/>
              <w:pageBreakBefore w:val="0"/>
              <w:kinsoku/>
              <w:wordWrap/>
              <w:overflowPunct/>
              <w:topLinePunct w:val="0"/>
              <w:autoSpaceDE/>
              <w:autoSpaceDN/>
              <w:bidi w:val="0"/>
              <w:adjustRightInd/>
              <w:snapToGrid/>
              <w:ind w:left="105" w:leftChars="50"/>
              <w:jc w:val="both"/>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□要求，履约保证金的形式：现金或银行转账或银行保函或支票等</w:t>
            </w:r>
          </w:p>
          <w:p w14:paraId="028AF8B9">
            <w:pPr>
              <w:keepNext w:val="0"/>
              <w:keepLines w:val="0"/>
              <w:pageBreakBefore w:val="0"/>
              <w:kinsoku/>
              <w:wordWrap/>
              <w:overflowPunct/>
              <w:topLinePunct w:val="0"/>
              <w:autoSpaceDE/>
              <w:autoSpaceDN/>
              <w:bidi w:val="0"/>
              <w:adjustRightInd/>
              <w:snapToGrid/>
              <w:ind w:left="105" w:leftChars="50"/>
              <w:jc w:val="both"/>
              <w:textAlignment w:val="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履约保证金的金额：中标合同金额的</w:t>
            </w: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lang w:val="zh-CN"/>
              </w:rPr>
              <w:t>%。</w:t>
            </w:r>
          </w:p>
          <w:p w14:paraId="72D9A42E">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auto"/>
                <w:sz w:val="24"/>
                <w:szCs w:val="24"/>
                <w:highlight w:val="none"/>
                <w:lang w:val="zh-CN"/>
              </w:rPr>
              <w:t>☑不要求</w:t>
            </w:r>
          </w:p>
        </w:tc>
      </w:tr>
      <w:tr w14:paraId="2531E780">
        <w:tblPrEx>
          <w:tblCellMar>
            <w:top w:w="0" w:type="dxa"/>
            <w:left w:w="0" w:type="dxa"/>
            <w:bottom w:w="0" w:type="dxa"/>
            <w:right w:w="0" w:type="dxa"/>
          </w:tblCellMar>
        </w:tblPrEx>
        <w:trPr>
          <w:trHeight w:val="634"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65A2D354">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w:t>
            </w:r>
          </w:p>
        </w:tc>
        <w:tc>
          <w:tcPr>
            <w:tcW w:w="8835" w:type="dxa"/>
            <w:gridSpan w:val="2"/>
            <w:tcBorders>
              <w:top w:val="single" w:color="auto" w:sz="8" w:space="0"/>
              <w:left w:val="nil"/>
              <w:bottom w:val="single" w:color="auto" w:sz="8" w:space="0"/>
              <w:right w:val="single" w:color="auto" w:sz="8" w:space="0"/>
            </w:tcBorders>
            <w:vAlign w:val="center"/>
          </w:tcPr>
          <w:p w14:paraId="5B73A24B">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b/>
                <w:bCs/>
                <w:color w:val="000000"/>
                <w:kern w:val="2"/>
                <w:sz w:val="24"/>
                <w:szCs w:val="24"/>
                <w:highlight w:val="none"/>
              </w:rPr>
              <w:t>需要补充的其他内容</w:t>
            </w:r>
          </w:p>
        </w:tc>
      </w:tr>
      <w:tr w14:paraId="0773F9CA">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59D9BEA3">
            <w:pPr>
              <w:shd w:val="clear" w:color="auto" w:fill="auto"/>
              <w:spacing w:line="400" w:lineRule="exact"/>
              <w:jc w:val="center"/>
              <w:rPr>
                <w:rFonts w:hint="eastAsia" w:ascii="宋体" w:hAnsi="宋体" w:eastAsia="宋体" w:cs="宋体"/>
                <w:color w:val="000000"/>
                <w:kern w:val="2"/>
                <w:sz w:val="24"/>
                <w:szCs w:val="24"/>
                <w:highlight w:val="none"/>
                <w:lang w:eastAsia="zh-CN"/>
              </w:rPr>
            </w:pPr>
            <w:r>
              <w:rPr>
                <w:rFonts w:hint="eastAsia" w:ascii="宋体" w:hAnsi="宋体" w:cs="宋体"/>
                <w:color w:val="000000"/>
                <w:kern w:val="2"/>
                <w:sz w:val="24"/>
                <w:szCs w:val="24"/>
                <w:highlight w:val="none"/>
              </w:rPr>
              <w:t>12.</w:t>
            </w:r>
            <w:r>
              <w:rPr>
                <w:rFonts w:hint="eastAsia" w:ascii="宋体" w:hAnsi="宋体" w:cs="宋体"/>
                <w:color w:val="000000"/>
                <w:kern w:val="2"/>
                <w:sz w:val="24"/>
                <w:szCs w:val="24"/>
                <w:highlight w:val="none"/>
                <w:lang w:val="en-US" w:eastAsia="zh-CN"/>
              </w:rPr>
              <w:t>1</w:t>
            </w:r>
          </w:p>
        </w:tc>
        <w:tc>
          <w:tcPr>
            <w:tcW w:w="2009" w:type="dxa"/>
            <w:tcBorders>
              <w:top w:val="single" w:color="auto" w:sz="8" w:space="0"/>
              <w:left w:val="nil"/>
              <w:bottom w:val="single" w:color="auto" w:sz="8" w:space="0"/>
              <w:right w:val="single" w:color="auto" w:sz="8" w:space="0"/>
            </w:tcBorders>
            <w:vAlign w:val="center"/>
          </w:tcPr>
          <w:p w14:paraId="0B76DDF2">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olor w:val="000000"/>
                <w:kern w:val="2"/>
                <w:sz w:val="24"/>
                <w:szCs w:val="24"/>
                <w:highlight w:val="none"/>
              </w:rPr>
              <w:t>本项目所属行业</w:t>
            </w:r>
          </w:p>
        </w:tc>
        <w:tc>
          <w:tcPr>
            <w:tcW w:w="6826" w:type="dxa"/>
            <w:tcBorders>
              <w:top w:val="single" w:color="auto" w:sz="8" w:space="0"/>
              <w:left w:val="nil"/>
              <w:bottom w:val="single" w:color="auto" w:sz="8" w:space="0"/>
              <w:right w:val="single" w:color="auto" w:sz="8" w:space="0"/>
            </w:tcBorders>
            <w:vAlign w:val="center"/>
          </w:tcPr>
          <w:p w14:paraId="7209D60A">
            <w:pPr>
              <w:shd w:val="clear" w:color="auto" w:fill="auto"/>
              <w:spacing w:line="400" w:lineRule="exact"/>
              <w:jc w:val="both"/>
              <w:rPr>
                <w:rFonts w:hint="eastAsia" w:ascii="宋体" w:hAnsi="宋体" w:eastAsia="宋体" w:cs="宋体"/>
                <w:color w:val="000000"/>
                <w:kern w:val="2"/>
                <w:sz w:val="24"/>
                <w:szCs w:val="24"/>
                <w:highlight w:val="none"/>
                <w:lang w:val="en-US" w:eastAsia="zh-CN"/>
              </w:rPr>
            </w:pPr>
            <w:r>
              <w:rPr>
                <w:rFonts w:hint="eastAsia"/>
                <w:color w:val="000000"/>
                <w:spacing w:val="-20"/>
                <w:sz w:val="24"/>
                <w:szCs w:val="24"/>
              </w:rPr>
              <w:t>其他未列</w:t>
            </w:r>
            <w:r>
              <w:rPr>
                <w:rFonts w:hint="eastAsia"/>
                <w:color w:val="000000"/>
                <w:sz w:val="24"/>
                <w:szCs w:val="24"/>
              </w:rPr>
              <w:t>明行业</w:t>
            </w:r>
          </w:p>
        </w:tc>
      </w:tr>
      <w:tr w14:paraId="5D96ACDB">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7CAEAACF">
            <w:pPr>
              <w:shd w:val="clear" w:color="auto" w:fill="auto"/>
              <w:spacing w:line="400" w:lineRule="exact"/>
              <w:jc w:val="center"/>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12.1</w:t>
            </w:r>
          </w:p>
        </w:tc>
        <w:tc>
          <w:tcPr>
            <w:tcW w:w="2009" w:type="dxa"/>
            <w:tcBorders>
              <w:top w:val="single" w:color="auto" w:sz="8" w:space="0"/>
              <w:left w:val="nil"/>
              <w:bottom w:val="single" w:color="auto" w:sz="8" w:space="0"/>
              <w:right w:val="single" w:color="auto" w:sz="8" w:space="0"/>
            </w:tcBorders>
            <w:vAlign w:val="center"/>
          </w:tcPr>
          <w:p w14:paraId="754B6CA3">
            <w:pPr>
              <w:shd w:val="clear" w:color="auto" w:fill="auto"/>
              <w:spacing w:line="400" w:lineRule="exact"/>
              <w:jc w:val="center"/>
              <w:rPr>
                <w:rFonts w:hint="eastAsia" w:ascii="宋体" w:hAnsi="宋体"/>
                <w:color w:val="000000"/>
                <w:kern w:val="2"/>
                <w:sz w:val="24"/>
                <w:szCs w:val="24"/>
                <w:highlight w:val="none"/>
              </w:rPr>
            </w:pPr>
            <w:r>
              <w:rPr>
                <w:rFonts w:hint="eastAsia" w:ascii="宋体" w:hAnsi="宋体"/>
                <w:color w:val="000000"/>
                <w:kern w:val="2"/>
                <w:sz w:val="24"/>
                <w:szCs w:val="24"/>
                <w:highlight w:val="none"/>
              </w:rPr>
              <w:t>核心产品</w:t>
            </w:r>
          </w:p>
        </w:tc>
        <w:tc>
          <w:tcPr>
            <w:tcW w:w="6826" w:type="dxa"/>
            <w:tcBorders>
              <w:top w:val="single" w:color="auto" w:sz="8" w:space="0"/>
              <w:left w:val="nil"/>
              <w:bottom w:val="single" w:color="auto" w:sz="8" w:space="0"/>
              <w:right w:val="single" w:color="auto" w:sz="8" w:space="0"/>
            </w:tcBorders>
            <w:vAlign w:val="center"/>
          </w:tcPr>
          <w:p w14:paraId="4F67712D">
            <w:pPr>
              <w:shd w:val="clear" w:color="auto" w:fill="auto"/>
              <w:spacing w:line="400" w:lineRule="exact"/>
              <w:jc w:val="left"/>
              <w:rPr>
                <w:rFonts w:hint="default" w:ascii="宋体" w:hAnsi="宋体" w:eastAsia="宋体" w:cs="宋体"/>
                <w:color w:val="000000"/>
                <w:kern w:val="2"/>
                <w:sz w:val="24"/>
                <w:szCs w:val="24"/>
                <w:highlight w:val="none"/>
                <w:lang w:val="en-US" w:eastAsia="zh-CN"/>
              </w:rPr>
            </w:pPr>
            <w:r>
              <w:rPr>
                <w:rFonts w:hint="eastAsia" w:ascii="宋体" w:hAnsi="宋体" w:cs="宋体"/>
                <w:color w:val="000000"/>
                <w:kern w:val="2"/>
                <w:sz w:val="24"/>
                <w:szCs w:val="24"/>
                <w:highlight w:val="none"/>
                <w:lang w:val="en-US" w:eastAsia="zh-CN"/>
              </w:rPr>
              <w:t>/</w:t>
            </w:r>
          </w:p>
        </w:tc>
      </w:tr>
      <w:tr w14:paraId="0DFD44F7">
        <w:tblPrEx>
          <w:tblCellMar>
            <w:top w:w="0" w:type="dxa"/>
            <w:left w:w="0" w:type="dxa"/>
            <w:bottom w:w="0" w:type="dxa"/>
            <w:right w:w="0" w:type="dxa"/>
          </w:tblCellMar>
        </w:tblPrEx>
        <w:trPr>
          <w:trHeight w:val="941"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00AE9599">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12.3</w:t>
            </w:r>
          </w:p>
        </w:tc>
        <w:tc>
          <w:tcPr>
            <w:tcW w:w="2009" w:type="dxa"/>
            <w:tcBorders>
              <w:top w:val="single" w:color="auto" w:sz="8" w:space="0"/>
              <w:left w:val="nil"/>
              <w:bottom w:val="single" w:color="auto" w:sz="8" w:space="0"/>
              <w:right w:val="single" w:color="auto" w:sz="8" w:space="0"/>
            </w:tcBorders>
            <w:vAlign w:val="center"/>
          </w:tcPr>
          <w:p w14:paraId="56FCCDFE">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评标方法</w:t>
            </w:r>
          </w:p>
        </w:tc>
        <w:tc>
          <w:tcPr>
            <w:tcW w:w="6826" w:type="dxa"/>
            <w:tcBorders>
              <w:top w:val="single" w:color="auto" w:sz="8" w:space="0"/>
              <w:left w:val="nil"/>
              <w:bottom w:val="single" w:color="auto" w:sz="8" w:space="0"/>
              <w:right w:val="single" w:color="auto" w:sz="8" w:space="0"/>
            </w:tcBorders>
            <w:vAlign w:val="center"/>
          </w:tcPr>
          <w:p w14:paraId="1045F0EC">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☑综合评分法</w:t>
            </w:r>
          </w:p>
          <w:p w14:paraId="64490C10">
            <w:pPr>
              <w:shd w:val="clear" w:color="auto" w:fill="auto"/>
              <w:spacing w:line="400" w:lineRule="exact"/>
              <w:jc w:val="both"/>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□最低评标价法</w:t>
            </w:r>
          </w:p>
        </w:tc>
      </w:tr>
      <w:tr w14:paraId="1A8F15B1">
        <w:tblPrEx>
          <w:tblCellMar>
            <w:top w:w="0" w:type="dxa"/>
            <w:left w:w="0" w:type="dxa"/>
            <w:bottom w:w="0" w:type="dxa"/>
            <w:right w:w="0" w:type="dxa"/>
          </w:tblCellMar>
        </w:tblPrEx>
        <w:trPr>
          <w:trHeight w:val="1823"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18173472">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12.4</w:t>
            </w:r>
          </w:p>
        </w:tc>
        <w:tc>
          <w:tcPr>
            <w:tcW w:w="2009" w:type="dxa"/>
            <w:tcBorders>
              <w:top w:val="single" w:color="auto" w:sz="8" w:space="0"/>
              <w:left w:val="nil"/>
              <w:bottom w:val="single" w:color="auto" w:sz="8" w:space="0"/>
              <w:right w:val="single" w:color="auto" w:sz="8" w:space="0"/>
            </w:tcBorders>
            <w:vAlign w:val="center"/>
          </w:tcPr>
          <w:p w14:paraId="1B32C4B3">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追加合同金额</w:t>
            </w:r>
          </w:p>
        </w:tc>
        <w:tc>
          <w:tcPr>
            <w:tcW w:w="6826" w:type="dxa"/>
            <w:tcBorders>
              <w:top w:val="single" w:color="auto" w:sz="8" w:space="0"/>
              <w:left w:val="nil"/>
              <w:bottom w:val="single" w:color="auto" w:sz="8" w:space="0"/>
              <w:right w:val="single" w:color="auto" w:sz="8" w:space="0"/>
            </w:tcBorders>
            <w:vAlign w:val="center"/>
          </w:tcPr>
          <w:p w14:paraId="6FC02FFA">
            <w:pPr>
              <w:shd w:val="clear" w:color="auto" w:fill="auto"/>
              <w:spacing w:line="400" w:lineRule="exact"/>
              <w:rPr>
                <w:rFonts w:hint="eastAsia" w:ascii="宋体" w:hAnsi="宋体" w:cs="宋体"/>
                <w:color w:val="000000"/>
                <w:kern w:val="2"/>
                <w:sz w:val="24"/>
                <w:szCs w:val="24"/>
                <w:highlight w:val="none"/>
              </w:rPr>
            </w:pPr>
            <w:r>
              <w:rPr>
                <w:rFonts w:hint="eastAsia" w:ascii="宋体" w:hAnsi="宋体" w:cs="宋体"/>
                <w:color w:val="000000"/>
                <w:sz w:val="24"/>
                <w:szCs w:val="24"/>
                <w:highlight w:val="none"/>
              </w:rPr>
              <w:t>政府采购合同履行中，采购人需追加与合同标的相同的货物</w:t>
            </w:r>
            <w:r>
              <w:rPr>
                <w:rFonts w:hint="eastAsia" w:ascii="宋体" w:hAnsi="宋体" w:cs="宋体"/>
                <w:color w:val="000000"/>
                <w:sz w:val="24"/>
                <w:szCs w:val="24"/>
                <w:highlight w:val="none"/>
                <w:lang w:val="en-US" w:eastAsia="zh-CN"/>
              </w:rPr>
              <w:t>服务</w:t>
            </w:r>
            <w:r>
              <w:rPr>
                <w:rFonts w:hint="eastAsia" w:ascii="宋体" w:hAnsi="宋体" w:cs="宋体"/>
                <w:color w:val="000000"/>
                <w:sz w:val="24"/>
                <w:szCs w:val="24"/>
                <w:highlight w:val="none"/>
              </w:rPr>
              <w:t>的，</w:t>
            </w:r>
            <w:r>
              <w:rPr>
                <w:rFonts w:hint="eastAsia" w:ascii="宋体" w:hAnsi="宋体" w:cs="宋体"/>
                <w:color w:val="000000"/>
                <w:sz w:val="24"/>
                <w:highlight w:val="none"/>
              </w:rPr>
              <w:t>在不改变合同其他条款的前提下，可以与中标人签订补充合同，但所有补充合同的采购金额变更不得超过原合同采购金额的10%，其中金额增加需办理合同追加手续。</w:t>
            </w:r>
          </w:p>
        </w:tc>
      </w:tr>
      <w:tr w14:paraId="2A36D7A3">
        <w:tblPrEx>
          <w:tblCellMar>
            <w:top w:w="0" w:type="dxa"/>
            <w:left w:w="0" w:type="dxa"/>
            <w:bottom w:w="0" w:type="dxa"/>
            <w:right w:w="0" w:type="dxa"/>
          </w:tblCellMar>
        </w:tblPrEx>
        <w:trPr>
          <w:trHeight w:val="1260" w:hRule="atLeast"/>
          <w:jc w:val="center"/>
        </w:trPr>
        <w:tc>
          <w:tcPr>
            <w:tcW w:w="1047" w:type="dxa"/>
            <w:tcBorders>
              <w:top w:val="single" w:color="auto" w:sz="8" w:space="0"/>
              <w:left w:val="single" w:color="auto" w:sz="8" w:space="0"/>
              <w:bottom w:val="single" w:color="auto" w:sz="8" w:space="0"/>
              <w:right w:val="single" w:color="auto" w:sz="8" w:space="0"/>
            </w:tcBorders>
            <w:vAlign w:val="center"/>
          </w:tcPr>
          <w:p w14:paraId="2F7FD441">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kern w:val="2"/>
                <w:sz w:val="24"/>
                <w:szCs w:val="24"/>
                <w:highlight w:val="none"/>
              </w:rPr>
              <w:t>12.5</w:t>
            </w:r>
          </w:p>
        </w:tc>
        <w:tc>
          <w:tcPr>
            <w:tcW w:w="2009" w:type="dxa"/>
            <w:tcBorders>
              <w:top w:val="single" w:color="auto" w:sz="8" w:space="0"/>
              <w:left w:val="nil"/>
              <w:bottom w:val="single" w:color="auto" w:sz="8" w:space="0"/>
              <w:right w:val="single" w:color="auto" w:sz="8" w:space="0"/>
            </w:tcBorders>
            <w:vAlign w:val="center"/>
          </w:tcPr>
          <w:p w14:paraId="643117B3">
            <w:pPr>
              <w:shd w:val="clear" w:color="auto" w:fill="auto"/>
              <w:spacing w:line="400" w:lineRule="exact"/>
              <w:jc w:val="center"/>
              <w:rPr>
                <w:rFonts w:hint="eastAsia" w:ascii="宋体" w:hAnsi="宋体" w:cs="宋体"/>
                <w:color w:val="000000"/>
                <w:kern w:val="2"/>
                <w:sz w:val="24"/>
                <w:szCs w:val="24"/>
                <w:highlight w:val="none"/>
              </w:rPr>
            </w:pPr>
            <w:r>
              <w:rPr>
                <w:rFonts w:hint="eastAsia" w:ascii="宋体" w:hAnsi="宋体" w:cs="宋体"/>
                <w:color w:val="000000"/>
                <w:sz w:val="24"/>
                <w:szCs w:val="24"/>
                <w:highlight w:val="none"/>
              </w:rPr>
              <w:t>中标服务费</w:t>
            </w:r>
          </w:p>
        </w:tc>
        <w:tc>
          <w:tcPr>
            <w:tcW w:w="6826" w:type="dxa"/>
            <w:tcBorders>
              <w:top w:val="single" w:color="auto" w:sz="8" w:space="0"/>
              <w:left w:val="nil"/>
              <w:bottom w:val="single" w:color="auto" w:sz="8" w:space="0"/>
              <w:right w:val="single" w:color="auto" w:sz="8" w:space="0"/>
            </w:tcBorders>
            <w:vAlign w:val="center"/>
          </w:tcPr>
          <w:p w14:paraId="4C171FC8">
            <w:pPr>
              <w:shd w:val="clear" w:color="auto" w:fill="auto"/>
              <w:spacing w:line="400" w:lineRule="exact"/>
              <w:rPr>
                <w:rFonts w:hint="eastAsia" w:ascii="宋体" w:hAnsi="宋体" w:cs="宋体"/>
                <w:b/>
                <w:bCs/>
                <w:color w:val="000000"/>
                <w:sz w:val="24"/>
                <w:highlight w:val="none"/>
              </w:rPr>
            </w:pPr>
            <w:r>
              <w:rPr>
                <w:rFonts w:ascii="宋体" w:hAnsi="宋体"/>
                <w:sz w:val="24"/>
              </w:rPr>
              <w:t>本项目</w:t>
            </w:r>
            <w:r>
              <w:rPr>
                <w:rFonts w:hint="eastAsia" w:ascii="宋体" w:hAnsi="宋体"/>
                <w:sz w:val="24"/>
                <w:lang w:val="en-US" w:eastAsia="zh-CN"/>
              </w:rPr>
              <w:t>中</w:t>
            </w:r>
            <w:r>
              <w:rPr>
                <w:rFonts w:ascii="宋体" w:hAnsi="宋体"/>
                <w:sz w:val="24"/>
              </w:rPr>
              <w:t>标服务费收费</w:t>
            </w:r>
            <w:r>
              <w:rPr>
                <w:rFonts w:hint="eastAsia" w:ascii="宋体" w:hAnsi="宋体"/>
                <w:sz w:val="24"/>
                <w:lang w:val="en-US" w:eastAsia="zh-CN"/>
              </w:rPr>
              <w:t>按照</w:t>
            </w:r>
            <w:r>
              <w:rPr>
                <w:rFonts w:hint="eastAsia" w:ascii="宋体" w:hAnsi="宋体" w:cs="宋体"/>
                <w:bCs/>
                <w:sz w:val="24"/>
                <w:szCs w:val="24"/>
                <w:lang w:val="en-US" w:eastAsia="zh-CN"/>
              </w:rPr>
              <w:t>（云建招协〔2024〕58号）《云南省建设工程招标代理服务收费参考意见》的规定</w:t>
            </w:r>
            <w:r>
              <w:rPr>
                <w:rFonts w:ascii="宋体" w:hAnsi="宋体"/>
                <w:sz w:val="24"/>
              </w:rPr>
              <w:t>向</w:t>
            </w:r>
            <w:r>
              <w:rPr>
                <w:rFonts w:hint="eastAsia" w:ascii="宋体" w:hAnsi="宋体"/>
                <w:sz w:val="24"/>
                <w:lang w:val="en-US" w:eastAsia="zh-CN"/>
              </w:rPr>
              <w:t>招标</w:t>
            </w:r>
            <w:r>
              <w:rPr>
                <w:rFonts w:ascii="宋体" w:hAnsi="宋体"/>
                <w:sz w:val="24"/>
              </w:rPr>
              <w:t>代理机构交纳代理服务费</w:t>
            </w:r>
            <w:r>
              <w:rPr>
                <w:rFonts w:hint="eastAsia" w:ascii="宋体" w:hAnsi="宋体"/>
                <w:sz w:val="24"/>
              </w:rPr>
              <w:t>。</w:t>
            </w:r>
            <w:r>
              <w:rPr>
                <w:rFonts w:ascii="宋体" w:hAnsi="宋体"/>
                <w:sz w:val="24"/>
              </w:rPr>
              <w:t>由中标人支付。</w:t>
            </w:r>
          </w:p>
        </w:tc>
      </w:tr>
    </w:tbl>
    <w:p w14:paraId="64008FB3">
      <w:pPr>
        <w:pStyle w:val="3"/>
        <w:shd w:val="clear" w:color="auto" w:fill="auto"/>
        <w:spacing w:before="0" w:after="0" w:line="360" w:lineRule="auto"/>
        <w:ind w:firstLine="321" w:firstLineChars="100"/>
        <w:rPr>
          <w:rFonts w:hint="eastAsia" w:ascii="宋体" w:hAnsi="宋体" w:eastAsia="宋体" w:cs="宋体"/>
          <w:color w:val="000000"/>
          <w:sz w:val="28"/>
          <w:szCs w:val="28"/>
          <w:highlight w:val="none"/>
        </w:rPr>
      </w:pPr>
      <w:r>
        <w:rPr>
          <w:rFonts w:hint="eastAsia" w:ascii="宋体" w:hAnsi="宋体" w:eastAsia="宋体" w:cs="宋体"/>
          <w:color w:val="000000"/>
          <w:highlight w:val="none"/>
        </w:rPr>
        <w:br w:type="page"/>
      </w:r>
      <w:bookmarkStart w:id="79" w:name="_Toc20589"/>
      <w:bookmarkEnd w:id="79"/>
      <w:bookmarkStart w:id="80" w:name="_Toc27064"/>
      <w:bookmarkEnd w:id="80"/>
      <w:bookmarkStart w:id="81" w:name="_Toc968"/>
      <w:bookmarkStart w:id="82" w:name="_Toc19039"/>
      <w:r>
        <w:rPr>
          <w:rFonts w:hint="eastAsia" w:ascii="宋体" w:hAnsi="宋体" w:eastAsia="宋体" w:cs="宋体"/>
          <w:color w:val="000000"/>
          <w:sz w:val="28"/>
          <w:szCs w:val="28"/>
          <w:highlight w:val="none"/>
        </w:rPr>
        <w:t>1. 总则</w:t>
      </w:r>
      <w:bookmarkEnd w:id="81"/>
      <w:bookmarkEnd w:id="82"/>
    </w:p>
    <w:p w14:paraId="62CEEFAE">
      <w:pPr>
        <w:shd w:val="clear" w:color="auto" w:fill="auto"/>
        <w:spacing w:line="360" w:lineRule="auto"/>
        <w:rPr>
          <w:rFonts w:hint="eastAsia" w:ascii="宋体" w:hAnsi="宋体" w:cs="宋体"/>
          <w:b/>
          <w:color w:val="000000"/>
          <w:sz w:val="24"/>
          <w:szCs w:val="24"/>
          <w:highlight w:val="none"/>
        </w:rPr>
      </w:pPr>
      <w:bookmarkStart w:id="83" w:name="_Toc31335"/>
      <w:bookmarkEnd w:id="83"/>
      <w:bookmarkStart w:id="84" w:name="_Toc700"/>
      <w:r>
        <w:rPr>
          <w:rFonts w:hint="eastAsia" w:ascii="宋体" w:hAnsi="宋体" w:cs="宋体"/>
          <w:b/>
          <w:color w:val="000000"/>
          <w:sz w:val="24"/>
          <w:szCs w:val="24"/>
          <w:highlight w:val="none"/>
        </w:rPr>
        <w:t>1.1 项目概况</w:t>
      </w:r>
      <w:bookmarkEnd w:id="84"/>
    </w:p>
    <w:p w14:paraId="42D6ED31">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1.1.1根据《中华人民共和国政府采购法》、《中华人民共和国政府采购法实施条例》、《政府采购货物和服务招标投标管理办法》（财政部令第87号）、《政府采购需求管理办法》等有关法律、法规和规章的规定，本招标项目已具备招标条件，现对本项目进行招标。</w:t>
      </w:r>
    </w:p>
    <w:p w14:paraId="6666C85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1.1.2 采购人：见投标人须知前附表。</w:t>
      </w:r>
    </w:p>
    <w:p w14:paraId="776394D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1.1.3 采购代理机构：见投标人须知前附表。</w:t>
      </w:r>
    </w:p>
    <w:p w14:paraId="672969EE">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1.1.4 项目名称：见投标人须知前附表。</w:t>
      </w:r>
    </w:p>
    <w:p w14:paraId="0EDD8E7F">
      <w:pPr>
        <w:shd w:val="clear" w:color="auto" w:fill="auto"/>
        <w:spacing w:line="360" w:lineRule="auto"/>
        <w:rPr>
          <w:rFonts w:hint="eastAsia" w:ascii="宋体" w:hAnsi="宋体" w:cs="宋体"/>
          <w:b/>
          <w:color w:val="000000"/>
          <w:sz w:val="24"/>
          <w:szCs w:val="24"/>
          <w:highlight w:val="none"/>
        </w:rPr>
      </w:pPr>
      <w:bookmarkStart w:id="85" w:name="_Toc27395"/>
      <w:bookmarkEnd w:id="85"/>
      <w:bookmarkStart w:id="86" w:name="_Toc28747"/>
      <w:r>
        <w:rPr>
          <w:rFonts w:hint="eastAsia" w:ascii="宋体" w:hAnsi="宋体" w:cs="宋体"/>
          <w:b/>
          <w:color w:val="000000"/>
          <w:sz w:val="24"/>
          <w:szCs w:val="24"/>
          <w:highlight w:val="none"/>
        </w:rPr>
        <w:t>1.2 招标项目的资金情况</w:t>
      </w:r>
      <w:bookmarkEnd w:id="86"/>
    </w:p>
    <w:p w14:paraId="27254E87">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1.2.1 资金落实情况：见投标人须知前附表。</w:t>
      </w:r>
    </w:p>
    <w:p w14:paraId="44A3A7FC">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1.2.2 预算金额：见投标人须知前附表。</w:t>
      </w:r>
    </w:p>
    <w:p w14:paraId="758468BA">
      <w:pPr>
        <w:shd w:val="clear" w:color="auto" w:fill="auto"/>
        <w:spacing w:line="360" w:lineRule="auto"/>
        <w:rPr>
          <w:rFonts w:hint="eastAsia" w:ascii="宋体" w:hAnsi="宋体" w:eastAsia="宋体" w:cs="宋体"/>
          <w:b/>
          <w:color w:val="000000"/>
          <w:sz w:val="24"/>
          <w:szCs w:val="24"/>
          <w:highlight w:val="none"/>
          <w:lang w:eastAsia="zh-CN"/>
        </w:rPr>
      </w:pPr>
      <w:bookmarkStart w:id="87" w:name="_Toc16064"/>
      <w:bookmarkEnd w:id="87"/>
      <w:bookmarkStart w:id="88" w:name="_Toc20957"/>
      <w:r>
        <w:rPr>
          <w:rFonts w:hint="eastAsia" w:ascii="宋体" w:hAnsi="宋体" w:cs="宋体"/>
          <w:b/>
          <w:color w:val="000000"/>
          <w:sz w:val="24"/>
          <w:szCs w:val="24"/>
          <w:highlight w:val="none"/>
        </w:rPr>
        <w:t>1.3采购需求、合同履行期限、质量标准、</w:t>
      </w:r>
      <w:bookmarkEnd w:id="88"/>
      <w:r>
        <w:rPr>
          <w:rFonts w:hint="eastAsia" w:ascii="宋体" w:hAnsi="宋体" w:cs="宋体"/>
          <w:b/>
          <w:color w:val="000000"/>
          <w:sz w:val="24"/>
          <w:szCs w:val="24"/>
          <w:highlight w:val="none"/>
          <w:lang w:eastAsia="zh-CN"/>
        </w:rPr>
        <w:t>项目实施地点</w:t>
      </w:r>
      <w:r>
        <w:rPr>
          <w:rFonts w:hint="eastAsia" w:ascii="宋体" w:hAnsi="宋体" w:cs="宋体"/>
          <w:b/>
          <w:color w:val="000000"/>
          <w:sz w:val="24"/>
          <w:szCs w:val="24"/>
          <w:highlight w:val="none"/>
        </w:rPr>
        <w:t>、</w:t>
      </w:r>
      <w:r>
        <w:rPr>
          <w:rFonts w:hint="eastAsia" w:ascii="宋体" w:hAnsi="宋体" w:cs="宋体"/>
          <w:b/>
          <w:color w:val="000000"/>
          <w:sz w:val="24"/>
          <w:szCs w:val="24"/>
          <w:highlight w:val="none"/>
          <w:lang w:eastAsia="zh-CN"/>
        </w:rPr>
        <w:t>服务要求</w:t>
      </w:r>
    </w:p>
    <w:p w14:paraId="51839E20">
      <w:pPr>
        <w:shd w:val="clear" w:color="auto" w:fill="auto"/>
        <w:spacing w:line="360" w:lineRule="auto"/>
        <w:ind w:firstLine="480" w:firstLineChars="200"/>
        <w:rPr>
          <w:rFonts w:hint="eastAsia" w:ascii="宋体" w:hAnsi="宋体" w:cs="宋体"/>
          <w:color w:val="000000"/>
          <w:sz w:val="24"/>
          <w:szCs w:val="24"/>
          <w:highlight w:val="none"/>
        </w:rPr>
      </w:pPr>
      <w:bookmarkStart w:id="89" w:name="_Toc16202"/>
      <w:bookmarkEnd w:id="89"/>
      <w:r>
        <w:rPr>
          <w:rFonts w:hint="eastAsia" w:ascii="宋体" w:hAnsi="宋体" w:cs="宋体"/>
          <w:color w:val="000000"/>
          <w:sz w:val="24"/>
          <w:szCs w:val="24"/>
          <w:highlight w:val="none"/>
        </w:rPr>
        <w:t>1.3.1 采购需求：见投标人须知前附表。</w:t>
      </w:r>
    </w:p>
    <w:p w14:paraId="2C2A520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1.3.2 合同履行期限、质量标准：见投标人须知前附表。</w:t>
      </w:r>
    </w:p>
    <w:p w14:paraId="43851323">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1.3.3 </w:t>
      </w:r>
      <w:r>
        <w:rPr>
          <w:rFonts w:hint="eastAsia" w:ascii="宋体" w:hAnsi="宋体" w:cs="宋体"/>
          <w:color w:val="000000"/>
          <w:sz w:val="24"/>
          <w:szCs w:val="24"/>
          <w:highlight w:val="none"/>
          <w:lang w:eastAsia="zh-CN"/>
        </w:rPr>
        <w:t>项目实施地点</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eastAsia="zh-CN"/>
        </w:rPr>
        <w:t>服务要求</w:t>
      </w:r>
      <w:r>
        <w:rPr>
          <w:rFonts w:hint="eastAsia" w:ascii="宋体" w:hAnsi="宋体" w:cs="宋体"/>
          <w:color w:val="000000"/>
          <w:sz w:val="24"/>
          <w:szCs w:val="24"/>
          <w:highlight w:val="none"/>
        </w:rPr>
        <w:t>：见投标人须知前附表。</w:t>
      </w:r>
    </w:p>
    <w:p w14:paraId="239C2975">
      <w:pPr>
        <w:shd w:val="clear" w:color="auto" w:fill="auto"/>
        <w:spacing w:line="360" w:lineRule="auto"/>
        <w:rPr>
          <w:rFonts w:hint="eastAsia" w:ascii="宋体" w:hAnsi="宋体" w:cs="宋体"/>
          <w:b/>
          <w:color w:val="000000"/>
          <w:sz w:val="24"/>
          <w:szCs w:val="24"/>
          <w:highlight w:val="none"/>
        </w:rPr>
      </w:pPr>
      <w:bookmarkStart w:id="90" w:name="_Toc17694"/>
      <w:bookmarkEnd w:id="90"/>
      <w:bookmarkStart w:id="91" w:name="_Toc10611"/>
      <w:r>
        <w:rPr>
          <w:rFonts w:hint="eastAsia" w:ascii="宋体" w:hAnsi="宋体" w:cs="宋体"/>
          <w:b/>
          <w:color w:val="000000"/>
          <w:sz w:val="24"/>
          <w:szCs w:val="24"/>
          <w:highlight w:val="none"/>
        </w:rPr>
        <w:t>1.4 投标人资格要求</w:t>
      </w:r>
      <w:bookmarkEnd w:id="91"/>
    </w:p>
    <w:p w14:paraId="3D4D69A0">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1.4.1 投标人应具备承担本项目的资格条件。</w:t>
      </w:r>
    </w:p>
    <w:p w14:paraId="6E23ABB2">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w:t>
      </w:r>
      <w:r>
        <w:rPr>
          <w:rFonts w:hint="eastAsia" w:ascii="宋体" w:hAnsi="宋体" w:cs="宋体"/>
          <w:color w:val="000000"/>
          <w:kern w:val="2"/>
          <w:sz w:val="24"/>
          <w:szCs w:val="24"/>
          <w:highlight w:val="none"/>
        </w:rPr>
        <w:t>是否接受联合体投标：</w:t>
      </w:r>
      <w:r>
        <w:rPr>
          <w:rFonts w:hint="eastAsia" w:ascii="宋体" w:hAnsi="宋体" w:cs="宋体"/>
          <w:color w:val="000000"/>
          <w:sz w:val="24"/>
          <w:szCs w:val="24"/>
          <w:highlight w:val="none"/>
        </w:rPr>
        <w:t>见投标人须知前附表。</w:t>
      </w:r>
    </w:p>
    <w:p w14:paraId="2FFE011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如投标人须知前附表规定接受联合体投标的，联合体除应符合本章第1.4.1 项和投标人须知前附表的要求外，还应遵守以下规定：</w:t>
      </w:r>
    </w:p>
    <w:p w14:paraId="3290F650">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（1）联合体各方应按招标文件提供的格式签订联合体协议书，明确联合体牵头人和各方权利义务，并承诺就中标项目向采购人承担连带责任；</w:t>
      </w:r>
    </w:p>
    <w:p w14:paraId="50C0D5EB">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（2）联合体中有同类资质的投标人按照联合体分工承担相同工作的，应当按照资质等级较低的投标人确定资质等级；</w:t>
      </w:r>
    </w:p>
    <w:p w14:paraId="16035A0D">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（3）以联合体形式参加政府采购活动的，联合体各方不得再单独参加或者与其他投标人另外组成联合体参加同一合同项下的政府采购活动。</w:t>
      </w:r>
    </w:p>
    <w:p w14:paraId="24966958">
      <w:pPr>
        <w:shd w:val="clear" w:color="auto" w:fill="auto"/>
        <w:spacing w:line="360" w:lineRule="auto"/>
        <w:rPr>
          <w:rFonts w:hint="eastAsia" w:ascii="宋体" w:hAnsi="宋体" w:cs="宋体"/>
          <w:b/>
          <w:color w:val="000000"/>
          <w:sz w:val="24"/>
          <w:szCs w:val="24"/>
          <w:highlight w:val="none"/>
        </w:rPr>
      </w:pPr>
      <w:bookmarkStart w:id="92" w:name="_Toc27960"/>
      <w:bookmarkEnd w:id="92"/>
      <w:bookmarkStart w:id="93" w:name="_Toc18144"/>
      <w:r>
        <w:rPr>
          <w:rFonts w:hint="eastAsia" w:ascii="宋体" w:hAnsi="宋体" w:cs="宋体"/>
          <w:b/>
          <w:color w:val="000000"/>
          <w:sz w:val="24"/>
          <w:szCs w:val="24"/>
          <w:highlight w:val="none"/>
        </w:rPr>
        <w:t>1.5 费用承担</w:t>
      </w:r>
      <w:bookmarkEnd w:id="93"/>
    </w:p>
    <w:p w14:paraId="4CA04FA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投标人准备和参加投标活动发生的费用自理。</w:t>
      </w:r>
    </w:p>
    <w:p w14:paraId="35967911">
      <w:pPr>
        <w:shd w:val="clear" w:color="auto" w:fill="auto"/>
        <w:spacing w:line="360" w:lineRule="auto"/>
        <w:rPr>
          <w:rFonts w:hint="eastAsia" w:ascii="宋体" w:hAnsi="宋体" w:cs="宋体"/>
          <w:b/>
          <w:color w:val="000000"/>
          <w:sz w:val="24"/>
          <w:szCs w:val="24"/>
          <w:highlight w:val="none"/>
        </w:rPr>
      </w:pPr>
      <w:bookmarkStart w:id="94" w:name="_Toc6230"/>
      <w:bookmarkEnd w:id="94"/>
      <w:bookmarkStart w:id="95" w:name="_Toc16680"/>
      <w:r>
        <w:rPr>
          <w:rFonts w:hint="eastAsia" w:ascii="宋体" w:hAnsi="宋体" w:cs="宋体"/>
          <w:b/>
          <w:color w:val="000000"/>
          <w:sz w:val="24"/>
          <w:szCs w:val="24"/>
          <w:highlight w:val="none"/>
        </w:rPr>
        <w:t>1.6 保密</w:t>
      </w:r>
      <w:bookmarkEnd w:id="95"/>
    </w:p>
    <w:p w14:paraId="5828D29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参与招标投标活动的各方应对招标文件和投标文件中的商业和技术等秘密保密，则应承担相应的法律责任。</w:t>
      </w:r>
    </w:p>
    <w:p w14:paraId="0C393408">
      <w:pPr>
        <w:shd w:val="clear" w:color="auto" w:fill="auto"/>
        <w:spacing w:line="360" w:lineRule="auto"/>
        <w:rPr>
          <w:rFonts w:hint="eastAsia" w:ascii="宋体" w:hAnsi="宋体" w:cs="宋体"/>
          <w:b/>
          <w:color w:val="000000"/>
          <w:sz w:val="24"/>
          <w:szCs w:val="24"/>
          <w:highlight w:val="none"/>
        </w:rPr>
      </w:pPr>
      <w:bookmarkStart w:id="96" w:name="_Toc31781"/>
      <w:bookmarkEnd w:id="96"/>
      <w:bookmarkStart w:id="97" w:name="_Toc787"/>
      <w:r>
        <w:rPr>
          <w:rFonts w:hint="eastAsia" w:ascii="宋体" w:hAnsi="宋体" w:cs="宋体"/>
          <w:b/>
          <w:color w:val="000000"/>
          <w:sz w:val="24"/>
          <w:szCs w:val="24"/>
          <w:highlight w:val="none"/>
        </w:rPr>
        <w:t>1.7 语言文字</w:t>
      </w:r>
      <w:bookmarkEnd w:id="97"/>
    </w:p>
    <w:p w14:paraId="46CCFAD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招标投标文件使用的语言文字为中文。专用术语使用外文的，应附有中文注释。</w:t>
      </w:r>
    </w:p>
    <w:p w14:paraId="27AC8F48">
      <w:pPr>
        <w:shd w:val="clear" w:color="auto" w:fill="auto"/>
        <w:spacing w:line="360" w:lineRule="auto"/>
        <w:rPr>
          <w:rFonts w:hint="eastAsia" w:ascii="宋体" w:hAnsi="宋体" w:cs="宋体"/>
          <w:b/>
          <w:color w:val="000000"/>
          <w:sz w:val="24"/>
          <w:szCs w:val="24"/>
          <w:highlight w:val="none"/>
        </w:rPr>
      </w:pPr>
      <w:bookmarkStart w:id="98" w:name="_Toc29423"/>
      <w:bookmarkEnd w:id="98"/>
      <w:bookmarkStart w:id="99" w:name="_Toc29116"/>
      <w:r>
        <w:rPr>
          <w:rFonts w:hint="eastAsia" w:ascii="宋体" w:hAnsi="宋体" w:cs="宋体"/>
          <w:b/>
          <w:color w:val="000000"/>
          <w:sz w:val="24"/>
          <w:szCs w:val="24"/>
          <w:highlight w:val="none"/>
        </w:rPr>
        <w:t>1.8 计量单位</w:t>
      </w:r>
      <w:bookmarkEnd w:id="99"/>
    </w:p>
    <w:p w14:paraId="53E3B565">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所有计量均采用中华人民共和国法定计量单位。</w:t>
      </w:r>
    </w:p>
    <w:p w14:paraId="3A67E24E">
      <w:pPr>
        <w:shd w:val="clear" w:color="auto" w:fill="auto"/>
        <w:spacing w:line="360" w:lineRule="auto"/>
        <w:rPr>
          <w:rFonts w:hint="eastAsia" w:ascii="宋体" w:hAnsi="宋体" w:cs="宋体"/>
          <w:b/>
          <w:color w:val="000000"/>
          <w:sz w:val="24"/>
          <w:szCs w:val="24"/>
          <w:highlight w:val="none"/>
        </w:rPr>
      </w:pPr>
      <w:bookmarkStart w:id="100" w:name="_Toc152042315"/>
      <w:bookmarkEnd w:id="100"/>
      <w:bookmarkStart w:id="101" w:name="_Toc247592876"/>
      <w:bookmarkEnd w:id="101"/>
      <w:bookmarkStart w:id="102" w:name="_Toc29812"/>
      <w:bookmarkEnd w:id="102"/>
      <w:bookmarkStart w:id="103" w:name="_Toc247527563"/>
      <w:bookmarkEnd w:id="103"/>
      <w:bookmarkStart w:id="104" w:name="_Toc296602429"/>
      <w:bookmarkEnd w:id="104"/>
      <w:bookmarkStart w:id="105" w:name="_Toc247513962"/>
      <w:bookmarkEnd w:id="105"/>
      <w:bookmarkStart w:id="106" w:name="_Toc152045539"/>
      <w:bookmarkEnd w:id="106"/>
      <w:bookmarkStart w:id="107" w:name="_Toc144974507"/>
      <w:bookmarkEnd w:id="107"/>
      <w:bookmarkStart w:id="108" w:name="_Toc29408"/>
      <w:r>
        <w:rPr>
          <w:rFonts w:hint="eastAsia" w:ascii="宋体" w:hAnsi="宋体" w:cs="宋体"/>
          <w:b/>
          <w:color w:val="000000"/>
          <w:sz w:val="24"/>
          <w:szCs w:val="24"/>
          <w:highlight w:val="none"/>
        </w:rPr>
        <w:t>1.9 现场</w:t>
      </w:r>
      <w:bookmarkEnd w:id="108"/>
      <w:r>
        <w:rPr>
          <w:rFonts w:hint="eastAsia" w:ascii="宋体" w:hAnsi="宋体" w:cs="宋体"/>
          <w:b/>
          <w:color w:val="000000"/>
          <w:sz w:val="24"/>
          <w:szCs w:val="24"/>
          <w:highlight w:val="none"/>
        </w:rPr>
        <w:t>考察</w:t>
      </w:r>
    </w:p>
    <w:p w14:paraId="3E990FA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1.9.1 投标人须知前附表规定组织现场考察的，采购人按投标人须知前附表规定的时间、地点组织投标人考察项目现场。 </w:t>
      </w:r>
    </w:p>
    <w:p w14:paraId="57C5146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1.9.2 投标人考察现场发生的费用自理。</w:t>
      </w:r>
    </w:p>
    <w:p w14:paraId="2966B81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1.9.3 除采购人的原因外，投标人自行负责在考察现场中所发生的人员伤亡和财产损失。</w:t>
      </w:r>
    </w:p>
    <w:p w14:paraId="0D6CF10C">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1.9.4 采购人在考察现场中介绍的项目场地和相关的周边环境情况，供投标人在编制投标文件时参考，采购人不对投标人据此作出的判断和决策负责。</w:t>
      </w:r>
    </w:p>
    <w:p w14:paraId="1DCD5AF2">
      <w:pPr>
        <w:shd w:val="clear" w:color="auto" w:fill="auto"/>
        <w:spacing w:line="360" w:lineRule="auto"/>
        <w:rPr>
          <w:rFonts w:hint="eastAsia" w:ascii="宋体" w:hAnsi="宋体" w:cs="宋体"/>
          <w:b/>
          <w:color w:val="000000"/>
          <w:sz w:val="24"/>
          <w:szCs w:val="24"/>
          <w:highlight w:val="none"/>
        </w:rPr>
      </w:pPr>
      <w:bookmarkStart w:id="109" w:name="_Toc587"/>
      <w:bookmarkEnd w:id="109"/>
      <w:bookmarkStart w:id="110" w:name="_Toc31848"/>
      <w:bookmarkEnd w:id="110"/>
      <w:bookmarkStart w:id="111" w:name="_Toc29345"/>
      <w:r>
        <w:rPr>
          <w:rFonts w:hint="eastAsia" w:ascii="宋体" w:hAnsi="宋体" w:cs="宋体"/>
          <w:b/>
          <w:color w:val="000000"/>
          <w:sz w:val="24"/>
          <w:szCs w:val="24"/>
          <w:highlight w:val="none"/>
        </w:rPr>
        <w:t>1.10响应和偏</w:t>
      </w:r>
      <w:bookmarkEnd w:id="111"/>
      <w:r>
        <w:rPr>
          <w:rFonts w:hint="eastAsia" w:ascii="宋体" w:hAnsi="宋体" w:cs="宋体"/>
          <w:b/>
          <w:color w:val="000000"/>
          <w:sz w:val="24"/>
          <w:szCs w:val="24"/>
          <w:highlight w:val="none"/>
        </w:rPr>
        <w:t>离</w:t>
      </w:r>
    </w:p>
    <w:p w14:paraId="42AFCF3C">
      <w:pPr>
        <w:shd w:val="clear" w:color="auto" w:fill="auto"/>
        <w:spacing w:line="360" w:lineRule="auto"/>
        <w:ind w:firstLine="480" w:firstLineChars="200"/>
        <w:rPr>
          <w:rFonts w:hint="eastAsia" w:ascii="宋体" w:hAnsi="宋体" w:cs="宋体"/>
          <w:color w:val="000000"/>
          <w:sz w:val="24"/>
          <w:szCs w:val="24"/>
          <w:highlight w:val="none"/>
        </w:rPr>
      </w:pPr>
      <w:bookmarkStart w:id="112" w:name="page22"/>
      <w:bookmarkEnd w:id="112"/>
      <w:r>
        <w:rPr>
          <w:rFonts w:hint="eastAsia" w:ascii="宋体" w:hAnsi="宋体" w:cs="宋体"/>
          <w:color w:val="000000"/>
          <w:sz w:val="24"/>
          <w:szCs w:val="24"/>
          <w:highlight w:val="none"/>
        </w:rPr>
        <w:t>投标文件应当对招标文件的实质性要求和条件作出响应，否则，投标人投标无效。</w:t>
      </w:r>
      <w:r>
        <w:rPr>
          <w:rFonts w:hint="eastAsia" w:ascii="宋体" w:hAnsi="宋体" w:cs="宋体"/>
          <w:b/>
          <w:bCs/>
          <w:color w:val="000000"/>
          <w:kern w:val="2"/>
          <w:sz w:val="24"/>
          <w:szCs w:val="24"/>
          <w:highlight w:val="none"/>
        </w:rPr>
        <w:t>不允许偏离的</w:t>
      </w:r>
      <w:r>
        <w:rPr>
          <w:rFonts w:hint="eastAsia" w:ascii="宋体" w:hAnsi="宋体" w:cs="宋体"/>
          <w:b/>
          <w:bCs/>
          <w:color w:val="000000"/>
          <w:sz w:val="24"/>
          <w:szCs w:val="24"/>
          <w:highlight w:val="none"/>
        </w:rPr>
        <w:t>实质性要求和条件见投标人须知前附表。</w:t>
      </w:r>
    </w:p>
    <w:p w14:paraId="13A40370">
      <w:pPr>
        <w:pStyle w:val="3"/>
        <w:shd w:val="clear" w:color="auto" w:fill="auto"/>
        <w:spacing w:before="0" w:after="0" w:line="360" w:lineRule="auto"/>
        <w:rPr>
          <w:rFonts w:hint="eastAsia" w:ascii="宋体" w:hAnsi="宋体" w:eastAsia="宋体" w:cs="宋体"/>
          <w:color w:val="000000"/>
          <w:sz w:val="28"/>
          <w:szCs w:val="28"/>
          <w:highlight w:val="none"/>
        </w:rPr>
      </w:pPr>
      <w:bookmarkStart w:id="113" w:name="_Toc31795"/>
      <w:bookmarkEnd w:id="113"/>
      <w:bookmarkStart w:id="114" w:name="_Toc32012"/>
      <w:bookmarkEnd w:id="114"/>
      <w:bookmarkStart w:id="115" w:name="_Toc10469"/>
      <w:bookmarkStart w:id="116" w:name="_Toc31733"/>
      <w:r>
        <w:rPr>
          <w:rFonts w:hint="eastAsia" w:ascii="宋体" w:hAnsi="宋体" w:eastAsia="宋体" w:cs="宋体"/>
          <w:color w:val="000000"/>
          <w:sz w:val="28"/>
          <w:szCs w:val="28"/>
          <w:highlight w:val="none"/>
        </w:rPr>
        <w:t>2. 招标文件</w:t>
      </w:r>
      <w:bookmarkEnd w:id="115"/>
      <w:bookmarkEnd w:id="116"/>
    </w:p>
    <w:p w14:paraId="77E61849">
      <w:pPr>
        <w:shd w:val="clear" w:color="auto" w:fill="auto"/>
        <w:spacing w:line="360" w:lineRule="auto"/>
        <w:rPr>
          <w:rFonts w:hint="eastAsia" w:ascii="宋体" w:hAnsi="宋体" w:cs="宋体"/>
          <w:b/>
          <w:color w:val="000000"/>
          <w:sz w:val="24"/>
          <w:szCs w:val="24"/>
          <w:highlight w:val="none"/>
        </w:rPr>
      </w:pPr>
      <w:bookmarkStart w:id="117" w:name="_Toc21536"/>
      <w:bookmarkEnd w:id="117"/>
      <w:bookmarkStart w:id="118" w:name="_Toc16596"/>
      <w:r>
        <w:rPr>
          <w:rFonts w:hint="eastAsia" w:ascii="宋体" w:hAnsi="宋体" w:cs="宋体"/>
          <w:b/>
          <w:color w:val="000000"/>
          <w:sz w:val="24"/>
          <w:szCs w:val="24"/>
          <w:highlight w:val="none"/>
        </w:rPr>
        <w:t>2.1 招标文件的组成</w:t>
      </w:r>
      <w:bookmarkEnd w:id="118"/>
    </w:p>
    <w:p w14:paraId="27C97AB5">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本招标文件包括：</w:t>
      </w:r>
    </w:p>
    <w:p w14:paraId="74D96A64">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（1）公开招标公告；</w:t>
      </w:r>
    </w:p>
    <w:p w14:paraId="171CB8E7">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（2）投标人须知；</w:t>
      </w:r>
    </w:p>
    <w:p w14:paraId="34CB88B6">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（3）合同条款及格式；</w:t>
      </w:r>
    </w:p>
    <w:p w14:paraId="5B5BEFA1">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（4）投标文件格式；</w:t>
      </w:r>
    </w:p>
    <w:p w14:paraId="47C9F616">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（5）</w:t>
      </w:r>
      <w:r>
        <w:rPr>
          <w:rFonts w:hint="eastAsia" w:ascii="宋体" w:hAnsi="宋体" w:cs="宋体"/>
          <w:color w:val="000000"/>
          <w:sz w:val="24"/>
          <w:szCs w:val="24"/>
          <w:highlight w:val="none"/>
          <w:lang w:eastAsia="zh-CN"/>
        </w:rPr>
        <w:t>采购内容及技术措施</w:t>
      </w:r>
      <w:r>
        <w:rPr>
          <w:rFonts w:hint="eastAsia" w:ascii="宋体" w:hAnsi="宋体" w:cs="宋体"/>
          <w:color w:val="000000"/>
          <w:sz w:val="24"/>
          <w:szCs w:val="24"/>
          <w:highlight w:val="none"/>
        </w:rPr>
        <w:t>；</w:t>
      </w:r>
    </w:p>
    <w:p w14:paraId="7AD812B5">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（6）资格审查；</w:t>
      </w:r>
    </w:p>
    <w:p w14:paraId="650183E5">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（7）评标办法；</w:t>
      </w:r>
    </w:p>
    <w:p w14:paraId="16AFBF12">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（8）投标人须知前附表规定的其他材料。</w:t>
      </w:r>
    </w:p>
    <w:p w14:paraId="29BF3E5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根据本章第2.2 款和第2.3 款对招标文件所作的澄清、修改，构成招标文件的组成部分。</w:t>
      </w:r>
    </w:p>
    <w:p w14:paraId="77BCB5B7">
      <w:pPr>
        <w:shd w:val="clear" w:color="auto" w:fill="auto"/>
        <w:spacing w:line="360" w:lineRule="auto"/>
        <w:rPr>
          <w:rFonts w:hint="eastAsia" w:ascii="宋体" w:hAnsi="宋体" w:cs="宋体"/>
          <w:b/>
          <w:color w:val="000000"/>
          <w:sz w:val="24"/>
          <w:szCs w:val="24"/>
          <w:highlight w:val="none"/>
        </w:rPr>
      </w:pPr>
      <w:bookmarkStart w:id="119" w:name="_Toc23003"/>
      <w:bookmarkEnd w:id="119"/>
      <w:bookmarkStart w:id="120" w:name="_Toc13591"/>
      <w:r>
        <w:rPr>
          <w:rFonts w:hint="eastAsia" w:ascii="宋体" w:hAnsi="宋体" w:cs="宋体"/>
          <w:b/>
          <w:color w:val="000000"/>
          <w:sz w:val="24"/>
          <w:szCs w:val="24"/>
          <w:highlight w:val="none"/>
        </w:rPr>
        <w:t>2.2 招标文件的澄清</w:t>
      </w:r>
      <w:bookmarkEnd w:id="120"/>
    </w:p>
    <w:p w14:paraId="79BD867B">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sz w:val="24"/>
          <w:highlight w:val="none"/>
        </w:rPr>
        <w:t>2.2.1 投标人应仔细阅读和检查招标文件的全部内容。如发现缺页或附件不全，应及时向采购代理机构提出，以便补齐。</w:t>
      </w:r>
    </w:p>
    <w:p w14:paraId="26207A0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2.2.2招标文件的澄清以投标人须知前附表规定的形式发给所有获取招标文件的投标人，但不指明澄清问题的来源。澄清发出的时间距本章第4.2.1项规定的投标截止时间不足15日的，并且澄清内容可能影响投标文件编制的，将相应延长投标截止时间。</w:t>
      </w:r>
    </w:p>
    <w:p w14:paraId="0273AFCC">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2.2.3投标人在收到澄清通知后，应按投标人须知前附表规定的时间和形式通知采购人，确认已收到该澄清。</w:t>
      </w:r>
    </w:p>
    <w:p w14:paraId="10255B8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2.2.4除非采购人认为确有必要答复，否则，采购人有权拒绝回复投标人在本章第2.2.2项规定的时间后的任何澄清要求。</w:t>
      </w:r>
    </w:p>
    <w:p w14:paraId="24987383">
      <w:pPr>
        <w:shd w:val="clear" w:color="auto" w:fill="auto"/>
        <w:spacing w:line="360" w:lineRule="auto"/>
        <w:rPr>
          <w:rFonts w:hint="eastAsia" w:ascii="宋体" w:hAnsi="宋体" w:cs="宋体"/>
          <w:b/>
          <w:color w:val="000000"/>
          <w:sz w:val="24"/>
          <w:szCs w:val="24"/>
          <w:highlight w:val="none"/>
        </w:rPr>
      </w:pPr>
      <w:bookmarkStart w:id="121" w:name="_Toc17621"/>
      <w:bookmarkEnd w:id="121"/>
      <w:bookmarkStart w:id="122" w:name="_Toc8029"/>
      <w:r>
        <w:rPr>
          <w:rFonts w:hint="eastAsia" w:ascii="宋体" w:hAnsi="宋体" w:cs="宋体"/>
          <w:b/>
          <w:color w:val="000000"/>
          <w:sz w:val="24"/>
          <w:szCs w:val="24"/>
          <w:highlight w:val="none"/>
        </w:rPr>
        <w:t>2.3 招标文件的修改</w:t>
      </w:r>
      <w:bookmarkEnd w:id="122"/>
    </w:p>
    <w:p w14:paraId="482EB16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2.3.1 采购人以投标人须知前附表规定的形式修改招标文件，并通知所有已获取招标文件的投标人。修改招标文件的时间距本章4.2.1项规定的投标截止时间不足15日的，并且修改内容可能影响投标文件编制的，将相应延长投标截止时间。</w:t>
      </w:r>
    </w:p>
    <w:p w14:paraId="105E4425">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2.3.2投标人收到修改内容后，应按投标人须知前附表规定的时间和形式通知采购人，确认已收到该修改。</w:t>
      </w:r>
    </w:p>
    <w:p w14:paraId="20AB9A27">
      <w:pPr>
        <w:pStyle w:val="3"/>
        <w:shd w:val="clear" w:color="auto" w:fill="auto"/>
        <w:spacing w:before="0" w:after="0" w:line="360" w:lineRule="auto"/>
        <w:rPr>
          <w:rFonts w:hint="eastAsia" w:ascii="宋体" w:hAnsi="宋体" w:eastAsia="宋体" w:cs="宋体"/>
          <w:color w:val="000000"/>
          <w:sz w:val="28"/>
          <w:szCs w:val="28"/>
          <w:highlight w:val="none"/>
        </w:rPr>
      </w:pPr>
      <w:bookmarkStart w:id="123" w:name="_Toc24916"/>
      <w:bookmarkEnd w:id="123"/>
      <w:bookmarkStart w:id="124" w:name="_Toc16663"/>
      <w:bookmarkEnd w:id="124"/>
      <w:bookmarkStart w:id="125" w:name="_Toc29741"/>
      <w:bookmarkEnd w:id="125"/>
      <w:bookmarkStart w:id="126" w:name="_Toc3822"/>
      <w:bookmarkStart w:id="127" w:name="_Toc24768"/>
      <w:r>
        <w:rPr>
          <w:rFonts w:hint="eastAsia" w:ascii="宋体" w:hAnsi="宋体" w:eastAsia="宋体" w:cs="宋体"/>
          <w:color w:val="000000"/>
          <w:sz w:val="28"/>
          <w:szCs w:val="28"/>
          <w:highlight w:val="none"/>
        </w:rPr>
        <w:t>3. 投标文件</w:t>
      </w:r>
      <w:bookmarkEnd w:id="126"/>
      <w:bookmarkEnd w:id="127"/>
    </w:p>
    <w:p w14:paraId="2D693695">
      <w:pPr>
        <w:shd w:val="clear" w:color="auto" w:fill="auto"/>
        <w:spacing w:line="360" w:lineRule="auto"/>
        <w:rPr>
          <w:rFonts w:hint="eastAsia" w:ascii="宋体" w:hAnsi="宋体" w:cs="宋体"/>
          <w:b/>
          <w:color w:val="000000"/>
          <w:sz w:val="24"/>
          <w:szCs w:val="24"/>
          <w:highlight w:val="none"/>
        </w:rPr>
      </w:pPr>
      <w:bookmarkStart w:id="128" w:name="_Toc2432"/>
      <w:bookmarkEnd w:id="128"/>
      <w:bookmarkStart w:id="129" w:name="_Toc4962"/>
      <w:r>
        <w:rPr>
          <w:rFonts w:hint="eastAsia" w:ascii="宋体" w:hAnsi="宋体" w:cs="宋体"/>
          <w:b/>
          <w:color w:val="000000"/>
          <w:sz w:val="24"/>
          <w:szCs w:val="24"/>
          <w:highlight w:val="none"/>
        </w:rPr>
        <w:t>3.1 投标文件的组成</w:t>
      </w:r>
      <w:bookmarkEnd w:id="129"/>
    </w:p>
    <w:p w14:paraId="1E62583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3.1.1 投标文件资格审查部分详见第四章“投标文件格式”资格审查部分中的内容。</w:t>
      </w:r>
    </w:p>
    <w:p w14:paraId="493FC09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3.1.2 投标文件商务技术部分详见第四章“投标文件格式”商务技术部分中的内容。</w:t>
      </w:r>
    </w:p>
    <w:p w14:paraId="1E57602C">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投标人在评标过程中作出的符合法律法规和招标文件规定的澄清确认，构成投标文件的组成部分。</w:t>
      </w:r>
    </w:p>
    <w:p w14:paraId="4240AA39">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3.1.3 投标人须知前附表未要求提交投标保证金的，投标文件不包括第四章“投标文件格式”商务技术部分中所指的投标保证金。</w:t>
      </w:r>
    </w:p>
    <w:p w14:paraId="4C12ED43">
      <w:pPr>
        <w:shd w:val="clear" w:color="auto" w:fill="auto"/>
        <w:spacing w:line="360" w:lineRule="auto"/>
        <w:rPr>
          <w:rFonts w:hint="eastAsia" w:ascii="宋体" w:hAnsi="宋体" w:cs="宋体"/>
          <w:b/>
          <w:color w:val="000000"/>
          <w:sz w:val="24"/>
          <w:szCs w:val="24"/>
          <w:highlight w:val="none"/>
        </w:rPr>
      </w:pPr>
      <w:bookmarkStart w:id="130" w:name="_Toc3252"/>
      <w:bookmarkEnd w:id="130"/>
      <w:bookmarkStart w:id="131" w:name="_Toc21369"/>
      <w:r>
        <w:rPr>
          <w:rFonts w:hint="eastAsia" w:ascii="宋体" w:hAnsi="宋体" w:cs="宋体"/>
          <w:b/>
          <w:color w:val="000000"/>
          <w:sz w:val="24"/>
          <w:szCs w:val="24"/>
          <w:highlight w:val="none"/>
        </w:rPr>
        <w:t>3.2 投标报价</w:t>
      </w:r>
      <w:bookmarkEnd w:id="131"/>
    </w:p>
    <w:p w14:paraId="0355445D">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3.2.1 投标人应按第四章“投标文件格式”的要求在投标函中进行报价。</w:t>
      </w:r>
    </w:p>
    <w:p w14:paraId="1F9C8FD7">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3.2.2 投标人应充分了解该项目的总体情况以及影响投标报价的其他要素。</w:t>
      </w:r>
    </w:p>
    <w:p w14:paraId="60EE77FB">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3.2.3 投标人的投标报价不得超过预算金额，若采购人还设有最高限价的，投标人的投标报价还应当不得超过最高限价，最高限价在投标人须知前附表中载明。</w:t>
      </w:r>
    </w:p>
    <w:p w14:paraId="1DEACEC7">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3.2.4 投标报价的其他要求见投标人须知前附表。</w:t>
      </w:r>
    </w:p>
    <w:p w14:paraId="29D61CC6">
      <w:pPr>
        <w:shd w:val="clear" w:color="auto" w:fill="auto"/>
        <w:spacing w:line="360" w:lineRule="auto"/>
        <w:ind w:firstLine="540" w:firstLineChars="225"/>
        <w:rPr>
          <w:rFonts w:ascii="宋体" w:hAnsi="宋体" w:cs="宋体"/>
          <w:color w:val="000000"/>
          <w:sz w:val="24"/>
          <w:szCs w:val="24"/>
          <w:highlight w:val="none"/>
        </w:rPr>
      </w:pPr>
      <w:r>
        <w:rPr>
          <w:rFonts w:hint="eastAsia" w:ascii="宋体" w:hAnsi="宋体" w:cs="宋体"/>
          <w:color w:val="000000"/>
          <w:sz w:val="24"/>
          <w:szCs w:val="24"/>
          <w:highlight w:val="none"/>
        </w:rPr>
        <w:t>3.2.5投标报价货币为人民币含税价（元）。</w:t>
      </w:r>
    </w:p>
    <w:p w14:paraId="76D0CE5C">
      <w:pPr>
        <w:shd w:val="clear" w:color="auto" w:fill="auto"/>
        <w:spacing w:line="360" w:lineRule="auto"/>
        <w:rPr>
          <w:rFonts w:hint="eastAsia" w:ascii="宋体" w:hAnsi="宋体" w:cs="宋体"/>
          <w:b/>
          <w:color w:val="000000"/>
          <w:sz w:val="24"/>
          <w:szCs w:val="24"/>
          <w:highlight w:val="none"/>
        </w:rPr>
      </w:pPr>
      <w:bookmarkStart w:id="132" w:name="_Toc12995"/>
      <w:bookmarkEnd w:id="132"/>
      <w:bookmarkStart w:id="133" w:name="_Toc14190"/>
      <w:r>
        <w:rPr>
          <w:rFonts w:hint="eastAsia" w:ascii="宋体" w:hAnsi="宋体" w:cs="宋体"/>
          <w:b/>
          <w:color w:val="000000"/>
          <w:sz w:val="24"/>
          <w:szCs w:val="24"/>
          <w:highlight w:val="none"/>
        </w:rPr>
        <w:t>3.3 投标有效期</w:t>
      </w:r>
      <w:bookmarkEnd w:id="133"/>
    </w:p>
    <w:p w14:paraId="547AF6FE">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3.3.1投标有效期见投标人须知前附表。</w:t>
      </w:r>
    </w:p>
    <w:p w14:paraId="4F92BCC3">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3.3.2在投标有效期内，投标人撤销或修改其投标文件的，应承担招标文件和法律规定的责任。</w:t>
      </w:r>
    </w:p>
    <w:p w14:paraId="5949931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3.3.3 出现特殊情况需要延长投标有效期的，采购人以书面形式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123F4C1E">
      <w:pPr>
        <w:shd w:val="clear" w:color="auto" w:fill="auto"/>
        <w:spacing w:line="360" w:lineRule="auto"/>
        <w:rPr>
          <w:rFonts w:hint="eastAsia" w:ascii="宋体" w:hAnsi="宋体" w:cs="宋体"/>
          <w:b/>
          <w:color w:val="000000"/>
          <w:sz w:val="24"/>
          <w:szCs w:val="24"/>
          <w:highlight w:val="none"/>
        </w:rPr>
      </w:pPr>
      <w:bookmarkStart w:id="134" w:name="_Toc1543"/>
      <w:bookmarkEnd w:id="134"/>
      <w:bookmarkStart w:id="135" w:name="_Toc23125"/>
      <w:r>
        <w:rPr>
          <w:rFonts w:hint="eastAsia" w:ascii="宋体" w:hAnsi="宋体" w:cs="宋体"/>
          <w:b/>
          <w:color w:val="000000"/>
          <w:sz w:val="24"/>
          <w:szCs w:val="24"/>
          <w:highlight w:val="none"/>
        </w:rPr>
        <w:t>3.4 投标保证金</w:t>
      </w:r>
      <w:bookmarkEnd w:id="135"/>
    </w:p>
    <w:p w14:paraId="3C3BC21A">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3.4.1投标人在递交投标文件的同时，应按投标人须知前附表规定的金额、形式和第四章“投标文件格式”规定的投标保证金格式递交投标保证金，并作为其投标文件的组成部分。应当从其基本账户转出。联合体投标的，其投标保证金可以由牵头人递交。</w:t>
      </w:r>
    </w:p>
    <w:p w14:paraId="0D2AD727">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3.4.2 投标人不按本章第3.4.1 项要求提交投标保证金的，其投标将被视为无效投标。</w:t>
      </w:r>
    </w:p>
    <w:p w14:paraId="399C0BA4">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3.4.3 采购人或者采购代理机构应当自中标通知书发出之日起</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个工作日内退还未中标人的投标保证金，自采购合同签订之日起</w:t>
      </w:r>
      <w:r>
        <w:rPr>
          <w:rFonts w:hint="eastAsia" w:ascii="宋体" w:hAnsi="宋体" w:cs="宋体"/>
          <w:color w:val="000000"/>
          <w:sz w:val="24"/>
          <w:szCs w:val="24"/>
          <w:highlight w:val="none"/>
          <w:lang w:val="en-US" w:eastAsia="zh-CN"/>
        </w:rPr>
        <w:t>5</w:t>
      </w:r>
      <w:r>
        <w:rPr>
          <w:rFonts w:hint="eastAsia" w:ascii="宋体" w:hAnsi="宋体" w:cs="宋体"/>
          <w:color w:val="000000"/>
          <w:sz w:val="24"/>
          <w:szCs w:val="24"/>
          <w:highlight w:val="none"/>
        </w:rPr>
        <w:t>个工作日内退还中标人的投标保证金。</w:t>
      </w:r>
    </w:p>
    <w:p w14:paraId="3E7CFF9D">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3.4.4 有下列情形之一的，投标保证金将不予退还：</w:t>
      </w:r>
    </w:p>
    <w:p w14:paraId="6F795D30">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（1）投标人在投标有效期内撤销投标文件；</w:t>
      </w:r>
    </w:p>
    <w:p w14:paraId="1D79F3F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（2）中标人在收到中标通知书后，无正当理由不与采购人订立合同，在签订合同时向采购人提出附加条件，或者不按照招标文件要求提交履约保证金；</w:t>
      </w:r>
    </w:p>
    <w:p w14:paraId="7C51AB7B">
      <w:pPr>
        <w:shd w:val="clear" w:color="auto" w:fill="auto"/>
        <w:spacing w:line="360" w:lineRule="auto"/>
        <w:ind w:left="479" w:leftChars="228"/>
        <w:rPr>
          <w:rFonts w:hint="eastAsia" w:ascii="宋体" w:hAnsi="宋体" w:cs="宋体"/>
          <w:color w:val="000000"/>
          <w:sz w:val="24"/>
          <w:szCs w:val="24"/>
          <w:highlight w:val="none"/>
        </w:rPr>
      </w:pPr>
      <w:r>
        <w:rPr>
          <w:rFonts w:hint="eastAsia" w:ascii="宋体" w:hAnsi="宋体" w:cs="宋体"/>
          <w:color w:val="000000"/>
          <w:sz w:val="24"/>
          <w:szCs w:val="24"/>
          <w:highlight w:val="none"/>
        </w:rPr>
        <w:t>（3）其他法律法规要求不予退还投标保证金的情形。</w:t>
      </w:r>
    </w:p>
    <w:p w14:paraId="5F6B7100">
      <w:pPr>
        <w:shd w:val="clear" w:color="auto" w:fill="auto"/>
        <w:spacing w:line="360" w:lineRule="auto"/>
        <w:rPr>
          <w:rFonts w:hint="eastAsia" w:ascii="宋体" w:hAnsi="宋体" w:cs="宋体"/>
          <w:b/>
          <w:color w:val="000000"/>
          <w:sz w:val="24"/>
          <w:szCs w:val="24"/>
          <w:highlight w:val="none"/>
        </w:rPr>
      </w:pPr>
      <w:bookmarkStart w:id="136" w:name="_Toc32408"/>
      <w:bookmarkEnd w:id="136"/>
      <w:bookmarkStart w:id="137" w:name="_Toc4859"/>
      <w:r>
        <w:rPr>
          <w:rFonts w:hint="eastAsia" w:ascii="宋体" w:hAnsi="宋体" w:cs="宋体"/>
          <w:b/>
          <w:color w:val="000000"/>
          <w:sz w:val="24"/>
          <w:szCs w:val="24"/>
          <w:highlight w:val="none"/>
        </w:rPr>
        <w:t>3.5投标文件的编制</w:t>
      </w:r>
      <w:bookmarkEnd w:id="137"/>
    </w:p>
    <w:p w14:paraId="28D73531">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3.5.1 投标文件应按第四章“投标文件格式”进行编写</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rPr>
        <w:t>电子投标文件应</w:t>
      </w:r>
      <w:r>
        <w:rPr>
          <w:rFonts w:hint="eastAsia" w:ascii="宋体" w:hAnsi="宋体" w:cs="宋体"/>
          <w:color w:val="000000"/>
          <w:sz w:val="24"/>
          <w:szCs w:val="24"/>
          <w:highlight w:val="none"/>
          <w:lang w:val="en-US" w:eastAsia="zh-CN"/>
        </w:rPr>
        <w:t>按政采云平台要求编制</w:t>
      </w:r>
      <w:r>
        <w:rPr>
          <w:rFonts w:hint="eastAsia" w:ascii="宋体" w:hAnsi="宋体" w:cs="宋体"/>
          <w:color w:val="000000"/>
          <w:sz w:val="24"/>
          <w:szCs w:val="24"/>
          <w:highlight w:val="none"/>
        </w:rPr>
        <w:t>。</w:t>
      </w:r>
    </w:p>
    <w:p w14:paraId="757DB8B1">
      <w:pPr>
        <w:shd w:val="clear" w:color="auto" w:fill="auto"/>
        <w:spacing w:line="360" w:lineRule="auto"/>
        <w:ind w:firstLine="482" w:firstLineChars="200"/>
        <w:rPr>
          <w:rFonts w:hint="eastAsia" w:ascii="宋体" w:hAnsi="宋体" w:cs="宋体"/>
          <w:color w:val="000000"/>
          <w:sz w:val="24"/>
          <w:szCs w:val="24"/>
          <w:highlight w:val="none"/>
        </w:rPr>
      </w:pPr>
      <w:r>
        <w:rPr>
          <w:rFonts w:hint="eastAsia" w:ascii="宋体" w:hAnsi="宋体" w:cs="宋体"/>
          <w:b/>
          <w:bCs/>
          <w:color w:val="000000"/>
          <w:sz w:val="24"/>
          <w:szCs w:val="24"/>
          <w:highlight w:val="none"/>
        </w:rPr>
        <w:t>3.5.2 投标文件应当对招标文件投标人须知前附表1.10规定的不允许偏离的实质性要求和条件作出响应。</w:t>
      </w:r>
    </w:p>
    <w:p w14:paraId="634DF97E">
      <w:pPr>
        <w:shd w:val="clear" w:color="auto" w:fill="auto"/>
        <w:spacing w:line="360" w:lineRule="auto"/>
        <w:ind w:firstLine="480" w:firstLineChars="200"/>
        <w:rPr>
          <w:rFonts w:hint="eastAsia" w:ascii="宋体" w:hAnsi="宋体" w:cs="宋体"/>
          <w:color w:val="000000"/>
          <w:sz w:val="24"/>
          <w:szCs w:val="24"/>
          <w:highlight w:val="none"/>
        </w:rPr>
      </w:pPr>
      <w:bookmarkStart w:id="138" w:name="_Toc13757"/>
      <w:bookmarkEnd w:id="138"/>
      <w:bookmarkStart w:id="139" w:name="_Toc1490"/>
      <w:bookmarkEnd w:id="139"/>
      <w:bookmarkStart w:id="140" w:name="_Toc7149"/>
      <w:r>
        <w:rPr>
          <w:rFonts w:hint="eastAsia" w:ascii="宋体" w:hAnsi="宋体" w:cs="宋体"/>
          <w:color w:val="000000"/>
          <w:sz w:val="24"/>
          <w:szCs w:val="24"/>
          <w:highlight w:val="none"/>
        </w:rPr>
        <w:t>3.5.3电子投标文件的格式见投标人须知前附表。</w:t>
      </w:r>
    </w:p>
    <w:p w14:paraId="76BB1D04">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3.5.4如投标人提交的电子标书不符合3.5.3要求或开标时无法读取导入或解密，其投标文件将不予受理。</w:t>
      </w:r>
    </w:p>
    <w:p w14:paraId="02F2BF5D">
      <w:pPr>
        <w:pStyle w:val="3"/>
        <w:shd w:val="clear" w:color="auto" w:fill="auto"/>
        <w:spacing w:before="0" w:after="0" w:line="360" w:lineRule="auto"/>
        <w:rPr>
          <w:rFonts w:hint="eastAsia" w:ascii="宋体" w:hAnsi="宋体" w:eastAsia="宋体" w:cs="宋体"/>
          <w:color w:val="000000"/>
          <w:sz w:val="28"/>
          <w:szCs w:val="28"/>
          <w:highlight w:val="none"/>
        </w:rPr>
      </w:pPr>
      <w:bookmarkStart w:id="141" w:name="_Toc27047"/>
      <w:r>
        <w:rPr>
          <w:rFonts w:hint="eastAsia" w:ascii="宋体" w:hAnsi="宋体" w:eastAsia="宋体" w:cs="宋体"/>
          <w:color w:val="000000"/>
          <w:sz w:val="28"/>
          <w:szCs w:val="28"/>
          <w:highlight w:val="none"/>
        </w:rPr>
        <w:t>4. 投标</w:t>
      </w:r>
      <w:bookmarkEnd w:id="140"/>
      <w:bookmarkEnd w:id="141"/>
    </w:p>
    <w:p w14:paraId="5C87B08E">
      <w:pPr>
        <w:shd w:val="clear" w:color="auto" w:fill="auto"/>
        <w:spacing w:line="360" w:lineRule="auto"/>
        <w:rPr>
          <w:rFonts w:hint="eastAsia" w:ascii="宋体" w:hAnsi="宋体" w:cs="宋体"/>
          <w:b/>
          <w:color w:val="000000"/>
          <w:sz w:val="24"/>
          <w:szCs w:val="24"/>
          <w:highlight w:val="none"/>
        </w:rPr>
      </w:pPr>
      <w:bookmarkStart w:id="142" w:name="_Toc1523"/>
      <w:bookmarkEnd w:id="142"/>
      <w:bookmarkStart w:id="143" w:name="_Toc25497"/>
      <w:r>
        <w:rPr>
          <w:rFonts w:hint="eastAsia" w:ascii="宋体" w:hAnsi="宋体" w:cs="宋体"/>
          <w:b/>
          <w:color w:val="000000"/>
          <w:sz w:val="24"/>
          <w:szCs w:val="24"/>
          <w:highlight w:val="none"/>
        </w:rPr>
        <w:t>4.1 投标文件的密封和标记</w:t>
      </w:r>
      <w:bookmarkEnd w:id="143"/>
    </w:p>
    <w:p w14:paraId="536A6B95">
      <w:pPr>
        <w:shd w:val="clear" w:color="auto" w:fill="auto"/>
        <w:spacing w:line="360" w:lineRule="auto"/>
        <w:ind w:firstLine="480" w:firstLineChars="200"/>
        <w:rPr>
          <w:rFonts w:hint="eastAsia" w:ascii="宋体" w:hAnsi="宋体" w:cs="宋体"/>
          <w:color w:val="000000"/>
          <w:sz w:val="24"/>
          <w:szCs w:val="24"/>
          <w:highlight w:val="none"/>
        </w:rPr>
      </w:pPr>
      <w:bookmarkStart w:id="144" w:name="_Toc27596"/>
      <w:bookmarkEnd w:id="144"/>
      <w:r>
        <w:rPr>
          <w:rFonts w:hint="eastAsia" w:ascii="宋体" w:hAnsi="宋体" w:cs="宋体"/>
          <w:color w:val="000000"/>
          <w:sz w:val="24"/>
          <w:szCs w:val="24"/>
          <w:highlight w:val="none"/>
        </w:rPr>
        <w:t>4.1.1 投标人应当按照招标文件和电子招标投标交易平台的要求加密投标文件，具体要求见投标人须知前附表。</w:t>
      </w:r>
    </w:p>
    <w:p w14:paraId="34A9E0DE">
      <w:pPr>
        <w:shd w:val="clear" w:color="auto" w:fill="auto"/>
        <w:spacing w:line="360" w:lineRule="auto"/>
        <w:rPr>
          <w:rFonts w:hint="eastAsia" w:ascii="宋体" w:hAnsi="宋体" w:cs="宋体"/>
          <w:b/>
          <w:color w:val="000000"/>
          <w:sz w:val="24"/>
          <w:szCs w:val="24"/>
          <w:highlight w:val="none"/>
        </w:rPr>
      </w:pPr>
      <w:bookmarkStart w:id="145" w:name="_Toc20611"/>
      <w:bookmarkEnd w:id="145"/>
      <w:bookmarkStart w:id="146" w:name="_Toc9134"/>
      <w:r>
        <w:rPr>
          <w:rFonts w:hint="eastAsia" w:ascii="宋体" w:hAnsi="宋体" w:cs="宋体"/>
          <w:b/>
          <w:color w:val="000000"/>
          <w:sz w:val="24"/>
          <w:szCs w:val="24"/>
          <w:highlight w:val="none"/>
        </w:rPr>
        <w:t>4.2 投标文件的递交</w:t>
      </w:r>
      <w:bookmarkEnd w:id="146"/>
    </w:p>
    <w:p w14:paraId="29539D6D">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4.2.1投标文件的递交</w:t>
      </w:r>
    </w:p>
    <w:p w14:paraId="00E7CA06">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4.2.1.1 投标人应在投标人须知前附表规定的投标截止时间前递交投标文件。</w:t>
      </w:r>
    </w:p>
    <w:p w14:paraId="6027EB3B">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4.2.1.2 投标人递交投标文件地点：见投标人须知前附表。</w:t>
      </w:r>
    </w:p>
    <w:p w14:paraId="75A4F611">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4.2.1.3 除投标人须知前附表另有规定外，投标人所递交的投标文件不予退还。</w:t>
      </w:r>
    </w:p>
    <w:p w14:paraId="6C2459FE">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4.2.1.4 采购人或者采购代理机构收到投标文件后，应当如实记载投标文件的送达时间和密封情况，签收保存，并向投标人出具签收回执。</w:t>
      </w:r>
    </w:p>
    <w:p w14:paraId="265A9A3C">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 xml:space="preserve">4.2.1.5 </w:t>
      </w:r>
      <w:r>
        <w:rPr>
          <w:rFonts w:hint="eastAsia" w:ascii="宋体" w:hAnsi="宋体" w:cs="宋体"/>
          <w:color w:val="000000"/>
          <w:sz w:val="24"/>
          <w:highlight w:val="none"/>
        </w:rPr>
        <w:t>逾期送达的、未送达指定地点的或者不按照招标文件要求密封的投标文件，采购人、采购代理机构将予以拒收</w:t>
      </w:r>
      <w:r>
        <w:rPr>
          <w:rFonts w:hint="eastAsia" w:ascii="宋体" w:hAnsi="宋体" w:cs="宋体"/>
          <w:color w:val="000000"/>
          <w:kern w:val="0"/>
          <w:sz w:val="24"/>
          <w:highlight w:val="none"/>
        </w:rPr>
        <w:t>。</w:t>
      </w:r>
    </w:p>
    <w:p w14:paraId="0CE5D15D">
      <w:pPr>
        <w:shd w:val="clear" w:color="auto" w:fill="auto"/>
        <w:spacing w:line="360" w:lineRule="auto"/>
        <w:rPr>
          <w:rFonts w:hint="eastAsia" w:ascii="宋体" w:hAnsi="宋体" w:cs="宋体"/>
          <w:b/>
          <w:color w:val="000000"/>
          <w:sz w:val="24"/>
          <w:szCs w:val="24"/>
          <w:highlight w:val="none"/>
        </w:rPr>
      </w:pPr>
      <w:bookmarkStart w:id="147" w:name="_Toc8975"/>
      <w:bookmarkEnd w:id="147"/>
      <w:bookmarkStart w:id="148" w:name="_Toc21133"/>
      <w:bookmarkEnd w:id="148"/>
      <w:bookmarkStart w:id="149" w:name="_Toc5071"/>
      <w:r>
        <w:rPr>
          <w:rFonts w:hint="eastAsia" w:ascii="宋体" w:hAnsi="宋体" w:cs="宋体"/>
          <w:b/>
          <w:color w:val="000000"/>
          <w:sz w:val="24"/>
          <w:szCs w:val="24"/>
          <w:highlight w:val="none"/>
        </w:rPr>
        <w:t>4.3 投标文件的修改与撤回</w:t>
      </w:r>
      <w:bookmarkEnd w:id="149"/>
    </w:p>
    <w:p w14:paraId="37DC200A">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4.3.1 在本章第4.2.1 项规定的投标截止时间前，投标人可以修改或撤回已递交的投标文件。</w:t>
      </w:r>
    </w:p>
    <w:p w14:paraId="3D82F0A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4.3.2 投标人修改的投标文件按照电子交易平台的</w:t>
      </w:r>
      <w:r>
        <w:rPr>
          <w:rFonts w:hint="eastAsia" w:ascii="宋体" w:hAnsi="宋体" w:cs="宋体"/>
          <w:color w:val="000000"/>
          <w:sz w:val="24"/>
          <w:szCs w:val="24"/>
          <w:highlight w:val="none"/>
          <w:lang w:bidi="ar"/>
        </w:rPr>
        <w:t>规定进行编制、密封、标记和递交。</w:t>
      </w:r>
      <w:r>
        <w:rPr>
          <w:rFonts w:hint="eastAsia" w:ascii="宋体" w:hAnsi="宋体" w:cs="宋体"/>
          <w:color w:val="000000"/>
          <w:sz w:val="24"/>
          <w:szCs w:val="24"/>
          <w:highlight w:val="none"/>
        </w:rPr>
        <w:t>采购人如收到书面通知后，向投标人出具签收回执。</w:t>
      </w:r>
    </w:p>
    <w:p w14:paraId="0D2823B4">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4.3.3 投标人在投标截止时间前撤回已提交的投标文件的，采购人或者采购代理机构应当自收到投标人书面撤回通知之日起5个工作日内，退还已收取的投标保证金，但因投标人自身原因导致无法及时退还的除外。</w:t>
      </w:r>
    </w:p>
    <w:p w14:paraId="115FA19C">
      <w:pPr>
        <w:shd w:val="clear" w:color="auto" w:fill="auto"/>
        <w:spacing w:line="360" w:lineRule="auto"/>
        <w:ind w:firstLine="480" w:firstLineChars="200"/>
        <w:rPr>
          <w:rFonts w:hint="eastAsia" w:ascii="宋体" w:hAnsi="宋体" w:cs="宋体"/>
          <w:color w:val="000000"/>
          <w:sz w:val="24"/>
          <w:szCs w:val="24"/>
          <w:highlight w:val="none"/>
        </w:rPr>
      </w:pPr>
      <w:bookmarkStart w:id="150" w:name="_Toc14362"/>
      <w:bookmarkEnd w:id="150"/>
      <w:bookmarkStart w:id="151" w:name="_Toc9271"/>
      <w:bookmarkEnd w:id="151"/>
      <w:bookmarkStart w:id="152" w:name="_Toc20324"/>
      <w:r>
        <w:rPr>
          <w:rFonts w:hint="eastAsia" w:ascii="宋体" w:hAnsi="宋体" w:cs="宋体"/>
          <w:color w:val="000000"/>
          <w:sz w:val="24"/>
          <w:szCs w:val="24"/>
          <w:highlight w:val="none"/>
        </w:rPr>
        <w:t>4.3.4 修改的内容为投标文件的组成部分。修改的投标文件应按照本章第3条、第4条的规定进行编制、密封、标记和递交，并标明“修改”字样。</w:t>
      </w:r>
    </w:p>
    <w:p w14:paraId="65747E37">
      <w:pPr>
        <w:pStyle w:val="3"/>
        <w:shd w:val="clear" w:color="auto" w:fill="auto"/>
        <w:spacing w:before="0" w:after="0" w:line="360" w:lineRule="auto"/>
        <w:rPr>
          <w:rFonts w:hint="eastAsia" w:ascii="宋体" w:hAnsi="宋体" w:eastAsia="宋体" w:cs="宋体"/>
          <w:color w:val="000000"/>
          <w:sz w:val="28"/>
          <w:szCs w:val="28"/>
          <w:highlight w:val="none"/>
        </w:rPr>
      </w:pPr>
      <w:bookmarkStart w:id="153" w:name="_Toc19503"/>
      <w:r>
        <w:rPr>
          <w:rFonts w:hint="eastAsia" w:ascii="宋体" w:hAnsi="宋体" w:eastAsia="宋体" w:cs="宋体"/>
          <w:color w:val="000000"/>
          <w:sz w:val="28"/>
          <w:szCs w:val="28"/>
          <w:highlight w:val="none"/>
        </w:rPr>
        <w:t>5. 开标</w:t>
      </w:r>
      <w:bookmarkEnd w:id="152"/>
      <w:bookmarkEnd w:id="153"/>
    </w:p>
    <w:p w14:paraId="597E5D60">
      <w:pPr>
        <w:shd w:val="clear" w:color="auto" w:fill="auto"/>
        <w:spacing w:line="360" w:lineRule="auto"/>
        <w:rPr>
          <w:rFonts w:hint="eastAsia" w:ascii="宋体" w:hAnsi="宋体" w:cs="宋体"/>
          <w:b/>
          <w:color w:val="000000"/>
          <w:sz w:val="24"/>
          <w:szCs w:val="24"/>
          <w:highlight w:val="none"/>
        </w:rPr>
      </w:pPr>
      <w:bookmarkStart w:id="154" w:name="_Toc1527"/>
      <w:bookmarkEnd w:id="154"/>
      <w:bookmarkStart w:id="155" w:name="_Toc9143"/>
      <w:r>
        <w:rPr>
          <w:rFonts w:hint="eastAsia" w:ascii="宋体" w:hAnsi="宋体" w:cs="宋体"/>
          <w:b/>
          <w:color w:val="000000"/>
          <w:sz w:val="24"/>
          <w:szCs w:val="24"/>
          <w:highlight w:val="none"/>
        </w:rPr>
        <w:t>5.1 开标时间和地点</w:t>
      </w:r>
      <w:bookmarkEnd w:id="155"/>
    </w:p>
    <w:p w14:paraId="29F822C2">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采购人在本章第4.2.1款规定的投标截止时间（开标时间）和投标人须知前附表规定的地点公开开标。</w:t>
      </w:r>
    </w:p>
    <w:p w14:paraId="6AE51002">
      <w:pPr>
        <w:shd w:val="clear" w:color="auto" w:fill="auto"/>
        <w:spacing w:line="360" w:lineRule="auto"/>
        <w:rPr>
          <w:rFonts w:hint="eastAsia" w:ascii="宋体" w:hAnsi="宋体" w:cs="宋体"/>
          <w:b/>
          <w:color w:val="000000"/>
          <w:sz w:val="24"/>
          <w:szCs w:val="24"/>
          <w:highlight w:val="none"/>
        </w:rPr>
      </w:pPr>
      <w:bookmarkStart w:id="156" w:name="_Toc21332"/>
      <w:bookmarkEnd w:id="156"/>
      <w:bookmarkStart w:id="157" w:name="_Toc27792"/>
      <w:bookmarkEnd w:id="157"/>
      <w:bookmarkStart w:id="158" w:name="_Toc24636"/>
      <w:r>
        <w:rPr>
          <w:rFonts w:hint="eastAsia" w:ascii="宋体" w:hAnsi="宋体" w:cs="宋体"/>
          <w:b/>
          <w:color w:val="000000"/>
          <w:sz w:val="24"/>
          <w:szCs w:val="24"/>
          <w:highlight w:val="none"/>
        </w:rPr>
        <w:t>5.2 开标程序</w:t>
      </w:r>
      <w:bookmarkEnd w:id="158"/>
    </w:p>
    <w:p w14:paraId="1ECBEFE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主持人按下列程序进行开标：</w:t>
      </w:r>
    </w:p>
    <w:p w14:paraId="6C3F745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（1）宣布开标纪律；</w:t>
      </w:r>
    </w:p>
    <w:p w14:paraId="1FEA6305">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（2）公布在投标截止时间前递交投标文件的投标人情况；</w:t>
      </w:r>
    </w:p>
    <w:p w14:paraId="17AD8FC4">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（3）介绍开标人、唱标人、记录人等有关人员；</w:t>
      </w:r>
    </w:p>
    <w:p w14:paraId="102852F2">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（4）投标人或者其推选的代表检查投标文件的密封情况，按照投标人须知前附表规定的开标顺序当众开标，公布开标一览表中的内容及其他内容，并记录在案；</w:t>
      </w:r>
    </w:p>
    <w:p w14:paraId="37F2A63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（5）投标人代表、采购人代表、记录人等有关人员在开标记录上签字确认；</w:t>
      </w:r>
    </w:p>
    <w:p w14:paraId="239815CD">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（6）开标结束。</w:t>
      </w:r>
    </w:p>
    <w:p w14:paraId="0DC19E76">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投标人不足3家的，不得开标。</w:t>
      </w:r>
    </w:p>
    <w:p w14:paraId="518B6C24">
      <w:pPr>
        <w:shd w:val="clear" w:color="auto" w:fill="auto"/>
        <w:spacing w:line="360" w:lineRule="auto"/>
        <w:rPr>
          <w:rFonts w:hint="eastAsia" w:ascii="宋体" w:hAnsi="宋体" w:cs="宋体"/>
          <w:b/>
          <w:color w:val="000000"/>
          <w:sz w:val="24"/>
          <w:szCs w:val="24"/>
          <w:highlight w:val="none"/>
        </w:rPr>
      </w:pPr>
      <w:bookmarkStart w:id="159" w:name="_Toc27216"/>
      <w:bookmarkEnd w:id="159"/>
      <w:bookmarkStart w:id="160" w:name="_Toc22860"/>
      <w:r>
        <w:rPr>
          <w:rFonts w:hint="eastAsia" w:ascii="宋体" w:hAnsi="宋体" w:cs="宋体"/>
          <w:b/>
          <w:color w:val="000000"/>
          <w:sz w:val="24"/>
          <w:szCs w:val="24"/>
          <w:highlight w:val="none"/>
        </w:rPr>
        <w:t>5.3 开标疑义</w:t>
      </w:r>
      <w:bookmarkEnd w:id="160"/>
    </w:p>
    <w:p w14:paraId="1DB59E69">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开标过程应当由采购人或者采购代理机构负责记录，由参加开标的各投标人代表和相关工作人员签字确认后随招标文件一并存档。</w:t>
      </w:r>
    </w:p>
    <w:p w14:paraId="30BBC57D">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6F13012B">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投标人未参加开标的，视同认可开标结果。</w:t>
      </w:r>
    </w:p>
    <w:p w14:paraId="4F0DC688">
      <w:pPr>
        <w:pStyle w:val="3"/>
        <w:shd w:val="clear" w:color="auto" w:fill="auto"/>
        <w:spacing w:before="0" w:after="0" w:line="360" w:lineRule="auto"/>
        <w:rPr>
          <w:rFonts w:hint="eastAsia" w:ascii="宋体" w:hAnsi="宋体" w:eastAsia="宋体" w:cs="宋体"/>
          <w:color w:val="000000"/>
          <w:sz w:val="28"/>
          <w:szCs w:val="28"/>
          <w:highlight w:val="none"/>
        </w:rPr>
      </w:pPr>
      <w:bookmarkStart w:id="161" w:name="_Toc27754"/>
      <w:bookmarkEnd w:id="161"/>
      <w:bookmarkStart w:id="162" w:name="_Toc26040"/>
      <w:bookmarkEnd w:id="162"/>
      <w:bookmarkStart w:id="163" w:name="_Toc30133"/>
      <w:bookmarkStart w:id="164" w:name="_Toc16625"/>
      <w:r>
        <w:rPr>
          <w:rFonts w:hint="eastAsia" w:ascii="宋体" w:hAnsi="宋体" w:eastAsia="宋体" w:cs="宋体"/>
          <w:color w:val="000000"/>
          <w:sz w:val="28"/>
          <w:szCs w:val="28"/>
          <w:highlight w:val="none"/>
        </w:rPr>
        <w:t>6. 资格审查</w:t>
      </w:r>
      <w:bookmarkEnd w:id="163"/>
      <w:bookmarkEnd w:id="164"/>
    </w:p>
    <w:p w14:paraId="4285EEBC">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公开招标采购项目开标结束后，采购人或者采购代理机构应当依法对投标人的资格进行审查。</w:t>
      </w:r>
    </w:p>
    <w:p w14:paraId="4FA2256E">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合格投标人不足3家的，不得评标。</w:t>
      </w:r>
    </w:p>
    <w:p w14:paraId="3489BA13">
      <w:pPr>
        <w:pStyle w:val="3"/>
        <w:shd w:val="clear" w:color="auto" w:fill="auto"/>
        <w:spacing w:before="0" w:after="0" w:line="360" w:lineRule="auto"/>
        <w:rPr>
          <w:rFonts w:hint="eastAsia" w:ascii="宋体" w:hAnsi="宋体" w:eastAsia="宋体" w:cs="宋体"/>
          <w:color w:val="000000"/>
          <w:sz w:val="28"/>
          <w:szCs w:val="28"/>
          <w:highlight w:val="none"/>
        </w:rPr>
      </w:pPr>
      <w:bookmarkStart w:id="165" w:name="_Toc25563"/>
      <w:bookmarkEnd w:id="165"/>
      <w:bookmarkStart w:id="166" w:name="_Toc11518"/>
      <w:bookmarkEnd w:id="166"/>
      <w:bookmarkStart w:id="167" w:name="_Toc28751"/>
      <w:bookmarkStart w:id="168" w:name="_Toc29087"/>
      <w:r>
        <w:rPr>
          <w:rFonts w:hint="eastAsia" w:ascii="宋体" w:hAnsi="宋体" w:eastAsia="宋体" w:cs="宋体"/>
          <w:color w:val="000000"/>
          <w:sz w:val="28"/>
          <w:szCs w:val="28"/>
          <w:highlight w:val="none"/>
        </w:rPr>
        <w:t>7. 评标</w:t>
      </w:r>
      <w:bookmarkEnd w:id="167"/>
      <w:bookmarkEnd w:id="168"/>
    </w:p>
    <w:p w14:paraId="662DAAE9">
      <w:pPr>
        <w:shd w:val="clear" w:color="auto" w:fill="auto"/>
        <w:spacing w:line="360" w:lineRule="auto"/>
        <w:rPr>
          <w:rFonts w:hint="eastAsia" w:ascii="宋体" w:hAnsi="宋体" w:cs="宋体"/>
          <w:b/>
          <w:color w:val="000000"/>
          <w:sz w:val="24"/>
          <w:szCs w:val="24"/>
          <w:highlight w:val="none"/>
        </w:rPr>
      </w:pPr>
      <w:bookmarkStart w:id="169" w:name="_Toc11207"/>
      <w:bookmarkEnd w:id="169"/>
      <w:bookmarkStart w:id="170" w:name="_Toc4770"/>
      <w:r>
        <w:rPr>
          <w:rFonts w:hint="eastAsia" w:ascii="宋体" w:hAnsi="宋体" w:cs="宋体"/>
          <w:b/>
          <w:color w:val="000000"/>
          <w:sz w:val="24"/>
          <w:szCs w:val="24"/>
          <w:highlight w:val="none"/>
        </w:rPr>
        <w:t>7.1 评标委员会</w:t>
      </w:r>
      <w:bookmarkEnd w:id="170"/>
    </w:p>
    <w:p w14:paraId="3C24FD6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7.1.1 评标委员会由采购人代表以及有关技术、经济等方面的专家组成。评标委员会成员人数以及技术、经济等方面专家的确定方式见投标人须知前附表。</w:t>
      </w:r>
    </w:p>
    <w:p w14:paraId="5B5B2FAC">
      <w:pPr>
        <w:shd w:val="clear" w:color="auto" w:fill="auto"/>
        <w:spacing w:line="360" w:lineRule="auto"/>
        <w:ind w:firstLine="540" w:firstLineChars="225"/>
        <w:rPr>
          <w:rFonts w:hint="eastAsia" w:ascii="宋体" w:hAnsi="宋体" w:cs="宋体"/>
          <w:color w:val="000000"/>
          <w:sz w:val="24"/>
          <w:szCs w:val="24"/>
          <w:highlight w:val="none"/>
        </w:rPr>
      </w:pPr>
      <w:r>
        <w:rPr>
          <w:rFonts w:hint="eastAsia" w:ascii="宋体" w:hAnsi="宋体" w:cs="宋体"/>
          <w:color w:val="000000"/>
          <w:sz w:val="24"/>
          <w:szCs w:val="24"/>
          <w:highlight w:val="none"/>
        </w:rPr>
        <w:t>7.1.2 评标中因评标委员会成员缺席、回避或者健康等特殊原因导致评标委员会组成不符合《政府采购货物和服务招标投标管理办法》（财政部令第87号）规定的，采购人或者采购代理机构应当依法补足后继续评标。被更换的评标委员会成员所作出的评标意见无效。无法及时补足评标委员会成员的，采购人或者采购代理机构应当停止评标活动，封存所有投标文件和开标、评标资料，依法重新组建评标委员会进行评标。原评标委员会所作出的评标意见无效。采购人或者采购代理机构应当将变更、重新组建评标委员会的情况予以记录，并随招标文件一并存档。</w:t>
      </w:r>
    </w:p>
    <w:p w14:paraId="1AE27149">
      <w:pPr>
        <w:shd w:val="clear" w:color="auto" w:fill="auto"/>
        <w:spacing w:line="360" w:lineRule="auto"/>
        <w:rPr>
          <w:rFonts w:hint="eastAsia" w:ascii="宋体" w:hAnsi="宋体" w:cs="宋体"/>
          <w:b/>
          <w:color w:val="000000"/>
          <w:sz w:val="24"/>
          <w:szCs w:val="24"/>
          <w:highlight w:val="none"/>
        </w:rPr>
      </w:pPr>
      <w:bookmarkStart w:id="171" w:name="_Toc28237"/>
      <w:bookmarkEnd w:id="171"/>
      <w:bookmarkStart w:id="172" w:name="_Toc6336"/>
      <w:r>
        <w:rPr>
          <w:rFonts w:hint="eastAsia" w:ascii="宋体" w:hAnsi="宋体" w:cs="宋体"/>
          <w:b/>
          <w:color w:val="000000"/>
          <w:sz w:val="24"/>
          <w:szCs w:val="24"/>
          <w:highlight w:val="none"/>
        </w:rPr>
        <w:t>7.2 评标原则</w:t>
      </w:r>
      <w:bookmarkEnd w:id="172"/>
    </w:p>
    <w:p w14:paraId="703E43FE">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评标活动遵循公平、公正、科学和择优的原则。</w:t>
      </w:r>
    </w:p>
    <w:p w14:paraId="568DE25E">
      <w:pPr>
        <w:shd w:val="clear" w:color="auto" w:fill="auto"/>
        <w:spacing w:line="360" w:lineRule="auto"/>
        <w:rPr>
          <w:rFonts w:hint="eastAsia" w:ascii="宋体" w:hAnsi="宋体" w:cs="宋体"/>
          <w:b/>
          <w:color w:val="000000"/>
          <w:sz w:val="24"/>
          <w:szCs w:val="24"/>
          <w:highlight w:val="none"/>
        </w:rPr>
      </w:pPr>
      <w:bookmarkStart w:id="173" w:name="_Toc10442"/>
      <w:bookmarkEnd w:id="173"/>
      <w:bookmarkStart w:id="174" w:name="_Toc5282"/>
      <w:r>
        <w:rPr>
          <w:rFonts w:hint="eastAsia" w:ascii="宋体" w:hAnsi="宋体" w:cs="宋体"/>
          <w:b/>
          <w:color w:val="000000"/>
          <w:sz w:val="24"/>
          <w:szCs w:val="24"/>
          <w:highlight w:val="none"/>
        </w:rPr>
        <w:t>7.3 评标</w:t>
      </w:r>
      <w:bookmarkEnd w:id="174"/>
    </w:p>
    <w:p w14:paraId="0CE654E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7.3.1 评标委员会按照第七章“评标办法”规定的方法、评审因素、标准和程序对投标文件进行评审。第七章“评标办法”没有规定的方法、评审因素和标准，不作为评标依据。</w:t>
      </w:r>
    </w:p>
    <w:p w14:paraId="384AEEDD">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7.3.2 评标完成后，评标委员会应当向采购人提交书面评标报告和中标候选人名单。评标委员会推荐中标候选人的人数见投标人须知前附表。</w:t>
      </w:r>
    </w:p>
    <w:p w14:paraId="671F1B21">
      <w:pPr>
        <w:pStyle w:val="3"/>
        <w:shd w:val="clear" w:color="auto" w:fill="auto"/>
        <w:spacing w:before="0" w:after="0" w:line="360" w:lineRule="auto"/>
        <w:rPr>
          <w:rFonts w:hint="eastAsia" w:ascii="宋体" w:hAnsi="宋体" w:eastAsia="宋体" w:cs="宋体"/>
          <w:color w:val="000000"/>
          <w:sz w:val="28"/>
          <w:szCs w:val="28"/>
          <w:highlight w:val="none"/>
        </w:rPr>
      </w:pPr>
      <w:bookmarkStart w:id="175" w:name="_Toc6003"/>
      <w:bookmarkEnd w:id="175"/>
      <w:bookmarkStart w:id="176" w:name="_Toc30483"/>
      <w:bookmarkEnd w:id="176"/>
      <w:bookmarkStart w:id="177" w:name="_Toc20789"/>
      <w:bookmarkStart w:id="178" w:name="_Toc22840"/>
      <w:r>
        <w:rPr>
          <w:rFonts w:hint="eastAsia" w:ascii="宋体" w:hAnsi="宋体" w:eastAsia="宋体" w:cs="宋体"/>
          <w:color w:val="000000"/>
          <w:sz w:val="28"/>
          <w:szCs w:val="28"/>
          <w:highlight w:val="none"/>
        </w:rPr>
        <w:t>8. 中标和合同</w:t>
      </w:r>
      <w:bookmarkEnd w:id="177"/>
      <w:bookmarkEnd w:id="178"/>
    </w:p>
    <w:p w14:paraId="3E4FB1DA">
      <w:pPr>
        <w:shd w:val="clear" w:color="auto" w:fill="auto"/>
        <w:spacing w:line="360" w:lineRule="auto"/>
        <w:rPr>
          <w:rFonts w:hint="eastAsia" w:ascii="宋体" w:hAnsi="宋体" w:cs="宋体"/>
          <w:b/>
          <w:color w:val="000000"/>
          <w:sz w:val="24"/>
          <w:szCs w:val="24"/>
          <w:highlight w:val="none"/>
        </w:rPr>
      </w:pPr>
      <w:bookmarkStart w:id="179" w:name="_Toc18219"/>
      <w:bookmarkEnd w:id="179"/>
      <w:bookmarkStart w:id="180" w:name="_Toc31217"/>
      <w:r>
        <w:rPr>
          <w:rFonts w:hint="eastAsia" w:ascii="宋体" w:hAnsi="宋体" w:cs="宋体"/>
          <w:b/>
          <w:color w:val="000000"/>
          <w:sz w:val="24"/>
          <w:szCs w:val="24"/>
          <w:highlight w:val="none"/>
        </w:rPr>
        <w:t>8.1 定标</w:t>
      </w:r>
      <w:bookmarkEnd w:id="180"/>
    </w:p>
    <w:p w14:paraId="4BF8ECC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按照投标人须知前附表的规定，采购人或采购人授权的评标委员会依法确定中标人。</w:t>
      </w:r>
    </w:p>
    <w:p w14:paraId="4FBF1859">
      <w:pPr>
        <w:shd w:val="clear" w:color="auto" w:fill="auto"/>
        <w:spacing w:line="360" w:lineRule="auto"/>
        <w:rPr>
          <w:rFonts w:hint="eastAsia" w:ascii="宋体" w:hAnsi="宋体" w:cs="宋体"/>
          <w:b/>
          <w:color w:val="000000"/>
          <w:sz w:val="24"/>
          <w:szCs w:val="24"/>
          <w:highlight w:val="none"/>
        </w:rPr>
      </w:pPr>
      <w:bookmarkStart w:id="181" w:name="_Toc18811"/>
      <w:bookmarkEnd w:id="181"/>
      <w:bookmarkStart w:id="182" w:name="_Toc18115"/>
      <w:r>
        <w:rPr>
          <w:rFonts w:hint="eastAsia" w:ascii="宋体" w:hAnsi="宋体" w:cs="宋体"/>
          <w:b/>
          <w:color w:val="000000"/>
          <w:sz w:val="24"/>
          <w:szCs w:val="24"/>
          <w:highlight w:val="none"/>
        </w:rPr>
        <w:t>8.2中标公告</w:t>
      </w:r>
      <w:bookmarkEnd w:id="182"/>
    </w:p>
    <w:p w14:paraId="7A5EAF05">
      <w:pPr>
        <w:widowControl w:val="0"/>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采购人或者采购代理机构应当自中标人确定之日起2个工作日内，按照投标人须知前附表规定的发布媒介和期限公告中标结果，招标文件应当随中标结果同时公告。</w:t>
      </w:r>
    </w:p>
    <w:p w14:paraId="455B7B53">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中标公告期限详见投标人须知前附表。</w:t>
      </w:r>
    </w:p>
    <w:p w14:paraId="3741E09B">
      <w:pPr>
        <w:shd w:val="clear" w:color="auto" w:fill="auto"/>
        <w:spacing w:line="360" w:lineRule="auto"/>
        <w:rPr>
          <w:rFonts w:hint="eastAsia" w:ascii="宋体" w:hAnsi="宋体" w:cs="宋体"/>
          <w:b/>
          <w:color w:val="000000"/>
          <w:sz w:val="24"/>
          <w:szCs w:val="24"/>
          <w:highlight w:val="none"/>
        </w:rPr>
      </w:pPr>
      <w:bookmarkStart w:id="183" w:name="_Toc8411"/>
      <w:bookmarkEnd w:id="183"/>
      <w:bookmarkStart w:id="184" w:name="_Toc16495"/>
      <w:bookmarkEnd w:id="184"/>
      <w:bookmarkStart w:id="185" w:name="_Toc3833"/>
      <w:r>
        <w:rPr>
          <w:rFonts w:hint="eastAsia" w:ascii="宋体" w:hAnsi="宋体" w:cs="宋体"/>
          <w:b/>
          <w:color w:val="000000"/>
          <w:sz w:val="24"/>
          <w:szCs w:val="24"/>
          <w:highlight w:val="none"/>
        </w:rPr>
        <w:t>8.3中标通知</w:t>
      </w:r>
      <w:bookmarkEnd w:id="185"/>
    </w:p>
    <w:p w14:paraId="1DE0565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在本章第3.3 款规定的投标有效期内，在公告中标结果的同时，采购人或者采购代理机构应当向中标人发出中标通知书。</w:t>
      </w:r>
    </w:p>
    <w:p w14:paraId="13F50F87">
      <w:pPr>
        <w:shd w:val="clear" w:color="auto" w:fill="auto"/>
        <w:spacing w:line="360" w:lineRule="auto"/>
        <w:rPr>
          <w:rFonts w:hint="eastAsia" w:ascii="宋体" w:hAnsi="宋体" w:cs="宋体"/>
          <w:b/>
          <w:color w:val="000000"/>
          <w:sz w:val="24"/>
          <w:szCs w:val="24"/>
          <w:highlight w:val="none"/>
        </w:rPr>
      </w:pPr>
      <w:bookmarkStart w:id="186" w:name="_Toc13042"/>
      <w:bookmarkEnd w:id="186"/>
      <w:bookmarkStart w:id="187" w:name="_Toc7193"/>
      <w:r>
        <w:rPr>
          <w:rFonts w:hint="eastAsia" w:ascii="宋体" w:hAnsi="宋体" w:cs="宋体"/>
          <w:b/>
          <w:color w:val="000000"/>
          <w:sz w:val="24"/>
          <w:szCs w:val="24"/>
          <w:highlight w:val="none"/>
        </w:rPr>
        <w:t>8.4 履约保证金</w:t>
      </w:r>
      <w:bookmarkEnd w:id="187"/>
    </w:p>
    <w:p w14:paraId="1E94505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8.4.1 在签订合同前，中标人应按投标人须知前附表规定的形式、金额向采购人提交履约保证金。联合体中标的，其履约保证金以联合体各方或者联合体中牵头人的名义提交。</w:t>
      </w:r>
    </w:p>
    <w:p w14:paraId="64EC745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8.4.2 中标人不能按本章第8.4.1项要求提交履约保证金的，视为放弃中标，其投标保证金不予退还，给采购人造成的损失超过投标保证金数额的，中标人还应当对超过部分予以赔偿。</w:t>
      </w:r>
    </w:p>
    <w:p w14:paraId="244A8C22">
      <w:pPr>
        <w:shd w:val="clear" w:color="auto" w:fill="auto"/>
        <w:spacing w:line="360" w:lineRule="auto"/>
        <w:rPr>
          <w:rFonts w:hint="eastAsia" w:ascii="宋体" w:hAnsi="宋体" w:cs="宋体"/>
          <w:b/>
          <w:color w:val="000000"/>
          <w:sz w:val="24"/>
          <w:szCs w:val="24"/>
          <w:highlight w:val="none"/>
        </w:rPr>
      </w:pPr>
      <w:bookmarkStart w:id="188" w:name="_Toc6413"/>
      <w:bookmarkEnd w:id="188"/>
      <w:bookmarkStart w:id="189" w:name="_Toc18519"/>
      <w:r>
        <w:rPr>
          <w:rFonts w:hint="eastAsia" w:ascii="宋体" w:hAnsi="宋体" w:cs="宋体"/>
          <w:b/>
          <w:color w:val="000000"/>
          <w:sz w:val="24"/>
          <w:szCs w:val="24"/>
          <w:highlight w:val="none"/>
        </w:rPr>
        <w:t>8.5 签订合同</w:t>
      </w:r>
      <w:bookmarkEnd w:id="189"/>
    </w:p>
    <w:p w14:paraId="7993B9AD">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8.5.1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521FA3F1">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8.5.2 中标通知书发出后，采购人不得违法改变中标结果，中标人无正当理由不得放弃中标。</w:t>
      </w:r>
    </w:p>
    <w:p w14:paraId="32D79C14">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8.5.3联合体中标的，联合体各方应当共同与采购人签订合同，就中标项目向采购人承担连带责任。</w:t>
      </w:r>
    </w:p>
    <w:p w14:paraId="2747D76F">
      <w:pPr>
        <w:pStyle w:val="3"/>
        <w:shd w:val="clear" w:color="auto" w:fill="auto"/>
        <w:spacing w:before="0" w:after="0" w:line="360" w:lineRule="auto"/>
        <w:rPr>
          <w:rFonts w:hint="eastAsia" w:ascii="宋体" w:hAnsi="宋体" w:eastAsia="宋体" w:cs="宋体"/>
          <w:color w:val="000000"/>
          <w:sz w:val="28"/>
          <w:szCs w:val="28"/>
          <w:highlight w:val="none"/>
        </w:rPr>
      </w:pPr>
      <w:bookmarkStart w:id="190" w:name="_Toc22963"/>
      <w:r>
        <w:rPr>
          <w:rFonts w:hint="eastAsia" w:ascii="宋体" w:hAnsi="宋体" w:eastAsia="宋体" w:cs="宋体"/>
          <w:color w:val="000000"/>
          <w:sz w:val="28"/>
          <w:szCs w:val="28"/>
          <w:highlight w:val="none"/>
        </w:rPr>
        <w:t>9. 询问与答复</w:t>
      </w:r>
      <w:bookmarkEnd w:id="190"/>
    </w:p>
    <w:p w14:paraId="1F31DF8E">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凡对本次招标采购活动事项有疑问的，可以向采购代理机构提出询问，采购代理机构将及时作出答复，但答复的内容不得涉及商业秘密。</w:t>
      </w:r>
    </w:p>
    <w:p w14:paraId="241259D2">
      <w:pPr>
        <w:pStyle w:val="3"/>
        <w:shd w:val="clear" w:color="auto" w:fill="auto"/>
        <w:spacing w:before="0" w:after="0" w:line="360" w:lineRule="auto"/>
        <w:rPr>
          <w:rFonts w:hint="eastAsia" w:ascii="宋体" w:hAnsi="宋体" w:eastAsia="宋体" w:cs="宋体"/>
          <w:color w:val="000000"/>
          <w:sz w:val="28"/>
          <w:szCs w:val="28"/>
          <w:highlight w:val="none"/>
        </w:rPr>
      </w:pPr>
      <w:bookmarkStart w:id="191" w:name="_Toc11854"/>
      <w:bookmarkEnd w:id="191"/>
      <w:bookmarkStart w:id="192" w:name="_Toc20692"/>
      <w:bookmarkEnd w:id="192"/>
      <w:bookmarkStart w:id="193" w:name="_Toc5657"/>
      <w:bookmarkStart w:id="194" w:name="_Toc20594"/>
      <w:r>
        <w:rPr>
          <w:rFonts w:hint="eastAsia" w:ascii="宋体" w:hAnsi="宋体" w:eastAsia="宋体" w:cs="宋体"/>
          <w:color w:val="000000"/>
          <w:sz w:val="28"/>
          <w:szCs w:val="28"/>
          <w:highlight w:val="none"/>
        </w:rPr>
        <w:t>10. 质疑接收、回复</w:t>
      </w:r>
      <w:bookmarkEnd w:id="193"/>
    </w:p>
    <w:p w14:paraId="7D98771C">
      <w:pPr>
        <w:shd w:val="clear" w:color="auto" w:fill="auto"/>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10.1质疑接收</w:t>
      </w:r>
    </w:p>
    <w:p w14:paraId="53DD165C">
      <w:pPr>
        <w:widowControl w:val="0"/>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10.1.1投标人认为招标文件、招标过程和中标结果使自己的权益受到损害的，可以根据《中华人民共和国政府采购法》、《中华人民共和国政府采购法实施条例》和《政府采购质疑和投诉办法》的有关规定，依法向采购人或其委托的采购代理机构提出质疑。</w:t>
      </w:r>
    </w:p>
    <w:p w14:paraId="6416403D">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10.1.2 质疑供应商应按照财政部制定的《政府采购质疑函范本》格式和《政府采购质疑和投诉办法》的要求，在法定质疑期内书面形式提出质疑，针对同一采购程序环节的质疑应一次性提出。</w:t>
      </w:r>
    </w:p>
    <w:p w14:paraId="25B6E170">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超出法定质疑期的、重复提出的、分次提出的或内容、形式不符合《政府采购质疑和投诉办法》的，质疑供应商将依法承担不利后果。</w:t>
      </w:r>
    </w:p>
    <w:p w14:paraId="1F258C30">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10.1.3采购代理机构接收质疑函的方式、联系部门、联系电话和通讯地址。</w:t>
      </w:r>
    </w:p>
    <w:p w14:paraId="3E369DF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接收质疑函的方式：质疑函采取现场书面递交形式。由法定代表人持本人身份证原件或授权委托代理人持本人身份证原件及授权委托书原件，同时携带质疑函（原件）和加盖单位公章的相关依据和证明材料，送至采购代理机构。</w:t>
      </w:r>
    </w:p>
    <w:p w14:paraId="71A3312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联系部门：</w:t>
      </w:r>
      <w:r>
        <w:rPr>
          <w:rFonts w:hint="eastAsia" w:ascii="宋体" w:hAnsi="宋体" w:cs="宋体"/>
          <w:color w:val="000000"/>
          <w:sz w:val="24"/>
          <w:szCs w:val="24"/>
          <w:highlight w:val="none"/>
          <w:lang w:eastAsia="zh-CN"/>
        </w:rPr>
        <w:t>云南天平工程项目管理有限公司</w:t>
      </w:r>
      <w:r>
        <w:rPr>
          <w:rFonts w:hint="eastAsia" w:ascii="宋体" w:hAnsi="宋体" w:cs="宋体"/>
          <w:color w:val="000000"/>
          <w:sz w:val="24"/>
          <w:szCs w:val="24"/>
          <w:highlight w:val="none"/>
        </w:rPr>
        <w:t>。</w:t>
      </w:r>
    </w:p>
    <w:p w14:paraId="6A1D943C">
      <w:pPr>
        <w:shd w:val="clear" w:color="auto" w:fill="auto"/>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联系电话：</w:t>
      </w:r>
      <w:r>
        <w:rPr>
          <w:rFonts w:hint="eastAsia" w:ascii="宋体" w:hAnsi="宋体" w:cs="宋体"/>
          <w:color w:val="000000"/>
          <w:sz w:val="24"/>
          <w:szCs w:val="24"/>
          <w:highlight w:val="none"/>
          <w:u w:val="single"/>
          <w:lang w:eastAsia="zh-CN"/>
        </w:rPr>
        <w:t>18687310100</w:t>
      </w:r>
    </w:p>
    <w:p w14:paraId="347FF18A">
      <w:pPr>
        <w:pStyle w:val="14"/>
        <w:shd w:val="clear" w:color="auto" w:fill="auto"/>
        <w:ind w:firstLine="480" w:firstLineChars="200"/>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通讯地址：</w:t>
      </w:r>
      <w:r>
        <w:rPr>
          <w:rFonts w:hint="eastAsia" w:ascii="宋体" w:hAnsi="宋体" w:cs="宋体"/>
          <w:color w:val="000000"/>
          <w:sz w:val="24"/>
          <w:highlight w:val="none"/>
          <w:lang w:eastAsia="zh-CN"/>
        </w:rPr>
        <w:t>昆明市五华区西城时代A座21楼</w:t>
      </w:r>
    </w:p>
    <w:p w14:paraId="158750E4">
      <w:pPr>
        <w:pStyle w:val="14"/>
        <w:shd w:val="clear" w:color="auto" w:fill="auto"/>
        <w:ind w:firstLine="482" w:firstLineChars="200"/>
        <w:rPr>
          <w:rFonts w:hint="eastAsia" w:ascii="宋体" w:hAnsi="宋体" w:cs="宋体"/>
          <w:b/>
          <w:color w:val="000000"/>
          <w:kern w:val="0"/>
          <w:sz w:val="24"/>
          <w:highlight w:val="none"/>
        </w:rPr>
      </w:pPr>
      <w:r>
        <w:rPr>
          <w:rFonts w:hint="eastAsia" w:ascii="宋体" w:hAnsi="宋体" w:cs="宋体"/>
          <w:b/>
          <w:color w:val="000000"/>
          <w:kern w:val="0"/>
          <w:sz w:val="24"/>
          <w:highlight w:val="none"/>
        </w:rPr>
        <w:t>10.1.4不按上述要求提出的，采购人和采购代理机构将不予受理。</w:t>
      </w:r>
    </w:p>
    <w:p w14:paraId="4F166C10">
      <w:pPr>
        <w:shd w:val="clear" w:color="auto" w:fill="auto"/>
        <w:spacing w:line="360" w:lineRule="auto"/>
        <w:ind w:firstLine="482" w:firstLineChars="200"/>
        <w:rPr>
          <w:rFonts w:hint="eastAsia" w:ascii="宋体" w:hAnsi="宋体" w:cs="宋体"/>
          <w:b/>
          <w:color w:val="000000"/>
          <w:sz w:val="24"/>
          <w:szCs w:val="24"/>
          <w:highlight w:val="none"/>
        </w:rPr>
      </w:pPr>
      <w:r>
        <w:rPr>
          <w:rFonts w:hint="eastAsia" w:ascii="宋体" w:hAnsi="宋体" w:cs="宋体"/>
          <w:b/>
          <w:color w:val="000000"/>
          <w:sz w:val="24"/>
          <w:szCs w:val="24"/>
          <w:highlight w:val="none"/>
        </w:rPr>
        <w:t>10.2质疑回复</w:t>
      </w:r>
    </w:p>
    <w:p w14:paraId="753F0153">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采购人或者采购代理机构应在收到质疑函后7个工作日内作出答复，并以书面形式通知质疑投标人和其他有关投标人，质疑答复的内容不得涉及商业秘密。</w:t>
      </w:r>
    </w:p>
    <w:p w14:paraId="042F5CA0">
      <w:pPr>
        <w:shd w:val="clear" w:color="auto" w:fill="auto"/>
        <w:spacing w:line="360" w:lineRule="auto"/>
        <w:ind w:firstLine="482" w:firstLineChars="200"/>
        <w:rPr>
          <w:rFonts w:hint="eastAsia" w:ascii="宋体" w:hAnsi="宋体" w:cs="宋体"/>
          <w:b/>
          <w:color w:val="000000"/>
          <w:sz w:val="24"/>
          <w:szCs w:val="24"/>
          <w:highlight w:val="none"/>
        </w:rPr>
      </w:pPr>
      <w:r>
        <w:rPr>
          <w:rFonts w:hint="eastAsia" w:ascii="宋体" w:hAnsi="宋体" w:cs="宋体"/>
          <w:b/>
          <w:color w:val="000000"/>
          <w:sz w:val="24"/>
          <w:szCs w:val="24"/>
          <w:highlight w:val="none"/>
        </w:rPr>
        <w:t>10.3投诉</w:t>
      </w:r>
    </w:p>
    <w:p w14:paraId="1CA5AC7E">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投诉必须首先经过质疑程序。质疑人对采购人、采购代理机构的答复不满意，或者采购人、采购代理机构未在规定的时间内做出答复的，可以在答复期满后15个工作日内书面向同级财政部门提出投诉。</w:t>
      </w:r>
    </w:p>
    <w:p w14:paraId="22B6E4E9">
      <w:pPr>
        <w:pStyle w:val="3"/>
        <w:shd w:val="clear" w:color="auto" w:fill="auto"/>
        <w:spacing w:before="0" w:after="0" w:line="360" w:lineRule="auto"/>
        <w:rPr>
          <w:rFonts w:hint="eastAsia" w:ascii="宋体" w:hAnsi="宋体" w:eastAsia="宋体" w:cs="宋体"/>
          <w:color w:val="000000"/>
          <w:sz w:val="28"/>
          <w:szCs w:val="28"/>
          <w:highlight w:val="none"/>
        </w:rPr>
      </w:pPr>
      <w:bookmarkStart w:id="195" w:name="_Toc6383"/>
      <w:r>
        <w:rPr>
          <w:rFonts w:hint="eastAsia" w:ascii="宋体" w:hAnsi="宋体" w:eastAsia="宋体" w:cs="宋体"/>
          <w:color w:val="000000"/>
          <w:sz w:val="28"/>
          <w:szCs w:val="28"/>
          <w:highlight w:val="none"/>
        </w:rPr>
        <w:t>11. 纪律和监督</w:t>
      </w:r>
      <w:bookmarkEnd w:id="194"/>
      <w:bookmarkEnd w:id="195"/>
    </w:p>
    <w:p w14:paraId="541F8689">
      <w:pPr>
        <w:shd w:val="clear" w:color="auto" w:fill="auto"/>
        <w:spacing w:line="360" w:lineRule="auto"/>
        <w:rPr>
          <w:rFonts w:hint="eastAsia" w:ascii="宋体" w:hAnsi="宋体" w:cs="宋体"/>
          <w:b/>
          <w:color w:val="000000"/>
          <w:sz w:val="24"/>
          <w:szCs w:val="24"/>
          <w:highlight w:val="none"/>
        </w:rPr>
      </w:pPr>
      <w:bookmarkStart w:id="196" w:name="_Toc453"/>
      <w:bookmarkEnd w:id="196"/>
      <w:bookmarkStart w:id="197" w:name="_Toc14990"/>
      <w:r>
        <w:rPr>
          <w:rFonts w:hint="eastAsia" w:ascii="宋体" w:hAnsi="宋体" w:cs="宋体"/>
          <w:b/>
          <w:color w:val="000000"/>
          <w:sz w:val="24"/>
          <w:szCs w:val="24"/>
          <w:highlight w:val="none"/>
        </w:rPr>
        <w:t>11.1 对采购人的纪律要求</w:t>
      </w:r>
      <w:bookmarkEnd w:id="197"/>
    </w:p>
    <w:p w14:paraId="7F23D8D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（1）按照《政府采购货物和服务招标投标管理办法》（财政部令第87号）的规定编制采购需求；</w:t>
      </w:r>
    </w:p>
    <w:p w14:paraId="58439B5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（2）采购人不得向供应商索要或者接受其给予的赠品、回扣或者与采购无关的其他商品、服务；</w:t>
      </w:r>
    </w:p>
    <w:p w14:paraId="235DDC4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（3）在规定时间内确定中标人；</w:t>
      </w:r>
    </w:p>
    <w:p w14:paraId="2F2AC72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（4）不得向中标人提出不合理要求作为签订合同条件。</w:t>
      </w:r>
    </w:p>
    <w:p w14:paraId="52F48A2A">
      <w:pPr>
        <w:shd w:val="clear" w:color="auto" w:fill="auto"/>
        <w:spacing w:line="360" w:lineRule="auto"/>
        <w:rPr>
          <w:rFonts w:hint="eastAsia" w:ascii="宋体" w:hAnsi="宋体" w:cs="宋体"/>
          <w:b/>
          <w:color w:val="000000"/>
          <w:sz w:val="24"/>
          <w:szCs w:val="24"/>
          <w:highlight w:val="none"/>
        </w:rPr>
      </w:pPr>
      <w:bookmarkStart w:id="198" w:name="_Toc20446"/>
      <w:bookmarkEnd w:id="198"/>
      <w:bookmarkStart w:id="199" w:name="_Toc14876"/>
      <w:r>
        <w:rPr>
          <w:rFonts w:hint="eastAsia" w:ascii="宋体" w:hAnsi="宋体" w:cs="宋体"/>
          <w:b/>
          <w:color w:val="000000"/>
          <w:sz w:val="24"/>
          <w:szCs w:val="24"/>
          <w:highlight w:val="none"/>
        </w:rPr>
        <w:t>11.2 对投标人的纪律要求</w:t>
      </w:r>
      <w:bookmarkEnd w:id="199"/>
    </w:p>
    <w:p w14:paraId="208F46C1">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4EC1451">
      <w:pPr>
        <w:shd w:val="clear" w:color="auto" w:fill="auto"/>
        <w:spacing w:line="360" w:lineRule="auto"/>
        <w:rPr>
          <w:rFonts w:hint="eastAsia" w:ascii="宋体" w:hAnsi="宋体" w:cs="宋体"/>
          <w:b/>
          <w:color w:val="000000"/>
          <w:sz w:val="24"/>
          <w:szCs w:val="24"/>
          <w:highlight w:val="none"/>
        </w:rPr>
      </w:pPr>
      <w:bookmarkStart w:id="200" w:name="_Toc17796"/>
      <w:bookmarkEnd w:id="200"/>
      <w:bookmarkStart w:id="201" w:name="_Toc29247"/>
      <w:r>
        <w:rPr>
          <w:rFonts w:hint="eastAsia" w:ascii="宋体" w:hAnsi="宋体" w:cs="宋体"/>
          <w:b/>
          <w:color w:val="000000"/>
          <w:sz w:val="24"/>
          <w:szCs w:val="24"/>
          <w:highlight w:val="none"/>
        </w:rPr>
        <w:t>11.3 对评标委员会成员的纪律要求</w:t>
      </w:r>
      <w:bookmarkEnd w:id="201"/>
    </w:p>
    <w:p w14:paraId="3977E43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评标委员会及其成员不得有下列行为：</w:t>
      </w:r>
    </w:p>
    <w:p w14:paraId="0BB26665">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（1）确定参与评标至评标结束前私自接触投标人；</w:t>
      </w:r>
    </w:p>
    <w:p w14:paraId="4340C5F7">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（2）接受投标人提出的与投标文件不一致的澄清或者说明；</w:t>
      </w:r>
    </w:p>
    <w:p w14:paraId="166E9985">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（3）违反评标纪律发表倾向性意见或者征询采购人的倾向性意见；</w:t>
      </w:r>
    </w:p>
    <w:p w14:paraId="49C29490">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（4）对需要专业判断的主观评审因素协商评分；</w:t>
      </w:r>
    </w:p>
    <w:p w14:paraId="553D9C9D">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（5）在评标过程中擅离职守，影响评标程序正常进行的；</w:t>
      </w:r>
    </w:p>
    <w:p w14:paraId="72993FBC">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（6）记录、复制或者带走任何评标资料；</w:t>
      </w:r>
    </w:p>
    <w:p w14:paraId="3275CADE">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（7）其他不遵守评标纪律的行为。</w:t>
      </w:r>
    </w:p>
    <w:p w14:paraId="6F76F32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评标委员会成员有前款第（1）至（7）项行为之一的，其评审意见无效，并不得获取评审劳务报酬和报销异地评审差旅费。</w:t>
      </w:r>
    </w:p>
    <w:p w14:paraId="15165DA1">
      <w:pPr>
        <w:shd w:val="clear" w:color="auto" w:fill="auto"/>
        <w:spacing w:line="360" w:lineRule="auto"/>
        <w:rPr>
          <w:rFonts w:hint="eastAsia" w:ascii="宋体" w:hAnsi="宋体" w:cs="宋体"/>
          <w:b/>
          <w:color w:val="000000"/>
          <w:sz w:val="24"/>
          <w:szCs w:val="24"/>
          <w:highlight w:val="none"/>
        </w:rPr>
      </w:pPr>
      <w:bookmarkStart w:id="202" w:name="_Toc22639"/>
      <w:bookmarkEnd w:id="202"/>
      <w:bookmarkStart w:id="203" w:name="_Toc5153"/>
      <w:r>
        <w:rPr>
          <w:rFonts w:hint="eastAsia" w:ascii="宋体" w:hAnsi="宋体" w:cs="宋体"/>
          <w:b/>
          <w:color w:val="000000"/>
          <w:sz w:val="24"/>
          <w:szCs w:val="24"/>
          <w:highlight w:val="none"/>
        </w:rPr>
        <w:t>11.4 对与评标活动有关的工作人员的纪律要求</w:t>
      </w:r>
      <w:bookmarkEnd w:id="203"/>
    </w:p>
    <w:p w14:paraId="794A849F">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02D945E">
      <w:pPr>
        <w:pStyle w:val="3"/>
        <w:shd w:val="clear" w:color="auto" w:fill="auto"/>
        <w:spacing w:before="0" w:after="0" w:line="360" w:lineRule="auto"/>
        <w:rPr>
          <w:rFonts w:hint="eastAsia" w:ascii="宋体" w:hAnsi="宋体" w:eastAsia="宋体" w:cs="宋体"/>
          <w:color w:val="000000"/>
          <w:sz w:val="28"/>
          <w:szCs w:val="28"/>
          <w:highlight w:val="none"/>
        </w:rPr>
      </w:pPr>
      <w:bookmarkStart w:id="204" w:name="_Toc18697"/>
      <w:bookmarkEnd w:id="204"/>
      <w:bookmarkStart w:id="205" w:name="_Toc3960"/>
      <w:bookmarkEnd w:id="205"/>
      <w:bookmarkStart w:id="206" w:name="_Toc19873"/>
      <w:bookmarkEnd w:id="206"/>
      <w:bookmarkStart w:id="207" w:name="_Toc11291"/>
      <w:bookmarkEnd w:id="207"/>
      <w:bookmarkStart w:id="208" w:name="_Toc11354"/>
      <w:bookmarkEnd w:id="208"/>
      <w:bookmarkStart w:id="209" w:name="_Toc31558"/>
      <w:bookmarkStart w:id="210" w:name="_Toc14857"/>
      <w:r>
        <w:rPr>
          <w:rFonts w:hint="eastAsia" w:ascii="宋体" w:hAnsi="宋体" w:eastAsia="宋体" w:cs="宋体"/>
          <w:color w:val="000000"/>
          <w:sz w:val="28"/>
          <w:szCs w:val="28"/>
          <w:highlight w:val="none"/>
        </w:rPr>
        <w:t>12. 需要补充的其他内容</w:t>
      </w:r>
      <w:bookmarkEnd w:id="209"/>
      <w:bookmarkEnd w:id="210"/>
    </w:p>
    <w:p w14:paraId="0F1ADC80">
      <w:pPr>
        <w:spacing w:line="360" w:lineRule="auto"/>
        <w:ind w:firstLine="480" w:firstLineChars="200"/>
        <w:jc w:val="left"/>
        <w:rPr>
          <w:rFonts w:hint="eastAsia" w:ascii="宋体" w:hAnsi="宋体" w:cs="宋体"/>
          <w:color w:val="000000"/>
          <w:sz w:val="24"/>
          <w:szCs w:val="24"/>
        </w:rPr>
      </w:pPr>
      <w:r>
        <w:rPr>
          <w:rFonts w:hint="eastAsia" w:ascii="宋体" w:hAnsi="宋体" w:cs="宋体"/>
          <w:color w:val="000000"/>
          <w:sz w:val="24"/>
          <w:szCs w:val="24"/>
          <w:lang w:val="en-US" w:eastAsia="zh-CN"/>
        </w:rPr>
        <w:t>其他内容：</w:t>
      </w:r>
      <w:r>
        <w:rPr>
          <w:rFonts w:hint="eastAsia" w:ascii="宋体" w:hAnsi="宋体" w:cs="宋体"/>
          <w:color w:val="000000"/>
          <w:sz w:val="24"/>
          <w:szCs w:val="24"/>
        </w:rPr>
        <w:t>（1）招标代理服务费：根据</w:t>
      </w:r>
      <w:r>
        <w:rPr>
          <w:rFonts w:hint="eastAsia" w:ascii="宋体" w:hAnsi="宋体" w:cs="宋体"/>
          <w:bCs/>
          <w:sz w:val="24"/>
          <w:szCs w:val="24"/>
          <w:lang w:val="en-US" w:eastAsia="zh-CN"/>
        </w:rPr>
        <w:t>（云建招协〔2024〕58号）《云南省建设工程招标代理服务收费参考意见》的规定</w:t>
      </w:r>
      <w:r>
        <w:rPr>
          <w:rFonts w:hint="eastAsia" w:ascii="宋体" w:hAnsi="宋体" w:cs="宋体"/>
          <w:color w:val="000000"/>
          <w:sz w:val="24"/>
          <w:szCs w:val="24"/>
        </w:rPr>
        <w:t>，按照“服务招标”收取，采购代理单位向（</w:t>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AUTOTEXT  input53 \* MERGEFORMAT </w:instrText>
      </w:r>
      <w:r>
        <w:rPr>
          <w:rFonts w:hint="eastAsia" w:ascii="宋体" w:hAnsi="宋体" w:cs="宋体"/>
          <w:color w:val="000000"/>
          <w:sz w:val="24"/>
          <w:szCs w:val="24"/>
        </w:rPr>
        <w:fldChar w:fldCharType="separate"/>
      </w:r>
      <w:r>
        <w:rPr>
          <w:rFonts w:hint="eastAsia" w:ascii="宋体" w:hAnsi="宋体" w:cs="宋体"/>
          <w:color w:val="000000"/>
          <w:sz w:val="24"/>
          <w:szCs w:val="24"/>
        </w:rPr>
        <w:t>□</w:t>
      </w:r>
      <w:r>
        <w:rPr>
          <w:rFonts w:hint="eastAsia" w:ascii="宋体" w:hAnsi="宋体" w:cs="宋体"/>
          <w:color w:val="000000"/>
          <w:sz w:val="24"/>
          <w:szCs w:val="24"/>
        </w:rPr>
        <w:fldChar w:fldCharType="end"/>
      </w:r>
      <w:r>
        <w:rPr>
          <w:rFonts w:hint="eastAsia" w:ascii="宋体" w:hAnsi="宋体" w:cs="宋体"/>
          <w:color w:val="000000"/>
          <w:sz w:val="24"/>
          <w:szCs w:val="24"/>
        </w:rPr>
        <w:t>采购人；☑中标人）收取费。</w:t>
      </w:r>
      <w:r>
        <w:rPr>
          <w:rFonts w:hint="eastAsia"/>
          <w:color w:val="000000"/>
        </w:rPr>
        <w:drawing>
          <wp:inline distT="0" distB="0" distL="114300" distR="114300">
            <wp:extent cx="5760085" cy="4359275"/>
            <wp:effectExtent l="0" t="0" r="635" b="146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6"/>
                    <a:stretch>
                      <a:fillRect/>
                    </a:stretch>
                  </pic:blipFill>
                  <pic:spPr>
                    <a:xfrm>
                      <a:off x="0" y="0"/>
                      <a:ext cx="5760085" cy="4359275"/>
                    </a:xfrm>
                    <a:prstGeom prst="rect">
                      <a:avLst/>
                    </a:prstGeom>
                    <a:noFill/>
                    <a:ln>
                      <a:noFill/>
                    </a:ln>
                  </pic:spPr>
                </pic:pic>
              </a:graphicData>
            </a:graphic>
          </wp:inline>
        </w:drawing>
      </w:r>
    </w:p>
    <w:p w14:paraId="0B3995BA">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（2）中标人应在接受“中标通知书”前向采购代理机构一次付清代理服务费。</w:t>
      </w:r>
    </w:p>
    <w:p w14:paraId="3DE29D2E">
      <w:pPr>
        <w:spacing w:line="360" w:lineRule="auto"/>
        <w:ind w:firstLine="480" w:firstLineChars="200"/>
        <w:rPr>
          <w:rFonts w:hint="eastAsia" w:ascii="宋体" w:hAnsi="宋体" w:cs="宋体"/>
          <w:color w:val="000000"/>
          <w:sz w:val="24"/>
          <w:szCs w:val="24"/>
        </w:rPr>
      </w:pPr>
      <w:r>
        <w:rPr>
          <w:rFonts w:hint="eastAsia" w:ascii="宋体" w:hAnsi="宋体" w:cs="宋体"/>
          <w:color w:val="000000"/>
          <w:sz w:val="24"/>
          <w:szCs w:val="24"/>
        </w:rPr>
        <w:t>（3）需要补充的其他内容：见投标人须知前附表。</w:t>
      </w:r>
    </w:p>
    <w:p w14:paraId="29B298B4">
      <w:pPr>
        <w:pStyle w:val="92"/>
        <w:tabs>
          <w:tab w:val="left" w:pos="1828"/>
        </w:tabs>
        <w:autoSpaceDE w:val="0"/>
        <w:autoSpaceDN w:val="0"/>
        <w:spacing w:line="360" w:lineRule="auto"/>
        <w:ind w:left="-8" w:firstLine="482"/>
        <w:jc w:val="left"/>
        <w:rPr>
          <w:rFonts w:hint="default" w:ascii="宋体" w:hAnsi="宋体" w:cs="宋体"/>
          <w:b/>
          <w:color w:val="000000"/>
          <w:sz w:val="24"/>
          <w:lang w:val="en-US" w:eastAsia="zh-CN"/>
        </w:rPr>
      </w:pPr>
      <w:r>
        <w:rPr>
          <w:rFonts w:hint="eastAsia" w:ascii="宋体" w:hAnsi="宋体" w:eastAsia="宋体" w:cs="宋体"/>
          <w:color w:val="000000"/>
          <w:kern w:val="2"/>
          <w:sz w:val="24"/>
          <w:szCs w:val="24"/>
          <w:lang w:val="en-US" w:eastAsia="zh-CN" w:bidi="ar-SA"/>
        </w:rPr>
        <w:t>（4）</w:t>
      </w:r>
      <w:r>
        <w:rPr>
          <w:rFonts w:hint="eastAsia" w:ascii="宋体" w:hAnsi="宋体" w:cs="宋体"/>
          <w:b/>
          <w:bCs/>
          <w:color w:val="000000"/>
          <w:sz w:val="24"/>
          <w:szCs w:val="24"/>
        </w:rPr>
        <w:t>大中小企业划分标准</w:t>
      </w:r>
    </w:p>
    <w:p w14:paraId="355A7A71">
      <w:pPr>
        <w:autoSpaceDE w:val="0"/>
        <w:autoSpaceDN w:val="0"/>
        <w:spacing w:line="360" w:lineRule="auto"/>
        <w:ind w:firstLine="482" w:firstLineChars="200"/>
        <w:jc w:val="center"/>
        <w:rPr>
          <w:rFonts w:ascii="宋体" w:hAnsi="宋体" w:cs="宋体"/>
          <w:b/>
          <w:color w:val="000000"/>
          <w:sz w:val="24"/>
        </w:rPr>
      </w:pPr>
      <w:r>
        <w:rPr>
          <w:rFonts w:hint="eastAsia" w:ascii="宋体" w:hAnsi="宋体" w:cs="宋体"/>
          <w:b/>
          <w:color w:val="000000"/>
          <w:sz w:val="24"/>
        </w:rPr>
        <w:t>大中小微型企业划分标准</w:t>
      </w:r>
    </w:p>
    <w:tbl>
      <w:tblPr>
        <w:tblStyle w:val="34"/>
        <w:tblW w:w="0" w:type="auto"/>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13"/>
        <w:gridCol w:w="1246"/>
        <w:gridCol w:w="988"/>
        <w:gridCol w:w="1104"/>
        <w:gridCol w:w="1833"/>
        <w:gridCol w:w="1590"/>
        <w:gridCol w:w="862"/>
      </w:tblGrid>
      <w:tr w14:paraId="16648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4" w:hRule="atLeast"/>
        </w:trPr>
        <w:tc>
          <w:tcPr>
            <w:tcW w:w="1713" w:type="dxa"/>
            <w:noWrap w:val="0"/>
            <w:vAlign w:val="center"/>
          </w:tcPr>
          <w:p w14:paraId="40DC0CF6">
            <w:pPr>
              <w:pStyle w:val="81"/>
              <w:autoSpaceDE w:val="0"/>
              <w:autoSpaceDN w:val="0"/>
              <w:spacing w:line="360" w:lineRule="auto"/>
              <w:jc w:val="center"/>
              <w:rPr>
                <w:b/>
                <w:color w:val="000000"/>
                <w:sz w:val="24"/>
                <w:szCs w:val="24"/>
              </w:rPr>
            </w:pPr>
            <w:r>
              <w:rPr>
                <w:rFonts w:hint="eastAsia"/>
                <w:b/>
                <w:color w:val="000000"/>
                <w:sz w:val="24"/>
                <w:szCs w:val="24"/>
              </w:rPr>
              <w:t>行业名称</w:t>
            </w:r>
          </w:p>
        </w:tc>
        <w:tc>
          <w:tcPr>
            <w:tcW w:w="1246" w:type="dxa"/>
            <w:noWrap w:val="0"/>
            <w:vAlign w:val="center"/>
          </w:tcPr>
          <w:p w14:paraId="37105D38">
            <w:pPr>
              <w:pStyle w:val="81"/>
              <w:autoSpaceDE w:val="0"/>
              <w:autoSpaceDN w:val="0"/>
              <w:spacing w:line="360" w:lineRule="auto"/>
              <w:jc w:val="center"/>
              <w:rPr>
                <w:b/>
                <w:color w:val="000000"/>
                <w:sz w:val="24"/>
                <w:szCs w:val="24"/>
              </w:rPr>
            </w:pPr>
            <w:r>
              <w:rPr>
                <w:rFonts w:hint="eastAsia"/>
                <w:b/>
                <w:color w:val="000000"/>
                <w:sz w:val="24"/>
                <w:szCs w:val="24"/>
              </w:rPr>
              <w:t>指标名称</w:t>
            </w:r>
          </w:p>
        </w:tc>
        <w:tc>
          <w:tcPr>
            <w:tcW w:w="988" w:type="dxa"/>
            <w:noWrap w:val="0"/>
            <w:vAlign w:val="center"/>
          </w:tcPr>
          <w:p w14:paraId="71104148">
            <w:pPr>
              <w:pStyle w:val="81"/>
              <w:autoSpaceDE w:val="0"/>
              <w:autoSpaceDN w:val="0"/>
              <w:spacing w:line="360" w:lineRule="auto"/>
              <w:jc w:val="center"/>
              <w:rPr>
                <w:b/>
                <w:color w:val="000000"/>
                <w:sz w:val="24"/>
                <w:szCs w:val="24"/>
              </w:rPr>
            </w:pPr>
            <w:r>
              <w:rPr>
                <w:rFonts w:hint="eastAsia"/>
                <w:b/>
                <w:color w:val="000000"/>
                <w:sz w:val="24"/>
                <w:szCs w:val="24"/>
              </w:rPr>
              <w:t>计量单位</w:t>
            </w:r>
          </w:p>
        </w:tc>
        <w:tc>
          <w:tcPr>
            <w:tcW w:w="1104" w:type="dxa"/>
            <w:noWrap w:val="0"/>
            <w:vAlign w:val="center"/>
          </w:tcPr>
          <w:p w14:paraId="60BC77BF">
            <w:pPr>
              <w:pStyle w:val="81"/>
              <w:autoSpaceDE w:val="0"/>
              <w:autoSpaceDN w:val="0"/>
              <w:spacing w:line="360" w:lineRule="auto"/>
              <w:jc w:val="center"/>
              <w:rPr>
                <w:b/>
                <w:color w:val="000000"/>
                <w:sz w:val="24"/>
                <w:szCs w:val="24"/>
              </w:rPr>
            </w:pPr>
            <w:r>
              <w:rPr>
                <w:rFonts w:hint="eastAsia"/>
                <w:b/>
                <w:color w:val="000000"/>
                <w:sz w:val="24"/>
                <w:szCs w:val="24"/>
              </w:rPr>
              <w:t>大型</w:t>
            </w:r>
          </w:p>
        </w:tc>
        <w:tc>
          <w:tcPr>
            <w:tcW w:w="1833" w:type="dxa"/>
            <w:noWrap w:val="0"/>
            <w:vAlign w:val="center"/>
          </w:tcPr>
          <w:p w14:paraId="743A0E81">
            <w:pPr>
              <w:pStyle w:val="81"/>
              <w:autoSpaceDE w:val="0"/>
              <w:autoSpaceDN w:val="0"/>
              <w:spacing w:line="360" w:lineRule="auto"/>
              <w:jc w:val="center"/>
              <w:rPr>
                <w:b/>
                <w:color w:val="000000"/>
                <w:sz w:val="24"/>
                <w:szCs w:val="24"/>
              </w:rPr>
            </w:pPr>
            <w:r>
              <w:rPr>
                <w:rFonts w:hint="eastAsia"/>
                <w:b/>
                <w:color w:val="000000"/>
                <w:sz w:val="24"/>
                <w:szCs w:val="24"/>
              </w:rPr>
              <w:t>中型</w:t>
            </w:r>
          </w:p>
        </w:tc>
        <w:tc>
          <w:tcPr>
            <w:tcW w:w="1590" w:type="dxa"/>
            <w:noWrap w:val="0"/>
            <w:vAlign w:val="center"/>
          </w:tcPr>
          <w:p w14:paraId="50CCD806">
            <w:pPr>
              <w:pStyle w:val="81"/>
              <w:autoSpaceDE w:val="0"/>
              <w:autoSpaceDN w:val="0"/>
              <w:spacing w:line="360" w:lineRule="auto"/>
              <w:jc w:val="center"/>
              <w:rPr>
                <w:b/>
                <w:color w:val="000000"/>
                <w:sz w:val="24"/>
                <w:szCs w:val="24"/>
              </w:rPr>
            </w:pPr>
            <w:r>
              <w:rPr>
                <w:rFonts w:hint="eastAsia"/>
                <w:b/>
                <w:color w:val="000000"/>
                <w:sz w:val="24"/>
                <w:szCs w:val="24"/>
              </w:rPr>
              <w:t>小型</w:t>
            </w:r>
          </w:p>
        </w:tc>
        <w:tc>
          <w:tcPr>
            <w:tcW w:w="862" w:type="dxa"/>
            <w:noWrap w:val="0"/>
            <w:vAlign w:val="center"/>
          </w:tcPr>
          <w:p w14:paraId="2C75CBB5">
            <w:pPr>
              <w:pStyle w:val="81"/>
              <w:autoSpaceDE w:val="0"/>
              <w:autoSpaceDN w:val="0"/>
              <w:spacing w:line="360" w:lineRule="auto"/>
              <w:jc w:val="center"/>
              <w:rPr>
                <w:b/>
                <w:color w:val="000000"/>
                <w:sz w:val="24"/>
                <w:szCs w:val="24"/>
              </w:rPr>
            </w:pPr>
            <w:r>
              <w:rPr>
                <w:rFonts w:hint="eastAsia"/>
                <w:b/>
                <w:color w:val="000000"/>
                <w:sz w:val="24"/>
                <w:szCs w:val="24"/>
              </w:rPr>
              <w:t>微型</w:t>
            </w:r>
          </w:p>
        </w:tc>
      </w:tr>
      <w:tr w14:paraId="480A8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noWrap w:val="0"/>
            <w:vAlign w:val="center"/>
          </w:tcPr>
          <w:p w14:paraId="621FDCFF">
            <w:pPr>
              <w:pStyle w:val="81"/>
              <w:autoSpaceDE w:val="0"/>
              <w:autoSpaceDN w:val="0"/>
              <w:spacing w:line="360" w:lineRule="auto"/>
              <w:jc w:val="center"/>
              <w:rPr>
                <w:color w:val="000000"/>
                <w:sz w:val="24"/>
                <w:szCs w:val="24"/>
              </w:rPr>
            </w:pPr>
            <w:r>
              <w:rPr>
                <w:rFonts w:hint="eastAsia"/>
                <w:color w:val="000000"/>
                <w:spacing w:val="-19"/>
                <w:sz w:val="24"/>
                <w:szCs w:val="24"/>
              </w:rPr>
              <w:t>农、林、牧、渔业</w:t>
            </w:r>
          </w:p>
        </w:tc>
        <w:tc>
          <w:tcPr>
            <w:tcW w:w="1246" w:type="dxa"/>
            <w:noWrap w:val="0"/>
            <w:vAlign w:val="center"/>
          </w:tcPr>
          <w:p w14:paraId="53DF2498">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3D720B37">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03E6D317">
            <w:pPr>
              <w:pStyle w:val="81"/>
              <w:autoSpaceDE w:val="0"/>
              <w:autoSpaceDN w:val="0"/>
              <w:spacing w:line="360" w:lineRule="auto"/>
              <w:jc w:val="center"/>
              <w:rPr>
                <w:color w:val="000000"/>
                <w:sz w:val="24"/>
                <w:szCs w:val="24"/>
              </w:rPr>
            </w:pPr>
            <w:r>
              <w:rPr>
                <w:rFonts w:hint="eastAsia"/>
                <w:color w:val="000000"/>
                <w:sz w:val="24"/>
                <w:szCs w:val="24"/>
              </w:rPr>
              <w:t>Y≥20000</w:t>
            </w:r>
          </w:p>
        </w:tc>
        <w:tc>
          <w:tcPr>
            <w:tcW w:w="1833" w:type="dxa"/>
            <w:noWrap w:val="0"/>
            <w:vAlign w:val="center"/>
          </w:tcPr>
          <w:p w14:paraId="54D9E96C">
            <w:pPr>
              <w:pStyle w:val="81"/>
              <w:autoSpaceDE w:val="0"/>
              <w:autoSpaceDN w:val="0"/>
              <w:spacing w:line="360" w:lineRule="auto"/>
              <w:jc w:val="center"/>
              <w:rPr>
                <w:color w:val="000000"/>
                <w:sz w:val="24"/>
                <w:szCs w:val="24"/>
              </w:rPr>
            </w:pPr>
            <w:r>
              <w:rPr>
                <w:rFonts w:hint="eastAsia"/>
                <w:color w:val="000000"/>
                <w:sz w:val="24"/>
                <w:szCs w:val="24"/>
              </w:rPr>
              <w:t>500≤Y＜20000</w:t>
            </w:r>
          </w:p>
        </w:tc>
        <w:tc>
          <w:tcPr>
            <w:tcW w:w="1590" w:type="dxa"/>
            <w:noWrap w:val="0"/>
            <w:vAlign w:val="center"/>
          </w:tcPr>
          <w:p w14:paraId="03ADE1DF">
            <w:pPr>
              <w:pStyle w:val="81"/>
              <w:autoSpaceDE w:val="0"/>
              <w:autoSpaceDN w:val="0"/>
              <w:spacing w:line="360" w:lineRule="auto"/>
              <w:jc w:val="center"/>
              <w:rPr>
                <w:color w:val="000000"/>
                <w:sz w:val="24"/>
                <w:szCs w:val="24"/>
              </w:rPr>
            </w:pPr>
            <w:r>
              <w:rPr>
                <w:rFonts w:hint="eastAsia"/>
                <w:color w:val="000000"/>
                <w:sz w:val="24"/>
                <w:szCs w:val="24"/>
              </w:rPr>
              <w:t>50≤Y＜500</w:t>
            </w:r>
          </w:p>
        </w:tc>
        <w:tc>
          <w:tcPr>
            <w:tcW w:w="862" w:type="dxa"/>
            <w:noWrap w:val="0"/>
            <w:vAlign w:val="center"/>
          </w:tcPr>
          <w:p w14:paraId="67CF463F">
            <w:pPr>
              <w:pStyle w:val="81"/>
              <w:autoSpaceDE w:val="0"/>
              <w:autoSpaceDN w:val="0"/>
              <w:spacing w:line="360" w:lineRule="auto"/>
              <w:jc w:val="center"/>
              <w:rPr>
                <w:color w:val="000000"/>
                <w:sz w:val="24"/>
                <w:szCs w:val="24"/>
              </w:rPr>
            </w:pPr>
            <w:r>
              <w:rPr>
                <w:rFonts w:hint="eastAsia"/>
                <w:color w:val="000000"/>
                <w:sz w:val="24"/>
                <w:szCs w:val="24"/>
              </w:rPr>
              <w:t>Y＜50</w:t>
            </w:r>
          </w:p>
        </w:tc>
      </w:tr>
      <w:tr w14:paraId="50DF1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72514B10">
            <w:pPr>
              <w:pStyle w:val="81"/>
              <w:autoSpaceDE w:val="0"/>
              <w:autoSpaceDN w:val="0"/>
              <w:spacing w:line="360" w:lineRule="auto"/>
              <w:jc w:val="center"/>
              <w:rPr>
                <w:color w:val="000000"/>
                <w:sz w:val="24"/>
                <w:szCs w:val="24"/>
              </w:rPr>
            </w:pPr>
            <w:r>
              <w:rPr>
                <w:rFonts w:hint="eastAsia"/>
                <w:color w:val="000000"/>
                <w:sz w:val="24"/>
                <w:szCs w:val="24"/>
              </w:rPr>
              <w:t>工业*</w:t>
            </w:r>
          </w:p>
        </w:tc>
        <w:tc>
          <w:tcPr>
            <w:tcW w:w="1246" w:type="dxa"/>
            <w:noWrap w:val="0"/>
            <w:vAlign w:val="center"/>
          </w:tcPr>
          <w:p w14:paraId="40E133B9">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0F591CD7">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25120839">
            <w:pPr>
              <w:pStyle w:val="81"/>
              <w:autoSpaceDE w:val="0"/>
              <w:autoSpaceDN w:val="0"/>
              <w:spacing w:line="360" w:lineRule="auto"/>
              <w:jc w:val="center"/>
              <w:rPr>
                <w:color w:val="000000"/>
                <w:sz w:val="24"/>
                <w:szCs w:val="24"/>
              </w:rPr>
            </w:pPr>
            <w:r>
              <w:rPr>
                <w:rFonts w:hint="eastAsia"/>
                <w:color w:val="000000"/>
                <w:sz w:val="24"/>
                <w:szCs w:val="24"/>
              </w:rPr>
              <w:t>X≥1000</w:t>
            </w:r>
          </w:p>
        </w:tc>
        <w:tc>
          <w:tcPr>
            <w:tcW w:w="1833" w:type="dxa"/>
            <w:noWrap w:val="0"/>
            <w:vAlign w:val="center"/>
          </w:tcPr>
          <w:p w14:paraId="64935EF8">
            <w:pPr>
              <w:pStyle w:val="81"/>
              <w:autoSpaceDE w:val="0"/>
              <w:autoSpaceDN w:val="0"/>
              <w:spacing w:line="360" w:lineRule="auto"/>
              <w:jc w:val="center"/>
              <w:rPr>
                <w:color w:val="000000"/>
                <w:sz w:val="24"/>
                <w:szCs w:val="24"/>
              </w:rPr>
            </w:pPr>
            <w:r>
              <w:rPr>
                <w:rFonts w:hint="eastAsia"/>
                <w:color w:val="000000"/>
                <w:sz w:val="24"/>
                <w:szCs w:val="24"/>
              </w:rPr>
              <w:t>300≤X＜1000</w:t>
            </w:r>
          </w:p>
        </w:tc>
        <w:tc>
          <w:tcPr>
            <w:tcW w:w="1590" w:type="dxa"/>
            <w:noWrap w:val="0"/>
            <w:vAlign w:val="center"/>
          </w:tcPr>
          <w:p w14:paraId="5908119B">
            <w:pPr>
              <w:pStyle w:val="81"/>
              <w:autoSpaceDE w:val="0"/>
              <w:autoSpaceDN w:val="0"/>
              <w:spacing w:line="360" w:lineRule="auto"/>
              <w:jc w:val="center"/>
              <w:rPr>
                <w:color w:val="000000"/>
                <w:sz w:val="24"/>
                <w:szCs w:val="24"/>
              </w:rPr>
            </w:pPr>
            <w:r>
              <w:rPr>
                <w:rFonts w:hint="eastAsia"/>
                <w:color w:val="000000"/>
                <w:sz w:val="24"/>
                <w:szCs w:val="24"/>
              </w:rPr>
              <w:t>20≤X＜300</w:t>
            </w:r>
          </w:p>
        </w:tc>
        <w:tc>
          <w:tcPr>
            <w:tcW w:w="862" w:type="dxa"/>
            <w:noWrap w:val="0"/>
            <w:vAlign w:val="center"/>
          </w:tcPr>
          <w:p w14:paraId="6730E5F6">
            <w:pPr>
              <w:pStyle w:val="81"/>
              <w:autoSpaceDE w:val="0"/>
              <w:autoSpaceDN w:val="0"/>
              <w:spacing w:line="360" w:lineRule="auto"/>
              <w:jc w:val="center"/>
              <w:rPr>
                <w:color w:val="000000"/>
                <w:sz w:val="24"/>
                <w:szCs w:val="24"/>
              </w:rPr>
            </w:pPr>
            <w:r>
              <w:rPr>
                <w:rFonts w:hint="eastAsia"/>
                <w:color w:val="000000"/>
                <w:sz w:val="24"/>
                <w:szCs w:val="24"/>
              </w:rPr>
              <w:t>X＜20</w:t>
            </w:r>
          </w:p>
        </w:tc>
      </w:tr>
      <w:tr w14:paraId="1E02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7BCD8C87">
            <w:pPr>
              <w:autoSpaceDE w:val="0"/>
              <w:autoSpaceDN w:val="0"/>
              <w:spacing w:line="360" w:lineRule="auto"/>
              <w:jc w:val="center"/>
              <w:rPr>
                <w:rFonts w:ascii="宋体" w:hAnsi="宋体" w:cs="宋体"/>
                <w:color w:val="000000"/>
                <w:sz w:val="24"/>
              </w:rPr>
            </w:pPr>
          </w:p>
        </w:tc>
        <w:tc>
          <w:tcPr>
            <w:tcW w:w="1246" w:type="dxa"/>
            <w:noWrap w:val="0"/>
            <w:vAlign w:val="center"/>
          </w:tcPr>
          <w:p w14:paraId="384A0A2D">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58F3C111">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54DF4009">
            <w:pPr>
              <w:pStyle w:val="81"/>
              <w:autoSpaceDE w:val="0"/>
              <w:autoSpaceDN w:val="0"/>
              <w:spacing w:line="360" w:lineRule="auto"/>
              <w:jc w:val="center"/>
              <w:rPr>
                <w:color w:val="000000"/>
                <w:sz w:val="24"/>
                <w:szCs w:val="24"/>
              </w:rPr>
            </w:pPr>
            <w:r>
              <w:rPr>
                <w:rFonts w:hint="eastAsia"/>
                <w:color w:val="000000"/>
                <w:sz w:val="24"/>
                <w:szCs w:val="24"/>
              </w:rPr>
              <w:t>Y≥40000</w:t>
            </w:r>
          </w:p>
        </w:tc>
        <w:tc>
          <w:tcPr>
            <w:tcW w:w="1833" w:type="dxa"/>
            <w:noWrap w:val="0"/>
            <w:vAlign w:val="center"/>
          </w:tcPr>
          <w:p w14:paraId="1B750803">
            <w:pPr>
              <w:pStyle w:val="81"/>
              <w:autoSpaceDE w:val="0"/>
              <w:autoSpaceDN w:val="0"/>
              <w:spacing w:line="360" w:lineRule="auto"/>
              <w:jc w:val="center"/>
              <w:rPr>
                <w:color w:val="000000"/>
                <w:sz w:val="24"/>
                <w:szCs w:val="24"/>
              </w:rPr>
            </w:pPr>
            <w:r>
              <w:rPr>
                <w:rFonts w:hint="eastAsia"/>
                <w:color w:val="000000"/>
                <w:sz w:val="24"/>
                <w:szCs w:val="24"/>
              </w:rPr>
              <w:t>2000≤Y＜40000</w:t>
            </w:r>
          </w:p>
        </w:tc>
        <w:tc>
          <w:tcPr>
            <w:tcW w:w="1590" w:type="dxa"/>
            <w:noWrap w:val="0"/>
            <w:vAlign w:val="center"/>
          </w:tcPr>
          <w:p w14:paraId="3C0145BA">
            <w:pPr>
              <w:pStyle w:val="81"/>
              <w:autoSpaceDE w:val="0"/>
              <w:autoSpaceDN w:val="0"/>
              <w:spacing w:line="360" w:lineRule="auto"/>
              <w:jc w:val="center"/>
              <w:rPr>
                <w:color w:val="000000"/>
                <w:sz w:val="24"/>
                <w:szCs w:val="24"/>
              </w:rPr>
            </w:pPr>
            <w:r>
              <w:rPr>
                <w:rFonts w:hint="eastAsia"/>
                <w:color w:val="000000"/>
                <w:sz w:val="24"/>
                <w:szCs w:val="24"/>
              </w:rPr>
              <w:t>300≤Y＜2000</w:t>
            </w:r>
          </w:p>
        </w:tc>
        <w:tc>
          <w:tcPr>
            <w:tcW w:w="862" w:type="dxa"/>
            <w:noWrap w:val="0"/>
            <w:vAlign w:val="center"/>
          </w:tcPr>
          <w:p w14:paraId="1DCB87F8">
            <w:pPr>
              <w:pStyle w:val="81"/>
              <w:autoSpaceDE w:val="0"/>
              <w:autoSpaceDN w:val="0"/>
              <w:spacing w:line="360" w:lineRule="auto"/>
              <w:jc w:val="center"/>
              <w:rPr>
                <w:color w:val="000000"/>
                <w:sz w:val="24"/>
                <w:szCs w:val="24"/>
              </w:rPr>
            </w:pPr>
            <w:r>
              <w:rPr>
                <w:rFonts w:hint="eastAsia"/>
                <w:color w:val="000000"/>
                <w:sz w:val="24"/>
                <w:szCs w:val="24"/>
              </w:rPr>
              <w:t>Y＜300</w:t>
            </w:r>
          </w:p>
        </w:tc>
      </w:tr>
      <w:tr w14:paraId="3BBE3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61B4362E">
            <w:pPr>
              <w:pStyle w:val="81"/>
              <w:autoSpaceDE w:val="0"/>
              <w:autoSpaceDN w:val="0"/>
              <w:spacing w:line="360" w:lineRule="auto"/>
              <w:jc w:val="center"/>
              <w:rPr>
                <w:color w:val="000000"/>
                <w:sz w:val="24"/>
                <w:szCs w:val="24"/>
              </w:rPr>
            </w:pPr>
            <w:r>
              <w:rPr>
                <w:rFonts w:hint="eastAsia"/>
                <w:color w:val="000000"/>
                <w:sz w:val="24"/>
                <w:szCs w:val="24"/>
              </w:rPr>
              <w:t>建筑业</w:t>
            </w:r>
          </w:p>
        </w:tc>
        <w:tc>
          <w:tcPr>
            <w:tcW w:w="1246" w:type="dxa"/>
            <w:noWrap w:val="0"/>
            <w:vAlign w:val="center"/>
          </w:tcPr>
          <w:p w14:paraId="45035262">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7C73B11D">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14F29D0D">
            <w:pPr>
              <w:pStyle w:val="81"/>
              <w:autoSpaceDE w:val="0"/>
              <w:autoSpaceDN w:val="0"/>
              <w:spacing w:line="360" w:lineRule="auto"/>
              <w:jc w:val="center"/>
              <w:rPr>
                <w:color w:val="000000"/>
                <w:sz w:val="24"/>
                <w:szCs w:val="24"/>
              </w:rPr>
            </w:pPr>
            <w:r>
              <w:rPr>
                <w:rFonts w:hint="eastAsia"/>
                <w:color w:val="000000"/>
                <w:sz w:val="24"/>
                <w:szCs w:val="24"/>
              </w:rPr>
              <w:t>Y≥80000</w:t>
            </w:r>
          </w:p>
        </w:tc>
        <w:tc>
          <w:tcPr>
            <w:tcW w:w="1833" w:type="dxa"/>
            <w:noWrap w:val="0"/>
            <w:vAlign w:val="center"/>
          </w:tcPr>
          <w:p w14:paraId="4AA00692">
            <w:pPr>
              <w:pStyle w:val="81"/>
              <w:autoSpaceDE w:val="0"/>
              <w:autoSpaceDN w:val="0"/>
              <w:spacing w:line="360" w:lineRule="auto"/>
              <w:jc w:val="center"/>
              <w:rPr>
                <w:color w:val="000000"/>
                <w:sz w:val="24"/>
                <w:szCs w:val="24"/>
              </w:rPr>
            </w:pPr>
            <w:r>
              <w:rPr>
                <w:rFonts w:hint="eastAsia"/>
                <w:color w:val="000000"/>
                <w:sz w:val="24"/>
                <w:szCs w:val="24"/>
              </w:rPr>
              <w:t>6000≤Y＜80000</w:t>
            </w:r>
          </w:p>
        </w:tc>
        <w:tc>
          <w:tcPr>
            <w:tcW w:w="1590" w:type="dxa"/>
            <w:noWrap w:val="0"/>
            <w:vAlign w:val="center"/>
          </w:tcPr>
          <w:p w14:paraId="1C0083C7">
            <w:pPr>
              <w:pStyle w:val="81"/>
              <w:autoSpaceDE w:val="0"/>
              <w:autoSpaceDN w:val="0"/>
              <w:spacing w:line="360" w:lineRule="auto"/>
              <w:jc w:val="center"/>
              <w:rPr>
                <w:color w:val="000000"/>
                <w:sz w:val="24"/>
                <w:szCs w:val="24"/>
              </w:rPr>
            </w:pPr>
            <w:r>
              <w:rPr>
                <w:rFonts w:hint="eastAsia"/>
                <w:color w:val="000000"/>
                <w:sz w:val="24"/>
                <w:szCs w:val="24"/>
              </w:rPr>
              <w:t>300≤Y＜6000</w:t>
            </w:r>
          </w:p>
        </w:tc>
        <w:tc>
          <w:tcPr>
            <w:tcW w:w="862" w:type="dxa"/>
            <w:noWrap w:val="0"/>
            <w:vAlign w:val="center"/>
          </w:tcPr>
          <w:p w14:paraId="034F2A45">
            <w:pPr>
              <w:pStyle w:val="81"/>
              <w:autoSpaceDE w:val="0"/>
              <w:autoSpaceDN w:val="0"/>
              <w:spacing w:line="360" w:lineRule="auto"/>
              <w:jc w:val="center"/>
              <w:rPr>
                <w:color w:val="000000"/>
                <w:sz w:val="24"/>
                <w:szCs w:val="24"/>
              </w:rPr>
            </w:pPr>
            <w:r>
              <w:rPr>
                <w:rFonts w:hint="eastAsia"/>
                <w:color w:val="000000"/>
                <w:sz w:val="24"/>
                <w:szCs w:val="24"/>
              </w:rPr>
              <w:t>Y＜300</w:t>
            </w:r>
          </w:p>
        </w:tc>
      </w:tr>
      <w:tr w14:paraId="6E5E5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03047983">
            <w:pPr>
              <w:autoSpaceDE w:val="0"/>
              <w:autoSpaceDN w:val="0"/>
              <w:spacing w:line="360" w:lineRule="auto"/>
              <w:jc w:val="center"/>
              <w:rPr>
                <w:rFonts w:ascii="宋体" w:hAnsi="宋体" w:cs="宋体"/>
                <w:color w:val="000000"/>
                <w:sz w:val="24"/>
              </w:rPr>
            </w:pPr>
          </w:p>
        </w:tc>
        <w:tc>
          <w:tcPr>
            <w:tcW w:w="1246" w:type="dxa"/>
            <w:noWrap w:val="0"/>
            <w:vAlign w:val="center"/>
          </w:tcPr>
          <w:p w14:paraId="09445D67">
            <w:pPr>
              <w:pStyle w:val="81"/>
              <w:autoSpaceDE w:val="0"/>
              <w:autoSpaceDN w:val="0"/>
              <w:spacing w:line="360" w:lineRule="auto"/>
              <w:jc w:val="center"/>
              <w:rPr>
                <w:color w:val="000000"/>
                <w:sz w:val="24"/>
                <w:szCs w:val="24"/>
              </w:rPr>
            </w:pPr>
            <w:r>
              <w:rPr>
                <w:rFonts w:hint="eastAsia"/>
                <w:color w:val="000000"/>
                <w:sz w:val="24"/>
                <w:szCs w:val="24"/>
              </w:rPr>
              <w:t>资产总额(Z)</w:t>
            </w:r>
          </w:p>
        </w:tc>
        <w:tc>
          <w:tcPr>
            <w:tcW w:w="988" w:type="dxa"/>
            <w:noWrap w:val="0"/>
            <w:vAlign w:val="center"/>
          </w:tcPr>
          <w:p w14:paraId="0EAD26AF">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298AF31B">
            <w:pPr>
              <w:pStyle w:val="81"/>
              <w:autoSpaceDE w:val="0"/>
              <w:autoSpaceDN w:val="0"/>
              <w:spacing w:line="360" w:lineRule="auto"/>
              <w:jc w:val="center"/>
              <w:rPr>
                <w:color w:val="000000"/>
                <w:sz w:val="24"/>
                <w:szCs w:val="24"/>
              </w:rPr>
            </w:pPr>
            <w:r>
              <w:rPr>
                <w:rFonts w:hint="eastAsia"/>
                <w:color w:val="000000"/>
                <w:sz w:val="24"/>
                <w:szCs w:val="24"/>
              </w:rPr>
              <w:t>Z≥80000</w:t>
            </w:r>
          </w:p>
        </w:tc>
        <w:tc>
          <w:tcPr>
            <w:tcW w:w="1833" w:type="dxa"/>
            <w:noWrap w:val="0"/>
            <w:vAlign w:val="center"/>
          </w:tcPr>
          <w:p w14:paraId="5E040012">
            <w:pPr>
              <w:pStyle w:val="81"/>
              <w:autoSpaceDE w:val="0"/>
              <w:autoSpaceDN w:val="0"/>
              <w:spacing w:line="360" w:lineRule="auto"/>
              <w:jc w:val="center"/>
              <w:rPr>
                <w:color w:val="000000"/>
                <w:sz w:val="24"/>
                <w:szCs w:val="24"/>
              </w:rPr>
            </w:pPr>
            <w:r>
              <w:rPr>
                <w:rFonts w:hint="eastAsia"/>
                <w:color w:val="000000"/>
                <w:sz w:val="24"/>
                <w:szCs w:val="24"/>
              </w:rPr>
              <w:t>5000≤Z＜80000</w:t>
            </w:r>
          </w:p>
        </w:tc>
        <w:tc>
          <w:tcPr>
            <w:tcW w:w="1590" w:type="dxa"/>
            <w:noWrap w:val="0"/>
            <w:vAlign w:val="center"/>
          </w:tcPr>
          <w:p w14:paraId="5D6741D5">
            <w:pPr>
              <w:pStyle w:val="81"/>
              <w:autoSpaceDE w:val="0"/>
              <w:autoSpaceDN w:val="0"/>
              <w:spacing w:line="360" w:lineRule="auto"/>
              <w:jc w:val="center"/>
              <w:rPr>
                <w:color w:val="000000"/>
                <w:sz w:val="24"/>
                <w:szCs w:val="24"/>
              </w:rPr>
            </w:pPr>
            <w:r>
              <w:rPr>
                <w:rFonts w:hint="eastAsia"/>
                <w:color w:val="000000"/>
                <w:sz w:val="24"/>
                <w:szCs w:val="24"/>
              </w:rPr>
              <w:t>300≤Z＜5000</w:t>
            </w:r>
          </w:p>
        </w:tc>
        <w:tc>
          <w:tcPr>
            <w:tcW w:w="862" w:type="dxa"/>
            <w:noWrap w:val="0"/>
            <w:vAlign w:val="center"/>
          </w:tcPr>
          <w:p w14:paraId="44823AD7">
            <w:pPr>
              <w:pStyle w:val="81"/>
              <w:autoSpaceDE w:val="0"/>
              <w:autoSpaceDN w:val="0"/>
              <w:spacing w:line="360" w:lineRule="auto"/>
              <w:jc w:val="center"/>
              <w:rPr>
                <w:color w:val="000000"/>
                <w:sz w:val="24"/>
                <w:szCs w:val="24"/>
              </w:rPr>
            </w:pPr>
            <w:r>
              <w:rPr>
                <w:rFonts w:hint="eastAsia"/>
                <w:color w:val="000000"/>
                <w:sz w:val="24"/>
                <w:szCs w:val="24"/>
              </w:rPr>
              <w:t>Z＜300</w:t>
            </w:r>
          </w:p>
        </w:tc>
      </w:tr>
      <w:tr w14:paraId="05496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7606611D">
            <w:pPr>
              <w:pStyle w:val="81"/>
              <w:autoSpaceDE w:val="0"/>
              <w:autoSpaceDN w:val="0"/>
              <w:spacing w:line="360" w:lineRule="auto"/>
              <w:jc w:val="center"/>
              <w:rPr>
                <w:color w:val="000000"/>
                <w:sz w:val="24"/>
                <w:szCs w:val="24"/>
              </w:rPr>
            </w:pPr>
            <w:r>
              <w:rPr>
                <w:rFonts w:hint="eastAsia"/>
                <w:color w:val="000000"/>
                <w:sz w:val="24"/>
                <w:szCs w:val="24"/>
              </w:rPr>
              <w:t>批发业</w:t>
            </w:r>
          </w:p>
        </w:tc>
        <w:tc>
          <w:tcPr>
            <w:tcW w:w="1246" w:type="dxa"/>
            <w:noWrap w:val="0"/>
            <w:vAlign w:val="center"/>
          </w:tcPr>
          <w:p w14:paraId="4C51B61C">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5D73D381">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3CF0533E">
            <w:pPr>
              <w:pStyle w:val="81"/>
              <w:autoSpaceDE w:val="0"/>
              <w:autoSpaceDN w:val="0"/>
              <w:spacing w:line="360" w:lineRule="auto"/>
              <w:jc w:val="center"/>
              <w:rPr>
                <w:color w:val="000000"/>
                <w:sz w:val="24"/>
                <w:szCs w:val="24"/>
              </w:rPr>
            </w:pPr>
            <w:r>
              <w:rPr>
                <w:rFonts w:hint="eastAsia"/>
                <w:color w:val="000000"/>
                <w:sz w:val="24"/>
                <w:szCs w:val="24"/>
              </w:rPr>
              <w:t>X≥200</w:t>
            </w:r>
          </w:p>
        </w:tc>
        <w:tc>
          <w:tcPr>
            <w:tcW w:w="1833" w:type="dxa"/>
            <w:noWrap w:val="0"/>
            <w:vAlign w:val="center"/>
          </w:tcPr>
          <w:p w14:paraId="16A8729F">
            <w:pPr>
              <w:pStyle w:val="81"/>
              <w:autoSpaceDE w:val="0"/>
              <w:autoSpaceDN w:val="0"/>
              <w:spacing w:line="360" w:lineRule="auto"/>
              <w:jc w:val="center"/>
              <w:rPr>
                <w:color w:val="000000"/>
                <w:sz w:val="24"/>
                <w:szCs w:val="24"/>
              </w:rPr>
            </w:pPr>
            <w:r>
              <w:rPr>
                <w:rFonts w:hint="eastAsia"/>
                <w:color w:val="000000"/>
                <w:sz w:val="24"/>
                <w:szCs w:val="24"/>
              </w:rPr>
              <w:t>20≤X＜200</w:t>
            </w:r>
          </w:p>
        </w:tc>
        <w:tc>
          <w:tcPr>
            <w:tcW w:w="1590" w:type="dxa"/>
            <w:noWrap w:val="0"/>
            <w:vAlign w:val="center"/>
          </w:tcPr>
          <w:p w14:paraId="4AE18A51">
            <w:pPr>
              <w:pStyle w:val="81"/>
              <w:autoSpaceDE w:val="0"/>
              <w:autoSpaceDN w:val="0"/>
              <w:spacing w:line="360" w:lineRule="auto"/>
              <w:jc w:val="center"/>
              <w:rPr>
                <w:color w:val="000000"/>
                <w:sz w:val="24"/>
                <w:szCs w:val="24"/>
              </w:rPr>
            </w:pPr>
            <w:r>
              <w:rPr>
                <w:rFonts w:hint="eastAsia"/>
                <w:color w:val="000000"/>
                <w:sz w:val="24"/>
                <w:szCs w:val="24"/>
              </w:rPr>
              <w:t>5≤X＜20</w:t>
            </w:r>
          </w:p>
        </w:tc>
        <w:tc>
          <w:tcPr>
            <w:tcW w:w="862" w:type="dxa"/>
            <w:noWrap w:val="0"/>
            <w:vAlign w:val="center"/>
          </w:tcPr>
          <w:p w14:paraId="12955FB5">
            <w:pPr>
              <w:pStyle w:val="81"/>
              <w:autoSpaceDE w:val="0"/>
              <w:autoSpaceDN w:val="0"/>
              <w:spacing w:line="360" w:lineRule="auto"/>
              <w:jc w:val="center"/>
              <w:rPr>
                <w:color w:val="000000"/>
                <w:sz w:val="24"/>
                <w:szCs w:val="24"/>
              </w:rPr>
            </w:pPr>
            <w:r>
              <w:rPr>
                <w:rFonts w:hint="eastAsia"/>
                <w:color w:val="000000"/>
                <w:sz w:val="24"/>
                <w:szCs w:val="24"/>
              </w:rPr>
              <w:t>X＜5</w:t>
            </w:r>
          </w:p>
        </w:tc>
      </w:tr>
      <w:tr w14:paraId="70C56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6011D57B">
            <w:pPr>
              <w:autoSpaceDE w:val="0"/>
              <w:autoSpaceDN w:val="0"/>
              <w:spacing w:line="360" w:lineRule="auto"/>
              <w:jc w:val="center"/>
              <w:rPr>
                <w:rFonts w:ascii="宋体" w:hAnsi="宋体" w:cs="宋体"/>
                <w:color w:val="000000"/>
                <w:sz w:val="24"/>
              </w:rPr>
            </w:pPr>
          </w:p>
        </w:tc>
        <w:tc>
          <w:tcPr>
            <w:tcW w:w="1246" w:type="dxa"/>
            <w:noWrap w:val="0"/>
            <w:vAlign w:val="center"/>
          </w:tcPr>
          <w:p w14:paraId="76F32C9A">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4841CBA6">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1B400045">
            <w:pPr>
              <w:pStyle w:val="81"/>
              <w:autoSpaceDE w:val="0"/>
              <w:autoSpaceDN w:val="0"/>
              <w:spacing w:line="360" w:lineRule="auto"/>
              <w:jc w:val="center"/>
              <w:rPr>
                <w:color w:val="000000"/>
                <w:sz w:val="24"/>
                <w:szCs w:val="24"/>
              </w:rPr>
            </w:pPr>
            <w:r>
              <w:rPr>
                <w:rFonts w:hint="eastAsia"/>
                <w:color w:val="000000"/>
                <w:sz w:val="24"/>
                <w:szCs w:val="24"/>
              </w:rPr>
              <w:t>Y≥40000</w:t>
            </w:r>
          </w:p>
        </w:tc>
        <w:tc>
          <w:tcPr>
            <w:tcW w:w="1833" w:type="dxa"/>
            <w:noWrap w:val="0"/>
            <w:vAlign w:val="center"/>
          </w:tcPr>
          <w:p w14:paraId="2AB695C5">
            <w:pPr>
              <w:pStyle w:val="81"/>
              <w:autoSpaceDE w:val="0"/>
              <w:autoSpaceDN w:val="0"/>
              <w:spacing w:line="360" w:lineRule="auto"/>
              <w:jc w:val="center"/>
              <w:rPr>
                <w:color w:val="000000"/>
                <w:sz w:val="24"/>
                <w:szCs w:val="24"/>
              </w:rPr>
            </w:pPr>
            <w:r>
              <w:rPr>
                <w:rFonts w:hint="eastAsia"/>
                <w:color w:val="000000"/>
                <w:sz w:val="24"/>
                <w:szCs w:val="24"/>
              </w:rPr>
              <w:t>5000≤Y＜40000</w:t>
            </w:r>
          </w:p>
        </w:tc>
        <w:tc>
          <w:tcPr>
            <w:tcW w:w="1590" w:type="dxa"/>
            <w:noWrap w:val="0"/>
            <w:vAlign w:val="center"/>
          </w:tcPr>
          <w:p w14:paraId="079D2CBF">
            <w:pPr>
              <w:pStyle w:val="81"/>
              <w:autoSpaceDE w:val="0"/>
              <w:autoSpaceDN w:val="0"/>
              <w:spacing w:line="360" w:lineRule="auto"/>
              <w:jc w:val="center"/>
              <w:rPr>
                <w:color w:val="000000"/>
                <w:sz w:val="24"/>
                <w:szCs w:val="24"/>
              </w:rPr>
            </w:pPr>
            <w:r>
              <w:rPr>
                <w:rFonts w:hint="eastAsia"/>
                <w:color w:val="000000"/>
                <w:sz w:val="24"/>
                <w:szCs w:val="24"/>
              </w:rPr>
              <w:t>1000≤Y＜5000</w:t>
            </w:r>
          </w:p>
        </w:tc>
        <w:tc>
          <w:tcPr>
            <w:tcW w:w="862" w:type="dxa"/>
            <w:noWrap w:val="0"/>
            <w:vAlign w:val="center"/>
          </w:tcPr>
          <w:p w14:paraId="6D70DEC3">
            <w:pPr>
              <w:pStyle w:val="81"/>
              <w:autoSpaceDE w:val="0"/>
              <w:autoSpaceDN w:val="0"/>
              <w:spacing w:line="360" w:lineRule="auto"/>
              <w:jc w:val="center"/>
              <w:rPr>
                <w:color w:val="000000"/>
                <w:sz w:val="24"/>
                <w:szCs w:val="24"/>
              </w:rPr>
            </w:pPr>
            <w:r>
              <w:rPr>
                <w:rFonts w:hint="eastAsia"/>
                <w:color w:val="000000"/>
                <w:sz w:val="24"/>
                <w:szCs w:val="24"/>
              </w:rPr>
              <w:t>Y＜1000</w:t>
            </w:r>
          </w:p>
        </w:tc>
      </w:tr>
      <w:tr w14:paraId="46A26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44F67C8F">
            <w:pPr>
              <w:pStyle w:val="81"/>
              <w:autoSpaceDE w:val="0"/>
              <w:autoSpaceDN w:val="0"/>
              <w:spacing w:line="360" w:lineRule="auto"/>
              <w:jc w:val="center"/>
              <w:rPr>
                <w:color w:val="000000"/>
                <w:sz w:val="24"/>
                <w:szCs w:val="24"/>
              </w:rPr>
            </w:pPr>
            <w:r>
              <w:rPr>
                <w:rFonts w:hint="eastAsia"/>
                <w:color w:val="000000"/>
                <w:sz w:val="24"/>
                <w:szCs w:val="24"/>
              </w:rPr>
              <w:t>零售业</w:t>
            </w:r>
          </w:p>
        </w:tc>
        <w:tc>
          <w:tcPr>
            <w:tcW w:w="1246" w:type="dxa"/>
            <w:noWrap w:val="0"/>
            <w:vAlign w:val="center"/>
          </w:tcPr>
          <w:p w14:paraId="411007C7">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0B72B12A">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1A5A474C">
            <w:pPr>
              <w:pStyle w:val="81"/>
              <w:autoSpaceDE w:val="0"/>
              <w:autoSpaceDN w:val="0"/>
              <w:spacing w:line="360" w:lineRule="auto"/>
              <w:jc w:val="center"/>
              <w:rPr>
                <w:color w:val="000000"/>
                <w:sz w:val="24"/>
                <w:szCs w:val="24"/>
              </w:rPr>
            </w:pPr>
            <w:r>
              <w:rPr>
                <w:rFonts w:hint="eastAsia"/>
                <w:color w:val="000000"/>
                <w:sz w:val="24"/>
                <w:szCs w:val="24"/>
              </w:rPr>
              <w:t>X≥300</w:t>
            </w:r>
          </w:p>
        </w:tc>
        <w:tc>
          <w:tcPr>
            <w:tcW w:w="1833" w:type="dxa"/>
            <w:noWrap w:val="0"/>
            <w:vAlign w:val="center"/>
          </w:tcPr>
          <w:p w14:paraId="1A512C62">
            <w:pPr>
              <w:pStyle w:val="81"/>
              <w:autoSpaceDE w:val="0"/>
              <w:autoSpaceDN w:val="0"/>
              <w:spacing w:line="360" w:lineRule="auto"/>
              <w:jc w:val="center"/>
              <w:rPr>
                <w:color w:val="000000"/>
                <w:sz w:val="24"/>
                <w:szCs w:val="24"/>
              </w:rPr>
            </w:pPr>
            <w:r>
              <w:rPr>
                <w:rFonts w:hint="eastAsia"/>
                <w:color w:val="000000"/>
                <w:sz w:val="24"/>
                <w:szCs w:val="24"/>
              </w:rPr>
              <w:t>50≤X＜300</w:t>
            </w:r>
          </w:p>
        </w:tc>
        <w:tc>
          <w:tcPr>
            <w:tcW w:w="1590" w:type="dxa"/>
            <w:noWrap w:val="0"/>
            <w:vAlign w:val="center"/>
          </w:tcPr>
          <w:p w14:paraId="30F9D7E7">
            <w:pPr>
              <w:pStyle w:val="81"/>
              <w:autoSpaceDE w:val="0"/>
              <w:autoSpaceDN w:val="0"/>
              <w:spacing w:line="360" w:lineRule="auto"/>
              <w:jc w:val="center"/>
              <w:rPr>
                <w:color w:val="000000"/>
                <w:sz w:val="24"/>
                <w:szCs w:val="24"/>
              </w:rPr>
            </w:pPr>
            <w:r>
              <w:rPr>
                <w:rFonts w:hint="eastAsia"/>
                <w:color w:val="000000"/>
                <w:sz w:val="24"/>
                <w:szCs w:val="24"/>
              </w:rPr>
              <w:t>10≤X＜50</w:t>
            </w:r>
          </w:p>
        </w:tc>
        <w:tc>
          <w:tcPr>
            <w:tcW w:w="862" w:type="dxa"/>
            <w:noWrap w:val="0"/>
            <w:vAlign w:val="center"/>
          </w:tcPr>
          <w:p w14:paraId="4DA313B3">
            <w:pPr>
              <w:pStyle w:val="81"/>
              <w:autoSpaceDE w:val="0"/>
              <w:autoSpaceDN w:val="0"/>
              <w:spacing w:line="360" w:lineRule="auto"/>
              <w:jc w:val="center"/>
              <w:rPr>
                <w:color w:val="000000"/>
                <w:sz w:val="24"/>
                <w:szCs w:val="24"/>
              </w:rPr>
            </w:pPr>
            <w:r>
              <w:rPr>
                <w:rFonts w:hint="eastAsia"/>
                <w:color w:val="000000"/>
                <w:sz w:val="24"/>
                <w:szCs w:val="24"/>
              </w:rPr>
              <w:t>X＜10</w:t>
            </w:r>
          </w:p>
        </w:tc>
      </w:tr>
      <w:tr w14:paraId="33E78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5AE380A1">
            <w:pPr>
              <w:autoSpaceDE w:val="0"/>
              <w:autoSpaceDN w:val="0"/>
              <w:spacing w:line="360" w:lineRule="auto"/>
              <w:jc w:val="center"/>
              <w:rPr>
                <w:rFonts w:ascii="宋体" w:hAnsi="宋体" w:cs="宋体"/>
                <w:color w:val="000000"/>
                <w:sz w:val="24"/>
              </w:rPr>
            </w:pPr>
          </w:p>
        </w:tc>
        <w:tc>
          <w:tcPr>
            <w:tcW w:w="1246" w:type="dxa"/>
            <w:noWrap w:val="0"/>
            <w:vAlign w:val="center"/>
          </w:tcPr>
          <w:p w14:paraId="3DEE0389">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18FD07A3">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02A58D53">
            <w:pPr>
              <w:pStyle w:val="81"/>
              <w:autoSpaceDE w:val="0"/>
              <w:autoSpaceDN w:val="0"/>
              <w:spacing w:line="360" w:lineRule="auto"/>
              <w:jc w:val="center"/>
              <w:rPr>
                <w:color w:val="000000"/>
                <w:sz w:val="24"/>
                <w:szCs w:val="24"/>
              </w:rPr>
            </w:pPr>
            <w:r>
              <w:rPr>
                <w:rFonts w:hint="eastAsia"/>
                <w:color w:val="000000"/>
                <w:sz w:val="24"/>
                <w:szCs w:val="24"/>
              </w:rPr>
              <w:t>Y≥20000</w:t>
            </w:r>
          </w:p>
        </w:tc>
        <w:tc>
          <w:tcPr>
            <w:tcW w:w="1833" w:type="dxa"/>
            <w:noWrap w:val="0"/>
            <w:vAlign w:val="center"/>
          </w:tcPr>
          <w:p w14:paraId="26B36BAB">
            <w:pPr>
              <w:pStyle w:val="81"/>
              <w:autoSpaceDE w:val="0"/>
              <w:autoSpaceDN w:val="0"/>
              <w:spacing w:line="360" w:lineRule="auto"/>
              <w:jc w:val="center"/>
              <w:rPr>
                <w:color w:val="000000"/>
                <w:sz w:val="24"/>
                <w:szCs w:val="24"/>
              </w:rPr>
            </w:pPr>
            <w:r>
              <w:rPr>
                <w:rFonts w:hint="eastAsia"/>
                <w:color w:val="000000"/>
                <w:sz w:val="24"/>
                <w:szCs w:val="24"/>
              </w:rPr>
              <w:t>500≤Y＜20000</w:t>
            </w:r>
          </w:p>
        </w:tc>
        <w:tc>
          <w:tcPr>
            <w:tcW w:w="1590" w:type="dxa"/>
            <w:noWrap w:val="0"/>
            <w:vAlign w:val="center"/>
          </w:tcPr>
          <w:p w14:paraId="01D4FCF0">
            <w:pPr>
              <w:pStyle w:val="81"/>
              <w:autoSpaceDE w:val="0"/>
              <w:autoSpaceDN w:val="0"/>
              <w:spacing w:line="360" w:lineRule="auto"/>
              <w:jc w:val="center"/>
              <w:rPr>
                <w:color w:val="000000"/>
                <w:sz w:val="24"/>
                <w:szCs w:val="24"/>
              </w:rPr>
            </w:pPr>
            <w:r>
              <w:rPr>
                <w:rFonts w:hint="eastAsia"/>
                <w:color w:val="000000"/>
                <w:sz w:val="24"/>
                <w:szCs w:val="24"/>
              </w:rPr>
              <w:t>100≤Y＜500</w:t>
            </w:r>
          </w:p>
        </w:tc>
        <w:tc>
          <w:tcPr>
            <w:tcW w:w="862" w:type="dxa"/>
            <w:noWrap w:val="0"/>
            <w:vAlign w:val="center"/>
          </w:tcPr>
          <w:p w14:paraId="1BE5A859">
            <w:pPr>
              <w:pStyle w:val="81"/>
              <w:autoSpaceDE w:val="0"/>
              <w:autoSpaceDN w:val="0"/>
              <w:spacing w:line="360" w:lineRule="auto"/>
              <w:jc w:val="center"/>
              <w:rPr>
                <w:color w:val="000000"/>
                <w:sz w:val="24"/>
                <w:szCs w:val="24"/>
              </w:rPr>
            </w:pPr>
            <w:r>
              <w:rPr>
                <w:rFonts w:hint="eastAsia"/>
                <w:color w:val="000000"/>
                <w:sz w:val="24"/>
                <w:szCs w:val="24"/>
              </w:rPr>
              <w:t>Y＜100</w:t>
            </w:r>
          </w:p>
        </w:tc>
      </w:tr>
      <w:tr w14:paraId="12390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1EE43E85">
            <w:pPr>
              <w:pStyle w:val="81"/>
              <w:autoSpaceDE w:val="0"/>
              <w:autoSpaceDN w:val="0"/>
              <w:spacing w:line="360" w:lineRule="auto"/>
              <w:jc w:val="center"/>
              <w:rPr>
                <w:color w:val="000000"/>
                <w:sz w:val="24"/>
                <w:szCs w:val="24"/>
              </w:rPr>
            </w:pPr>
            <w:r>
              <w:rPr>
                <w:rFonts w:hint="eastAsia"/>
                <w:color w:val="000000"/>
                <w:spacing w:val="-20"/>
                <w:sz w:val="24"/>
                <w:szCs w:val="24"/>
              </w:rPr>
              <w:t>交通运输</w:t>
            </w:r>
            <w:r>
              <w:rPr>
                <w:rFonts w:hint="eastAsia"/>
                <w:color w:val="000000"/>
                <w:sz w:val="24"/>
                <w:szCs w:val="24"/>
              </w:rPr>
              <w:t>业*</w:t>
            </w:r>
          </w:p>
        </w:tc>
        <w:tc>
          <w:tcPr>
            <w:tcW w:w="1246" w:type="dxa"/>
            <w:noWrap w:val="0"/>
            <w:vAlign w:val="center"/>
          </w:tcPr>
          <w:p w14:paraId="67698EC4">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378946F3">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40A09D35">
            <w:pPr>
              <w:pStyle w:val="81"/>
              <w:autoSpaceDE w:val="0"/>
              <w:autoSpaceDN w:val="0"/>
              <w:spacing w:line="360" w:lineRule="auto"/>
              <w:jc w:val="center"/>
              <w:rPr>
                <w:color w:val="000000"/>
                <w:sz w:val="24"/>
                <w:szCs w:val="24"/>
              </w:rPr>
            </w:pPr>
            <w:r>
              <w:rPr>
                <w:rFonts w:hint="eastAsia"/>
                <w:color w:val="000000"/>
                <w:sz w:val="24"/>
                <w:szCs w:val="24"/>
              </w:rPr>
              <w:t>X≥1000</w:t>
            </w:r>
          </w:p>
        </w:tc>
        <w:tc>
          <w:tcPr>
            <w:tcW w:w="1833" w:type="dxa"/>
            <w:noWrap w:val="0"/>
            <w:vAlign w:val="center"/>
          </w:tcPr>
          <w:p w14:paraId="17448411">
            <w:pPr>
              <w:pStyle w:val="81"/>
              <w:autoSpaceDE w:val="0"/>
              <w:autoSpaceDN w:val="0"/>
              <w:spacing w:line="360" w:lineRule="auto"/>
              <w:jc w:val="center"/>
              <w:rPr>
                <w:color w:val="000000"/>
                <w:sz w:val="24"/>
                <w:szCs w:val="24"/>
              </w:rPr>
            </w:pPr>
            <w:r>
              <w:rPr>
                <w:rFonts w:hint="eastAsia"/>
                <w:color w:val="000000"/>
                <w:sz w:val="24"/>
                <w:szCs w:val="24"/>
              </w:rPr>
              <w:t>300≤X＜1000</w:t>
            </w:r>
          </w:p>
        </w:tc>
        <w:tc>
          <w:tcPr>
            <w:tcW w:w="1590" w:type="dxa"/>
            <w:noWrap w:val="0"/>
            <w:vAlign w:val="center"/>
          </w:tcPr>
          <w:p w14:paraId="19A8E255">
            <w:pPr>
              <w:pStyle w:val="81"/>
              <w:autoSpaceDE w:val="0"/>
              <w:autoSpaceDN w:val="0"/>
              <w:spacing w:line="360" w:lineRule="auto"/>
              <w:jc w:val="center"/>
              <w:rPr>
                <w:color w:val="000000"/>
                <w:sz w:val="24"/>
                <w:szCs w:val="24"/>
              </w:rPr>
            </w:pPr>
            <w:r>
              <w:rPr>
                <w:rFonts w:hint="eastAsia"/>
                <w:color w:val="000000"/>
                <w:sz w:val="24"/>
                <w:szCs w:val="24"/>
              </w:rPr>
              <w:t>20≤X＜300</w:t>
            </w:r>
          </w:p>
        </w:tc>
        <w:tc>
          <w:tcPr>
            <w:tcW w:w="862" w:type="dxa"/>
            <w:noWrap w:val="0"/>
            <w:vAlign w:val="center"/>
          </w:tcPr>
          <w:p w14:paraId="14DF759A">
            <w:pPr>
              <w:pStyle w:val="81"/>
              <w:autoSpaceDE w:val="0"/>
              <w:autoSpaceDN w:val="0"/>
              <w:spacing w:line="360" w:lineRule="auto"/>
              <w:jc w:val="center"/>
              <w:rPr>
                <w:color w:val="000000"/>
                <w:sz w:val="24"/>
                <w:szCs w:val="24"/>
              </w:rPr>
            </w:pPr>
            <w:r>
              <w:rPr>
                <w:rFonts w:hint="eastAsia"/>
                <w:color w:val="000000"/>
                <w:sz w:val="24"/>
                <w:szCs w:val="24"/>
              </w:rPr>
              <w:t>X＜20</w:t>
            </w:r>
          </w:p>
        </w:tc>
      </w:tr>
      <w:tr w14:paraId="20D9D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585D1B9F">
            <w:pPr>
              <w:autoSpaceDE w:val="0"/>
              <w:autoSpaceDN w:val="0"/>
              <w:spacing w:line="360" w:lineRule="auto"/>
              <w:jc w:val="center"/>
              <w:rPr>
                <w:rFonts w:ascii="宋体" w:hAnsi="宋体" w:cs="宋体"/>
                <w:color w:val="000000"/>
                <w:sz w:val="24"/>
              </w:rPr>
            </w:pPr>
          </w:p>
        </w:tc>
        <w:tc>
          <w:tcPr>
            <w:tcW w:w="1246" w:type="dxa"/>
            <w:noWrap w:val="0"/>
            <w:vAlign w:val="center"/>
          </w:tcPr>
          <w:p w14:paraId="06693904">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1E182690">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1416B91B">
            <w:pPr>
              <w:pStyle w:val="81"/>
              <w:autoSpaceDE w:val="0"/>
              <w:autoSpaceDN w:val="0"/>
              <w:spacing w:line="360" w:lineRule="auto"/>
              <w:jc w:val="center"/>
              <w:rPr>
                <w:color w:val="000000"/>
                <w:sz w:val="24"/>
                <w:szCs w:val="24"/>
              </w:rPr>
            </w:pPr>
            <w:r>
              <w:rPr>
                <w:rFonts w:hint="eastAsia"/>
                <w:color w:val="000000"/>
                <w:sz w:val="24"/>
                <w:szCs w:val="24"/>
              </w:rPr>
              <w:t>Y≥30000</w:t>
            </w:r>
          </w:p>
        </w:tc>
        <w:tc>
          <w:tcPr>
            <w:tcW w:w="1833" w:type="dxa"/>
            <w:noWrap w:val="0"/>
            <w:vAlign w:val="center"/>
          </w:tcPr>
          <w:p w14:paraId="5206F2A8">
            <w:pPr>
              <w:pStyle w:val="81"/>
              <w:autoSpaceDE w:val="0"/>
              <w:autoSpaceDN w:val="0"/>
              <w:spacing w:line="360" w:lineRule="auto"/>
              <w:jc w:val="center"/>
              <w:rPr>
                <w:color w:val="000000"/>
                <w:sz w:val="24"/>
                <w:szCs w:val="24"/>
              </w:rPr>
            </w:pPr>
            <w:r>
              <w:rPr>
                <w:rFonts w:hint="eastAsia"/>
                <w:color w:val="000000"/>
                <w:sz w:val="24"/>
                <w:szCs w:val="24"/>
              </w:rPr>
              <w:t>3000≤Y＜30000</w:t>
            </w:r>
          </w:p>
        </w:tc>
        <w:tc>
          <w:tcPr>
            <w:tcW w:w="1590" w:type="dxa"/>
            <w:noWrap w:val="0"/>
            <w:vAlign w:val="center"/>
          </w:tcPr>
          <w:p w14:paraId="2B9F7C62">
            <w:pPr>
              <w:pStyle w:val="81"/>
              <w:autoSpaceDE w:val="0"/>
              <w:autoSpaceDN w:val="0"/>
              <w:spacing w:line="360" w:lineRule="auto"/>
              <w:jc w:val="center"/>
              <w:rPr>
                <w:color w:val="000000"/>
                <w:sz w:val="24"/>
                <w:szCs w:val="24"/>
              </w:rPr>
            </w:pPr>
            <w:r>
              <w:rPr>
                <w:rFonts w:hint="eastAsia"/>
                <w:color w:val="000000"/>
                <w:sz w:val="24"/>
                <w:szCs w:val="24"/>
              </w:rPr>
              <w:t>200≤Y＜3000</w:t>
            </w:r>
          </w:p>
        </w:tc>
        <w:tc>
          <w:tcPr>
            <w:tcW w:w="862" w:type="dxa"/>
            <w:noWrap w:val="0"/>
            <w:vAlign w:val="center"/>
          </w:tcPr>
          <w:p w14:paraId="508472CF">
            <w:pPr>
              <w:pStyle w:val="81"/>
              <w:autoSpaceDE w:val="0"/>
              <w:autoSpaceDN w:val="0"/>
              <w:spacing w:line="360" w:lineRule="auto"/>
              <w:jc w:val="center"/>
              <w:rPr>
                <w:color w:val="000000"/>
                <w:sz w:val="24"/>
                <w:szCs w:val="24"/>
              </w:rPr>
            </w:pPr>
            <w:r>
              <w:rPr>
                <w:rFonts w:hint="eastAsia"/>
                <w:color w:val="000000"/>
                <w:sz w:val="24"/>
                <w:szCs w:val="24"/>
              </w:rPr>
              <w:t>Y＜200</w:t>
            </w:r>
          </w:p>
        </w:tc>
      </w:tr>
      <w:tr w14:paraId="236C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47AF4074">
            <w:pPr>
              <w:pStyle w:val="81"/>
              <w:autoSpaceDE w:val="0"/>
              <w:autoSpaceDN w:val="0"/>
              <w:spacing w:line="360" w:lineRule="auto"/>
              <w:jc w:val="center"/>
              <w:rPr>
                <w:color w:val="000000"/>
                <w:sz w:val="24"/>
                <w:szCs w:val="24"/>
              </w:rPr>
            </w:pPr>
            <w:r>
              <w:rPr>
                <w:rFonts w:hint="eastAsia"/>
                <w:color w:val="000000"/>
                <w:sz w:val="24"/>
                <w:szCs w:val="24"/>
              </w:rPr>
              <w:t>仓储业*</w:t>
            </w:r>
          </w:p>
        </w:tc>
        <w:tc>
          <w:tcPr>
            <w:tcW w:w="1246" w:type="dxa"/>
            <w:noWrap w:val="0"/>
            <w:vAlign w:val="center"/>
          </w:tcPr>
          <w:p w14:paraId="4D8D189E">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0B4469A6">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7BF7364F">
            <w:pPr>
              <w:pStyle w:val="81"/>
              <w:autoSpaceDE w:val="0"/>
              <w:autoSpaceDN w:val="0"/>
              <w:spacing w:line="360" w:lineRule="auto"/>
              <w:jc w:val="center"/>
              <w:rPr>
                <w:color w:val="000000"/>
                <w:sz w:val="24"/>
                <w:szCs w:val="24"/>
              </w:rPr>
            </w:pPr>
            <w:r>
              <w:rPr>
                <w:rFonts w:hint="eastAsia"/>
                <w:color w:val="000000"/>
                <w:sz w:val="24"/>
                <w:szCs w:val="24"/>
              </w:rPr>
              <w:t>X≥200</w:t>
            </w:r>
          </w:p>
        </w:tc>
        <w:tc>
          <w:tcPr>
            <w:tcW w:w="1833" w:type="dxa"/>
            <w:noWrap w:val="0"/>
            <w:vAlign w:val="center"/>
          </w:tcPr>
          <w:p w14:paraId="66DA5B7B">
            <w:pPr>
              <w:pStyle w:val="81"/>
              <w:autoSpaceDE w:val="0"/>
              <w:autoSpaceDN w:val="0"/>
              <w:spacing w:line="360" w:lineRule="auto"/>
              <w:jc w:val="center"/>
              <w:rPr>
                <w:color w:val="000000"/>
                <w:sz w:val="24"/>
                <w:szCs w:val="24"/>
              </w:rPr>
            </w:pPr>
            <w:r>
              <w:rPr>
                <w:rFonts w:hint="eastAsia"/>
                <w:color w:val="000000"/>
                <w:sz w:val="24"/>
                <w:szCs w:val="24"/>
              </w:rPr>
              <w:t>100≤X＜200</w:t>
            </w:r>
          </w:p>
        </w:tc>
        <w:tc>
          <w:tcPr>
            <w:tcW w:w="1590" w:type="dxa"/>
            <w:noWrap w:val="0"/>
            <w:vAlign w:val="center"/>
          </w:tcPr>
          <w:p w14:paraId="1D13B7CB">
            <w:pPr>
              <w:pStyle w:val="81"/>
              <w:autoSpaceDE w:val="0"/>
              <w:autoSpaceDN w:val="0"/>
              <w:spacing w:line="360" w:lineRule="auto"/>
              <w:jc w:val="center"/>
              <w:rPr>
                <w:color w:val="000000"/>
                <w:sz w:val="24"/>
                <w:szCs w:val="24"/>
              </w:rPr>
            </w:pPr>
            <w:r>
              <w:rPr>
                <w:rFonts w:hint="eastAsia"/>
                <w:color w:val="000000"/>
                <w:sz w:val="24"/>
                <w:szCs w:val="24"/>
              </w:rPr>
              <w:t>20≤X＜100</w:t>
            </w:r>
          </w:p>
        </w:tc>
        <w:tc>
          <w:tcPr>
            <w:tcW w:w="862" w:type="dxa"/>
            <w:noWrap w:val="0"/>
            <w:vAlign w:val="center"/>
          </w:tcPr>
          <w:p w14:paraId="604DFAF0">
            <w:pPr>
              <w:pStyle w:val="81"/>
              <w:autoSpaceDE w:val="0"/>
              <w:autoSpaceDN w:val="0"/>
              <w:spacing w:line="360" w:lineRule="auto"/>
              <w:jc w:val="center"/>
              <w:rPr>
                <w:color w:val="000000"/>
                <w:sz w:val="24"/>
                <w:szCs w:val="24"/>
              </w:rPr>
            </w:pPr>
            <w:r>
              <w:rPr>
                <w:rFonts w:hint="eastAsia"/>
                <w:color w:val="000000"/>
                <w:sz w:val="24"/>
                <w:szCs w:val="24"/>
              </w:rPr>
              <w:t>X＜20</w:t>
            </w:r>
          </w:p>
        </w:tc>
      </w:tr>
      <w:tr w14:paraId="21A83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4D608269">
            <w:pPr>
              <w:autoSpaceDE w:val="0"/>
              <w:autoSpaceDN w:val="0"/>
              <w:spacing w:line="360" w:lineRule="auto"/>
              <w:jc w:val="center"/>
              <w:rPr>
                <w:rFonts w:ascii="宋体" w:hAnsi="宋体" w:cs="宋体"/>
                <w:color w:val="000000"/>
                <w:sz w:val="24"/>
              </w:rPr>
            </w:pPr>
          </w:p>
        </w:tc>
        <w:tc>
          <w:tcPr>
            <w:tcW w:w="1246" w:type="dxa"/>
            <w:noWrap w:val="0"/>
            <w:vAlign w:val="center"/>
          </w:tcPr>
          <w:p w14:paraId="7E271759">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66388753">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6F0519C0">
            <w:pPr>
              <w:pStyle w:val="81"/>
              <w:autoSpaceDE w:val="0"/>
              <w:autoSpaceDN w:val="0"/>
              <w:spacing w:line="360" w:lineRule="auto"/>
              <w:jc w:val="center"/>
              <w:rPr>
                <w:color w:val="000000"/>
                <w:sz w:val="24"/>
                <w:szCs w:val="24"/>
              </w:rPr>
            </w:pPr>
            <w:r>
              <w:rPr>
                <w:rFonts w:hint="eastAsia"/>
                <w:color w:val="000000"/>
                <w:sz w:val="24"/>
                <w:szCs w:val="24"/>
              </w:rPr>
              <w:t>Y≥30000</w:t>
            </w:r>
          </w:p>
        </w:tc>
        <w:tc>
          <w:tcPr>
            <w:tcW w:w="1833" w:type="dxa"/>
            <w:noWrap w:val="0"/>
            <w:vAlign w:val="center"/>
          </w:tcPr>
          <w:p w14:paraId="351EBC47">
            <w:pPr>
              <w:pStyle w:val="81"/>
              <w:autoSpaceDE w:val="0"/>
              <w:autoSpaceDN w:val="0"/>
              <w:spacing w:line="360" w:lineRule="auto"/>
              <w:jc w:val="center"/>
              <w:rPr>
                <w:color w:val="000000"/>
                <w:sz w:val="24"/>
                <w:szCs w:val="24"/>
              </w:rPr>
            </w:pPr>
            <w:r>
              <w:rPr>
                <w:rFonts w:hint="eastAsia"/>
                <w:color w:val="000000"/>
                <w:sz w:val="24"/>
                <w:szCs w:val="24"/>
              </w:rPr>
              <w:t>1000≤Y＜30000</w:t>
            </w:r>
          </w:p>
        </w:tc>
        <w:tc>
          <w:tcPr>
            <w:tcW w:w="1590" w:type="dxa"/>
            <w:noWrap w:val="0"/>
            <w:vAlign w:val="center"/>
          </w:tcPr>
          <w:p w14:paraId="5CDB7344">
            <w:pPr>
              <w:pStyle w:val="81"/>
              <w:autoSpaceDE w:val="0"/>
              <w:autoSpaceDN w:val="0"/>
              <w:spacing w:line="360" w:lineRule="auto"/>
              <w:jc w:val="center"/>
              <w:rPr>
                <w:color w:val="000000"/>
                <w:sz w:val="24"/>
                <w:szCs w:val="24"/>
              </w:rPr>
            </w:pPr>
            <w:r>
              <w:rPr>
                <w:rFonts w:hint="eastAsia"/>
                <w:color w:val="000000"/>
                <w:sz w:val="24"/>
                <w:szCs w:val="24"/>
              </w:rPr>
              <w:t>100≤Y＜1000</w:t>
            </w:r>
          </w:p>
        </w:tc>
        <w:tc>
          <w:tcPr>
            <w:tcW w:w="862" w:type="dxa"/>
            <w:noWrap w:val="0"/>
            <w:vAlign w:val="center"/>
          </w:tcPr>
          <w:p w14:paraId="4E9D2FCE">
            <w:pPr>
              <w:pStyle w:val="81"/>
              <w:autoSpaceDE w:val="0"/>
              <w:autoSpaceDN w:val="0"/>
              <w:spacing w:line="360" w:lineRule="auto"/>
              <w:jc w:val="center"/>
              <w:rPr>
                <w:color w:val="000000"/>
                <w:sz w:val="24"/>
                <w:szCs w:val="24"/>
              </w:rPr>
            </w:pPr>
            <w:r>
              <w:rPr>
                <w:rFonts w:hint="eastAsia"/>
                <w:color w:val="000000"/>
                <w:sz w:val="24"/>
                <w:szCs w:val="24"/>
              </w:rPr>
              <w:t>Y＜100</w:t>
            </w:r>
          </w:p>
        </w:tc>
      </w:tr>
      <w:tr w14:paraId="4EC29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6B2182FC">
            <w:pPr>
              <w:pStyle w:val="81"/>
              <w:autoSpaceDE w:val="0"/>
              <w:autoSpaceDN w:val="0"/>
              <w:spacing w:line="360" w:lineRule="auto"/>
              <w:jc w:val="center"/>
              <w:rPr>
                <w:color w:val="000000"/>
                <w:sz w:val="24"/>
                <w:szCs w:val="24"/>
              </w:rPr>
            </w:pPr>
            <w:r>
              <w:rPr>
                <w:rFonts w:hint="eastAsia"/>
                <w:color w:val="000000"/>
                <w:sz w:val="24"/>
                <w:szCs w:val="24"/>
              </w:rPr>
              <w:t>邮政业</w:t>
            </w:r>
          </w:p>
        </w:tc>
        <w:tc>
          <w:tcPr>
            <w:tcW w:w="1246" w:type="dxa"/>
            <w:noWrap w:val="0"/>
            <w:vAlign w:val="center"/>
          </w:tcPr>
          <w:p w14:paraId="41D966DC">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11E5307F">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7B3F6662">
            <w:pPr>
              <w:pStyle w:val="81"/>
              <w:autoSpaceDE w:val="0"/>
              <w:autoSpaceDN w:val="0"/>
              <w:spacing w:line="360" w:lineRule="auto"/>
              <w:jc w:val="center"/>
              <w:rPr>
                <w:color w:val="000000"/>
                <w:sz w:val="24"/>
                <w:szCs w:val="24"/>
              </w:rPr>
            </w:pPr>
            <w:r>
              <w:rPr>
                <w:rFonts w:hint="eastAsia"/>
                <w:color w:val="000000"/>
                <w:sz w:val="24"/>
                <w:szCs w:val="24"/>
              </w:rPr>
              <w:t>X≥1000</w:t>
            </w:r>
          </w:p>
        </w:tc>
        <w:tc>
          <w:tcPr>
            <w:tcW w:w="1833" w:type="dxa"/>
            <w:noWrap w:val="0"/>
            <w:vAlign w:val="center"/>
          </w:tcPr>
          <w:p w14:paraId="1AFBB85A">
            <w:pPr>
              <w:pStyle w:val="81"/>
              <w:autoSpaceDE w:val="0"/>
              <w:autoSpaceDN w:val="0"/>
              <w:spacing w:line="360" w:lineRule="auto"/>
              <w:jc w:val="center"/>
              <w:rPr>
                <w:color w:val="000000"/>
                <w:sz w:val="24"/>
                <w:szCs w:val="24"/>
              </w:rPr>
            </w:pPr>
            <w:r>
              <w:rPr>
                <w:rFonts w:hint="eastAsia"/>
                <w:color w:val="000000"/>
                <w:sz w:val="24"/>
                <w:szCs w:val="24"/>
              </w:rPr>
              <w:t>300≤X＜1000</w:t>
            </w:r>
          </w:p>
        </w:tc>
        <w:tc>
          <w:tcPr>
            <w:tcW w:w="1590" w:type="dxa"/>
            <w:noWrap w:val="0"/>
            <w:vAlign w:val="center"/>
          </w:tcPr>
          <w:p w14:paraId="0C7A6137">
            <w:pPr>
              <w:pStyle w:val="81"/>
              <w:autoSpaceDE w:val="0"/>
              <w:autoSpaceDN w:val="0"/>
              <w:spacing w:line="360" w:lineRule="auto"/>
              <w:jc w:val="center"/>
              <w:rPr>
                <w:color w:val="000000"/>
                <w:sz w:val="24"/>
                <w:szCs w:val="24"/>
              </w:rPr>
            </w:pPr>
            <w:r>
              <w:rPr>
                <w:rFonts w:hint="eastAsia"/>
                <w:color w:val="000000"/>
                <w:sz w:val="24"/>
                <w:szCs w:val="24"/>
              </w:rPr>
              <w:t>20≤X＜300</w:t>
            </w:r>
          </w:p>
        </w:tc>
        <w:tc>
          <w:tcPr>
            <w:tcW w:w="862" w:type="dxa"/>
            <w:noWrap w:val="0"/>
            <w:vAlign w:val="center"/>
          </w:tcPr>
          <w:p w14:paraId="667BCF98">
            <w:pPr>
              <w:pStyle w:val="81"/>
              <w:autoSpaceDE w:val="0"/>
              <w:autoSpaceDN w:val="0"/>
              <w:spacing w:line="360" w:lineRule="auto"/>
              <w:jc w:val="center"/>
              <w:rPr>
                <w:color w:val="000000"/>
                <w:sz w:val="24"/>
                <w:szCs w:val="24"/>
              </w:rPr>
            </w:pPr>
            <w:r>
              <w:rPr>
                <w:rFonts w:hint="eastAsia"/>
                <w:color w:val="000000"/>
                <w:sz w:val="24"/>
                <w:szCs w:val="24"/>
              </w:rPr>
              <w:t>X＜20</w:t>
            </w:r>
          </w:p>
        </w:tc>
      </w:tr>
      <w:tr w14:paraId="10C34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2C46E5F2">
            <w:pPr>
              <w:autoSpaceDE w:val="0"/>
              <w:autoSpaceDN w:val="0"/>
              <w:spacing w:line="360" w:lineRule="auto"/>
              <w:jc w:val="center"/>
              <w:rPr>
                <w:rFonts w:ascii="宋体" w:hAnsi="宋体" w:cs="宋体"/>
                <w:color w:val="000000"/>
                <w:sz w:val="24"/>
              </w:rPr>
            </w:pPr>
          </w:p>
        </w:tc>
        <w:tc>
          <w:tcPr>
            <w:tcW w:w="1246" w:type="dxa"/>
            <w:noWrap w:val="0"/>
            <w:vAlign w:val="center"/>
          </w:tcPr>
          <w:p w14:paraId="01C87FE0">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41044BF2">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6127343E">
            <w:pPr>
              <w:pStyle w:val="81"/>
              <w:autoSpaceDE w:val="0"/>
              <w:autoSpaceDN w:val="0"/>
              <w:spacing w:line="360" w:lineRule="auto"/>
              <w:jc w:val="center"/>
              <w:rPr>
                <w:color w:val="000000"/>
                <w:sz w:val="24"/>
                <w:szCs w:val="24"/>
              </w:rPr>
            </w:pPr>
            <w:r>
              <w:rPr>
                <w:rFonts w:hint="eastAsia"/>
                <w:color w:val="000000"/>
                <w:sz w:val="24"/>
                <w:szCs w:val="24"/>
              </w:rPr>
              <w:t>Y≥30000</w:t>
            </w:r>
          </w:p>
        </w:tc>
        <w:tc>
          <w:tcPr>
            <w:tcW w:w="1833" w:type="dxa"/>
            <w:noWrap w:val="0"/>
            <w:vAlign w:val="center"/>
          </w:tcPr>
          <w:p w14:paraId="1F2B4408">
            <w:pPr>
              <w:pStyle w:val="81"/>
              <w:autoSpaceDE w:val="0"/>
              <w:autoSpaceDN w:val="0"/>
              <w:spacing w:line="360" w:lineRule="auto"/>
              <w:jc w:val="center"/>
              <w:rPr>
                <w:color w:val="000000"/>
                <w:sz w:val="24"/>
                <w:szCs w:val="24"/>
              </w:rPr>
            </w:pPr>
            <w:r>
              <w:rPr>
                <w:rFonts w:hint="eastAsia"/>
                <w:color w:val="000000"/>
                <w:sz w:val="24"/>
                <w:szCs w:val="24"/>
              </w:rPr>
              <w:t>2000≤Y＜30000</w:t>
            </w:r>
          </w:p>
        </w:tc>
        <w:tc>
          <w:tcPr>
            <w:tcW w:w="1590" w:type="dxa"/>
            <w:noWrap w:val="0"/>
            <w:vAlign w:val="center"/>
          </w:tcPr>
          <w:p w14:paraId="6350D5AA">
            <w:pPr>
              <w:pStyle w:val="81"/>
              <w:autoSpaceDE w:val="0"/>
              <w:autoSpaceDN w:val="0"/>
              <w:spacing w:line="360" w:lineRule="auto"/>
              <w:jc w:val="center"/>
              <w:rPr>
                <w:color w:val="000000"/>
                <w:sz w:val="24"/>
                <w:szCs w:val="24"/>
              </w:rPr>
            </w:pPr>
            <w:r>
              <w:rPr>
                <w:rFonts w:hint="eastAsia"/>
                <w:color w:val="000000"/>
                <w:sz w:val="24"/>
                <w:szCs w:val="24"/>
              </w:rPr>
              <w:t>100≤Y＜2000</w:t>
            </w:r>
          </w:p>
        </w:tc>
        <w:tc>
          <w:tcPr>
            <w:tcW w:w="862" w:type="dxa"/>
            <w:noWrap w:val="0"/>
            <w:vAlign w:val="center"/>
          </w:tcPr>
          <w:p w14:paraId="515F9035">
            <w:pPr>
              <w:pStyle w:val="81"/>
              <w:autoSpaceDE w:val="0"/>
              <w:autoSpaceDN w:val="0"/>
              <w:spacing w:line="360" w:lineRule="auto"/>
              <w:jc w:val="center"/>
              <w:rPr>
                <w:color w:val="000000"/>
                <w:sz w:val="24"/>
                <w:szCs w:val="24"/>
              </w:rPr>
            </w:pPr>
            <w:r>
              <w:rPr>
                <w:rFonts w:hint="eastAsia"/>
                <w:color w:val="000000"/>
                <w:sz w:val="24"/>
                <w:szCs w:val="24"/>
              </w:rPr>
              <w:t>Y＜100</w:t>
            </w:r>
          </w:p>
        </w:tc>
      </w:tr>
      <w:tr w14:paraId="0FCE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4A39A072">
            <w:pPr>
              <w:pStyle w:val="81"/>
              <w:autoSpaceDE w:val="0"/>
              <w:autoSpaceDN w:val="0"/>
              <w:spacing w:line="360" w:lineRule="auto"/>
              <w:jc w:val="center"/>
              <w:rPr>
                <w:color w:val="000000"/>
                <w:sz w:val="24"/>
                <w:szCs w:val="24"/>
              </w:rPr>
            </w:pPr>
            <w:r>
              <w:rPr>
                <w:rFonts w:hint="eastAsia"/>
                <w:color w:val="000000"/>
                <w:sz w:val="24"/>
                <w:szCs w:val="24"/>
              </w:rPr>
              <w:t>住宿业</w:t>
            </w:r>
          </w:p>
        </w:tc>
        <w:tc>
          <w:tcPr>
            <w:tcW w:w="1246" w:type="dxa"/>
            <w:noWrap w:val="0"/>
            <w:vAlign w:val="center"/>
          </w:tcPr>
          <w:p w14:paraId="1545517A">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5699A0AA">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147414CE">
            <w:pPr>
              <w:pStyle w:val="81"/>
              <w:autoSpaceDE w:val="0"/>
              <w:autoSpaceDN w:val="0"/>
              <w:spacing w:line="360" w:lineRule="auto"/>
              <w:jc w:val="center"/>
              <w:rPr>
                <w:color w:val="000000"/>
                <w:sz w:val="24"/>
                <w:szCs w:val="24"/>
              </w:rPr>
            </w:pPr>
            <w:r>
              <w:rPr>
                <w:rFonts w:hint="eastAsia"/>
                <w:color w:val="000000"/>
                <w:sz w:val="24"/>
                <w:szCs w:val="24"/>
              </w:rPr>
              <w:t>X≥300</w:t>
            </w:r>
          </w:p>
        </w:tc>
        <w:tc>
          <w:tcPr>
            <w:tcW w:w="1833" w:type="dxa"/>
            <w:noWrap w:val="0"/>
            <w:vAlign w:val="center"/>
          </w:tcPr>
          <w:p w14:paraId="6CACB5BB">
            <w:pPr>
              <w:pStyle w:val="81"/>
              <w:autoSpaceDE w:val="0"/>
              <w:autoSpaceDN w:val="0"/>
              <w:spacing w:line="360" w:lineRule="auto"/>
              <w:jc w:val="center"/>
              <w:rPr>
                <w:color w:val="000000"/>
                <w:sz w:val="24"/>
                <w:szCs w:val="24"/>
              </w:rPr>
            </w:pPr>
            <w:r>
              <w:rPr>
                <w:rFonts w:hint="eastAsia"/>
                <w:color w:val="000000"/>
                <w:sz w:val="24"/>
                <w:szCs w:val="24"/>
              </w:rPr>
              <w:t>100≤X＜300</w:t>
            </w:r>
          </w:p>
        </w:tc>
        <w:tc>
          <w:tcPr>
            <w:tcW w:w="1590" w:type="dxa"/>
            <w:noWrap w:val="0"/>
            <w:vAlign w:val="center"/>
          </w:tcPr>
          <w:p w14:paraId="4BB444E6">
            <w:pPr>
              <w:pStyle w:val="81"/>
              <w:autoSpaceDE w:val="0"/>
              <w:autoSpaceDN w:val="0"/>
              <w:spacing w:line="360" w:lineRule="auto"/>
              <w:jc w:val="center"/>
              <w:rPr>
                <w:color w:val="000000"/>
                <w:sz w:val="24"/>
                <w:szCs w:val="24"/>
              </w:rPr>
            </w:pPr>
            <w:r>
              <w:rPr>
                <w:rFonts w:hint="eastAsia"/>
                <w:color w:val="000000"/>
                <w:sz w:val="24"/>
                <w:szCs w:val="24"/>
              </w:rPr>
              <w:t>10≤X＜100</w:t>
            </w:r>
          </w:p>
        </w:tc>
        <w:tc>
          <w:tcPr>
            <w:tcW w:w="862" w:type="dxa"/>
            <w:noWrap w:val="0"/>
            <w:vAlign w:val="center"/>
          </w:tcPr>
          <w:p w14:paraId="29C5B5F7">
            <w:pPr>
              <w:pStyle w:val="81"/>
              <w:autoSpaceDE w:val="0"/>
              <w:autoSpaceDN w:val="0"/>
              <w:spacing w:line="360" w:lineRule="auto"/>
              <w:jc w:val="center"/>
              <w:rPr>
                <w:color w:val="000000"/>
                <w:sz w:val="24"/>
                <w:szCs w:val="24"/>
              </w:rPr>
            </w:pPr>
            <w:r>
              <w:rPr>
                <w:rFonts w:hint="eastAsia"/>
                <w:color w:val="000000"/>
                <w:sz w:val="24"/>
                <w:szCs w:val="24"/>
              </w:rPr>
              <w:t>X＜10</w:t>
            </w:r>
          </w:p>
        </w:tc>
      </w:tr>
      <w:tr w14:paraId="56CFB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354D3892">
            <w:pPr>
              <w:autoSpaceDE w:val="0"/>
              <w:autoSpaceDN w:val="0"/>
              <w:spacing w:line="360" w:lineRule="auto"/>
              <w:jc w:val="center"/>
              <w:rPr>
                <w:rFonts w:ascii="宋体" w:hAnsi="宋体" w:cs="宋体"/>
                <w:color w:val="000000"/>
                <w:sz w:val="24"/>
              </w:rPr>
            </w:pPr>
          </w:p>
        </w:tc>
        <w:tc>
          <w:tcPr>
            <w:tcW w:w="1246" w:type="dxa"/>
            <w:noWrap w:val="0"/>
            <w:vAlign w:val="center"/>
          </w:tcPr>
          <w:p w14:paraId="421EE81C">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1CF40059">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717F85F8">
            <w:pPr>
              <w:pStyle w:val="81"/>
              <w:autoSpaceDE w:val="0"/>
              <w:autoSpaceDN w:val="0"/>
              <w:spacing w:line="360" w:lineRule="auto"/>
              <w:jc w:val="center"/>
              <w:rPr>
                <w:color w:val="000000"/>
                <w:sz w:val="24"/>
                <w:szCs w:val="24"/>
              </w:rPr>
            </w:pPr>
            <w:r>
              <w:rPr>
                <w:rFonts w:hint="eastAsia"/>
                <w:color w:val="000000"/>
                <w:sz w:val="24"/>
                <w:szCs w:val="24"/>
              </w:rPr>
              <w:t>Y≥10000</w:t>
            </w:r>
          </w:p>
        </w:tc>
        <w:tc>
          <w:tcPr>
            <w:tcW w:w="1833" w:type="dxa"/>
            <w:noWrap w:val="0"/>
            <w:vAlign w:val="center"/>
          </w:tcPr>
          <w:p w14:paraId="4931957C">
            <w:pPr>
              <w:pStyle w:val="81"/>
              <w:autoSpaceDE w:val="0"/>
              <w:autoSpaceDN w:val="0"/>
              <w:spacing w:line="360" w:lineRule="auto"/>
              <w:jc w:val="center"/>
              <w:rPr>
                <w:color w:val="000000"/>
                <w:sz w:val="24"/>
                <w:szCs w:val="24"/>
              </w:rPr>
            </w:pPr>
            <w:r>
              <w:rPr>
                <w:rFonts w:hint="eastAsia"/>
                <w:color w:val="000000"/>
                <w:sz w:val="24"/>
                <w:szCs w:val="24"/>
              </w:rPr>
              <w:t>2000≤Y＜10000</w:t>
            </w:r>
          </w:p>
        </w:tc>
        <w:tc>
          <w:tcPr>
            <w:tcW w:w="1590" w:type="dxa"/>
            <w:noWrap w:val="0"/>
            <w:vAlign w:val="center"/>
          </w:tcPr>
          <w:p w14:paraId="455003F8">
            <w:pPr>
              <w:pStyle w:val="81"/>
              <w:autoSpaceDE w:val="0"/>
              <w:autoSpaceDN w:val="0"/>
              <w:spacing w:line="360" w:lineRule="auto"/>
              <w:jc w:val="center"/>
              <w:rPr>
                <w:color w:val="000000"/>
                <w:sz w:val="24"/>
                <w:szCs w:val="24"/>
              </w:rPr>
            </w:pPr>
            <w:r>
              <w:rPr>
                <w:rFonts w:hint="eastAsia"/>
                <w:color w:val="000000"/>
                <w:sz w:val="24"/>
                <w:szCs w:val="24"/>
              </w:rPr>
              <w:t>100≤Y＜2000</w:t>
            </w:r>
          </w:p>
        </w:tc>
        <w:tc>
          <w:tcPr>
            <w:tcW w:w="862" w:type="dxa"/>
            <w:noWrap w:val="0"/>
            <w:vAlign w:val="center"/>
          </w:tcPr>
          <w:p w14:paraId="3E286BC5">
            <w:pPr>
              <w:pStyle w:val="81"/>
              <w:autoSpaceDE w:val="0"/>
              <w:autoSpaceDN w:val="0"/>
              <w:spacing w:line="360" w:lineRule="auto"/>
              <w:jc w:val="center"/>
              <w:rPr>
                <w:color w:val="000000"/>
                <w:sz w:val="24"/>
                <w:szCs w:val="24"/>
              </w:rPr>
            </w:pPr>
            <w:r>
              <w:rPr>
                <w:rFonts w:hint="eastAsia"/>
                <w:color w:val="000000"/>
                <w:sz w:val="24"/>
                <w:szCs w:val="24"/>
              </w:rPr>
              <w:t>Y＜100</w:t>
            </w:r>
          </w:p>
        </w:tc>
      </w:tr>
      <w:tr w14:paraId="00210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2F13C202">
            <w:pPr>
              <w:pStyle w:val="81"/>
              <w:autoSpaceDE w:val="0"/>
              <w:autoSpaceDN w:val="0"/>
              <w:spacing w:line="360" w:lineRule="auto"/>
              <w:jc w:val="center"/>
              <w:rPr>
                <w:color w:val="000000"/>
                <w:sz w:val="24"/>
                <w:szCs w:val="24"/>
              </w:rPr>
            </w:pPr>
            <w:r>
              <w:rPr>
                <w:rFonts w:hint="eastAsia"/>
                <w:color w:val="000000"/>
                <w:sz w:val="24"/>
                <w:szCs w:val="24"/>
              </w:rPr>
              <w:t>餐饮业</w:t>
            </w:r>
          </w:p>
        </w:tc>
        <w:tc>
          <w:tcPr>
            <w:tcW w:w="1246" w:type="dxa"/>
            <w:noWrap w:val="0"/>
            <w:vAlign w:val="center"/>
          </w:tcPr>
          <w:p w14:paraId="24E72538">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27ECB8C2">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31080A49">
            <w:pPr>
              <w:pStyle w:val="81"/>
              <w:autoSpaceDE w:val="0"/>
              <w:autoSpaceDN w:val="0"/>
              <w:spacing w:line="360" w:lineRule="auto"/>
              <w:jc w:val="center"/>
              <w:rPr>
                <w:color w:val="000000"/>
                <w:sz w:val="24"/>
                <w:szCs w:val="24"/>
              </w:rPr>
            </w:pPr>
            <w:r>
              <w:rPr>
                <w:rFonts w:hint="eastAsia"/>
                <w:color w:val="000000"/>
                <w:sz w:val="24"/>
                <w:szCs w:val="24"/>
              </w:rPr>
              <w:t>X≥300</w:t>
            </w:r>
          </w:p>
        </w:tc>
        <w:tc>
          <w:tcPr>
            <w:tcW w:w="1833" w:type="dxa"/>
            <w:noWrap w:val="0"/>
            <w:vAlign w:val="center"/>
          </w:tcPr>
          <w:p w14:paraId="443B5ED4">
            <w:pPr>
              <w:pStyle w:val="81"/>
              <w:autoSpaceDE w:val="0"/>
              <w:autoSpaceDN w:val="0"/>
              <w:spacing w:line="360" w:lineRule="auto"/>
              <w:jc w:val="center"/>
              <w:rPr>
                <w:color w:val="000000"/>
                <w:sz w:val="24"/>
                <w:szCs w:val="24"/>
              </w:rPr>
            </w:pPr>
            <w:r>
              <w:rPr>
                <w:rFonts w:hint="eastAsia"/>
                <w:color w:val="000000"/>
                <w:sz w:val="24"/>
                <w:szCs w:val="24"/>
              </w:rPr>
              <w:t>100≤X＜300</w:t>
            </w:r>
          </w:p>
        </w:tc>
        <w:tc>
          <w:tcPr>
            <w:tcW w:w="1590" w:type="dxa"/>
            <w:noWrap w:val="0"/>
            <w:vAlign w:val="center"/>
          </w:tcPr>
          <w:p w14:paraId="7BBA379D">
            <w:pPr>
              <w:pStyle w:val="81"/>
              <w:autoSpaceDE w:val="0"/>
              <w:autoSpaceDN w:val="0"/>
              <w:spacing w:line="360" w:lineRule="auto"/>
              <w:jc w:val="center"/>
              <w:rPr>
                <w:color w:val="000000"/>
                <w:sz w:val="24"/>
                <w:szCs w:val="24"/>
              </w:rPr>
            </w:pPr>
            <w:r>
              <w:rPr>
                <w:rFonts w:hint="eastAsia"/>
                <w:color w:val="000000"/>
                <w:sz w:val="24"/>
                <w:szCs w:val="24"/>
              </w:rPr>
              <w:t>10≤X＜100</w:t>
            </w:r>
          </w:p>
        </w:tc>
        <w:tc>
          <w:tcPr>
            <w:tcW w:w="862" w:type="dxa"/>
            <w:noWrap w:val="0"/>
            <w:vAlign w:val="center"/>
          </w:tcPr>
          <w:p w14:paraId="0C89BA9E">
            <w:pPr>
              <w:pStyle w:val="81"/>
              <w:autoSpaceDE w:val="0"/>
              <w:autoSpaceDN w:val="0"/>
              <w:spacing w:line="360" w:lineRule="auto"/>
              <w:jc w:val="center"/>
              <w:rPr>
                <w:color w:val="000000"/>
                <w:sz w:val="24"/>
                <w:szCs w:val="24"/>
              </w:rPr>
            </w:pPr>
            <w:r>
              <w:rPr>
                <w:rFonts w:hint="eastAsia"/>
                <w:color w:val="000000"/>
                <w:sz w:val="24"/>
                <w:szCs w:val="24"/>
              </w:rPr>
              <w:t>X＜10</w:t>
            </w:r>
          </w:p>
        </w:tc>
      </w:tr>
      <w:tr w14:paraId="2696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7AB74C10">
            <w:pPr>
              <w:autoSpaceDE w:val="0"/>
              <w:autoSpaceDN w:val="0"/>
              <w:spacing w:line="360" w:lineRule="auto"/>
              <w:jc w:val="center"/>
              <w:rPr>
                <w:rFonts w:ascii="宋体" w:hAnsi="宋体" w:cs="宋体"/>
                <w:color w:val="000000"/>
                <w:sz w:val="24"/>
              </w:rPr>
            </w:pPr>
          </w:p>
        </w:tc>
        <w:tc>
          <w:tcPr>
            <w:tcW w:w="1246" w:type="dxa"/>
            <w:noWrap w:val="0"/>
            <w:vAlign w:val="center"/>
          </w:tcPr>
          <w:p w14:paraId="58130E25">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539B7474">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4D01A46A">
            <w:pPr>
              <w:pStyle w:val="81"/>
              <w:autoSpaceDE w:val="0"/>
              <w:autoSpaceDN w:val="0"/>
              <w:spacing w:line="360" w:lineRule="auto"/>
              <w:jc w:val="center"/>
              <w:rPr>
                <w:color w:val="000000"/>
                <w:sz w:val="24"/>
                <w:szCs w:val="24"/>
              </w:rPr>
            </w:pPr>
            <w:r>
              <w:rPr>
                <w:rFonts w:hint="eastAsia"/>
                <w:color w:val="000000"/>
                <w:sz w:val="24"/>
                <w:szCs w:val="24"/>
              </w:rPr>
              <w:t>Y≥10000</w:t>
            </w:r>
          </w:p>
        </w:tc>
        <w:tc>
          <w:tcPr>
            <w:tcW w:w="1833" w:type="dxa"/>
            <w:noWrap w:val="0"/>
            <w:vAlign w:val="center"/>
          </w:tcPr>
          <w:p w14:paraId="0890B8F8">
            <w:pPr>
              <w:pStyle w:val="81"/>
              <w:autoSpaceDE w:val="0"/>
              <w:autoSpaceDN w:val="0"/>
              <w:spacing w:line="360" w:lineRule="auto"/>
              <w:jc w:val="center"/>
              <w:rPr>
                <w:color w:val="000000"/>
                <w:sz w:val="24"/>
                <w:szCs w:val="24"/>
              </w:rPr>
            </w:pPr>
            <w:r>
              <w:rPr>
                <w:rFonts w:hint="eastAsia"/>
                <w:color w:val="000000"/>
                <w:sz w:val="24"/>
                <w:szCs w:val="24"/>
              </w:rPr>
              <w:t>2000≤Y＜10000</w:t>
            </w:r>
          </w:p>
        </w:tc>
        <w:tc>
          <w:tcPr>
            <w:tcW w:w="1590" w:type="dxa"/>
            <w:noWrap w:val="0"/>
            <w:vAlign w:val="center"/>
          </w:tcPr>
          <w:p w14:paraId="5DB385FA">
            <w:pPr>
              <w:pStyle w:val="81"/>
              <w:autoSpaceDE w:val="0"/>
              <w:autoSpaceDN w:val="0"/>
              <w:spacing w:line="360" w:lineRule="auto"/>
              <w:jc w:val="center"/>
              <w:rPr>
                <w:color w:val="000000"/>
                <w:sz w:val="24"/>
                <w:szCs w:val="24"/>
              </w:rPr>
            </w:pPr>
            <w:r>
              <w:rPr>
                <w:rFonts w:hint="eastAsia"/>
                <w:color w:val="000000"/>
                <w:sz w:val="24"/>
                <w:szCs w:val="24"/>
              </w:rPr>
              <w:t>100≤Y＜2000</w:t>
            </w:r>
          </w:p>
        </w:tc>
        <w:tc>
          <w:tcPr>
            <w:tcW w:w="862" w:type="dxa"/>
            <w:noWrap w:val="0"/>
            <w:vAlign w:val="center"/>
          </w:tcPr>
          <w:p w14:paraId="1309EF3E">
            <w:pPr>
              <w:pStyle w:val="81"/>
              <w:autoSpaceDE w:val="0"/>
              <w:autoSpaceDN w:val="0"/>
              <w:spacing w:line="360" w:lineRule="auto"/>
              <w:jc w:val="center"/>
              <w:rPr>
                <w:color w:val="000000"/>
                <w:sz w:val="24"/>
                <w:szCs w:val="24"/>
              </w:rPr>
            </w:pPr>
            <w:r>
              <w:rPr>
                <w:rFonts w:hint="eastAsia"/>
                <w:color w:val="000000"/>
                <w:sz w:val="24"/>
                <w:szCs w:val="24"/>
              </w:rPr>
              <w:t>Y＜100</w:t>
            </w:r>
          </w:p>
        </w:tc>
      </w:tr>
      <w:tr w14:paraId="3F82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201564EF">
            <w:pPr>
              <w:pStyle w:val="81"/>
              <w:autoSpaceDE w:val="0"/>
              <w:autoSpaceDN w:val="0"/>
              <w:spacing w:line="360" w:lineRule="auto"/>
              <w:jc w:val="center"/>
              <w:rPr>
                <w:color w:val="000000"/>
                <w:sz w:val="24"/>
                <w:szCs w:val="24"/>
              </w:rPr>
            </w:pPr>
            <w:r>
              <w:rPr>
                <w:rFonts w:hint="eastAsia"/>
                <w:color w:val="000000"/>
                <w:spacing w:val="-20"/>
                <w:sz w:val="24"/>
                <w:szCs w:val="24"/>
              </w:rPr>
              <w:t>信息传输</w:t>
            </w:r>
            <w:r>
              <w:rPr>
                <w:rFonts w:hint="eastAsia"/>
                <w:color w:val="000000"/>
                <w:sz w:val="24"/>
                <w:szCs w:val="24"/>
              </w:rPr>
              <w:t>业*</w:t>
            </w:r>
          </w:p>
        </w:tc>
        <w:tc>
          <w:tcPr>
            <w:tcW w:w="1246" w:type="dxa"/>
            <w:noWrap w:val="0"/>
            <w:vAlign w:val="center"/>
          </w:tcPr>
          <w:p w14:paraId="6FDEC7B8">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168B6EAE">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4593496E">
            <w:pPr>
              <w:pStyle w:val="81"/>
              <w:autoSpaceDE w:val="0"/>
              <w:autoSpaceDN w:val="0"/>
              <w:spacing w:line="360" w:lineRule="auto"/>
              <w:jc w:val="center"/>
              <w:rPr>
                <w:color w:val="000000"/>
                <w:sz w:val="24"/>
                <w:szCs w:val="24"/>
              </w:rPr>
            </w:pPr>
            <w:r>
              <w:rPr>
                <w:rFonts w:hint="eastAsia"/>
                <w:color w:val="000000"/>
                <w:sz w:val="24"/>
                <w:szCs w:val="24"/>
              </w:rPr>
              <w:t>X≥2000</w:t>
            </w:r>
          </w:p>
        </w:tc>
        <w:tc>
          <w:tcPr>
            <w:tcW w:w="1833" w:type="dxa"/>
            <w:noWrap w:val="0"/>
            <w:vAlign w:val="center"/>
          </w:tcPr>
          <w:p w14:paraId="01B04485">
            <w:pPr>
              <w:pStyle w:val="81"/>
              <w:autoSpaceDE w:val="0"/>
              <w:autoSpaceDN w:val="0"/>
              <w:spacing w:line="360" w:lineRule="auto"/>
              <w:jc w:val="center"/>
              <w:rPr>
                <w:color w:val="000000"/>
                <w:sz w:val="24"/>
                <w:szCs w:val="24"/>
              </w:rPr>
            </w:pPr>
            <w:r>
              <w:rPr>
                <w:rFonts w:hint="eastAsia"/>
                <w:color w:val="000000"/>
                <w:sz w:val="24"/>
                <w:szCs w:val="24"/>
              </w:rPr>
              <w:t>100≤X＜2000</w:t>
            </w:r>
          </w:p>
        </w:tc>
        <w:tc>
          <w:tcPr>
            <w:tcW w:w="1590" w:type="dxa"/>
            <w:noWrap w:val="0"/>
            <w:vAlign w:val="center"/>
          </w:tcPr>
          <w:p w14:paraId="41FEEB93">
            <w:pPr>
              <w:pStyle w:val="81"/>
              <w:autoSpaceDE w:val="0"/>
              <w:autoSpaceDN w:val="0"/>
              <w:spacing w:line="360" w:lineRule="auto"/>
              <w:jc w:val="center"/>
              <w:rPr>
                <w:color w:val="000000"/>
                <w:sz w:val="24"/>
                <w:szCs w:val="24"/>
              </w:rPr>
            </w:pPr>
            <w:r>
              <w:rPr>
                <w:rFonts w:hint="eastAsia"/>
                <w:color w:val="000000"/>
                <w:sz w:val="24"/>
                <w:szCs w:val="24"/>
              </w:rPr>
              <w:t>10≤X＜100</w:t>
            </w:r>
          </w:p>
        </w:tc>
        <w:tc>
          <w:tcPr>
            <w:tcW w:w="862" w:type="dxa"/>
            <w:noWrap w:val="0"/>
            <w:vAlign w:val="center"/>
          </w:tcPr>
          <w:p w14:paraId="729FB9B5">
            <w:pPr>
              <w:pStyle w:val="81"/>
              <w:autoSpaceDE w:val="0"/>
              <w:autoSpaceDN w:val="0"/>
              <w:spacing w:line="360" w:lineRule="auto"/>
              <w:jc w:val="center"/>
              <w:rPr>
                <w:color w:val="000000"/>
                <w:sz w:val="24"/>
                <w:szCs w:val="24"/>
              </w:rPr>
            </w:pPr>
            <w:r>
              <w:rPr>
                <w:rFonts w:hint="eastAsia"/>
                <w:color w:val="000000"/>
                <w:sz w:val="24"/>
                <w:szCs w:val="24"/>
              </w:rPr>
              <w:t>X＜10</w:t>
            </w:r>
          </w:p>
        </w:tc>
      </w:tr>
      <w:tr w14:paraId="5E42E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0F8E1098">
            <w:pPr>
              <w:autoSpaceDE w:val="0"/>
              <w:autoSpaceDN w:val="0"/>
              <w:spacing w:line="360" w:lineRule="auto"/>
              <w:jc w:val="center"/>
              <w:rPr>
                <w:rFonts w:ascii="宋体" w:hAnsi="宋体" w:cs="宋体"/>
                <w:color w:val="000000"/>
                <w:sz w:val="24"/>
              </w:rPr>
            </w:pPr>
          </w:p>
        </w:tc>
        <w:tc>
          <w:tcPr>
            <w:tcW w:w="1246" w:type="dxa"/>
            <w:noWrap w:val="0"/>
            <w:vAlign w:val="center"/>
          </w:tcPr>
          <w:p w14:paraId="6D09A08E">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6278D4C7">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40AA1924">
            <w:pPr>
              <w:pStyle w:val="81"/>
              <w:autoSpaceDE w:val="0"/>
              <w:autoSpaceDN w:val="0"/>
              <w:spacing w:line="360" w:lineRule="auto"/>
              <w:jc w:val="center"/>
              <w:rPr>
                <w:color w:val="000000"/>
                <w:sz w:val="24"/>
                <w:szCs w:val="24"/>
              </w:rPr>
            </w:pPr>
            <w:r>
              <w:rPr>
                <w:rFonts w:hint="eastAsia"/>
                <w:color w:val="000000"/>
                <w:sz w:val="24"/>
                <w:szCs w:val="24"/>
              </w:rPr>
              <w:t>Y≥100000</w:t>
            </w:r>
          </w:p>
        </w:tc>
        <w:tc>
          <w:tcPr>
            <w:tcW w:w="1833" w:type="dxa"/>
            <w:noWrap w:val="0"/>
            <w:vAlign w:val="center"/>
          </w:tcPr>
          <w:p w14:paraId="0DCA04DE">
            <w:pPr>
              <w:pStyle w:val="81"/>
              <w:autoSpaceDE w:val="0"/>
              <w:autoSpaceDN w:val="0"/>
              <w:spacing w:line="360" w:lineRule="auto"/>
              <w:jc w:val="center"/>
              <w:rPr>
                <w:color w:val="000000"/>
                <w:sz w:val="24"/>
                <w:szCs w:val="24"/>
              </w:rPr>
            </w:pPr>
            <w:r>
              <w:rPr>
                <w:rFonts w:hint="eastAsia"/>
                <w:color w:val="000000"/>
                <w:sz w:val="24"/>
                <w:szCs w:val="24"/>
              </w:rPr>
              <w:t>1000≤Y＜100000</w:t>
            </w:r>
          </w:p>
        </w:tc>
        <w:tc>
          <w:tcPr>
            <w:tcW w:w="1590" w:type="dxa"/>
            <w:noWrap w:val="0"/>
            <w:vAlign w:val="center"/>
          </w:tcPr>
          <w:p w14:paraId="7AC6F315">
            <w:pPr>
              <w:pStyle w:val="81"/>
              <w:autoSpaceDE w:val="0"/>
              <w:autoSpaceDN w:val="0"/>
              <w:spacing w:line="360" w:lineRule="auto"/>
              <w:jc w:val="center"/>
              <w:rPr>
                <w:color w:val="000000"/>
                <w:sz w:val="24"/>
                <w:szCs w:val="24"/>
              </w:rPr>
            </w:pPr>
            <w:r>
              <w:rPr>
                <w:rFonts w:hint="eastAsia"/>
                <w:color w:val="000000"/>
                <w:sz w:val="24"/>
                <w:szCs w:val="24"/>
              </w:rPr>
              <w:t>100≤Y＜1000</w:t>
            </w:r>
          </w:p>
        </w:tc>
        <w:tc>
          <w:tcPr>
            <w:tcW w:w="862" w:type="dxa"/>
            <w:noWrap w:val="0"/>
            <w:vAlign w:val="center"/>
          </w:tcPr>
          <w:p w14:paraId="261D1484">
            <w:pPr>
              <w:pStyle w:val="81"/>
              <w:autoSpaceDE w:val="0"/>
              <w:autoSpaceDN w:val="0"/>
              <w:spacing w:line="360" w:lineRule="auto"/>
              <w:jc w:val="center"/>
              <w:rPr>
                <w:color w:val="000000"/>
                <w:sz w:val="24"/>
                <w:szCs w:val="24"/>
              </w:rPr>
            </w:pPr>
            <w:r>
              <w:rPr>
                <w:rFonts w:hint="eastAsia"/>
                <w:color w:val="000000"/>
                <w:sz w:val="24"/>
                <w:szCs w:val="24"/>
              </w:rPr>
              <w:t>Y＜100</w:t>
            </w:r>
          </w:p>
        </w:tc>
      </w:tr>
      <w:tr w14:paraId="11BB1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56FE501E">
            <w:pPr>
              <w:pStyle w:val="81"/>
              <w:autoSpaceDE w:val="0"/>
              <w:autoSpaceDN w:val="0"/>
              <w:spacing w:line="360" w:lineRule="auto"/>
              <w:jc w:val="center"/>
              <w:rPr>
                <w:color w:val="000000"/>
                <w:sz w:val="24"/>
                <w:szCs w:val="24"/>
              </w:rPr>
            </w:pPr>
            <w:r>
              <w:rPr>
                <w:rFonts w:hint="eastAsia"/>
                <w:color w:val="000000"/>
                <w:sz w:val="24"/>
                <w:szCs w:val="24"/>
              </w:rPr>
              <w:t>软件和信息技术服务业</w:t>
            </w:r>
          </w:p>
        </w:tc>
        <w:tc>
          <w:tcPr>
            <w:tcW w:w="1246" w:type="dxa"/>
            <w:noWrap w:val="0"/>
            <w:vAlign w:val="center"/>
          </w:tcPr>
          <w:p w14:paraId="6E1E2CEF">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50492508">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7AE71413">
            <w:pPr>
              <w:pStyle w:val="81"/>
              <w:autoSpaceDE w:val="0"/>
              <w:autoSpaceDN w:val="0"/>
              <w:spacing w:line="360" w:lineRule="auto"/>
              <w:jc w:val="center"/>
              <w:rPr>
                <w:color w:val="000000"/>
                <w:sz w:val="24"/>
                <w:szCs w:val="24"/>
              </w:rPr>
            </w:pPr>
            <w:r>
              <w:rPr>
                <w:rFonts w:hint="eastAsia"/>
                <w:color w:val="000000"/>
                <w:sz w:val="24"/>
                <w:szCs w:val="24"/>
              </w:rPr>
              <w:t>X≥300</w:t>
            </w:r>
          </w:p>
        </w:tc>
        <w:tc>
          <w:tcPr>
            <w:tcW w:w="1833" w:type="dxa"/>
            <w:noWrap w:val="0"/>
            <w:vAlign w:val="center"/>
          </w:tcPr>
          <w:p w14:paraId="1DFF2F26">
            <w:pPr>
              <w:pStyle w:val="81"/>
              <w:autoSpaceDE w:val="0"/>
              <w:autoSpaceDN w:val="0"/>
              <w:spacing w:line="360" w:lineRule="auto"/>
              <w:jc w:val="center"/>
              <w:rPr>
                <w:color w:val="000000"/>
                <w:sz w:val="24"/>
                <w:szCs w:val="24"/>
              </w:rPr>
            </w:pPr>
            <w:r>
              <w:rPr>
                <w:rFonts w:hint="eastAsia"/>
                <w:color w:val="000000"/>
                <w:sz w:val="24"/>
                <w:szCs w:val="24"/>
              </w:rPr>
              <w:t>100≤X＜300</w:t>
            </w:r>
          </w:p>
        </w:tc>
        <w:tc>
          <w:tcPr>
            <w:tcW w:w="1590" w:type="dxa"/>
            <w:noWrap w:val="0"/>
            <w:vAlign w:val="center"/>
          </w:tcPr>
          <w:p w14:paraId="04A1656C">
            <w:pPr>
              <w:pStyle w:val="81"/>
              <w:autoSpaceDE w:val="0"/>
              <w:autoSpaceDN w:val="0"/>
              <w:spacing w:line="360" w:lineRule="auto"/>
              <w:jc w:val="center"/>
              <w:rPr>
                <w:color w:val="000000"/>
                <w:sz w:val="24"/>
                <w:szCs w:val="24"/>
              </w:rPr>
            </w:pPr>
            <w:r>
              <w:rPr>
                <w:rFonts w:hint="eastAsia"/>
                <w:color w:val="000000"/>
                <w:sz w:val="24"/>
                <w:szCs w:val="24"/>
              </w:rPr>
              <w:t>10≤X＜100</w:t>
            </w:r>
          </w:p>
        </w:tc>
        <w:tc>
          <w:tcPr>
            <w:tcW w:w="862" w:type="dxa"/>
            <w:noWrap w:val="0"/>
            <w:vAlign w:val="center"/>
          </w:tcPr>
          <w:p w14:paraId="6B6649DE">
            <w:pPr>
              <w:pStyle w:val="81"/>
              <w:autoSpaceDE w:val="0"/>
              <w:autoSpaceDN w:val="0"/>
              <w:spacing w:line="360" w:lineRule="auto"/>
              <w:jc w:val="center"/>
              <w:rPr>
                <w:color w:val="000000"/>
                <w:sz w:val="24"/>
                <w:szCs w:val="24"/>
              </w:rPr>
            </w:pPr>
            <w:r>
              <w:rPr>
                <w:rFonts w:hint="eastAsia"/>
                <w:color w:val="000000"/>
                <w:sz w:val="24"/>
                <w:szCs w:val="24"/>
              </w:rPr>
              <w:t>X＜10</w:t>
            </w:r>
          </w:p>
        </w:tc>
      </w:tr>
      <w:tr w14:paraId="1FDB8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18788D05">
            <w:pPr>
              <w:autoSpaceDE w:val="0"/>
              <w:autoSpaceDN w:val="0"/>
              <w:spacing w:line="360" w:lineRule="auto"/>
              <w:jc w:val="center"/>
              <w:rPr>
                <w:rFonts w:ascii="宋体" w:hAnsi="宋体" w:cs="宋体"/>
                <w:color w:val="000000"/>
                <w:sz w:val="24"/>
              </w:rPr>
            </w:pPr>
          </w:p>
        </w:tc>
        <w:tc>
          <w:tcPr>
            <w:tcW w:w="1246" w:type="dxa"/>
            <w:noWrap w:val="0"/>
            <w:vAlign w:val="center"/>
          </w:tcPr>
          <w:p w14:paraId="15CCAA44">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157E8080">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6B17E803">
            <w:pPr>
              <w:pStyle w:val="81"/>
              <w:autoSpaceDE w:val="0"/>
              <w:autoSpaceDN w:val="0"/>
              <w:spacing w:line="360" w:lineRule="auto"/>
              <w:jc w:val="center"/>
              <w:rPr>
                <w:color w:val="000000"/>
                <w:sz w:val="24"/>
                <w:szCs w:val="24"/>
              </w:rPr>
            </w:pPr>
            <w:r>
              <w:rPr>
                <w:rFonts w:hint="eastAsia"/>
                <w:color w:val="000000"/>
                <w:sz w:val="24"/>
                <w:szCs w:val="24"/>
              </w:rPr>
              <w:t>Y≥10000</w:t>
            </w:r>
          </w:p>
        </w:tc>
        <w:tc>
          <w:tcPr>
            <w:tcW w:w="1833" w:type="dxa"/>
            <w:noWrap w:val="0"/>
            <w:vAlign w:val="center"/>
          </w:tcPr>
          <w:p w14:paraId="13309F33">
            <w:pPr>
              <w:pStyle w:val="81"/>
              <w:autoSpaceDE w:val="0"/>
              <w:autoSpaceDN w:val="0"/>
              <w:spacing w:line="360" w:lineRule="auto"/>
              <w:jc w:val="center"/>
              <w:rPr>
                <w:color w:val="000000"/>
                <w:sz w:val="24"/>
                <w:szCs w:val="24"/>
              </w:rPr>
            </w:pPr>
            <w:r>
              <w:rPr>
                <w:rFonts w:hint="eastAsia"/>
                <w:color w:val="000000"/>
                <w:sz w:val="24"/>
                <w:szCs w:val="24"/>
              </w:rPr>
              <w:t>1000≤Y＜10000</w:t>
            </w:r>
          </w:p>
        </w:tc>
        <w:tc>
          <w:tcPr>
            <w:tcW w:w="1590" w:type="dxa"/>
            <w:noWrap w:val="0"/>
            <w:vAlign w:val="center"/>
          </w:tcPr>
          <w:p w14:paraId="00B44643">
            <w:pPr>
              <w:pStyle w:val="81"/>
              <w:autoSpaceDE w:val="0"/>
              <w:autoSpaceDN w:val="0"/>
              <w:spacing w:line="360" w:lineRule="auto"/>
              <w:jc w:val="center"/>
              <w:rPr>
                <w:color w:val="000000"/>
                <w:sz w:val="24"/>
                <w:szCs w:val="24"/>
              </w:rPr>
            </w:pPr>
            <w:r>
              <w:rPr>
                <w:rFonts w:hint="eastAsia"/>
                <w:color w:val="000000"/>
                <w:sz w:val="24"/>
                <w:szCs w:val="24"/>
              </w:rPr>
              <w:t>50≤Y＜1000</w:t>
            </w:r>
          </w:p>
        </w:tc>
        <w:tc>
          <w:tcPr>
            <w:tcW w:w="862" w:type="dxa"/>
            <w:noWrap w:val="0"/>
            <w:vAlign w:val="center"/>
          </w:tcPr>
          <w:p w14:paraId="4A4399AD">
            <w:pPr>
              <w:pStyle w:val="81"/>
              <w:autoSpaceDE w:val="0"/>
              <w:autoSpaceDN w:val="0"/>
              <w:spacing w:line="360" w:lineRule="auto"/>
              <w:jc w:val="center"/>
              <w:rPr>
                <w:color w:val="000000"/>
                <w:sz w:val="24"/>
                <w:szCs w:val="24"/>
              </w:rPr>
            </w:pPr>
            <w:r>
              <w:rPr>
                <w:rFonts w:hint="eastAsia"/>
                <w:color w:val="000000"/>
                <w:sz w:val="24"/>
                <w:szCs w:val="24"/>
              </w:rPr>
              <w:t>Y＜50</w:t>
            </w:r>
          </w:p>
        </w:tc>
      </w:tr>
      <w:tr w14:paraId="48B1F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5CF46CA9">
            <w:pPr>
              <w:pStyle w:val="81"/>
              <w:autoSpaceDE w:val="0"/>
              <w:autoSpaceDN w:val="0"/>
              <w:spacing w:line="360" w:lineRule="auto"/>
              <w:jc w:val="center"/>
              <w:rPr>
                <w:color w:val="000000"/>
                <w:sz w:val="24"/>
                <w:szCs w:val="24"/>
              </w:rPr>
            </w:pPr>
            <w:r>
              <w:rPr>
                <w:rFonts w:hint="eastAsia"/>
                <w:color w:val="000000"/>
                <w:spacing w:val="-20"/>
                <w:sz w:val="24"/>
                <w:szCs w:val="24"/>
              </w:rPr>
              <w:t>房地产开</w:t>
            </w:r>
            <w:r>
              <w:rPr>
                <w:rFonts w:hint="eastAsia"/>
                <w:color w:val="000000"/>
                <w:sz w:val="24"/>
                <w:szCs w:val="24"/>
              </w:rPr>
              <w:t>发经营</w:t>
            </w:r>
          </w:p>
        </w:tc>
        <w:tc>
          <w:tcPr>
            <w:tcW w:w="1246" w:type="dxa"/>
            <w:noWrap w:val="0"/>
            <w:vAlign w:val="center"/>
          </w:tcPr>
          <w:p w14:paraId="51ABF02C">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4E645007">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3F416601">
            <w:pPr>
              <w:pStyle w:val="81"/>
              <w:autoSpaceDE w:val="0"/>
              <w:autoSpaceDN w:val="0"/>
              <w:spacing w:line="360" w:lineRule="auto"/>
              <w:jc w:val="center"/>
              <w:rPr>
                <w:color w:val="000000"/>
                <w:sz w:val="24"/>
                <w:szCs w:val="24"/>
              </w:rPr>
            </w:pPr>
            <w:r>
              <w:rPr>
                <w:rFonts w:hint="eastAsia"/>
                <w:color w:val="000000"/>
                <w:sz w:val="24"/>
                <w:szCs w:val="24"/>
              </w:rPr>
              <w:t>Y≥200000</w:t>
            </w:r>
          </w:p>
        </w:tc>
        <w:tc>
          <w:tcPr>
            <w:tcW w:w="1833" w:type="dxa"/>
            <w:noWrap w:val="0"/>
            <w:vAlign w:val="center"/>
          </w:tcPr>
          <w:p w14:paraId="27E20A24">
            <w:pPr>
              <w:pStyle w:val="81"/>
              <w:autoSpaceDE w:val="0"/>
              <w:autoSpaceDN w:val="0"/>
              <w:spacing w:line="360" w:lineRule="auto"/>
              <w:jc w:val="center"/>
              <w:rPr>
                <w:color w:val="000000"/>
                <w:sz w:val="24"/>
                <w:szCs w:val="24"/>
              </w:rPr>
            </w:pPr>
            <w:r>
              <w:rPr>
                <w:rFonts w:hint="eastAsia"/>
                <w:color w:val="000000"/>
                <w:sz w:val="24"/>
                <w:szCs w:val="24"/>
              </w:rPr>
              <w:t>1000≤Y＜200000</w:t>
            </w:r>
          </w:p>
        </w:tc>
        <w:tc>
          <w:tcPr>
            <w:tcW w:w="1590" w:type="dxa"/>
            <w:noWrap w:val="0"/>
            <w:vAlign w:val="center"/>
          </w:tcPr>
          <w:p w14:paraId="37E9049B">
            <w:pPr>
              <w:pStyle w:val="81"/>
              <w:autoSpaceDE w:val="0"/>
              <w:autoSpaceDN w:val="0"/>
              <w:spacing w:line="360" w:lineRule="auto"/>
              <w:jc w:val="center"/>
              <w:rPr>
                <w:color w:val="000000"/>
                <w:sz w:val="24"/>
                <w:szCs w:val="24"/>
              </w:rPr>
            </w:pPr>
            <w:r>
              <w:rPr>
                <w:rFonts w:hint="eastAsia"/>
                <w:color w:val="000000"/>
                <w:sz w:val="24"/>
                <w:szCs w:val="24"/>
              </w:rPr>
              <w:t>100≤Y＜1000</w:t>
            </w:r>
          </w:p>
        </w:tc>
        <w:tc>
          <w:tcPr>
            <w:tcW w:w="862" w:type="dxa"/>
            <w:noWrap w:val="0"/>
            <w:vAlign w:val="center"/>
          </w:tcPr>
          <w:p w14:paraId="2AEC84AC">
            <w:pPr>
              <w:pStyle w:val="81"/>
              <w:autoSpaceDE w:val="0"/>
              <w:autoSpaceDN w:val="0"/>
              <w:spacing w:line="360" w:lineRule="auto"/>
              <w:jc w:val="center"/>
              <w:rPr>
                <w:color w:val="000000"/>
                <w:sz w:val="24"/>
                <w:szCs w:val="24"/>
              </w:rPr>
            </w:pPr>
            <w:r>
              <w:rPr>
                <w:rFonts w:hint="eastAsia"/>
                <w:color w:val="000000"/>
                <w:sz w:val="24"/>
                <w:szCs w:val="24"/>
              </w:rPr>
              <w:t>Y＜100</w:t>
            </w:r>
          </w:p>
        </w:tc>
      </w:tr>
      <w:tr w14:paraId="04D3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278EF93F">
            <w:pPr>
              <w:pStyle w:val="81"/>
              <w:autoSpaceDE w:val="0"/>
              <w:autoSpaceDN w:val="0"/>
              <w:spacing w:line="360" w:lineRule="auto"/>
              <w:jc w:val="center"/>
              <w:rPr>
                <w:color w:val="000000"/>
                <w:sz w:val="24"/>
                <w:szCs w:val="24"/>
              </w:rPr>
            </w:pPr>
          </w:p>
        </w:tc>
        <w:tc>
          <w:tcPr>
            <w:tcW w:w="1246" w:type="dxa"/>
            <w:noWrap w:val="0"/>
            <w:vAlign w:val="center"/>
          </w:tcPr>
          <w:p w14:paraId="2F204430">
            <w:pPr>
              <w:pStyle w:val="81"/>
              <w:autoSpaceDE w:val="0"/>
              <w:autoSpaceDN w:val="0"/>
              <w:spacing w:line="360" w:lineRule="auto"/>
              <w:jc w:val="center"/>
              <w:rPr>
                <w:color w:val="000000"/>
                <w:sz w:val="24"/>
                <w:szCs w:val="24"/>
              </w:rPr>
            </w:pPr>
            <w:r>
              <w:rPr>
                <w:rFonts w:hint="eastAsia"/>
                <w:color w:val="000000"/>
                <w:sz w:val="24"/>
                <w:szCs w:val="24"/>
              </w:rPr>
              <w:t>资产总额(Z)</w:t>
            </w:r>
          </w:p>
        </w:tc>
        <w:tc>
          <w:tcPr>
            <w:tcW w:w="988" w:type="dxa"/>
            <w:noWrap w:val="0"/>
            <w:vAlign w:val="center"/>
          </w:tcPr>
          <w:p w14:paraId="5ECA3937">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76E076E0">
            <w:pPr>
              <w:pStyle w:val="81"/>
              <w:autoSpaceDE w:val="0"/>
              <w:autoSpaceDN w:val="0"/>
              <w:spacing w:line="360" w:lineRule="auto"/>
              <w:jc w:val="center"/>
              <w:rPr>
                <w:color w:val="000000"/>
                <w:sz w:val="24"/>
                <w:szCs w:val="24"/>
              </w:rPr>
            </w:pPr>
            <w:r>
              <w:rPr>
                <w:rFonts w:hint="eastAsia"/>
                <w:color w:val="000000"/>
                <w:sz w:val="24"/>
                <w:szCs w:val="24"/>
              </w:rPr>
              <w:t>Z≥10000</w:t>
            </w:r>
          </w:p>
        </w:tc>
        <w:tc>
          <w:tcPr>
            <w:tcW w:w="1833" w:type="dxa"/>
            <w:noWrap w:val="0"/>
            <w:vAlign w:val="center"/>
          </w:tcPr>
          <w:p w14:paraId="7C62FA2B">
            <w:pPr>
              <w:pStyle w:val="81"/>
              <w:autoSpaceDE w:val="0"/>
              <w:autoSpaceDN w:val="0"/>
              <w:spacing w:line="360" w:lineRule="auto"/>
              <w:jc w:val="center"/>
              <w:rPr>
                <w:color w:val="000000"/>
                <w:sz w:val="24"/>
                <w:szCs w:val="24"/>
              </w:rPr>
            </w:pPr>
            <w:r>
              <w:rPr>
                <w:rFonts w:hint="eastAsia"/>
                <w:color w:val="000000"/>
                <w:sz w:val="24"/>
                <w:szCs w:val="24"/>
              </w:rPr>
              <w:t>5000≤Z＜10000</w:t>
            </w:r>
          </w:p>
        </w:tc>
        <w:tc>
          <w:tcPr>
            <w:tcW w:w="1590" w:type="dxa"/>
            <w:noWrap w:val="0"/>
            <w:vAlign w:val="center"/>
          </w:tcPr>
          <w:p w14:paraId="298B26E1">
            <w:pPr>
              <w:pStyle w:val="81"/>
              <w:autoSpaceDE w:val="0"/>
              <w:autoSpaceDN w:val="0"/>
              <w:spacing w:line="360" w:lineRule="auto"/>
              <w:jc w:val="center"/>
              <w:rPr>
                <w:color w:val="000000"/>
                <w:sz w:val="24"/>
                <w:szCs w:val="24"/>
              </w:rPr>
            </w:pPr>
            <w:r>
              <w:rPr>
                <w:rFonts w:hint="eastAsia"/>
                <w:color w:val="000000"/>
                <w:sz w:val="24"/>
                <w:szCs w:val="24"/>
              </w:rPr>
              <w:t>2000≤Z＜5000</w:t>
            </w:r>
          </w:p>
        </w:tc>
        <w:tc>
          <w:tcPr>
            <w:tcW w:w="862" w:type="dxa"/>
            <w:noWrap w:val="0"/>
            <w:vAlign w:val="center"/>
          </w:tcPr>
          <w:p w14:paraId="7D6AE57A">
            <w:pPr>
              <w:pStyle w:val="81"/>
              <w:autoSpaceDE w:val="0"/>
              <w:autoSpaceDN w:val="0"/>
              <w:spacing w:line="360" w:lineRule="auto"/>
              <w:jc w:val="center"/>
              <w:rPr>
                <w:color w:val="000000"/>
                <w:sz w:val="24"/>
                <w:szCs w:val="24"/>
              </w:rPr>
            </w:pPr>
            <w:r>
              <w:rPr>
                <w:rFonts w:hint="eastAsia"/>
                <w:color w:val="000000"/>
                <w:sz w:val="24"/>
                <w:szCs w:val="24"/>
              </w:rPr>
              <w:t>Z＜2000</w:t>
            </w:r>
          </w:p>
        </w:tc>
      </w:tr>
      <w:tr w14:paraId="56D51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743C1E22">
            <w:pPr>
              <w:pStyle w:val="81"/>
              <w:autoSpaceDE w:val="0"/>
              <w:autoSpaceDN w:val="0"/>
              <w:spacing w:line="360" w:lineRule="auto"/>
              <w:jc w:val="center"/>
              <w:rPr>
                <w:color w:val="000000"/>
                <w:sz w:val="24"/>
                <w:szCs w:val="24"/>
              </w:rPr>
            </w:pPr>
            <w:r>
              <w:rPr>
                <w:rFonts w:hint="eastAsia"/>
                <w:color w:val="000000"/>
                <w:sz w:val="24"/>
                <w:szCs w:val="24"/>
              </w:rPr>
              <w:t>物业管理</w:t>
            </w:r>
          </w:p>
        </w:tc>
        <w:tc>
          <w:tcPr>
            <w:tcW w:w="1246" w:type="dxa"/>
            <w:noWrap w:val="0"/>
            <w:vAlign w:val="center"/>
          </w:tcPr>
          <w:p w14:paraId="5BF290DD">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03D1C05E">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7450209B">
            <w:pPr>
              <w:pStyle w:val="81"/>
              <w:autoSpaceDE w:val="0"/>
              <w:autoSpaceDN w:val="0"/>
              <w:spacing w:line="360" w:lineRule="auto"/>
              <w:jc w:val="center"/>
              <w:rPr>
                <w:color w:val="000000"/>
                <w:sz w:val="24"/>
                <w:szCs w:val="24"/>
              </w:rPr>
            </w:pPr>
            <w:r>
              <w:rPr>
                <w:rFonts w:hint="eastAsia"/>
                <w:color w:val="000000"/>
                <w:sz w:val="24"/>
                <w:szCs w:val="24"/>
              </w:rPr>
              <w:t>X≥1000</w:t>
            </w:r>
          </w:p>
        </w:tc>
        <w:tc>
          <w:tcPr>
            <w:tcW w:w="1833" w:type="dxa"/>
            <w:noWrap w:val="0"/>
            <w:vAlign w:val="center"/>
          </w:tcPr>
          <w:p w14:paraId="3B553792">
            <w:pPr>
              <w:pStyle w:val="81"/>
              <w:autoSpaceDE w:val="0"/>
              <w:autoSpaceDN w:val="0"/>
              <w:spacing w:line="360" w:lineRule="auto"/>
              <w:jc w:val="center"/>
              <w:rPr>
                <w:color w:val="000000"/>
                <w:sz w:val="24"/>
                <w:szCs w:val="24"/>
              </w:rPr>
            </w:pPr>
            <w:r>
              <w:rPr>
                <w:rFonts w:hint="eastAsia"/>
                <w:color w:val="000000"/>
                <w:sz w:val="24"/>
                <w:szCs w:val="24"/>
              </w:rPr>
              <w:t>300≤X＜1000</w:t>
            </w:r>
          </w:p>
        </w:tc>
        <w:tc>
          <w:tcPr>
            <w:tcW w:w="1590" w:type="dxa"/>
            <w:noWrap w:val="0"/>
            <w:vAlign w:val="center"/>
          </w:tcPr>
          <w:p w14:paraId="423144C1">
            <w:pPr>
              <w:pStyle w:val="81"/>
              <w:autoSpaceDE w:val="0"/>
              <w:autoSpaceDN w:val="0"/>
              <w:spacing w:line="360" w:lineRule="auto"/>
              <w:jc w:val="center"/>
              <w:rPr>
                <w:color w:val="000000"/>
                <w:sz w:val="24"/>
                <w:szCs w:val="24"/>
              </w:rPr>
            </w:pPr>
            <w:r>
              <w:rPr>
                <w:rFonts w:hint="eastAsia"/>
                <w:color w:val="000000"/>
                <w:sz w:val="24"/>
                <w:szCs w:val="24"/>
              </w:rPr>
              <w:t>100≤X＜300</w:t>
            </w:r>
          </w:p>
        </w:tc>
        <w:tc>
          <w:tcPr>
            <w:tcW w:w="862" w:type="dxa"/>
            <w:noWrap w:val="0"/>
            <w:vAlign w:val="center"/>
          </w:tcPr>
          <w:p w14:paraId="1B835EEB">
            <w:pPr>
              <w:pStyle w:val="81"/>
              <w:autoSpaceDE w:val="0"/>
              <w:autoSpaceDN w:val="0"/>
              <w:spacing w:line="360" w:lineRule="auto"/>
              <w:jc w:val="center"/>
              <w:rPr>
                <w:color w:val="000000"/>
                <w:sz w:val="24"/>
                <w:szCs w:val="24"/>
              </w:rPr>
            </w:pPr>
            <w:r>
              <w:rPr>
                <w:rFonts w:hint="eastAsia"/>
                <w:color w:val="000000"/>
                <w:sz w:val="24"/>
                <w:szCs w:val="24"/>
              </w:rPr>
              <w:t>X＜100</w:t>
            </w:r>
          </w:p>
        </w:tc>
      </w:tr>
      <w:tr w14:paraId="681A2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3438E934">
            <w:pPr>
              <w:autoSpaceDE w:val="0"/>
              <w:autoSpaceDN w:val="0"/>
              <w:spacing w:line="360" w:lineRule="auto"/>
              <w:jc w:val="center"/>
              <w:rPr>
                <w:rFonts w:ascii="宋体" w:hAnsi="宋体" w:cs="宋体"/>
                <w:color w:val="000000"/>
                <w:sz w:val="24"/>
              </w:rPr>
            </w:pPr>
          </w:p>
        </w:tc>
        <w:tc>
          <w:tcPr>
            <w:tcW w:w="1246" w:type="dxa"/>
            <w:noWrap w:val="0"/>
            <w:vAlign w:val="center"/>
          </w:tcPr>
          <w:p w14:paraId="175B2C73">
            <w:pPr>
              <w:pStyle w:val="81"/>
              <w:autoSpaceDE w:val="0"/>
              <w:autoSpaceDN w:val="0"/>
              <w:spacing w:line="360" w:lineRule="auto"/>
              <w:jc w:val="center"/>
              <w:rPr>
                <w:color w:val="000000"/>
                <w:sz w:val="24"/>
                <w:szCs w:val="24"/>
              </w:rPr>
            </w:pPr>
            <w:r>
              <w:rPr>
                <w:rFonts w:hint="eastAsia"/>
                <w:color w:val="000000"/>
                <w:sz w:val="24"/>
                <w:szCs w:val="24"/>
              </w:rPr>
              <w:t>营业收入(Y)</w:t>
            </w:r>
          </w:p>
        </w:tc>
        <w:tc>
          <w:tcPr>
            <w:tcW w:w="988" w:type="dxa"/>
            <w:noWrap w:val="0"/>
            <w:vAlign w:val="center"/>
          </w:tcPr>
          <w:p w14:paraId="3CFB1683">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74331A6C">
            <w:pPr>
              <w:pStyle w:val="81"/>
              <w:autoSpaceDE w:val="0"/>
              <w:autoSpaceDN w:val="0"/>
              <w:spacing w:line="360" w:lineRule="auto"/>
              <w:jc w:val="center"/>
              <w:rPr>
                <w:color w:val="000000"/>
                <w:sz w:val="24"/>
                <w:szCs w:val="24"/>
              </w:rPr>
            </w:pPr>
            <w:r>
              <w:rPr>
                <w:rFonts w:hint="eastAsia"/>
                <w:color w:val="000000"/>
                <w:sz w:val="24"/>
                <w:szCs w:val="24"/>
              </w:rPr>
              <w:t>Y≥5000</w:t>
            </w:r>
          </w:p>
        </w:tc>
        <w:tc>
          <w:tcPr>
            <w:tcW w:w="1833" w:type="dxa"/>
            <w:noWrap w:val="0"/>
            <w:vAlign w:val="center"/>
          </w:tcPr>
          <w:p w14:paraId="110CC6AD">
            <w:pPr>
              <w:pStyle w:val="81"/>
              <w:autoSpaceDE w:val="0"/>
              <w:autoSpaceDN w:val="0"/>
              <w:spacing w:line="360" w:lineRule="auto"/>
              <w:jc w:val="center"/>
              <w:rPr>
                <w:color w:val="000000"/>
                <w:sz w:val="24"/>
                <w:szCs w:val="24"/>
              </w:rPr>
            </w:pPr>
            <w:r>
              <w:rPr>
                <w:rFonts w:hint="eastAsia"/>
                <w:color w:val="000000"/>
                <w:sz w:val="24"/>
                <w:szCs w:val="24"/>
              </w:rPr>
              <w:t>1000≤Y＜5000</w:t>
            </w:r>
          </w:p>
        </w:tc>
        <w:tc>
          <w:tcPr>
            <w:tcW w:w="1590" w:type="dxa"/>
            <w:noWrap w:val="0"/>
            <w:vAlign w:val="center"/>
          </w:tcPr>
          <w:p w14:paraId="70C60DC7">
            <w:pPr>
              <w:pStyle w:val="81"/>
              <w:autoSpaceDE w:val="0"/>
              <w:autoSpaceDN w:val="0"/>
              <w:spacing w:line="360" w:lineRule="auto"/>
              <w:jc w:val="center"/>
              <w:rPr>
                <w:color w:val="000000"/>
                <w:sz w:val="24"/>
                <w:szCs w:val="24"/>
              </w:rPr>
            </w:pPr>
            <w:r>
              <w:rPr>
                <w:rFonts w:hint="eastAsia"/>
                <w:color w:val="000000"/>
                <w:sz w:val="24"/>
                <w:szCs w:val="24"/>
              </w:rPr>
              <w:t>500≤Y＜1000</w:t>
            </w:r>
          </w:p>
        </w:tc>
        <w:tc>
          <w:tcPr>
            <w:tcW w:w="862" w:type="dxa"/>
            <w:noWrap w:val="0"/>
            <w:vAlign w:val="center"/>
          </w:tcPr>
          <w:p w14:paraId="41A5C511">
            <w:pPr>
              <w:pStyle w:val="81"/>
              <w:autoSpaceDE w:val="0"/>
              <w:autoSpaceDN w:val="0"/>
              <w:spacing w:line="360" w:lineRule="auto"/>
              <w:jc w:val="center"/>
              <w:rPr>
                <w:color w:val="000000"/>
                <w:sz w:val="24"/>
                <w:szCs w:val="24"/>
              </w:rPr>
            </w:pPr>
            <w:r>
              <w:rPr>
                <w:rFonts w:hint="eastAsia"/>
                <w:color w:val="000000"/>
                <w:sz w:val="24"/>
                <w:szCs w:val="24"/>
              </w:rPr>
              <w:t>Y＜500</w:t>
            </w:r>
          </w:p>
        </w:tc>
      </w:tr>
      <w:tr w14:paraId="78DF9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restart"/>
            <w:noWrap w:val="0"/>
            <w:vAlign w:val="center"/>
          </w:tcPr>
          <w:p w14:paraId="4754C935">
            <w:pPr>
              <w:pStyle w:val="81"/>
              <w:autoSpaceDE w:val="0"/>
              <w:autoSpaceDN w:val="0"/>
              <w:spacing w:line="360" w:lineRule="auto"/>
              <w:jc w:val="center"/>
              <w:rPr>
                <w:color w:val="000000"/>
                <w:sz w:val="24"/>
                <w:szCs w:val="24"/>
              </w:rPr>
            </w:pPr>
            <w:r>
              <w:rPr>
                <w:rFonts w:hint="eastAsia"/>
                <w:color w:val="000000"/>
                <w:spacing w:val="-20"/>
                <w:sz w:val="24"/>
                <w:szCs w:val="24"/>
              </w:rPr>
              <w:t>租赁和商</w:t>
            </w:r>
            <w:r>
              <w:rPr>
                <w:rFonts w:hint="eastAsia"/>
                <w:color w:val="000000"/>
                <w:sz w:val="24"/>
                <w:szCs w:val="24"/>
              </w:rPr>
              <w:t>务服务业</w:t>
            </w:r>
          </w:p>
        </w:tc>
        <w:tc>
          <w:tcPr>
            <w:tcW w:w="1246" w:type="dxa"/>
            <w:noWrap w:val="0"/>
            <w:vAlign w:val="center"/>
          </w:tcPr>
          <w:p w14:paraId="0D51F14C">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22929AC6">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31481BE5">
            <w:pPr>
              <w:pStyle w:val="81"/>
              <w:autoSpaceDE w:val="0"/>
              <w:autoSpaceDN w:val="0"/>
              <w:spacing w:line="360" w:lineRule="auto"/>
              <w:jc w:val="center"/>
              <w:rPr>
                <w:color w:val="000000"/>
                <w:sz w:val="24"/>
                <w:szCs w:val="24"/>
              </w:rPr>
            </w:pPr>
            <w:r>
              <w:rPr>
                <w:rFonts w:hint="eastAsia"/>
                <w:color w:val="000000"/>
                <w:sz w:val="24"/>
                <w:szCs w:val="24"/>
              </w:rPr>
              <w:t>X≥300</w:t>
            </w:r>
          </w:p>
        </w:tc>
        <w:tc>
          <w:tcPr>
            <w:tcW w:w="1833" w:type="dxa"/>
            <w:noWrap w:val="0"/>
            <w:vAlign w:val="center"/>
          </w:tcPr>
          <w:p w14:paraId="7F77D9C2">
            <w:pPr>
              <w:pStyle w:val="81"/>
              <w:autoSpaceDE w:val="0"/>
              <w:autoSpaceDN w:val="0"/>
              <w:spacing w:line="360" w:lineRule="auto"/>
              <w:jc w:val="center"/>
              <w:rPr>
                <w:color w:val="000000"/>
                <w:sz w:val="24"/>
                <w:szCs w:val="24"/>
              </w:rPr>
            </w:pPr>
            <w:r>
              <w:rPr>
                <w:rFonts w:hint="eastAsia"/>
                <w:color w:val="000000"/>
                <w:sz w:val="24"/>
                <w:szCs w:val="24"/>
              </w:rPr>
              <w:t>100≤X＜300</w:t>
            </w:r>
          </w:p>
        </w:tc>
        <w:tc>
          <w:tcPr>
            <w:tcW w:w="1590" w:type="dxa"/>
            <w:noWrap w:val="0"/>
            <w:vAlign w:val="center"/>
          </w:tcPr>
          <w:p w14:paraId="69661499">
            <w:pPr>
              <w:pStyle w:val="81"/>
              <w:autoSpaceDE w:val="0"/>
              <w:autoSpaceDN w:val="0"/>
              <w:spacing w:line="360" w:lineRule="auto"/>
              <w:jc w:val="center"/>
              <w:rPr>
                <w:color w:val="000000"/>
                <w:sz w:val="24"/>
                <w:szCs w:val="24"/>
              </w:rPr>
            </w:pPr>
            <w:r>
              <w:rPr>
                <w:rFonts w:hint="eastAsia"/>
                <w:color w:val="000000"/>
                <w:sz w:val="24"/>
                <w:szCs w:val="24"/>
              </w:rPr>
              <w:t>10≤X＜100</w:t>
            </w:r>
          </w:p>
        </w:tc>
        <w:tc>
          <w:tcPr>
            <w:tcW w:w="862" w:type="dxa"/>
            <w:noWrap w:val="0"/>
            <w:vAlign w:val="center"/>
          </w:tcPr>
          <w:p w14:paraId="466F6FBF">
            <w:pPr>
              <w:pStyle w:val="81"/>
              <w:autoSpaceDE w:val="0"/>
              <w:autoSpaceDN w:val="0"/>
              <w:spacing w:line="360" w:lineRule="auto"/>
              <w:jc w:val="center"/>
              <w:rPr>
                <w:color w:val="000000"/>
                <w:sz w:val="24"/>
                <w:szCs w:val="24"/>
              </w:rPr>
            </w:pPr>
            <w:r>
              <w:rPr>
                <w:rFonts w:hint="eastAsia"/>
                <w:color w:val="000000"/>
                <w:sz w:val="24"/>
                <w:szCs w:val="24"/>
              </w:rPr>
              <w:t>X＜10</w:t>
            </w:r>
          </w:p>
        </w:tc>
      </w:tr>
      <w:tr w14:paraId="29E19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1" w:hRule="atLeast"/>
        </w:trPr>
        <w:tc>
          <w:tcPr>
            <w:tcW w:w="1713" w:type="dxa"/>
            <w:vMerge w:val="continue"/>
            <w:noWrap w:val="0"/>
            <w:vAlign w:val="center"/>
          </w:tcPr>
          <w:p w14:paraId="66923120">
            <w:pPr>
              <w:autoSpaceDE w:val="0"/>
              <w:autoSpaceDN w:val="0"/>
              <w:spacing w:line="360" w:lineRule="auto"/>
              <w:jc w:val="center"/>
              <w:rPr>
                <w:rFonts w:ascii="宋体" w:hAnsi="宋体" w:cs="宋体"/>
                <w:color w:val="000000"/>
                <w:sz w:val="24"/>
              </w:rPr>
            </w:pPr>
          </w:p>
        </w:tc>
        <w:tc>
          <w:tcPr>
            <w:tcW w:w="1246" w:type="dxa"/>
            <w:noWrap w:val="0"/>
            <w:vAlign w:val="center"/>
          </w:tcPr>
          <w:p w14:paraId="7B814079">
            <w:pPr>
              <w:pStyle w:val="81"/>
              <w:autoSpaceDE w:val="0"/>
              <w:autoSpaceDN w:val="0"/>
              <w:spacing w:line="360" w:lineRule="auto"/>
              <w:jc w:val="center"/>
              <w:rPr>
                <w:color w:val="000000"/>
                <w:sz w:val="24"/>
                <w:szCs w:val="24"/>
              </w:rPr>
            </w:pPr>
            <w:r>
              <w:rPr>
                <w:rFonts w:hint="eastAsia"/>
                <w:color w:val="000000"/>
                <w:sz w:val="24"/>
                <w:szCs w:val="24"/>
              </w:rPr>
              <w:t>资产总额(Z)</w:t>
            </w:r>
          </w:p>
        </w:tc>
        <w:tc>
          <w:tcPr>
            <w:tcW w:w="988" w:type="dxa"/>
            <w:noWrap w:val="0"/>
            <w:vAlign w:val="center"/>
          </w:tcPr>
          <w:p w14:paraId="19B0E7B4">
            <w:pPr>
              <w:pStyle w:val="81"/>
              <w:autoSpaceDE w:val="0"/>
              <w:autoSpaceDN w:val="0"/>
              <w:spacing w:line="360" w:lineRule="auto"/>
              <w:jc w:val="center"/>
              <w:rPr>
                <w:color w:val="000000"/>
                <w:sz w:val="24"/>
                <w:szCs w:val="24"/>
              </w:rPr>
            </w:pPr>
            <w:r>
              <w:rPr>
                <w:rFonts w:hint="eastAsia"/>
                <w:color w:val="000000"/>
                <w:sz w:val="24"/>
                <w:szCs w:val="24"/>
              </w:rPr>
              <w:t>万元</w:t>
            </w:r>
          </w:p>
        </w:tc>
        <w:tc>
          <w:tcPr>
            <w:tcW w:w="1104" w:type="dxa"/>
            <w:noWrap w:val="0"/>
            <w:vAlign w:val="center"/>
          </w:tcPr>
          <w:p w14:paraId="055E393F">
            <w:pPr>
              <w:pStyle w:val="81"/>
              <w:autoSpaceDE w:val="0"/>
              <w:autoSpaceDN w:val="0"/>
              <w:spacing w:line="360" w:lineRule="auto"/>
              <w:jc w:val="center"/>
              <w:rPr>
                <w:color w:val="000000"/>
                <w:sz w:val="24"/>
                <w:szCs w:val="24"/>
              </w:rPr>
            </w:pPr>
            <w:r>
              <w:rPr>
                <w:rFonts w:hint="eastAsia"/>
                <w:color w:val="000000"/>
                <w:sz w:val="24"/>
                <w:szCs w:val="24"/>
              </w:rPr>
              <w:t>Z≥120000</w:t>
            </w:r>
          </w:p>
        </w:tc>
        <w:tc>
          <w:tcPr>
            <w:tcW w:w="1833" w:type="dxa"/>
            <w:noWrap w:val="0"/>
            <w:vAlign w:val="center"/>
          </w:tcPr>
          <w:p w14:paraId="7BD6D9C0">
            <w:pPr>
              <w:pStyle w:val="81"/>
              <w:autoSpaceDE w:val="0"/>
              <w:autoSpaceDN w:val="0"/>
              <w:spacing w:line="360" w:lineRule="auto"/>
              <w:jc w:val="center"/>
              <w:rPr>
                <w:color w:val="000000"/>
                <w:sz w:val="24"/>
                <w:szCs w:val="24"/>
              </w:rPr>
            </w:pPr>
            <w:r>
              <w:rPr>
                <w:rFonts w:hint="eastAsia"/>
                <w:color w:val="000000"/>
                <w:sz w:val="24"/>
                <w:szCs w:val="24"/>
              </w:rPr>
              <w:t>8000≤Z＜120000</w:t>
            </w:r>
          </w:p>
        </w:tc>
        <w:tc>
          <w:tcPr>
            <w:tcW w:w="1590" w:type="dxa"/>
            <w:noWrap w:val="0"/>
            <w:vAlign w:val="center"/>
          </w:tcPr>
          <w:p w14:paraId="7AE0F5C1">
            <w:pPr>
              <w:pStyle w:val="81"/>
              <w:autoSpaceDE w:val="0"/>
              <w:autoSpaceDN w:val="0"/>
              <w:spacing w:line="360" w:lineRule="auto"/>
              <w:jc w:val="center"/>
              <w:rPr>
                <w:color w:val="000000"/>
                <w:sz w:val="24"/>
                <w:szCs w:val="24"/>
              </w:rPr>
            </w:pPr>
            <w:r>
              <w:rPr>
                <w:rFonts w:hint="eastAsia"/>
                <w:color w:val="000000"/>
                <w:sz w:val="24"/>
                <w:szCs w:val="24"/>
              </w:rPr>
              <w:t>100≤Z＜8000</w:t>
            </w:r>
          </w:p>
        </w:tc>
        <w:tc>
          <w:tcPr>
            <w:tcW w:w="862" w:type="dxa"/>
            <w:noWrap w:val="0"/>
            <w:vAlign w:val="center"/>
          </w:tcPr>
          <w:p w14:paraId="43B2E02F">
            <w:pPr>
              <w:pStyle w:val="81"/>
              <w:autoSpaceDE w:val="0"/>
              <w:autoSpaceDN w:val="0"/>
              <w:spacing w:line="360" w:lineRule="auto"/>
              <w:jc w:val="center"/>
              <w:rPr>
                <w:color w:val="000000"/>
                <w:sz w:val="24"/>
                <w:szCs w:val="24"/>
              </w:rPr>
            </w:pPr>
            <w:r>
              <w:rPr>
                <w:rFonts w:hint="eastAsia"/>
                <w:color w:val="000000"/>
                <w:sz w:val="24"/>
                <w:szCs w:val="24"/>
              </w:rPr>
              <w:t>Z＜100</w:t>
            </w:r>
          </w:p>
        </w:tc>
      </w:tr>
      <w:tr w14:paraId="394FC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 w:hRule="atLeast"/>
        </w:trPr>
        <w:tc>
          <w:tcPr>
            <w:tcW w:w="1713" w:type="dxa"/>
            <w:noWrap w:val="0"/>
            <w:vAlign w:val="center"/>
          </w:tcPr>
          <w:p w14:paraId="2B4BB3DC">
            <w:pPr>
              <w:pStyle w:val="81"/>
              <w:autoSpaceDE w:val="0"/>
              <w:autoSpaceDN w:val="0"/>
              <w:spacing w:line="360" w:lineRule="auto"/>
              <w:jc w:val="center"/>
              <w:rPr>
                <w:color w:val="000000"/>
                <w:sz w:val="24"/>
                <w:szCs w:val="24"/>
              </w:rPr>
            </w:pPr>
            <w:r>
              <w:rPr>
                <w:rFonts w:hint="eastAsia"/>
                <w:color w:val="000000"/>
                <w:spacing w:val="-20"/>
                <w:sz w:val="24"/>
                <w:szCs w:val="24"/>
              </w:rPr>
              <w:t>其他未列</w:t>
            </w:r>
            <w:r>
              <w:rPr>
                <w:rFonts w:hint="eastAsia"/>
                <w:color w:val="000000"/>
                <w:sz w:val="24"/>
                <w:szCs w:val="24"/>
              </w:rPr>
              <w:t>明行业*</w:t>
            </w:r>
          </w:p>
        </w:tc>
        <w:tc>
          <w:tcPr>
            <w:tcW w:w="1246" w:type="dxa"/>
            <w:noWrap w:val="0"/>
            <w:vAlign w:val="center"/>
          </w:tcPr>
          <w:p w14:paraId="0444FB47">
            <w:pPr>
              <w:pStyle w:val="81"/>
              <w:autoSpaceDE w:val="0"/>
              <w:autoSpaceDN w:val="0"/>
              <w:spacing w:line="360" w:lineRule="auto"/>
              <w:jc w:val="center"/>
              <w:rPr>
                <w:color w:val="000000"/>
                <w:sz w:val="24"/>
                <w:szCs w:val="24"/>
              </w:rPr>
            </w:pPr>
            <w:r>
              <w:rPr>
                <w:rFonts w:hint="eastAsia"/>
                <w:color w:val="000000"/>
                <w:sz w:val="24"/>
                <w:szCs w:val="24"/>
              </w:rPr>
              <w:t>从业人员(X)</w:t>
            </w:r>
          </w:p>
        </w:tc>
        <w:tc>
          <w:tcPr>
            <w:tcW w:w="988" w:type="dxa"/>
            <w:noWrap w:val="0"/>
            <w:vAlign w:val="center"/>
          </w:tcPr>
          <w:p w14:paraId="1517EFBD">
            <w:pPr>
              <w:pStyle w:val="81"/>
              <w:autoSpaceDE w:val="0"/>
              <w:autoSpaceDN w:val="0"/>
              <w:spacing w:line="360" w:lineRule="auto"/>
              <w:jc w:val="center"/>
              <w:rPr>
                <w:color w:val="000000"/>
                <w:sz w:val="24"/>
                <w:szCs w:val="24"/>
              </w:rPr>
            </w:pPr>
            <w:r>
              <w:rPr>
                <w:rFonts w:hint="eastAsia"/>
                <w:color w:val="000000"/>
                <w:w w:val="99"/>
                <w:sz w:val="24"/>
                <w:szCs w:val="24"/>
              </w:rPr>
              <w:t>人</w:t>
            </w:r>
          </w:p>
        </w:tc>
        <w:tc>
          <w:tcPr>
            <w:tcW w:w="1104" w:type="dxa"/>
            <w:noWrap w:val="0"/>
            <w:vAlign w:val="center"/>
          </w:tcPr>
          <w:p w14:paraId="0F26D2C2">
            <w:pPr>
              <w:pStyle w:val="81"/>
              <w:autoSpaceDE w:val="0"/>
              <w:autoSpaceDN w:val="0"/>
              <w:spacing w:line="360" w:lineRule="auto"/>
              <w:jc w:val="center"/>
              <w:rPr>
                <w:color w:val="000000"/>
                <w:sz w:val="24"/>
                <w:szCs w:val="24"/>
              </w:rPr>
            </w:pPr>
            <w:r>
              <w:rPr>
                <w:rFonts w:hint="eastAsia"/>
                <w:color w:val="000000"/>
                <w:sz w:val="24"/>
                <w:szCs w:val="24"/>
              </w:rPr>
              <w:t>X≥300</w:t>
            </w:r>
          </w:p>
        </w:tc>
        <w:tc>
          <w:tcPr>
            <w:tcW w:w="1833" w:type="dxa"/>
            <w:noWrap w:val="0"/>
            <w:vAlign w:val="center"/>
          </w:tcPr>
          <w:p w14:paraId="7C7A818F">
            <w:pPr>
              <w:pStyle w:val="81"/>
              <w:autoSpaceDE w:val="0"/>
              <w:autoSpaceDN w:val="0"/>
              <w:spacing w:line="360" w:lineRule="auto"/>
              <w:jc w:val="center"/>
              <w:rPr>
                <w:color w:val="000000"/>
                <w:sz w:val="24"/>
                <w:szCs w:val="24"/>
              </w:rPr>
            </w:pPr>
            <w:r>
              <w:rPr>
                <w:rFonts w:hint="eastAsia"/>
                <w:color w:val="000000"/>
                <w:sz w:val="24"/>
                <w:szCs w:val="24"/>
              </w:rPr>
              <w:t>100≤X＜300</w:t>
            </w:r>
          </w:p>
        </w:tc>
        <w:tc>
          <w:tcPr>
            <w:tcW w:w="1590" w:type="dxa"/>
            <w:noWrap w:val="0"/>
            <w:vAlign w:val="center"/>
          </w:tcPr>
          <w:p w14:paraId="2ACC5531">
            <w:pPr>
              <w:pStyle w:val="81"/>
              <w:autoSpaceDE w:val="0"/>
              <w:autoSpaceDN w:val="0"/>
              <w:spacing w:line="360" w:lineRule="auto"/>
              <w:jc w:val="center"/>
              <w:rPr>
                <w:color w:val="000000"/>
                <w:sz w:val="24"/>
                <w:szCs w:val="24"/>
              </w:rPr>
            </w:pPr>
            <w:r>
              <w:rPr>
                <w:rFonts w:hint="eastAsia"/>
                <w:color w:val="000000"/>
                <w:sz w:val="24"/>
                <w:szCs w:val="24"/>
              </w:rPr>
              <w:t>10≤X＜100</w:t>
            </w:r>
          </w:p>
        </w:tc>
        <w:tc>
          <w:tcPr>
            <w:tcW w:w="862" w:type="dxa"/>
            <w:noWrap w:val="0"/>
            <w:vAlign w:val="center"/>
          </w:tcPr>
          <w:p w14:paraId="32FA802F">
            <w:pPr>
              <w:pStyle w:val="81"/>
              <w:autoSpaceDE w:val="0"/>
              <w:autoSpaceDN w:val="0"/>
              <w:spacing w:line="360" w:lineRule="auto"/>
              <w:jc w:val="center"/>
              <w:rPr>
                <w:color w:val="000000"/>
                <w:sz w:val="24"/>
                <w:szCs w:val="24"/>
              </w:rPr>
            </w:pPr>
            <w:r>
              <w:rPr>
                <w:rFonts w:hint="eastAsia"/>
                <w:color w:val="000000"/>
                <w:sz w:val="24"/>
                <w:szCs w:val="24"/>
              </w:rPr>
              <w:t>X＜10</w:t>
            </w:r>
          </w:p>
        </w:tc>
      </w:tr>
    </w:tbl>
    <w:p w14:paraId="4D6234F1">
      <w:pPr>
        <w:autoSpaceDE w:val="0"/>
        <w:autoSpaceDN w:val="0"/>
        <w:spacing w:line="360" w:lineRule="auto"/>
        <w:ind w:firstLine="482" w:firstLineChars="200"/>
        <w:jc w:val="left"/>
        <w:rPr>
          <w:rFonts w:ascii="宋体" w:hAnsi="宋体" w:cs="宋体"/>
          <w:b/>
          <w:color w:val="000000"/>
          <w:sz w:val="24"/>
        </w:rPr>
      </w:pPr>
      <w:r>
        <w:rPr>
          <w:rFonts w:hint="eastAsia" w:ascii="宋体" w:hAnsi="宋体" w:cs="宋体"/>
          <w:b/>
          <w:color w:val="000000"/>
          <w:sz w:val="24"/>
        </w:rPr>
        <w:t>说明：</w:t>
      </w:r>
    </w:p>
    <w:p w14:paraId="67B7D88B">
      <w:pPr>
        <w:pStyle w:val="92"/>
        <w:tabs>
          <w:tab w:val="left" w:pos="1769"/>
        </w:tabs>
        <w:autoSpaceDE w:val="0"/>
        <w:autoSpaceDN w:val="0"/>
        <w:spacing w:line="360" w:lineRule="auto"/>
        <w:ind w:left="-8" w:firstLine="452"/>
        <w:jc w:val="left"/>
        <w:rPr>
          <w:rFonts w:ascii="宋体" w:hAnsi="宋体" w:cs="宋体"/>
          <w:color w:val="000000"/>
          <w:sz w:val="24"/>
          <w:szCs w:val="24"/>
        </w:rPr>
      </w:pPr>
      <w:r>
        <w:rPr>
          <w:rFonts w:hint="eastAsia" w:ascii="宋体" w:hAnsi="宋体" w:cs="宋体"/>
          <w:color w:val="000000"/>
          <w:spacing w:val="-7"/>
          <w:sz w:val="24"/>
          <w:szCs w:val="24"/>
        </w:rPr>
        <w:t>（1）大型、中型和小型企业须同时满足所列指标的下限，否则下划一档；微型企业只</w:t>
      </w:r>
      <w:r>
        <w:rPr>
          <w:rFonts w:hint="eastAsia" w:ascii="宋体" w:hAnsi="宋体" w:cs="宋体"/>
          <w:color w:val="000000"/>
          <w:sz w:val="24"/>
          <w:szCs w:val="24"/>
        </w:rPr>
        <w:t>须满足所列指标中的一项即可。</w:t>
      </w:r>
    </w:p>
    <w:p w14:paraId="6B127AFB">
      <w:pPr>
        <w:pStyle w:val="92"/>
        <w:tabs>
          <w:tab w:val="left" w:pos="1769"/>
        </w:tabs>
        <w:autoSpaceDE w:val="0"/>
        <w:autoSpaceDN w:val="0"/>
        <w:spacing w:line="360" w:lineRule="auto"/>
        <w:ind w:left="-8" w:firstLine="468"/>
        <w:jc w:val="left"/>
        <w:rPr>
          <w:rFonts w:ascii="宋体" w:hAnsi="宋体" w:cs="宋体"/>
          <w:color w:val="000000"/>
          <w:sz w:val="24"/>
          <w:szCs w:val="24"/>
        </w:rPr>
      </w:pPr>
      <w:r>
        <w:rPr>
          <w:rFonts w:hint="eastAsia" w:ascii="宋体" w:hAnsi="宋体" w:cs="宋体"/>
          <w:color w:val="000000"/>
          <w:spacing w:val="-3"/>
          <w:sz w:val="24"/>
          <w:szCs w:val="24"/>
        </w:rPr>
        <w:t>（2）附表中各行业的范围以《国民经济行业分类》</w:t>
      </w:r>
      <w:r>
        <w:rPr>
          <w:rFonts w:hint="eastAsia" w:ascii="宋体" w:hAnsi="宋体" w:cs="宋体"/>
          <w:color w:val="000000"/>
          <w:sz w:val="24"/>
          <w:szCs w:val="24"/>
        </w:rPr>
        <w:t>（GB/T4754-2017）</w:t>
      </w:r>
      <w:r>
        <w:rPr>
          <w:rFonts w:hint="eastAsia" w:ascii="宋体" w:hAnsi="宋体" w:cs="宋体"/>
          <w:color w:val="000000"/>
          <w:spacing w:val="-4"/>
          <w:sz w:val="24"/>
          <w:szCs w:val="24"/>
        </w:rPr>
        <w:t>为准。带</w:t>
      </w:r>
      <w:r>
        <w:rPr>
          <w:rFonts w:hint="eastAsia" w:ascii="宋体" w:hAnsi="宋体" w:cs="宋体"/>
          <w:color w:val="000000"/>
          <w:sz w:val="24"/>
          <w:szCs w:val="24"/>
        </w:rPr>
        <w:t>*的项</w:t>
      </w:r>
      <w:r>
        <w:rPr>
          <w:rFonts w:hint="eastAsia" w:ascii="宋体" w:hAnsi="宋体" w:cs="宋体"/>
          <w:color w:val="000000"/>
          <w:spacing w:val="-8"/>
          <w:sz w:val="24"/>
          <w:szCs w:val="24"/>
        </w:rPr>
        <w:t>为行业组合类别，其中，工业包括采矿业，制造业，电力、热力、燃气及水生产和供应业；</w:t>
      </w:r>
      <w:r>
        <w:rPr>
          <w:rFonts w:hint="eastAsia" w:ascii="宋体" w:hAnsi="宋体" w:cs="宋体"/>
          <w:color w:val="000000"/>
          <w:sz w:val="24"/>
          <w:szCs w:val="24"/>
        </w:rPr>
        <w:t>交通运输业包括道路运输业，水上运输业，航空运输业，管道运输业，多式联运和运输代理业、装卸搬运，不包括铁路运输业；仓储业包括通用仓储，低温仓储，危险品仓储，谷</w:t>
      </w:r>
      <w:r>
        <w:rPr>
          <w:rFonts w:hint="eastAsia" w:ascii="宋体" w:hAnsi="宋体" w:cs="宋体"/>
          <w:color w:val="000000"/>
          <w:spacing w:val="-8"/>
          <w:sz w:val="24"/>
          <w:szCs w:val="24"/>
        </w:rPr>
        <w:t>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3CDB1A5C">
      <w:pPr>
        <w:pStyle w:val="92"/>
        <w:tabs>
          <w:tab w:val="left" w:pos="1769"/>
        </w:tabs>
        <w:autoSpaceDE w:val="0"/>
        <w:autoSpaceDN w:val="0"/>
        <w:spacing w:line="360" w:lineRule="auto"/>
        <w:ind w:left="-8" w:firstLine="480"/>
        <w:jc w:val="left"/>
        <w:rPr>
          <w:rFonts w:ascii="宋体" w:hAnsi="宋体" w:cs="宋体"/>
          <w:color w:val="000000"/>
          <w:sz w:val="24"/>
          <w:szCs w:val="24"/>
        </w:rPr>
      </w:pPr>
      <w:r>
        <w:rPr>
          <w:rFonts w:hint="eastAsia" w:ascii="宋体" w:hAnsi="宋体" w:cs="宋体"/>
          <w:color w:val="000000"/>
          <w:sz w:val="24"/>
          <w:szCs w:val="24"/>
        </w:rPr>
        <w:t>（3）企业划分指标以现行统计制度为准。</w:t>
      </w:r>
    </w:p>
    <w:p w14:paraId="3EC516BC">
      <w:pPr>
        <w:pStyle w:val="92"/>
        <w:tabs>
          <w:tab w:val="left" w:pos="1529"/>
        </w:tabs>
        <w:autoSpaceDE w:val="0"/>
        <w:autoSpaceDN w:val="0"/>
        <w:spacing w:line="360" w:lineRule="auto"/>
        <w:ind w:left="-8" w:firstLine="452"/>
        <w:jc w:val="left"/>
        <w:rPr>
          <w:rFonts w:ascii="宋体" w:hAnsi="宋体" w:cs="宋体"/>
          <w:color w:val="000000"/>
          <w:sz w:val="24"/>
          <w:szCs w:val="24"/>
        </w:rPr>
      </w:pPr>
      <w:r>
        <w:rPr>
          <w:rFonts w:hint="eastAsia" w:ascii="宋体" w:hAnsi="宋体" w:cs="宋体"/>
          <w:color w:val="000000"/>
          <w:spacing w:val="-7"/>
          <w:sz w:val="24"/>
          <w:szCs w:val="24"/>
        </w:rPr>
        <w:t>1）从业人员，是指期末从业人员数，没有期末从业人员数的，采用全年平均人员数代</w:t>
      </w:r>
      <w:r>
        <w:rPr>
          <w:rFonts w:hint="eastAsia" w:ascii="宋体" w:hAnsi="宋体" w:cs="宋体"/>
          <w:color w:val="000000"/>
          <w:sz w:val="24"/>
          <w:szCs w:val="24"/>
        </w:rPr>
        <w:t>替。</w:t>
      </w:r>
    </w:p>
    <w:p w14:paraId="1171957B">
      <w:pPr>
        <w:pStyle w:val="92"/>
        <w:tabs>
          <w:tab w:val="left" w:pos="1529"/>
        </w:tabs>
        <w:autoSpaceDE w:val="0"/>
        <w:autoSpaceDN w:val="0"/>
        <w:spacing w:line="360" w:lineRule="auto"/>
        <w:ind w:left="-8" w:firstLine="448"/>
        <w:rPr>
          <w:rFonts w:ascii="宋体" w:hAnsi="宋体" w:cs="宋体"/>
          <w:color w:val="000000"/>
          <w:sz w:val="24"/>
          <w:szCs w:val="24"/>
        </w:rPr>
      </w:pPr>
      <w:r>
        <w:rPr>
          <w:rFonts w:hint="eastAsia" w:ascii="宋体" w:hAnsi="宋体" w:cs="宋体"/>
          <w:color w:val="000000"/>
          <w:spacing w:val="-8"/>
          <w:sz w:val="24"/>
          <w:szCs w:val="24"/>
        </w:rPr>
        <w:t>2）营业收入，工业、建筑业、限额以上批发和零售业、限额以上住宿和餐饮业以及其</w:t>
      </w:r>
      <w:r>
        <w:rPr>
          <w:rFonts w:hint="eastAsia" w:ascii="宋体" w:hAnsi="宋体" w:cs="宋体"/>
          <w:color w:val="000000"/>
          <w:sz w:val="24"/>
          <w:szCs w:val="24"/>
        </w:rPr>
        <w:t>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p>
    <w:p w14:paraId="478F2734">
      <w:pPr>
        <w:pStyle w:val="92"/>
        <w:tabs>
          <w:tab w:val="left" w:pos="1529"/>
        </w:tabs>
        <w:autoSpaceDE w:val="0"/>
        <w:autoSpaceDN w:val="0"/>
        <w:spacing w:line="360" w:lineRule="auto"/>
        <w:ind w:left="-8" w:firstLine="480"/>
        <w:jc w:val="left"/>
        <w:rPr>
          <w:rFonts w:ascii="宋体" w:hAnsi="宋体" w:cs="宋体"/>
          <w:color w:val="000000"/>
          <w:sz w:val="24"/>
          <w:szCs w:val="24"/>
        </w:rPr>
      </w:pPr>
      <w:r>
        <w:rPr>
          <w:rFonts w:hint="eastAsia" w:ascii="宋体" w:hAnsi="宋体" w:cs="宋体"/>
          <w:color w:val="000000"/>
          <w:sz w:val="24"/>
          <w:szCs w:val="24"/>
        </w:rPr>
        <w:t>3）资产总额，采用资产总计代替。</w:t>
      </w:r>
    </w:p>
    <w:p w14:paraId="53408073">
      <w:pPr>
        <w:shd w:val="clear" w:color="auto" w:fill="auto"/>
        <w:spacing w:line="240" w:lineRule="exact"/>
        <w:rPr>
          <w:rFonts w:hint="eastAsia" w:ascii="宋体" w:hAnsi="宋体" w:cs="宋体"/>
          <w:color w:val="000000"/>
          <w:highlight w:val="none"/>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4</w:t>
      </w:r>
      <w:r>
        <w:rPr>
          <w:rFonts w:hint="eastAsia" w:ascii="宋体" w:hAnsi="宋体" w:cs="宋体"/>
          <w:color w:val="000000"/>
          <w:sz w:val="24"/>
          <w:szCs w:val="24"/>
          <w:lang w:eastAsia="zh-CN"/>
        </w:rPr>
        <w:t>）其他未尽事宜按国家相关法律法规执行</w:t>
      </w:r>
      <w:r>
        <w:rPr>
          <w:rFonts w:hint="eastAsia" w:ascii="宋体" w:hAnsi="宋体"/>
          <w:color w:val="000000"/>
          <w:sz w:val="24"/>
        </w:rPr>
        <w:t>。</w:t>
      </w:r>
      <w:r>
        <w:rPr>
          <w:rFonts w:hint="eastAsia" w:ascii="宋体" w:hAnsi="宋体" w:cs="宋体"/>
          <w:color w:val="000000"/>
          <w:sz w:val="32"/>
          <w:szCs w:val="32"/>
          <w:highlight w:val="none"/>
        </w:rPr>
        <w:br w:type="page"/>
      </w:r>
      <w:bookmarkStart w:id="211" w:name="_Toc31137"/>
      <w:bookmarkEnd w:id="211"/>
      <w:bookmarkStart w:id="212" w:name="_Toc13313"/>
    </w:p>
    <w:bookmarkEnd w:id="212"/>
    <w:p w14:paraId="546DCC24">
      <w:pPr>
        <w:pStyle w:val="2"/>
        <w:shd w:val="clear" w:color="auto" w:fill="auto"/>
        <w:spacing w:before="0" w:after="0" w:line="360" w:lineRule="auto"/>
        <w:jc w:val="center"/>
        <w:rPr>
          <w:rFonts w:hint="eastAsia" w:ascii="宋体" w:hAnsi="宋体" w:cs="宋体"/>
          <w:color w:val="000000"/>
          <w:highlight w:val="none"/>
        </w:rPr>
      </w:pPr>
      <w:bookmarkStart w:id="213" w:name="_Toc22933"/>
      <w:bookmarkEnd w:id="213"/>
      <w:bookmarkStart w:id="214" w:name="_Toc26828"/>
      <w:bookmarkEnd w:id="214"/>
      <w:bookmarkStart w:id="215" w:name="_Toc18440"/>
      <w:bookmarkEnd w:id="215"/>
      <w:bookmarkStart w:id="216" w:name="_Toc30727"/>
      <w:bookmarkStart w:id="217" w:name="_Toc6890"/>
      <w:bookmarkStart w:id="218" w:name="_Toc15431"/>
      <w:r>
        <w:rPr>
          <w:rFonts w:hint="eastAsia" w:ascii="宋体" w:hAnsi="宋体" w:cs="宋体"/>
          <w:color w:val="000000"/>
          <w:highlight w:val="none"/>
        </w:rPr>
        <w:t>第三章 合同条款及格式</w:t>
      </w:r>
      <w:bookmarkEnd w:id="216"/>
      <w:bookmarkEnd w:id="217"/>
      <w:bookmarkEnd w:id="218"/>
      <w:bookmarkStart w:id="219" w:name="_Toc4725"/>
      <w:bookmarkStart w:id="220" w:name="_Toc24075"/>
    </w:p>
    <w:p w14:paraId="0CA53C92">
      <w:pPr>
        <w:jc w:val="center"/>
        <w:rPr>
          <w:rFonts w:ascii="宋体" w:hAnsi="宋体" w:cs="宋体"/>
          <w:b/>
          <w:sz w:val="28"/>
          <w:szCs w:val="72"/>
        </w:rPr>
      </w:pPr>
      <w:r>
        <w:rPr>
          <w:rFonts w:hint="eastAsia" w:ascii="宋体" w:hAnsi="宋体" w:cs="宋体"/>
          <w:b/>
          <w:sz w:val="28"/>
          <w:szCs w:val="72"/>
        </w:rPr>
        <w:t>本合同条款仅供参考，具体以甲方签订的合同为准！</w:t>
      </w:r>
    </w:p>
    <w:p w14:paraId="75CF02EB">
      <w:pPr>
        <w:jc w:val="center"/>
        <w:rPr>
          <w:rFonts w:ascii="宋体" w:hAnsi="宋体" w:cs="宋体"/>
          <w:b/>
          <w:bCs/>
          <w:sz w:val="28"/>
          <w:szCs w:val="28"/>
        </w:rPr>
      </w:pPr>
    </w:p>
    <w:p w14:paraId="473A6ADE">
      <w:pPr>
        <w:pStyle w:val="14"/>
        <w:tabs>
          <w:tab w:val="left" w:pos="5819"/>
          <w:tab w:val="left" w:pos="7127"/>
        </w:tabs>
        <w:spacing w:before="115"/>
        <w:ind w:left="107"/>
        <w:rPr>
          <w:rFonts w:ascii="宋体" w:hAnsi="宋体" w:cs="宋体"/>
          <w:sz w:val="24"/>
        </w:rPr>
      </w:pPr>
      <w:r>
        <w:rPr>
          <w:rFonts w:hint="eastAsia" w:ascii="宋体" w:hAnsi="宋体" w:cs="宋体"/>
          <w:sz w:val="24"/>
        </w:rPr>
        <w:t xml:space="preserve">合 同 </w:t>
      </w:r>
      <w:r>
        <w:rPr>
          <w:rFonts w:hint="eastAsia" w:ascii="宋体" w:hAnsi="宋体" w:cs="宋体"/>
          <w:spacing w:val="-3"/>
          <w:sz w:val="24"/>
        </w:rPr>
        <w:t xml:space="preserve">编 </w:t>
      </w:r>
      <w:r>
        <w:rPr>
          <w:rFonts w:hint="eastAsia" w:ascii="宋体" w:hAnsi="宋体" w:cs="宋体"/>
          <w:sz w:val="24"/>
        </w:rPr>
        <w:t xml:space="preserve">号 </w:t>
      </w:r>
      <w:r>
        <w:rPr>
          <w:rFonts w:hint="eastAsia" w:ascii="宋体" w:hAnsi="宋体" w:cs="宋体"/>
          <w:spacing w:val="-3"/>
          <w:sz w:val="24"/>
        </w:rPr>
        <w:t xml:space="preserve">：               </w:t>
      </w:r>
      <w:r>
        <w:rPr>
          <w:rFonts w:hint="eastAsia" w:ascii="宋体" w:hAnsi="宋体" w:cs="宋体"/>
          <w:spacing w:val="62"/>
          <w:sz w:val="24"/>
        </w:rPr>
        <w:t xml:space="preserve"> </w:t>
      </w:r>
      <w:r>
        <w:rPr>
          <w:rFonts w:hint="eastAsia" w:ascii="宋体" w:hAnsi="宋体" w:cs="宋体"/>
          <w:spacing w:val="-3"/>
          <w:sz w:val="24"/>
        </w:rPr>
        <w:t xml:space="preserve">合 </w:t>
      </w:r>
      <w:r>
        <w:rPr>
          <w:rFonts w:hint="eastAsia" w:ascii="宋体" w:hAnsi="宋体" w:cs="宋体"/>
          <w:sz w:val="24"/>
        </w:rPr>
        <w:t xml:space="preserve">同 </w:t>
      </w:r>
      <w:r>
        <w:rPr>
          <w:rFonts w:hint="eastAsia" w:ascii="宋体" w:hAnsi="宋体" w:cs="宋体"/>
          <w:spacing w:val="-3"/>
          <w:sz w:val="24"/>
        </w:rPr>
        <w:t xml:space="preserve">自 </w:t>
      </w:r>
      <w:r>
        <w:rPr>
          <w:rFonts w:hint="eastAsia" w:ascii="宋体" w:hAnsi="宋体" w:cs="宋体"/>
          <w:sz w:val="24"/>
        </w:rPr>
        <w:t xml:space="preserve">编 </w:t>
      </w:r>
      <w:r>
        <w:rPr>
          <w:rFonts w:hint="eastAsia" w:ascii="宋体" w:hAnsi="宋体" w:cs="宋体"/>
          <w:spacing w:val="-3"/>
          <w:sz w:val="24"/>
        </w:rPr>
        <w:t>号：</w:t>
      </w:r>
      <w:r>
        <w:rPr>
          <w:rFonts w:hint="eastAsia" w:ascii="宋体" w:hAnsi="宋体" w:cs="宋体"/>
          <w:spacing w:val="-3"/>
          <w:sz w:val="24"/>
        </w:rPr>
        <w:tab/>
      </w:r>
      <w:r>
        <w:rPr>
          <w:rFonts w:hint="eastAsia" w:ascii="宋体" w:hAnsi="宋体" w:cs="宋体"/>
          <w:spacing w:val="-3"/>
          <w:sz w:val="24"/>
        </w:rPr>
        <w:tab/>
      </w:r>
      <w:r>
        <w:rPr>
          <w:rFonts w:hint="eastAsia" w:ascii="宋体" w:hAnsi="宋体" w:cs="宋体"/>
          <w:sz w:val="24"/>
        </w:rPr>
        <w:t>项目</w:t>
      </w:r>
      <w:r>
        <w:rPr>
          <w:rFonts w:hint="eastAsia" w:ascii="宋体" w:hAnsi="宋体" w:cs="宋体"/>
          <w:spacing w:val="-3"/>
          <w:sz w:val="24"/>
        </w:rPr>
        <w:t>编</w:t>
      </w:r>
      <w:r>
        <w:rPr>
          <w:rFonts w:hint="eastAsia" w:ascii="宋体" w:hAnsi="宋体" w:cs="宋体"/>
          <w:sz w:val="24"/>
        </w:rPr>
        <w:t>号</w:t>
      </w:r>
      <w:r>
        <w:rPr>
          <w:rFonts w:hint="eastAsia" w:ascii="宋体" w:hAnsi="宋体" w:cs="宋体"/>
          <w:spacing w:val="-3"/>
          <w:sz w:val="24"/>
        </w:rPr>
        <w:t xml:space="preserve">： </w:t>
      </w:r>
      <w:r>
        <w:rPr>
          <w:rFonts w:hint="eastAsia" w:ascii="宋体" w:hAnsi="宋体" w:cs="宋体"/>
          <w:sz w:val="24"/>
        </w:rPr>
        <w:t xml:space="preserve"> </w:t>
      </w:r>
    </w:p>
    <w:p w14:paraId="09DB4D83">
      <w:pPr>
        <w:pStyle w:val="14"/>
        <w:spacing w:before="8"/>
        <w:rPr>
          <w:rFonts w:ascii="宋体" w:hAnsi="宋体" w:cs="宋体"/>
          <w:sz w:val="24"/>
        </w:rPr>
      </w:pPr>
    </w:p>
    <w:p w14:paraId="2019A78B">
      <w:pPr>
        <w:pStyle w:val="14"/>
        <w:ind w:left="232"/>
        <w:rPr>
          <w:rFonts w:ascii="宋体" w:hAnsi="宋体" w:cs="宋体"/>
          <w:sz w:val="24"/>
        </w:rPr>
      </w:pPr>
      <w:r>
        <w:rPr>
          <w:rFonts w:hint="eastAsia" w:ascii="宋体" w:hAnsi="宋体" w:cs="宋体"/>
          <w:sz w:val="24"/>
        </w:rPr>
        <w:t xml:space="preserve">●本合同须加盖甲乙双方骑缝章有效 </w:t>
      </w:r>
    </w:p>
    <w:p w14:paraId="376EA583">
      <w:pPr>
        <w:spacing w:before="46"/>
        <w:ind w:left="2523" w:right="2418"/>
        <w:jc w:val="center"/>
        <w:rPr>
          <w:rFonts w:ascii="宋体" w:hAnsi="宋体" w:cs="宋体"/>
          <w:sz w:val="18"/>
        </w:rPr>
      </w:pPr>
      <w:bookmarkStart w:id="221" w:name="_Toc31844"/>
      <w:bookmarkStart w:id="222" w:name="_Toc30414"/>
      <w:bookmarkStart w:id="223" w:name="_Toc13477"/>
      <w:bookmarkStart w:id="224" w:name="_Toc31362"/>
      <w:r>
        <w:rPr>
          <w:rFonts w:hint="eastAsia" w:ascii="宋体" w:hAnsi="宋体" w:cs="宋体"/>
          <w:sz w:val="39"/>
        </w:rPr>
        <w:t>云南省省级政府采购</w:t>
      </w:r>
      <w:bookmarkEnd w:id="221"/>
      <w:bookmarkEnd w:id="222"/>
      <w:bookmarkEnd w:id="223"/>
      <w:bookmarkEnd w:id="224"/>
      <w:r>
        <w:rPr>
          <w:rFonts w:hint="eastAsia" w:ascii="宋体" w:hAnsi="宋体" w:cs="宋体"/>
          <w:sz w:val="18"/>
        </w:rPr>
        <w:t xml:space="preserve"> </w:t>
      </w:r>
    </w:p>
    <w:p w14:paraId="78C135F5">
      <w:pPr>
        <w:pStyle w:val="14"/>
        <w:rPr>
          <w:rFonts w:ascii="宋体" w:hAnsi="宋体" w:cs="宋体"/>
          <w:sz w:val="20"/>
        </w:rPr>
      </w:pPr>
    </w:p>
    <w:p w14:paraId="3552E12B">
      <w:pPr>
        <w:pStyle w:val="14"/>
        <w:spacing w:before="6"/>
        <w:rPr>
          <w:rFonts w:ascii="宋体" w:hAnsi="宋体" w:cs="宋体"/>
          <w:sz w:val="29"/>
        </w:rPr>
      </w:pPr>
    </w:p>
    <w:p w14:paraId="72D8E164">
      <w:pPr>
        <w:spacing w:before="75"/>
        <w:ind w:left="103"/>
        <w:jc w:val="center"/>
        <w:rPr>
          <w:rFonts w:ascii="宋体" w:hAnsi="宋体" w:cs="宋体"/>
          <w:sz w:val="18"/>
        </w:rPr>
      </w:pPr>
    </w:p>
    <w:p w14:paraId="64856F0F">
      <w:pPr>
        <w:spacing w:before="46"/>
        <w:ind w:left="2523" w:right="2418"/>
        <w:jc w:val="center"/>
        <w:rPr>
          <w:rFonts w:ascii="宋体" w:hAnsi="宋体" w:cs="宋体"/>
          <w:sz w:val="39"/>
        </w:rPr>
      </w:pPr>
      <w:bookmarkStart w:id="225" w:name="_Toc14888"/>
      <w:bookmarkStart w:id="226" w:name="_Toc12191"/>
    </w:p>
    <w:p w14:paraId="2137E30F">
      <w:pPr>
        <w:ind w:left="2610" w:right="2418"/>
        <w:jc w:val="center"/>
        <w:rPr>
          <w:rFonts w:ascii="宋体" w:hAnsi="宋体" w:cs="宋体"/>
          <w:sz w:val="18"/>
        </w:rPr>
      </w:pPr>
      <w:bookmarkStart w:id="227" w:name="_Toc27587"/>
      <w:bookmarkStart w:id="228" w:name="_Toc30636"/>
      <w:r>
        <w:rPr>
          <w:rFonts w:hint="eastAsia" w:ascii="宋体" w:hAnsi="宋体" w:cs="宋体"/>
          <w:sz w:val="33"/>
        </w:rPr>
        <w:t>（委托采购）</w:t>
      </w:r>
      <w:bookmarkEnd w:id="225"/>
      <w:bookmarkEnd w:id="226"/>
      <w:bookmarkEnd w:id="227"/>
      <w:bookmarkEnd w:id="228"/>
    </w:p>
    <w:p w14:paraId="77AEC4D9">
      <w:pPr>
        <w:spacing w:before="101"/>
        <w:jc w:val="both"/>
        <w:rPr>
          <w:rFonts w:ascii="宋体" w:hAnsi="宋体" w:cs="宋体"/>
          <w:sz w:val="18"/>
        </w:rPr>
      </w:pPr>
    </w:p>
    <w:p w14:paraId="02D7B778">
      <w:pPr>
        <w:spacing w:before="100"/>
        <w:ind w:left="103"/>
        <w:jc w:val="center"/>
        <w:rPr>
          <w:rFonts w:ascii="宋体" w:hAnsi="宋体" w:cs="宋体"/>
          <w:sz w:val="18"/>
        </w:rPr>
      </w:pPr>
    </w:p>
    <w:p w14:paraId="4F59D69D">
      <w:pPr>
        <w:pStyle w:val="14"/>
        <w:rPr>
          <w:rFonts w:ascii="宋体" w:hAnsi="宋体" w:cs="宋体"/>
          <w:sz w:val="18"/>
        </w:rPr>
      </w:pPr>
    </w:p>
    <w:p w14:paraId="548927B4">
      <w:pPr>
        <w:spacing w:before="155" w:line="367" w:lineRule="auto"/>
        <w:ind w:left="4665" w:right="4468"/>
        <w:rPr>
          <w:rFonts w:ascii="宋体" w:hAnsi="宋体" w:cs="宋体"/>
          <w:sz w:val="18"/>
        </w:rPr>
      </w:pPr>
      <w:bookmarkStart w:id="229" w:name="_Toc12389"/>
      <w:bookmarkStart w:id="230" w:name="_Toc18329"/>
      <w:bookmarkStart w:id="231" w:name="_Toc7374"/>
      <w:bookmarkStart w:id="232" w:name="_Toc27646"/>
      <w:r>
        <w:rPr>
          <w:rFonts w:hint="eastAsia" w:ascii="宋体" w:hAnsi="宋体" w:cs="宋体"/>
          <w:sz w:val="63"/>
        </w:rPr>
        <w:t>合同书</w:t>
      </w:r>
      <w:bookmarkEnd w:id="229"/>
      <w:bookmarkEnd w:id="230"/>
      <w:bookmarkEnd w:id="231"/>
      <w:bookmarkEnd w:id="232"/>
    </w:p>
    <w:p w14:paraId="04389AFC">
      <w:pPr>
        <w:pStyle w:val="14"/>
        <w:spacing w:before="3"/>
        <w:rPr>
          <w:rFonts w:ascii="宋体" w:hAnsi="宋体" w:cs="宋体"/>
          <w:sz w:val="25"/>
        </w:rPr>
      </w:pPr>
    </w:p>
    <w:p w14:paraId="388D4213">
      <w:pPr>
        <w:spacing w:before="63"/>
        <w:ind w:left="2611" w:right="2417"/>
        <w:jc w:val="center"/>
        <w:rPr>
          <w:rFonts w:ascii="宋体" w:hAnsi="宋体" w:cs="宋体"/>
          <w:sz w:val="18"/>
        </w:rPr>
      </w:pPr>
      <w:bookmarkStart w:id="233" w:name="_Toc9429"/>
      <w:bookmarkStart w:id="234" w:name="_Toc14073"/>
      <w:bookmarkStart w:id="235" w:name="_Toc19682"/>
      <w:bookmarkStart w:id="236" w:name="_Toc25960"/>
      <w:r>
        <w:rPr>
          <w:rFonts w:hint="eastAsia" w:ascii="宋体" w:hAnsi="宋体" w:cs="宋体"/>
          <w:b/>
          <w:sz w:val="27"/>
        </w:rPr>
        <w:t>签订地点：</w:t>
      </w:r>
      <w:bookmarkEnd w:id="233"/>
      <w:bookmarkEnd w:id="234"/>
      <w:bookmarkEnd w:id="235"/>
      <w:bookmarkEnd w:id="236"/>
      <w:r>
        <w:rPr>
          <w:rFonts w:hint="eastAsia" w:ascii="宋体" w:hAnsi="宋体" w:cs="宋体"/>
          <w:b/>
          <w:sz w:val="27"/>
        </w:rPr>
        <w:t xml:space="preserve">          </w:t>
      </w:r>
    </w:p>
    <w:p w14:paraId="37FDD64F">
      <w:pPr>
        <w:pStyle w:val="14"/>
        <w:rPr>
          <w:rFonts w:ascii="宋体" w:hAnsi="宋体" w:cs="宋体"/>
          <w:sz w:val="20"/>
        </w:rPr>
      </w:pPr>
    </w:p>
    <w:p w14:paraId="282152D4">
      <w:pPr>
        <w:pStyle w:val="14"/>
        <w:rPr>
          <w:rFonts w:ascii="宋体" w:hAnsi="宋体" w:cs="宋体"/>
          <w:sz w:val="20"/>
        </w:rPr>
      </w:pPr>
    </w:p>
    <w:p w14:paraId="6A1878D6">
      <w:pPr>
        <w:pStyle w:val="14"/>
        <w:spacing w:before="8"/>
        <w:rPr>
          <w:rFonts w:ascii="宋体" w:hAnsi="宋体" w:cs="宋体"/>
          <w:sz w:val="14"/>
        </w:rPr>
      </w:pPr>
    </w:p>
    <w:p w14:paraId="79FB2E73">
      <w:pPr>
        <w:jc w:val="center"/>
        <w:rPr>
          <w:rFonts w:ascii="宋体" w:hAnsi="宋体" w:cs="宋体"/>
          <w:b/>
          <w:bCs/>
        </w:rPr>
      </w:pPr>
      <w:bookmarkStart w:id="237" w:name="_Toc11464"/>
      <w:bookmarkStart w:id="238" w:name="_Toc3296"/>
      <w:bookmarkStart w:id="239" w:name="_Toc18660"/>
      <w:bookmarkStart w:id="240" w:name="_Toc7682"/>
      <w:r>
        <w:rPr>
          <w:rFonts w:hint="eastAsia" w:ascii="宋体" w:hAnsi="宋体" w:cs="宋体"/>
          <w:b/>
          <w:sz w:val="27"/>
        </w:rPr>
        <w:t>云南省财政厅制</w:t>
      </w:r>
      <w:bookmarkEnd w:id="237"/>
      <w:bookmarkEnd w:id="238"/>
      <w:bookmarkEnd w:id="239"/>
      <w:bookmarkEnd w:id="240"/>
    </w:p>
    <w:p w14:paraId="2B960E00">
      <w:pPr>
        <w:tabs>
          <w:tab w:val="left" w:pos="720"/>
        </w:tabs>
        <w:spacing w:line="360" w:lineRule="auto"/>
        <w:ind w:firstLine="480" w:firstLineChars="200"/>
        <w:rPr>
          <w:rFonts w:ascii="宋体" w:hAnsi="宋体" w:cs="宋体"/>
          <w:sz w:val="24"/>
        </w:rPr>
      </w:pPr>
      <w:r>
        <w:rPr>
          <w:rFonts w:hint="eastAsia" w:ascii="宋体" w:hAnsi="宋体" w:cs="宋体"/>
          <w:sz w:val="24"/>
        </w:rPr>
        <w:t>甲方：</w:t>
      </w:r>
    </w:p>
    <w:p w14:paraId="1A1DB5BC">
      <w:pPr>
        <w:tabs>
          <w:tab w:val="left" w:pos="720"/>
        </w:tabs>
        <w:spacing w:line="360" w:lineRule="auto"/>
        <w:ind w:firstLine="480" w:firstLineChars="200"/>
        <w:rPr>
          <w:rFonts w:ascii="宋体" w:hAnsi="宋体" w:cs="宋体"/>
          <w:sz w:val="24"/>
        </w:rPr>
      </w:pPr>
      <w:r>
        <w:rPr>
          <w:rFonts w:hint="eastAsia" w:ascii="宋体" w:hAnsi="宋体" w:cs="宋体"/>
          <w:sz w:val="24"/>
        </w:rPr>
        <w:t>乙方：</w:t>
      </w:r>
    </w:p>
    <w:p w14:paraId="10926CAA">
      <w:pPr>
        <w:tabs>
          <w:tab w:val="left" w:pos="720"/>
        </w:tabs>
        <w:spacing w:line="360" w:lineRule="auto"/>
        <w:ind w:firstLine="480" w:firstLineChars="200"/>
        <w:rPr>
          <w:rFonts w:ascii="宋体" w:hAnsi="宋体" w:cs="宋体"/>
          <w:sz w:val="24"/>
        </w:rPr>
      </w:pPr>
      <w:r>
        <w:rPr>
          <w:rFonts w:hint="eastAsia" w:ascii="宋体" w:hAnsi="宋体" w:cs="宋体"/>
          <w:sz w:val="24"/>
        </w:rPr>
        <w:t>根据甲方委托</w:t>
      </w:r>
      <w:r>
        <w:rPr>
          <w:rFonts w:hint="eastAsia" w:ascii="宋体" w:hAnsi="宋体" w:cs="宋体"/>
          <w:sz w:val="24"/>
          <w:u w:val="single"/>
        </w:rPr>
        <w:t xml:space="preserve">       （采购代理机构名称）</w:t>
      </w:r>
      <w:r>
        <w:rPr>
          <w:rFonts w:hint="eastAsia" w:ascii="宋体" w:hAnsi="宋体" w:cs="宋体"/>
          <w:sz w:val="24"/>
        </w:rPr>
        <w:t xml:space="preserve">实施的 </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项目</w:t>
      </w:r>
      <w:r>
        <w:rPr>
          <w:rFonts w:hint="eastAsia" w:ascii="宋体" w:hAnsi="宋体" w:cs="宋体"/>
          <w:sz w:val="24"/>
          <w:u w:val="single"/>
          <w:lang w:val="en-US" w:eastAsia="zh-CN"/>
        </w:rPr>
        <w:t xml:space="preserve">   （标段）  </w:t>
      </w:r>
      <w:r>
        <w:rPr>
          <w:rFonts w:hint="eastAsia" w:ascii="宋体" w:hAnsi="宋体" w:cs="宋体"/>
          <w:sz w:val="24"/>
        </w:rPr>
        <w:t>的采购结果，按照《中华人民共和国政府采购法》、《中华人民共和国民法典》的规定，</w:t>
      </w:r>
      <w:r>
        <w:rPr>
          <w:rFonts w:hint="eastAsia" w:ascii="宋体" w:hAnsi="宋体" w:cs="宋体"/>
          <w:kern w:val="28"/>
          <w:sz w:val="24"/>
        </w:rPr>
        <w:t>经甲乙双方协商，</w:t>
      </w:r>
      <w:r>
        <w:rPr>
          <w:rFonts w:hint="eastAsia" w:ascii="宋体" w:hAnsi="宋体" w:cs="宋体"/>
          <w:sz w:val="24"/>
        </w:rPr>
        <w:t>本着平等互利和诚实信用的原则，双方</w:t>
      </w:r>
      <w:r>
        <w:rPr>
          <w:rFonts w:hint="eastAsia" w:ascii="宋体" w:hAnsi="宋体" w:cs="宋体"/>
          <w:kern w:val="28"/>
          <w:sz w:val="24"/>
        </w:rPr>
        <w:t>一致同意，签订本合同</w:t>
      </w:r>
      <w:r>
        <w:rPr>
          <w:rFonts w:hint="eastAsia" w:ascii="宋体" w:hAnsi="宋体" w:cs="宋体"/>
          <w:sz w:val="24"/>
        </w:rPr>
        <w:t>.</w:t>
      </w:r>
    </w:p>
    <w:p w14:paraId="6915966A">
      <w:pPr>
        <w:numPr>
          <w:ilvl w:val="0"/>
          <w:numId w:val="1"/>
        </w:numPr>
        <w:spacing w:line="360" w:lineRule="auto"/>
        <w:rPr>
          <w:rFonts w:ascii="宋体" w:hAnsi="宋体" w:cs="宋体"/>
          <w:b/>
          <w:sz w:val="24"/>
        </w:rPr>
      </w:pPr>
      <w:r>
        <w:rPr>
          <w:rFonts w:hint="eastAsia" w:ascii="宋体" w:hAnsi="宋体" w:cs="宋体"/>
          <w:b/>
          <w:sz w:val="24"/>
        </w:rPr>
        <w:t xml:space="preserve"> 购买服务的内容及期限</w:t>
      </w:r>
    </w:p>
    <w:p w14:paraId="799FD8DA">
      <w:pPr>
        <w:spacing w:line="360" w:lineRule="auto"/>
        <w:ind w:firstLine="555"/>
        <w:rPr>
          <w:rFonts w:ascii="宋体" w:hAnsi="宋体" w:cs="宋体"/>
          <w:sz w:val="24"/>
        </w:rPr>
      </w:pPr>
      <w:r>
        <w:rPr>
          <w:rFonts w:hint="eastAsia" w:ascii="宋体" w:hAnsi="宋体" w:cs="宋体"/>
          <w:sz w:val="24"/>
        </w:rPr>
        <w:t>1、甲方以</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w:t>
      </w:r>
      <w:r>
        <w:rPr>
          <w:rFonts w:hint="eastAsia" w:ascii="宋体" w:hAnsi="宋体" w:cs="宋体"/>
          <w:sz w:val="24"/>
        </w:rPr>
        <w:t>政府采购方式）采购乙方提供的以下服务：</w:t>
      </w:r>
    </w:p>
    <w:p w14:paraId="4A5777A8">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。内容包括：</w:t>
      </w:r>
      <w:r>
        <w:rPr>
          <w:rFonts w:hint="eastAsia" w:ascii="宋体" w:hAnsi="宋体" w:cs="宋体"/>
          <w:sz w:val="24"/>
          <w:u w:val="single"/>
        </w:rPr>
        <w:t xml:space="preserve">                           </w:t>
      </w:r>
      <w:r>
        <w:rPr>
          <w:rFonts w:hint="eastAsia" w:ascii="宋体" w:hAnsi="宋体" w:cs="宋体"/>
          <w:sz w:val="24"/>
        </w:rPr>
        <w:t>。</w:t>
      </w:r>
    </w:p>
    <w:p w14:paraId="07CA180D">
      <w:pPr>
        <w:spacing w:line="360" w:lineRule="auto"/>
        <w:ind w:firstLine="570"/>
        <w:rPr>
          <w:rFonts w:ascii="宋体" w:hAnsi="宋体" w:cs="宋体"/>
          <w:sz w:val="24"/>
        </w:rPr>
      </w:pPr>
      <w:r>
        <w:rPr>
          <w:rFonts w:hint="eastAsia" w:ascii="宋体" w:hAnsi="宋体" w:cs="宋体"/>
          <w:sz w:val="24"/>
        </w:rPr>
        <w:t>2、本合同项目下的服务期限为：</w:t>
      </w:r>
    </w:p>
    <w:p w14:paraId="684E0304">
      <w:pPr>
        <w:spacing w:line="360" w:lineRule="auto"/>
        <w:ind w:firstLine="491" w:firstLineChars="205"/>
        <w:rPr>
          <w:rFonts w:ascii="宋体" w:hAnsi="宋体" w:cs="宋体"/>
          <w:sz w:val="24"/>
        </w:rPr>
      </w:pPr>
      <w:r>
        <w:rPr>
          <w:rFonts w:hint="eastAsia" w:ascii="宋体" w:hAnsi="宋体" w:cs="宋体"/>
          <w:sz w:val="24"/>
        </w:rPr>
        <w:t>自______年___</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日至______年___</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日止，共计</w:t>
      </w:r>
      <w:r>
        <w:rPr>
          <w:rFonts w:hint="eastAsia" w:ascii="宋体" w:hAnsi="宋体" w:cs="宋体"/>
          <w:sz w:val="24"/>
          <w:u w:val="single"/>
        </w:rPr>
        <w:t xml:space="preserve">     </w:t>
      </w:r>
      <w:r>
        <w:rPr>
          <w:rFonts w:hint="eastAsia" w:ascii="宋体" w:hAnsi="宋体" w:cs="宋体"/>
          <w:sz w:val="24"/>
        </w:rPr>
        <w:t>天。</w:t>
      </w:r>
    </w:p>
    <w:p w14:paraId="486B4E78">
      <w:pPr>
        <w:spacing w:line="360" w:lineRule="auto"/>
        <w:ind w:firstLine="570"/>
        <w:rPr>
          <w:rFonts w:ascii="宋体" w:hAnsi="宋体" w:cs="宋体"/>
          <w:sz w:val="24"/>
          <w:u w:val="single"/>
        </w:rPr>
      </w:pPr>
      <w:r>
        <w:rPr>
          <w:rFonts w:hint="eastAsia" w:ascii="宋体" w:hAnsi="宋体" w:cs="宋体"/>
          <w:sz w:val="24"/>
        </w:rPr>
        <w:t>3、服务地点：</w:t>
      </w:r>
      <w:r>
        <w:rPr>
          <w:rFonts w:hint="eastAsia" w:ascii="宋体" w:hAnsi="宋体" w:cs="宋体"/>
          <w:sz w:val="24"/>
          <w:u w:val="single"/>
        </w:rPr>
        <w:t xml:space="preserve">              </w:t>
      </w:r>
      <w:r>
        <w:rPr>
          <w:rFonts w:hint="eastAsia" w:ascii="宋体" w:hAnsi="宋体" w:cs="宋体"/>
          <w:sz w:val="24"/>
        </w:rPr>
        <w:t>。</w:t>
      </w:r>
    </w:p>
    <w:p w14:paraId="75E08602">
      <w:pPr>
        <w:spacing w:line="360" w:lineRule="auto"/>
        <w:ind w:firstLine="472" w:firstLineChars="196"/>
        <w:rPr>
          <w:rFonts w:ascii="宋体" w:hAnsi="宋体" w:cs="宋体"/>
          <w:b/>
          <w:sz w:val="24"/>
        </w:rPr>
      </w:pPr>
      <w:r>
        <w:rPr>
          <w:rFonts w:hint="eastAsia" w:ascii="宋体" w:hAnsi="宋体" w:cs="宋体"/>
          <w:b/>
          <w:sz w:val="24"/>
        </w:rPr>
        <w:t>第二条  合同金额</w:t>
      </w:r>
    </w:p>
    <w:p w14:paraId="1A4438B4">
      <w:pPr>
        <w:pStyle w:val="19"/>
        <w:spacing w:line="360" w:lineRule="auto"/>
        <w:ind w:firstLine="480" w:firstLineChars="200"/>
        <w:rPr>
          <w:rFonts w:hAnsi="宋体" w:cs="宋体"/>
          <w:sz w:val="24"/>
        </w:rPr>
      </w:pPr>
      <w:r>
        <w:rPr>
          <w:rFonts w:hint="eastAsia" w:hAnsi="宋体" w:cs="宋体"/>
          <w:sz w:val="24"/>
        </w:rPr>
        <w:t>本合同服务费总金额为人民币（大写）：_____________元（￥_______________元）。</w:t>
      </w:r>
    </w:p>
    <w:p w14:paraId="64FAF8B8">
      <w:pPr>
        <w:spacing w:line="360" w:lineRule="auto"/>
        <w:ind w:left="551"/>
        <w:rPr>
          <w:rFonts w:ascii="宋体" w:hAnsi="宋体" w:cs="宋体"/>
          <w:b/>
          <w:sz w:val="24"/>
        </w:rPr>
      </w:pPr>
      <w:r>
        <w:rPr>
          <w:rFonts w:hint="eastAsia" w:ascii="宋体" w:hAnsi="宋体" w:cs="宋体"/>
          <w:b/>
          <w:sz w:val="24"/>
        </w:rPr>
        <w:t>第三条  服务质量标准为：</w:t>
      </w:r>
    </w:p>
    <w:p w14:paraId="03F4383F">
      <w:pPr>
        <w:spacing w:line="360" w:lineRule="auto"/>
        <w:ind w:firstLine="570"/>
        <w:rPr>
          <w:rFonts w:ascii="宋体" w:hAnsi="宋体" w:cs="宋体"/>
          <w:b/>
          <w:sz w:val="24"/>
        </w:rPr>
      </w:pPr>
      <w:r>
        <w:rPr>
          <w:rFonts w:hint="eastAsia" w:ascii="宋体" w:hAnsi="宋体" w:cs="宋体"/>
          <w:b/>
          <w:sz w:val="24"/>
        </w:rPr>
        <w:t>第四条  验收方及验收标准</w:t>
      </w:r>
    </w:p>
    <w:p w14:paraId="4CCC2BD6">
      <w:pPr>
        <w:spacing w:line="360" w:lineRule="auto"/>
        <w:ind w:firstLine="570"/>
        <w:rPr>
          <w:rFonts w:ascii="宋体" w:hAnsi="宋体" w:cs="宋体"/>
          <w:b/>
          <w:sz w:val="24"/>
        </w:rPr>
      </w:pPr>
      <w:r>
        <w:rPr>
          <w:rFonts w:hint="eastAsia" w:ascii="宋体" w:hAnsi="宋体" w:cs="宋体"/>
          <w:b/>
          <w:sz w:val="24"/>
        </w:rPr>
        <w:t>第五条  服务受益方评价标准及方法</w:t>
      </w:r>
    </w:p>
    <w:p w14:paraId="7998DE3B">
      <w:pPr>
        <w:spacing w:line="360" w:lineRule="auto"/>
        <w:ind w:firstLine="570"/>
        <w:rPr>
          <w:rFonts w:ascii="宋体" w:hAnsi="宋体" w:cs="宋体"/>
          <w:b/>
          <w:sz w:val="24"/>
        </w:rPr>
      </w:pPr>
      <w:r>
        <w:rPr>
          <w:rFonts w:hint="eastAsia" w:ascii="宋体" w:hAnsi="宋体" w:cs="宋体"/>
          <w:b/>
          <w:sz w:val="24"/>
        </w:rPr>
        <w:t>第六条  双方权利和义务</w:t>
      </w:r>
    </w:p>
    <w:p w14:paraId="6092A6D8">
      <w:pPr>
        <w:keepNext w:val="0"/>
        <w:keepLines w:val="0"/>
        <w:pageBreakBefore w:val="0"/>
        <w:widowControl/>
        <w:kinsoku/>
        <w:wordWrap/>
        <w:overflowPunct/>
        <w:topLinePunct w:val="0"/>
        <w:autoSpaceDE/>
        <w:autoSpaceDN/>
        <w:bidi w:val="0"/>
        <w:adjustRightInd w:val="0"/>
        <w:snapToGrid w:val="0"/>
        <w:spacing w:line="460" w:lineRule="exact"/>
        <w:ind w:firstLine="480" w:firstLineChars="200"/>
        <w:textAlignment w:val="auto"/>
        <w:rPr>
          <w:rFonts w:ascii="宋体" w:hAnsi="宋体" w:cs="宋体"/>
          <w:color w:val="auto"/>
          <w:sz w:val="24"/>
        </w:rPr>
      </w:pPr>
      <w:r>
        <w:rPr>
          <w:rFonts w:hint="eastAsia" w:ascii="宋体" w:hAnsi="宋体" w:cs="宋体"/>
          <w:color w:val="auto"/>
          <w:sz w:val="24"/>
        </w:rPr>
        <w:t>1、甲方的权利和义务：</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甲方有权对合同规定范围内乙方的服务行为进行监督和检查，拥有监管权。有权定期核对乙方提供服务所配备的人员数量。对甲方认为不合理的部分有权下达整改通知书，并要求乙方限期整改。</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甲方有权依据双方签订的考评办法对乙方提供的服务进行定期考评。当考评结果未达到标准时，乙方需进行整改，整改后的服务需通过考评。</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负责检查监督乙方管理工作的实施及制度的执行情况。</w:t>
      </w:r>
      <w:r>
        <w:rPr>
          <w:rFonts w:hint="eastAsia"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lang w:val="en-US" w:eastAsia="zh-CN"/>
        </w:rPr>
        <w:t>根据本合同规定，按时向乙方支付应付服务费用。</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国家法律、法规所规定由甲方承担的其它责任。</w:t>
      </w:r>
    </w:p>
    <w:p w14:paraId="2272C8C9">
      <w:pPr>
        <w:keepNext w:val="0"/>
        <w:keepLines w:val="0"/>
        <w:pageBreakBefore w:val="0"/>
        <w:widowControl/>
        <w:kinsoku/>
        <w:wordWrap/>
        <w:overflowPunct/>
        <w:topLinePunct w:val="0"/>
        <w:autoSpaceDE/>
        <w:autoSpaceDN/>
        <w:bidi w:val="0"/>
        <w:adjustRightInd w:val="0"/>
        <w:snapToGrid w:val="0"/>
        <w:spacing w:line="460" w:lineRule="exact"/>
        <w:ind w:firstLine="480" w:firstLineChars="200"/>
        <w:textAlignment w:val="auto"/>
        <w:rPr>
          <w:rFonts w:hint="default" w:ascii="Times New Roman" w:hAnsi="Times New Roman" w:eastAsia="宋体" w:cs="Times New Roman"/>
          <w:color w:val="auto"/>
          <w:sz w:val="24"/>
          <w:szCs w:val="24"/>
          <w:lang w:val="en-US" w:eastAsia="zh-CN"/>
        </w:rPr>
      </w:pPr>
      <w:r>
        <w:rPr>
          <w:rFonts w:hint="eastAsia" w:ascii="宋体" w:hAnsi="宋体" w:cs="宋体"/>
          <w:color w:val="auto"/>
          <w:sz w:val="24"/>
        </w:rPr>
        <w:t>2、乙方的权利和义务：</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对本合同规定的委托服务范围内的项目享有管理权及服务义务。</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lang w:val="en-US" w:eastAsia="zh-CN"/>
        </w:rPr>
        <w:t>根据本合同的规定向甲方收取相关服务费用，并有权在本项目管理范围内管理及合理使用。</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及时向甲方通告本项目服务范围内有关服务的重大事项，及时配合处理投诉。</w:t>
      </w:r>
      <w:r>
        <w:rPr>
          <w:rFonts w:hint="eastAsia" w:ascii="Times New Roman" w:hAnsi="Times New Roman" w:eastAsia="宋体" w:cs="Times New Roman"/>
          <w:color w:val="auto"/>
          <w:sz w:val="24"/>
          <w:szCs w:val="24"/>
          <w:lang w:val="en-US" w:eastAsia="zh-CN"/>
        </w:rPr>
        <w:t>（4）</w:t>
      </w:r>
      <w:r>
        <w:rPr>
          <w:rFonts w:hint="default" w:ascii="Times New Roman" w:hAnsi="Times New Roman" w:eastAsia="宋体" w:cs="Times New Roman"/>
          <w:color w:val="auto"/>
          <w:sz w:val="24"/>
          <w:szCs w:val="24"/>
          <w:lang w:val="en-US" w:eastAsia="zh-CN"/>
        </w:rPr>
        <w:t>接受项目行业管理部门及政府有关部门的指导，接受甲方的监督。</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国家法律、法规所规定由乙方承担的其它责任。</w:t>
      </w:r>
    </w:p>
    <w:p w14:paraId="2E552D22">
      <w:pPr>
        <w:tabs>
          <w:tab w:val="left" w:pos="630"/>
        </w:tabs>
        <w:spacing w:line="360" w:lineRule="auto"/>
        <w:ind w:firstLine="472" w:firstLineChars="196"/>
        <w:rPr>
          <w:rFonts w:ascii="宋体" w:hAnsi="宋体" w:cs="宋体"/>
          <w:b/>
          <w:sz w:val="24"/>
        </w:rPr>
      </w:pPr>
      <w:r>
        <w:rPr>
          <w:rFonts w:hint="eastAsia" w:ascii="宋体" w:hAnsi="宋体" w:cs="宋体"/>
          <w:b/>
          <w:sz w:val="24"/>
        </w:rPr>
        <w:t>第七条  付款方式</w:t>
      </w:r>
    </w:p>
    <w:p w14:paraId="042B84E1">
      <w:pPr>
        <w:spacing w:line="360" w:lineRule="auto"/>
        <w:ind w:firstLine="482" w:firstLineChars="200"/>
        <w:rPr>
          <w:rFonts w:ascii="宋体" w:hAnsi="宋体" w:cs="宋体"/>
          <w:b/>
          <w:kern w:val="0"/>
          <w:sz w:val="24"/>
        </w:rPr>
      </w:pPr>
      <w:r>
        <w:rPr>
          <w:rFonts w:hint="eastAsia" w:ascii="宋体" w:hAnsi="宋体" w:cs="宋体"/>
          <w:b/>
          <w:kern w:val="0"/>
          <w:sz w:val="24"/>
        </w:rPr>
        <w:t>注：根据服务类型选择以下任一种付款方式</w:t>
      </w:r>
    </w:p>
    <w:p w14:paraId="561A6688">
      <w:pPr>
        <w:spacing w:line="360" w:lineRule="auto"/>
        <w:ind w:left="560"/>
        <w:rPr>
          <w:rFonts w:ascii="宋体" w:hAnsi="宋体" w:cs="宋体"/>
          <w:kern w:val="0"/>
          <w:sz w:val="24"/>
        </w:rPr>
      </w:pPr>
      <w:r>
        <w:rPr>
          <w:rFonts w:hint="eastAsia" w:ascii="宋体" w:hAnsi="宋体" w:cs="宋体"/>
          <w:kern w:val="0"/>
          <w:sz w:val="24"/>
        </w:rPr>
        <w:t>1、一次性付款：</w:t>
      </w:r>
    </w:p>
    <w:p w14:paraId="0B5561D6">
      <w:pPr>
        <w:spacing w:line="360" w:lineRule="auto"/>
        <w:ind w:left="560"/>
        <w:rPr>
          <w:rFonts w:ascii="宋体" w:hAnsi="宋体" w:cs="宋体"/>
          <w:kern w:val="0"/>
          <w:sz w:val="24"/>
        </w:rPr>
      </w:pPr>
      <w:r>
        <w:rPr>
          <w:rFonts w:hint="eastAsia" w:ascii="宋体" w:hAnsi="宋体" w:cs="宋体"/>
          <w:kern w:val="0"/>
          <w:sz w:val="24"/>
        </w:rPr>
        <w:t>乙方履约完毕经甲方验收合格后</w:t>
      </w:r>
      <w:r>
        <w:rPr>
          <w:rFonts w:hint="eastAsia" w:ascii="宋体" w:hAnsi="宋体" w:cs="宋体"/>
          <w:kern w:val="0"/>
          <w:sz w:val="24"/>
          <w:u w:val="single"/>
        </w:rPr>
        <w:t xml:space="preserve">   </w:t>
      </w:r>
      <w:r>
        <w:rPr>
          <w:rFonts w:hint="eastAsia" w:ascii="宋体" w:hAnsi="宋体" w:cs="宋体"/>
          <w:kern w:val="0"/>
          <w:sz w:val="24"/>
        </w:rPr>
        <w:t>日内，一次性支付全部服务费。</w:t>
      </w:r>
    </w:p>
    <w:p w14:paraId="47A751ED">
      <w:pPr>
        <w:spacing w:line="360" w:lineRule="auto"/>
        <w:ind w:left="560"/>
        <w:rPr>
          <w:rFonts w:ascii="宋体" w:hAnsi="宋体" w:cs="宋体"/>
          <w:kern w:val="0"/>
          <w:sz w:val="24"/>
        </w:rPr>
      </w:pPr>
      <w:r>
        <w:rPr>
          <w:rFonts w:hint="eastAsia" w:ascii="宋体" w:hAnsi="宋体" w:cs="宋体"/>
          <w:kern w:val="0"/>
          <w:sz w:val="24"/>
        </w:rPr>
        <w:t>2、分期支付：</w:t>
      </w:r>
    </w:p>
    <w:p w14:paraId="110A1E9E">
      <w:pPr>
        <w:numPr>
          <w:ilvl w:val="0"/>
          <w:numId w:val="2"/>
        </w:numPr>
        <w:spacing w:line="360" w:lineRule="auto"/>
        <w:rPr>
          <w:rFonts w:ascii="宋体" w:hAnsi="宋体" w:cs="宋体"/>
          <w:kern w:val="0"/>
          <w:sz w:val="24"/>
        </w:rPr>
      </w:pPr>
      <w:r>
        <w:rPr>
          <w:rFonts w:hint="eastAsia" w:ascii="宋体" w:hAnsi="宋体" w:cs="宋体"/>
          <w:kern w:val="0"/>
          <w:sz w:val="24"/>
        </w:rPr>
        <w:t>按年/按季度/按月支付等额的服务费；</w:t>
      </w:r>
    </w:p>
    <w:p w14:paraId="1FBA2487">
      <w:pPr>
        <w:spacing w:line="360" w:lineRule="auto"/>
        <w:ind w:left="801" w:leftChars="267" w:hanging="240" w:hangingChars="100"/>
        <w:rPr>
          <w:rFonts w:ascii="宋体" w:hAnsi="宋体" w:cs="宋体"/>
          <w:kern w:val="0"/>
          <w:sz w:val="24"/>
        </w:rPr>
      </w:pPr>
      <w:r>
        <w:rPr>
          <w:rFonts w:hint="eastAsia" w:ascii="宋体" w:hAnsi="宋体" w:cs="宋体"/>
          <w:kern w:val="0"/>
          <w:sz w:val="24"/>
        </w:rPr>
        <w:t>（2）合同签订后</w:t>
      </w:r>
      <w:r>
        <w:rPr>
          <w:rFonts w:hint="eastAsia" w:ascii="宋体" w:hAnsi="宋体" w:cs="宋体"/>
          <w:kern w:val="0"/>
          <w:sz w:val="24"/>
          <w:u w:val="single"/>
        </w:rPr>
        <w:t xml:space="preserve">  </w:t>
      </w:r>
      <w:r>
        <w:rPr>
          <w:rFonts w:hint="eastAsia" w:ascii="宋体" w:hAnsi="宋体" w:cs="宋体"/>
          <w:kern w:val="0"/>
          <w:sz w:val="24"/>
        </w:rPr>
        <w:t>日内，甲方向乙方支付</w:t>
      </w:r>
      <w:r>
        <w:rPr>
          <w:rFonts w:hint="eastAsia" w:ascii="宋体" w:hAnsi="宋体" w:cs="宋体"/>
          <w:kern w:val="0"/>
          <w:sz w:val="24"/>
          <w:u w:val="single"/>
        </w:rPr>
        <w:t xml:space="preserve">     </w:t>
      </w:r>
      <w:r>
        <w:rPr>
          <w:rFonts w:hint="eastAsia" w:ascii="宋体" w:hAnsi="宋体" w:cs="宋体"/>
          <w:kern w:val="0"/>
          <w:sz w:val="24"/>
        </w:rPr>
        <w:t>元（或服务费总额的</w:t>
      </w:r>
      <w:r>
        <w:rPr>
          <w:rFonts w:hint="eastAsia" w:ascii="宋体" w:hAnsi="宋体" w:cs="宋体"/>
          <w:kern w:val="0"/>
          <w:sz w:val="24"/>
          <w:u w:val="single"/>
        </w:rPr>
        <w:t xml:space="preserve">    </w:t>
      </w:r>
      <w:r>
        <w:rPr>
          <w:rFonts w:hint="eastAsia" w:ascii="宋体" w:hAnsi="宋体" w:cs="宋体"/>
          <w:kern w:val="0"/>
          <w:sz w:val="24"/>
        </w:rPr>
        <w:t>% ）；在交付服务成果后</w:t>
      </w:r>
      <w:r>
        <w:rPr>
          <w:rFonts w:hint="eastAsia" w:ascii="宋体" w:hAnsi="宋体" w:cs="宋体"/>
          <w:kern w:val="0"/>
          <w:sz w:val="24"/>
          <w:u w:val="single"/>
        </w:rPr>
        <w:t xml:space="preserve">   </w:t>
      </w:r>
      <w:r>
        <w:rPr>
          <w:rFonts w:hint="eastAsia" w:ascii="宋体" w:hAnsi="宋体" w:cs="宋体"/>
          <w:kern w:val="0"/>
          <w:sz w:val="24"/>
        </w:rPr>
        <w:t>日内，支付服务费总额的</w:t>
      </w:r>
      <w:r>
        <w:rPr>
          <w:rFonts w:hint="eastAsia" w:ascii="宋体" w:hAnsi="宋体" w:cs="宋体"/>
          <w:kern w:val="0"/>
          <w:sz w:val="24"/>
          <w:u w:val="single"/>
        </w:rPr>
        <w:t xml:space="preserve">   </w:t>
      </w:r>
      <w:r>
        <w:rPr>
          <w:rFonts w:hint="eastAsia" w:ascii="宋体" w:hAnsi="宋体" w:cs="宋体"/>
          <w:kern w:val="0"/>
          <w:sz w:val="24"/>
        </w:rPr>
        <w:t>%。</w:t>
      </w:r>
    </w:p>
    <w:p w14:paraId="70365962">
      <w:pPr>
        <w:spacing w:line="360" w:lineRule="auto"/>
        <w:ind w:firstLine="480" w:firstLineChars="200"/>
        <w:rPr>
          <w:rFonts w:ascii="宋体" w:hAnsi="宋体" w:cs="宋体"/>
          <w:kern w:val="0"/>
          <w:sz w:val="24"/>
        </w:rPr>
      </w:pPr>
      <w:r>
        <w:rPr>
          <w:rFonts w:hint="eastAsia" w:ascii="宋体" w:hAnsi="宋体" w:cs="宋体"/>
          <w:kern w:val="0"/>
          <w:sz w:val="24"/>
        </w:rPr>
        <w:t>（3）按进度支付服务费：</w:t>
      </w:r>
    </w:p>
    <w:p w14:paraId="5E9FC6DA">
      <w:pPr>
        <w:spacing w:line="360" w:lineRule="auto"/>
        <w:ind w:firstLine="480" w:firstLineChars="200"/>
        <w:rPr>
          <w:rFonts w:ascii="宋体" w:hAnsi="宋体" w:cs="宋体"/>
          <w:sz w:val="24"/>
        </w:rPr>
      </w:pPr>
      <w:r>
        <w:rPr>
          <w:rFonts w:hint="eastAsia" w:ascii="宋体" w:hAnsi="宋体" w:cs="宋体"/>
          <w:kern w:val="0"/>
          <w:sz w:val="24"/>
        </w:rPr>
        <w:t>1)服务人员到达服务地并提交服务实施方案后__天内，甲方应将总服务费的__</w:t>
      </w:r>
      <w:r>
        <w:rPr>
          <w:rFonts w:hint="eastAsia" w:ascii="宋体" w:hAnsi="宋体" w:cs="宋体"/>
          <w:kern w:val="0"/>
          <w:sz w:val="24"/>
          <w:u w:val="single"/>
        </w:rPr>
        <w:t xml:space="preserve"> </w:t>
      </w:r>
      <w:r>
        <w:rPr>
          <w:rFonts w:hint="eastAsia" w:ascii="宋体" w:hAnsi="宋体" w:cs="宋体"/>
          <w:kern w:val="0"/>
          <w:sz w:val="24"/>
        </w:rPr>
        <w:t>%付给乙方。</w:t>
      </w:r>
    </w:p>
    <w:p w14:paraId="3226E04E">
      <w:pPr>
        <w:spacing w:line="360" w:lineRule="auto"/>
        <w:ind w:firstLine="480" w:firstLineChars="200"/>
        <w:rPr>
          <w:rFonts w:ascii="宋体" w:hAnsi="宋体" w:cs="宋体"/>
          <w:sz w:val="24"/>
        </w:rPr>
      </w:pPr>
      <w:r>
        <w:rPr>
          <w:rFonts w:hint="eastAsia" w:ascii="宋体" w:hAnsi="宋体" w:cs="宋体"/>
          <w:kern w:val="0"/>
          <w:sz w:val="24"/>
        </w:rPr>
        <w:t>2)付款为总服务费的__</w:t>
      </w:r>
      <w:r>
        <w:rPr>
          <w:rFonts w:hint="eastAsia" w:ascii="宋体" w:hAnsi="宋体" w:cs="宋体"/>
          <w:kern w:val="0"/>
          <w:sz w:val="24"/>
          <w:u w:val="single"/>
        </w:rPr>
        <w:t xml:space="preserve"> </w:t>
      </w:r>
      <w:r>
        <w:rPr>
          <w:rFonts w:hint="eastAsia" w:ascii="宋体" w:hAnsi="宋体" w:cs="宋体"/>
          <w:kern w:val="0"/>
          <w:sz w:val="24"/>
        </w:rPr>
        <w:t>%，甲方应在乙方已经准备好，并递交了服务报告及其它相关文件，而这些报告和文件符合合同附件的要求并被甲方验收后付给乙方。</w:t>
      </w:r>
    </w:p>
    <w:p w14:paraId="30363010">
      <w:pPr>
        <w:spacing w:line="360" w:lineRule="auto"/>
        <w:ind w:firstLine="480" w:firstLineChars="200"/>
        <w:rPr>
          <w:rFonts w:ascii="宋体" w:hAnsi="宋体" w:cs="宋体"/>
          <w:sz w:val="24"/>
        </w:rPr>
      </w:pPr>
      <w:r>
        <w:rPr>
          <w:rFonts w:hint="eastAsia" w:ascii="宋体" w:hAnsi="宋体" w:cs="宋体"/>
          <w:kern w:val="0"/>
          <w:sz w:val="24"/>
        </w:rPr>
        <w:t>3)最后一次付款额应为总服务费的__</w:t>
      </w:r>
      <w:r>
        <w:rPr>
          <w:rFonts w:hint="eastAsia" w:ascii="宋体" w:hAnsi="宋体" w:cs="宋体"/>
          <w:kern w:val="0"/>
          <w:sz w:val="24"/>
          <w:u w:val="single"/>
        </w:rPr>
        <w:t xml:space="preserve"> </w:t>
      </w:r>
      <w:r>
        <w:rPr>
          <w:rFonts w:hint="eastAsia" w:ascii="宋体" w:hAnsi="宋体" w:cs="宋体"/>
          <w:kern w:val="0"/>
          <w:sz w:val="24"/>
        </w:rPr>
        <w:t>%，甲方应在乙方递交了服务总结报告和说明并完全履行合同完毕</w:t>
      </w:r>
      <w:r>
        <w:rPr>
          <w:rFonts w:hint="eastAsia" w:ascii="宋体" w:hAnsi="宋体" w:cs="宋体"/>
          <w:kern w:val="0"/>
          <w:sz w:val="24"/>
          <w:u w:val="single"/>
        </w:rPr>
        <w:t xml:space="preserve">    </w:t>
      </w:r>
      <w:r>
        <w:rPr>
          <w:rFonts w:hint="eastAsia" w:ascii="宋体" w:hAnsi="宋体" w:cs="宋体"/>
          <w:kern w:val="0"/>
          <w:sz w:val="24"/>
        </w:rPr>
        <w:t>日内付给乙方。</w:t>
      </w:r>
    </w:p>
    <w:p w14:paraId="3784C2B5">
      <w:pPr>
        <w:tabs>
          <w:tab w:val="left" w:pos="900"/>
        </w:tabs>
        <w:spacing w:line="360" w:lineRule="auto"/>
        <w:ind w:firstLine="602" w:firstLineChars="250"/>
        <w:rPr>
          <w:rFonts w:ascii="宋体" w:hAnsi="宋体" w:cs="宋体"/>
          <w:b/>
          <w:sz w:val="24"/>
        </w:rPr>
      </w:pPr>
      <w:r>
        <w:rPr>
          <w:rFonts w:hint="eastAsia" w:ascii="宋体" w:hAnsi="宋体" w:cs="宋体"/>
          <w:b/>
          <w:sz w:val="24"/>
        </w:rPr>
        <w:t>第八条  违约责任</w:t>
      </w:r>
    </w:p>
    <w:p w14:paraId="3F8E9953">
      <w:pPr>
        <w:tabs>
          <w:tab w:val="left" w:pos="900"/>
        </w:tabs>
        <w:spacing w:line="360" w:lineRule="auto"/>
        <w:ind w:firstLine="480" w:firstLineChars="200"/>
        <w:rPr>
          <w:rFonts w:ascii="宋体" w:hAnsi="宋体" w:cs="宋体"/>
          <w:sz w:val="24"/>
        </w:rPr>
      </w:pPr>
      <w:r>
        <w:rPr>
          <w:rFonts w:hint="eastAsia" w:ascii="宋体" w:hAnsi="宋体" w:cs="宋体"/>
          <w:sz w:val="24"/>
        </w:rPr>
        <w:t>1、乙方提供的服务不符合采购文件、报价文件或本合同规定的，甲方有权拒收，并且乙方须向甲方支付本合同总价</w:t>
      </w:r>
      <w:r>
        <w:rPr>
          <w:rFonts w:hint="eastAsia" w:ascii="宋体" w:hAnsi="宋体" w:cs="宋体"/>
          <w:kern w:val="0"/>
          <w:sz w:val="24"/>
        </w:rPr>
        <w:t>__</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sz w:val="24"/>
        </w:rPr>
        <w:t>的违约金。</w:t>
      </w:r>
    </w:p>
    <w:p w14:paraId="002F2D32">
      <w:pPr>
        <w:tabs>
          <w:tab w:val="left" w:pos="720"/>
          <w:tab w:val="left" w:pos="900"/>
        </w:tabs>
        <w:spacing w:line="360" w:lineRule="auto"/>
        <w:ind w:right="210" w:firstLine="480" w:firstLineChars="200"/>
        <w:rPr>
          <w:rFonts w:ascii="宋体" w:hAnsi="宋体" w:cs="宋体"/>
          <w:sz w:val="24"/>
        </w:rPr>
      </w:pPr>
      <w:r>
        <w:rPr>
          <w:rFonts w:hint="eastAsia" w:ascii="宋体" w:hAnsi="宋体" w:cs="宋体"/>
          <w:sz w:val="24"/>
        </w:rPr>
        <w:t>2、乙方未能按本合同规定的服务时间提供服务，从逾期之日起每日按本合同总价</w:t>
      </w:r>
      <w:r>
        <w:rPr>
          <w:rFonts w:hint="eastAsia" w:ascii="宋体" w:hAnsi="宋体" w:cs="宋体"/>
          <w:kern w:val="0"/>
          <w:sz w:val="24"/>
        </w:rPr>
        <w:t>__</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sz w:val="24"/>
        </w:rPr>
        <w:t>的数额向甲方支付违约金；逾期半个月以上的，甲方有权终止合同，由此造成的甲方经济损失由乙方承担。</w:t>
      </w:r>
    </w:p>
    <w:p w14:paraId="1AEA5D36">
      <w:pPr>
        <w:tabs>
          <w:tab w:val="left" w:pos="720"/>
          <w:tab w:val="left" w:pos="900"/>
        </w:tabs>
        <w:spacing w:line="360" w:lineRule="auto"/>
        <w:ind w:right="210" w:firstLine="480" w:firstLineChars="200"/>
        <w:rPr>
          <w:rFonts w:ascii="宋体" w:hAnsi="宋体" w:cs="宋体"/>
          <w:sz w:val="24"/>
        </w:rPr>
      </w:pPr>
      <w:r>
        <w:rPr>
          <w:rFonts w:hint="eastAsia" w:ascii="宋体" w:hAnsi="宋体" w:cs="宋体"/>
          <w:sz w:val="24"/>
        </w:rPr>
        <w:t>3、未经甲方同意乙方不得私自将该服务转包第三方完成。如私自转包，则处本合同总价</w:t>
      </w:r>
      <w:r>
        <w:rPr>
          <w:rFonts w:hint="eastAsia" w:ascii="宋体" w:hAnsi="宋体" w:cs="宋体"/>
          <w:kern w:val="0"/>
          <w:sz w:val="24"/>
        </w:rPr>
        <w:t>__</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sz w:val="24"/>
        </w:rPr>
        <w:t>的违约金。</w:t>
      </w:r>
    </w:p>
    <w:p w14:paraId="751DBB55">
      <w:pPr>
        <w:spacing w:line="360" w:lineRule="auto"/>
        <w:ind w:firstLine="480" w:firstLineChars="200"/>
        <w:rPr>
          <w:rFonts w:ascii="宋体" w:hAnsi="宋体" w:cs="宋体"/>
          <w:sz w:val="24"/>
        </w:rPr>
      </w:pPr>
      <w:r>
        <w:rPr>
          <w:rFonts w:hint="eastAsia" w:ascii="宋体" w:hAnsi="宋体" w:cs="宋体"/>
          <w:sz w:val="24"/>
        </w:rPr>
        <w:t>4、甲方无正当理由拒绝接受服务，到期拒付服务款项的，甲方向乙方偿付本合同总价的</w:t>
      </w:r>
      <w:r>
        <w:rPr>
          <w:rFonts w:hint="eastAsia" w:ascii="宋体" w:hAnsi="宋体" w:cs="宋体"/>
          <w:kern w:val="0"/>
          <w:sz w:val="24"/>
        </w:rPr>
        <w:t>__</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sz w:val="24"/>
        </w:rPr>
        <w:t>的违约金。甲方逾期付款，则每日按逾期金额的</w:t>
      </w:r>
      <w:r>
        <w:rPr>
          <w:rFonts w:hint="eastAsia" w:ascii="宋体" w:hAnsi="宋体" w:cs="宋体"/>
          <w:kern w:val="0"/>
          <w:sz w:val="24"/>
        </w:rPr>
        <w:t>__</w:t>
      </w:r>
      <w:r>
        <w:rPr>
          <w:rFonts w:hint="eastAsia" w:ascii="宋体" w:hAnsi="宋体" w:cs="宋体"/>
          <w:kern w:val="0"/>
          <w:sz w:val="24"/>
          <w:u w:val="single"/>
        </w:rPr>
        <w:t xml:space="preserve"> </w:t>
      </w:r>
      <w:r>
        <w:rPr>
          <w:rFonts w:hint="eastAsia" w:ascii="宋体" w:hAnsi="宋体" w:cs="宋体"/>
          <w:kern w:val="0"/>
          <w:sz w:val="24"/>
        </w:rPr>
        <w:t>%</w:t>
      </w:r>
      <w:r>
        <w:rPr>
          <w:rFonts w:hint="eastAsia" w:ascii="宋体" w:hAnsi="宋体" w:cs="宋体"/>
          <w:sz w:val="24"/>
        </w:rPr>
        <w:t>向乙方偿付违约金。</w:t>
      </w:r>
    </w:p>
    <w:p w14:paraId="23F20B62">
      <w:pPr>
        <w:spacing w:line="360" w:lineRule="auto"/>
        <w:ind w:firstLine="480" w:firstLineChars="200"/>
        <w:rPr>
          <w:rFonts w:ascii="宋体" w:hAnsi="宋体" w:cs="宋体"/>
          <w:bCs/>
          <w:sz w:val="24"/>
        </w:rPr>
      </w:pPr>
      <w:r>
        <w:rPr>
          <w:rFonts w:hint="eastAsia" w:ascii="宋体" w:hAnsi="宋体" w:cs="宋体"/>
          <w:bCs/>
          <w:sz w:val="24"/>
        </w:rPr>
        <w:t>5、其它违约责任按《中华人民共和国民法典》处理。</w:t>
      </w:r>
    </w:p>
    <w:p w14:paraId="6D088127">
      <w:pPr>
        <w:spacing w:line="360" w:lineRule="auto"/>
        <w:ind w:firstLine="711" w:firstLineChars="295"/>
        <w:rPr>
          <w:rFonts w:ascii="宋体" w:hAnsi="宋体" w:cs="宋体"/>
          <w:b/>
          <w:sz w:val="24"/>
        </w:rPr>
      </w:pPr>
      <w:r>
        <w:rPr>
          <w:rFonts w:hint="eastAsia" w:ascii="宋体" w:hAnsi="宋体" w:cs="宋体"/>
          <w:b/>
          <w:sz w:val="24"/>
        </w:rPr>
        <w:t>第九条  知识产权归属</w:t>
      </w:r>
    </w:p>
    <w:p w14:paraId="73BAF73C">
      <w:pPr>
        <w:tabs>
          <w:tab w:val="left" w:pos="900"/>
        </w:tabs>
        <w:spacing w:line="360" w:lineRule="auto"/>
        <w:ind w:firstLine="711" w:firstLineChars="295"/>
        <w:rPr>
          <w:rFonts w:ascii="宋体" w:hAnsi="宋体" w:cs="宋体"/>
          <w:b/>
          <w:sz w:val="24"/>
        </w:rPr>
      </w:pPr>
      <w:r>
        <w:rPr>
          <w:rFonts w:hint="eastAsia" w:ascii="宋体" w:hAnsi="宋体" w:cs="宋体"/>
          <w:b/>
          <w:sz w:val="24"/>
        </w:rPr>
        <w:t>第十条  保密条款</w:t>
      </w:r>
    </w:p>
    <w:p w14:paraId="1CE9133F">
      <w:pPr>
        <w:spacing w:line="360" w:lineRule="auto"/>
        <w:ind w:firstLine="480" w:firstLineChars="200"/>
        <w:rPr>
          <w:rFonts w:ascii="宋体" w:hAnsi="宋体" w:cs="宋体"/>
          <w:kern w:val="0"/>
          <w:sz w:val="24"/>
        </w:rPr>
      </w:pPr>
      <w:r>
        <w:rPr>
          <w:rFonts w:hint="eastAsia" w:ascii="宋体" w:hAnsi="宋体" w:cs="宋体"/>
          <w:kern w:val="0"/>
          <w:sz w:val="24"/>
        </w:rPr>
        <w:t>1、乙方对甲方提供的资料负有保密义务，未经甲方同意，不得向项目无关单位和个人提供有关资料。如发生以上情况，甲方有权索赔。</w:t>
      </w:r>
    </w:p>
    <w:p w14:paraId="2C810265">
      <w:pPr>
        <w:spacing w:line="360" w:lineRule="auto"/>
        <w:ind w:firstLine="480" w:firstLineChars="200"/>
        <w:rPr>
          <w:rFonts w:ascii="宋体" w:hAnsi="宋体" w:cs="宋体"/>
          <w:kern w:val="0"/>
          <w:sz w:val="24"/>
        </w:rPr>
      </w:pPr>
      <w:r>
        <w:rPr>
          <w:rFonts w:hint="eastAsia" w:ascii="宋体" w:hAnsi="宋体" w:cs="宋体"/>
          <w:kern w:val="0"/>
          <w:sz w:val="24"/>
        </w:rPr>
        <w:t>2、甲方有义务保护乙方的知识产权，未经乙方同意，甲方对工程咨询单位交付的成果文件、资料不得向第三方转让或用于本合同以外的项目。如发生以上情况，乙方有权索赔。</w:t>
      </w:r>
    </w:p>
    <w:p w14:paraId="3A4C0DCD">
      <w:pPr>
        <w:spacing w:line="360" w:lineRule="auto"/>
        <w:ind w:firstLine="472" w:firstLineChars="196"/>
        <w:rPr>
          <w:rFonts w:ascii="宋体" w:hAnsi="宋体" w:cs="宋体"/>
          <w:b/>
          <w:sz w:val="24"/>
        </w:rPr>
      </w:pPr>
      <w:r>
        <w:rPr>
          <w:rFonts w:hint="eastAsia" w:ascii="宋体" w:hAnsi="宋体" w:cs="宋体"/>
          <w:b/>
          <w:sz w:val="24"/>
        </w:rPr>
        <w:t>第十一条  争议的解决</w:t>
      </w:r>
    </w:p>
    <w:p w14:paraId="1A0D8880">
      <w:pPr>
        <w:spacing w:line="360" w:lineRule="auto"/>
        <w:ind w:firstLine="480" w:firstLineChars="200"/>
        <w:rPr>
          <w:rFonts w:ascii="宋体" w:hAnsi="宋体" w:cs="宋体"/>
          <w:sz w:val="24"/>
        </w:rPr>
      </w:pPr>
      <w:r>
        <w:rPr>
          <w:rFonts w:hint="eastAsia" w:ascii="宋体" w:hAnsi="宋体" w:cs="宋体"/>
          <w:sz w:val="24"/>
        </w:rPr>
        <w:t>本合同执行过程中发生的任何争议，如双方不能通过友好协商解决，由合同签订地法院处理。</w:t>
      </w:r>
    </w:p>
    <w:p w14:paraId="63F51C29">
      <w:pPr>
        <w:spacing w:line="360" w:lineRule="auto"/>
        <w:ind w:firstLine="472" w:firstLineChars="196"/>
        <w:rPr>
          <w:rFonts w:ascii="宋体" w:hAnsi="宋体" w:cs="宋体"/>
          <w:b/>
          <w:sz w:val="24"/>
        </w:rPr>
      </w:pPr>
      <w:r>
        <w:rPr>
          <w:rFonts w:hint="eastAsia" w:ascii="宋体" w:hAnsi="宋体" w:cs="宋体"/>
          <w:b/>
          <w:sz w:val="24"/>
        </w:rPr>
        <w:t>第十二条  不可抗力</w:t>
      </w:r>
    </w:p>
    <w:p w14:paraId="43C71A46">
      <w:pPr>
        <w:spacing w:line="360" w:lineRule="auto"/>
        <w:ind w:firstLine="480" w:firstLineChars="200"/>
        <w:rPr>
          <w:rFonts w:ascii="宋体" w:hAnsi="宋体" w:cs="宋体"/>
          <w:sz w:val="24"/>
        </w:rPr>
      </w:pPr>
      <w:r>
        <w:rPr>
          <w:rFonts w:hint="eastAsia" w:ascii="宋体" w:hAnsi="宋体" w:cs="宋体"/>
          <w:sz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14:paraId="3F33CC6A">
      <w:pPr>
        <w:tabs>
          <w:tab w:val="left" w:pos="630"/>
        </w:tabs>
        <w:spacing w:line="360" w:lineRule="auto"/>
        <w:ind w:firstLine="472" w:firstLineChars="196"/>
        <w:rPr>
          <w:rFonts w:ascii="宋体" w:hAnsi="宋体" w:cs="宋体"/>
          <w:b/>
          <w:sz w:val="24"/>
        </w:rPr>
      </w:pPr>
      <w:r>
        <w:rPr>
          <w:rFonts w:hint="eastAsia" w:ascii="宋体" w:hAnsi="宋体" w:cs="宋体"/>
          <w:b/>
          <w:sz w:val="24"/>
        </w:rPr>
        <w:t>第十三条  合同的终止</w:t>
      </w:r>
    </w:p>
    <w:p w14:paraId="7B67A0C9">
      <w:pPr>
        <w:tabs>
          <w:tab w:val="left" w:pos="630"/>
        </w:tabs>
        <w:spacing w:line="360" w:lineRule="auto"/>
        <w:ind w:firstLine="470" w:firstLineChars="196"/>
        <w:rPr>
          <w:rFonts w:ascii="宋体" w:hAnsi="宋体" w:cs="宋体"/>
          <w:b/>
          <w:sz w:val="24"/>
        </w:rPr>
      </w:pPr>
      <w:r>
        <w:rPr>
          <w:rFonts w:hint="eastAsia" w:ascii="宋体" w:hAnsi="宋体" w:cs="宋体"/>
          <w:sz w:val="24"/>
        </w:rPr>
        <w:t>1、合同期满，双方未续签的；</w:t>
      </w:r>
    </w:p>
    <w:p w14:paraId="04A11958">
      <w:pPr>
        <w:tabs>
          <w:tab w:val="left" w:pos="630"/>
        </w:tabs>
        <w:spacing w:line="360" w:lineRule="auto"/>
        <w:ind w:firstLine="480" w:firstLineChars="200"/>
        <w:rPr>
          <w:rFonts w:ascii="宋体" w:hAnsi="宋体" w:cs="宋体"/>
          <w:b/>
          <w:sz w:val="24"/>
        </w:rPr>
      </w:pPr>
      <w:r>
        <w:rPr>
          <w:rFonts w:hint="eastAsia" w:ascii="宋体" w:hAnsi="宋体" w:cs="宋体"/>
          <w:sz w:val="24"/>
        </w:rPr>
        <w:t>2、乙方服务能力丧失，致使服务无法正常进行的；</w:t>
      </w:r>
    </w:p>
    <w:p w14:paraId="083540F7">
      <w:pPr>
        <w:spacing w:line="360" w:lineRule="auto"/>
        <w:ind w:firstLine="480" w:firstLineChars="200"/>
        <w:rPr>
          <w:rFonts w:ascii="宋体" w:hAnsi="宋体" w:cs="宋体"/>
          <w:b/>
          <w:sz w:val="24"/>
        </w:rPr>
      </w:pPr>
      <w:r>
        <w:rPr>
          <w:rFonts w:hint="eastAsia" w:ascii="宋体" w:hAnsi="宋体" w:cs="宋体"/>
          <w:sz w:val="24"/>
        </w:rPr>
        <w:t>3、在履行合同过程中，发现乙方已不符合文件规定的承接主体应具备的条件，造成合同无法履行的。</w:t>
      </w:r>
    </w:p>
    <w:p w14:paraId="25226221">
      <w:pPr>
        <w:spacing w:line="360" w:lineRule="auto"/>
        <w:ind w:firstLine="472" w:firstLineChars="196"/>
        <w:rPr>
          <w:rFonts w:ascii="宋体" w:hAnsi="宋体" w:cs="宋体"/>
          <w:b/>
          <w:sz w:val="24"/>
        </w:rPr>
      </w:pPr>
      <w:r>
        <w:rPr>
          <w:rFonts w:hint="eastAsia" w:ascii="宋体" w:hAnsi="宋体" w:cs="宋体"/>
          <w:b/>
          <w:sz w:val="24"/>
        </w:rPr>
        <w:t>第十四条  税费</w:t>
      </w:r>
    </w:p>
    <w:p w14:paraId="5F8BDADE">
      <w:pPr>
        <w:spacing w:line="360" w:lineRule="auto"/>
        <w:ind w:firstLine="480" w:firstLineChars="200"/>
        <w:rPr>
          <w:rFonts w:ascii="宋体" w:hAnsi="宋体" w:cs="宋体"/>
          <w:sz w:val="24"/>
        </w:rPr>
      </w:pPr>
      <w:r>
        <w:rPr>
          <w:rFonts w:hint="eastAsia" w:ascii="宋体" w:hAnsi="宋体" w:cs="宋体"/>
          <w:sz w:val="24"/>
        </w:rPr>
        <w:t>此项目发生的与本合同执行有关的一切税费均由乙方负担。</w:t>
      </w:r>
    </w:p>
    <w:p w14:paraId="7166716D">
      <w:pPr>
        <w:spacing w:line="360" w:lineRule="auto"/>
        <w:ind w:firstLine="472" w:firstLineChars="196"/>
        <w:rPr>
          <w:rFonts w:ascii="宋体" w:hAnsi="宋体" w:cs="宋体"/>
          <w:b/>
          <w:sz w:val="24"/>
        </w:rPr>
      </w:pPr>
      <w:r>
        <w:rPr>
          <w:rFonts w:hint="eastAsia" w:ascii="宋体" w:hAnsi="宋体" w:cs="宋体"/>
          <w:b/>
          <w:sz w:val="24"/>
        </w:rPr>
        <w:t>第十五条  其它</w:t>
      </w:r>
    </w:p>
    <w:p w14:paraId="5E7E01F5">
      <w:pPr>
        <w:spacing w:line="360" w:lineRule="auto"/>
        <w:ind w:firstLine="480" w:firstLineChars="200"/>
        <w:rPr>
          <w:rFonts w:ascii="宋体" w:hAnsi="宋体" w:cs="宋体"/>
          <w:b/>
          <w:sz w:val="24"/>
        </w:rPr>
      </w:pPr>
      <w:r>
        <w:rPr>
          <w:rFonts w:hint="eastAsia" w:ascii="宋体" w:hAnsi="宋体" w:cs="宋体"/>
          <w:sz w:val="24"/>
        </w:rPr>
        <w:t>1、本合同所有附件及政府采购文件均为合同的有效组成部分，与本合同具有同等法律效力。</w:t>
      </w:r>
    </w:p>
    <w:p w14:paraId="336FB1C4">
      <w:pPr>
        <w:spacing w:line="360" w:lineRule="auto"/>
        <w:ind w:firstLine="480" w:firstLineChars="200"/>
        <w:rPr>
          <w:rFonts w:ascii="宋体" w:hAnsi="宋体" w:cs="宋体"/>
          <w:sz w:val="24"/>
        </w:rPr>
      </w:pPr>
      <w:r>
        <w:rPr>
          <w:rFonts w:hint="eastAsia" w:ascii="宋体" w:hAnsi="宋体" w:cs="宋体"/>
          <w:bCs/>
          <w:sz w:val="24"/>
        </w:rPr>
        <w:t>2、</w:t>
      </w:r>
      <w:r>
        <w:rPr>
          <w:rFonts w:hint="eastAsia" w:ascii="宋体" w:hAnsi="宋体" w:cs="宋体"/>
          <w:sz w:val="24"/>
        </w:rPr>
        <w:t>在执行本合同的过程中，所有经双方签署确认的文件（包括会议纪要、补充协议、往来信函）即成为本合同的有效组成部分。</w:t>
      </w:r>
    </w:p>
    <w:p w14:paraId="01B0650A">
      <w:pPr>
        <w:spacing w:line="360" w:lineRule="auto"/>
        <w:ind w:firstLine="480" w:firstLineChars="200"/>
        <w:rPr>
          <w:rFonts w:ascii="宋体" w:hAnsi="宋体" w:cs="宋体"/>
          <w:sz w:val="24"/>
        </w:rPr>
      </w:pPr>
      <w:r>
        <w:rPr>
          <w:rFonts w:hint="eastAsia" w:ascii="宋体" w:hAnsi="宋体" w:cs="宋体"/>
          <w:sz w:val="24"/>
        </w:rPr>
        <w:t xml:space="preserve">3、如一方地址、电话、传真号码有变更，应在变更当日内书面通知对方，否则，应承担相应责任。 </w:t>
      </w:r>
    </w:p>
    <w:p w14:paraId="2A855860">
      <w:pPr>
        <w:spacing w:line="360" w:lineRule="auto"/>
        <w:ind w:firstLine="472" w:firstLineChars="196"/>
        <w:rPr>
          <w:rFonts w:ascii="宋体" w:hAnsi="宋体" w:cs="宋体"/>
          <w:b/>
          <w:sz w:val="24"/>
        </w:rPr>
      </w:pPr>
      <w:r>
        <w:rPr>
          <w:rFonts w:hint="eastAsia" w:ascii="宋体" w:hAnsi="宋体" w:cs="宋体"/>
          <w:b/>
          <w:sz w:val="24"/>
        </w:rPr>
        <w:t>第十六条  补充条款</w:t>
      </w:r>
    </w:p>
    <w:p w14:paraId="5047C19E">
      <w:pPr>
        <w:spacing w:line="360" w:lineRule="auto"/>
        <w:ind w:firstLine="480" w:firstLineChars="200"/>
        <w:rPr>
          <w:rFonts w:ascii="宋体" w:hAnsi="宋体" w:cs="宋体"/>
          <w:sz w:val="24"/>
        </w:rPr>
      </w:pPr>
      <w:r>
        <w:rPr>
          <w:rFonts w:hint="eastAsia" w:ascii="宋体" w:hAnsi="宋体" w:cs="宋体"/>
          <w:sz w:val="24"/>
        </w:rPr>
        <w:t>1、谅解与备忘条款：</w:t>
      </w:r>
    </w:p>
    <w:p w14:paraId="3B347D2C">
      <w:pPr>
        <w:spacing w:line="360" w:lineRule="auto"/>
        <w:ind w:firstLine="480" w:firstLineChars="200"/>
        <w:rPr>
          <w:rFonts w:ascii="宋体" w:hAnsi="宋体" w:cs="宋体"/>
          <w:sz w:val="24"/>
        </w:rPr>
      </w:pPr>
      <w:r>
        <w:rPr>
          <w:rFonts w:hint="eastAsia" w:ascii="宋体" w:hAnsi="宋体" w:cs="宋体"/>
          <w:kern w:val="0"/>
          <w:sz w:val="24"/>
        </w:rPr>
        <w:t>2、</w:t>
      </w:r>
      <w:r>
        <w:rPr>
          <w:rFonts w:hint="eastAsia" w:ascii="宋体" w:hAnsi="宋体" w:cs="宋体"/>
          <w:sz w:val="24"/>
        </w:rPr>
        <w:t>双方不可撤销的责任与义务：</w:t>
      </w:r>
    </w:p>
    <w:p w14:paraId="5DA33CD7">
      <w:pPr>
        <w:spacing w:line="360" w:lineRule="auto"/>
        <w:ind w:firstLine="480" w:firstLineChars="200"/>
        <w:rPr>
          <w:rFonts w:ascii="宋体" w:hAnsi="宋体" w:cs="宋体"/>
          <w:kern w:val="0"/>
          <w:sz w:val="24"/>
        </w:rPr>
      </w:pPr>
      <w:r>
        <w:rPr>
          <w:rFonts w:hint="eastAsia" w:ascii="宋体" w:hAnsi="宋体" w:cs="宋体"/>
          <w:sz w:val="24"/>
        </w:rPr>
        <w:t>3、</w:t>
      </w:r>
      <w:r>
        <w:rPr>
          <w:rFonts w:hint="eastAsia" w:ascii="宋体" w:hAnsi="宋体" w:cs="宋体"/>
          <w:kern w:val="0"/>
          <w:sz w:val="24"/>
        </w:rPr>
        <w:t>双方约定以下补充条款：</w:t>
      </w:r>
    </w:p>
    <w:p w14:paraId="26FC7F83">
      <w:pPr>
        <w:spacing w:line="360" w:lineRule="auto"/>
        <w:ind w:firstLine="482" w:firstLineChars="200"/>
        <w:rPr>
          <w:rFonts w:ascii="宋体" w:hAnsi="宋体" w:cs="宋体"/>
          <w:b/>
          <w:sz w:val="24"/>
        </w:rPr>
      </w:pPr>
      <w:r>
        <w:rPr>
          <w:rFonts w:hint="eastAsia" w:ascii="宋体" w:hAnsi="宋体" w:cs="宋体"/>
          <w:b/>
          <w:sz w:val="24"/>
        </w:rPr>
        <w:t>第十七条  合同生效</w:t>
      </w:r>
    </w:p>
    <w:p w14:paraId="26494400">
      <w:pPr>
        <w:spacing w:line="360" w:lineRule="auto"/>
        <w:ind w:firstLine="480" w:firstLineChars="200"/>
        <w:rPr>
          <w:rFonts w:ascii="宋体" w:hAnsi="宋体" w:cs="宋体"/>
          <w:sz w:val="24"/>
        </w:rPr>
      </w:pPr>
      <w:r>
        <w:rPr>
          <w:rFonts w:hint="eastAsia" w:ascii="宋体" w:hAnsi="宋体" w:cs="宋体"/>
          <w:sz w:val="24"/>
        </w:rPr>
        <w:t>1、本合同订立时间：</w:t>
      </w:r>
      <w:r>
        <w:rPr>
          <w:rFonts w:hint="eastAsia" w:ascii="宋体" w:hAnsi="宋体" w:cs="宋体"/>
          <w:sz w:val="24"/>
          <w:u w:val="single"/>
        </w:rPr>
        <w:t xml:space="preserve">       </w:t>
      </w:r>
      <w:r>
        <w:rPr>
          <w:rFonts w:hint="eastAsia" w:ascii="宋体" w:hAnsi="宋体" w:cs="宋体"/>
          <w:sz w:val="24"/>
        </w:rPr>
        <w:t xml:space="preserve"> 年</w:t>
      </w:r>
      <w:r>
        <w:rPr>
          <w:rFonts w:hint="eastAsia" w:ascii="宋体" w:hAnsi="宋体" w:cs="宋体"/>
          <w:sz w:val="24"/>
          <w:u w:val="single"/>
        </w:rPr>
        <w:t xml:space="preserve">      </w:t>
      </w:r>
      <w:r>
        <w:rPr>
          <w:rFonts w:hint="eastAsia" w:ascii="宋体" w:hAnsi="宋体" w:cs="宋体"/>
          <w:sz w:val="24"/>
        </w:rPr>
        <w:t xml:space="preserve">月 </w:t>
      </w:r>
      <w:r>
        <w:rPr>
          <w:rFonts w:hint="eastAsia" w:ascii="宋体" w:hAnsi="宋体" w:cs="宋体"/>
          <w:sz w:val="24"/>
          <w:u w:val="single"/>
        </w:rPr>
        <w:t xml:space="preserve">     </w:t>
      </w:r>
      <w:r>
        <w:rPr>
          <w:rFonts w:hint="eastAsia" w:ascii="宋体" w:hAnsi="宋体" w:cs="宋体"/>
          <w:sz w:val="24"/>
        </w:rPr>
        <w:t>日</w:t>
      </w:r>
    </w:p>
    <w:p w14:paraId="02023BF1">
      <w:pPr>
        <w:spacing w:line="360" w:lineRule="auto"/>
        <w:ind w:firstLine="480" w:firstLineChars="200"/>
        <w:rPr>
          <w:rFonts w:ascii="宋体" w:hAnsi="宋体" w:cs="宋体"/>
          <w:sz w:val="24"/>
        </w:rPr>
      </w:pPr>
      <w:r>
        <w:rPr>
          <w:rFonts w:hint="eastAsia" w:ascii="宋体" w:hAnsi="宋体" w:cs="宋体"/>
          <w:sz w:val="24"/>
        </w:rPr>
        <w:t>2、本合同订立地点：</w:t>
      </w:r>
      <w:r>
        <w:rPr>
          <w:rFonts w:hint="eastAsia" w:ascii="宋体" w:hAnsi="宋体" w:cs="宋体"/>
          <w:sz w:val="24"/>
          <w:u w:val="single"/>
        </w:rPr>
        <w:t xml:space="preserve">                          </w:t>
      </w:r>
      <w:r>
        <w:rPr>
          <w:rFonts w:hint="eastAsia" w:ascii="宋体" w:hAnsi="宋体" w:cs="宋体"/>
          <w:sz w:val="24"/>
        </w:rPr>
        <w:t xml:space="preserve">。                       </w:t>
      </w:r>
    </w:p>
    <w:p w14:paraId="4EBB72F9">
      <w:pPr>
        <w:spacing w:line="360" w:lineRule="auto"/>
        <w:ind w:firstLine="480" w:firstLineChars="200"/>
        <w:rPr>
          <w:rFonts w:ascii="宋体" w:hAnsi="宋体" w:cs="宋体"/>
          <w:sz w:val="24"/>
        </w:rPr>
      </w:pPr>
      <w:r>
        <w:rPr>
          <w:rFonts w:hint="eastAsia" w:ascii="宋体" w:hAnsi="宋体" w:cs="宋体"/>
          <w:sz w:val="24"/>
        </w:rPr>
        <w:t>3、本合同在甲乙双方法人代表或其授权代表签字盖章后生效。</w:t>
      </w:r>
    </w:p>
    <w:p w14:paraId="21A8DC6F">
      <w:pPr>
        <w:spacing w:line="480" w:lineRule="exact"/>
        <w:ind w:firstLine="480" w:firstLineChars="200"/>
        <w:rPr>
          <w:rFonts w:ascii="宋体" w:hAnsi="宋体" w:cs="宋体"/>
          <w:sz w:val="24"/>
        </w:rPr>
      </w:pPr>
      <w:r>
        <w:rPr>
          <w:rFonts w:hint="eastAsia" w:ascii="宋体" w:hAnsi="宋体" w:cs="宋体"/>
          <w:sz w:val="24"/>
        </w:rPr>
        <w:t>4、本合同一式</w:t>
      </w:r>
      <w:r>
        <w:rPr>
          <w:rFonts w:hint="eastAsia" w:ascii="宋体" w:hAnsi="宋体" w:cs="宋体"/>
          <w:sz w:val="24"/>
          <w:u w:val="single"/>
        </w:rPr>
        <w:t xml:space="preserve">    </w:t>
      </w:r>
      <w:r>
        <w:rPr>
          <w:rFonts w:hint="eastAsia" w:ascii="宋体" w:hAnsi="宋体" w:cs="宋体"/>
          <w:sz w:val="24"/>
        </w:rPr>
        <w:t>份，甲乙双方、代理机构及政府采购监督管理部门各执一份，具有同等法律效力。</w:t>
      </w:r>
    </w:p>
    <w:p w14:paraId="114D567B">
      <w:pPr>
        <w:spacing w:line="360" w:lineRule="auto"/>
        <w:ind w:firstLine="482" w:firstLineChars="200"/>
        <w:rPr>
          <w:rFonts w:ascii="宋体" w:hAnsi="宋体" w:cs="宋体"/>
          <w:sz w:val="24"/>
        </w:rPr>
      </w:pPr>
      <w:r>
        <w:rPr>
          <w:rFonts w:hint="eastAsia" w:ascii="宋体" w:hAnsi="宋体" w:cs="宋体"/>
          <w:b/>
          <w:sz w:val="24"/>
        </w:rPr>
        <w:t>第十八条  合同附件</w:t>
      </w:r>
      <w:r>
        <w:rPr>
          <w:rFonts w:hint="eastAsia" w:ascii="宋体" w:hAnsi="宋体" w:cs="宋体"/>
          <w:sz w:val="24"/>
        </w:rPr>
        <w:t>(</w:t>
      </w:r>
      <w:r>
        <w:rPr>
          <w:rFonts w:hint="eastAsia" w:ascii="宋体" w:hAnsi="宋体" w:cs="宋体"/>
          <w:kern w:val="0"/>
          <w:sz w:val="24"/>
        </w:rPr>
        <w:t>签定具体合同时，若有附件应注明，并注明附件名称。</w:t>
      </w:r>
      <w:r>
        <w:rPr>
          <w:rFonts w:hint="eastAsia" w:ascii="宋体" w:hAnsi="宋体" w:cs="宋体"/>
          <w:sz w:val="24"/>
        </w:rPr>
        <w:t>)</w:t>
      </w:r>
    </w:p>
    <w:p w14:paraId="732AC10A">
      <w:pPr>
        <w:spacing w:line="360" w:lineRule="auto"/>
        <w:rPr>
          <w:rFonts w:ascii="宋体" w:hAnsi="宋体" w:cs="宋体"/>
          <w:b/>
          <w:sz w:val="24"/>
        </w:rPr>
      </w:pPr>
    </w:p>
    <w:p w14:paraId="7751CDDA">
      <w:pPr>
        <w:spacing w:line="360" w:lineRule="auto"/>
        <w:rPr>
          <w:rFonts w:ascii="宋体" w:hAnsi="宋体" w:cs="宋体"/>
          <w:b/>
          <w:sz w:val="24"/>
        </w:rPr>
      </w:pPr>
    </w:p>
    <w:p w14:paraId="1ACAF01E">
      <w:pPr>
        <w:spacing w:line="360" w:lineRule="auto"/>
        <w:rPr>
          <w:rFonts w:ascii="宋体" w:hAnsi="宋体" w:cs="宋体"/>
          <w:b/>
          <w:sz w:val="24"/>
        </w:rPr>
      </w:pPr>
      <w:r>
        <w:rPr>
          <w:rFonts w:hint="eastAsia" w:ascii="宋体" w:hAnsi="宋体" w:cs="宋体"/>
          <w:b/>
          <w:sz w:val="24"/>
        </w:rPr>
        <w:t>甲方（盖章）：                          乙方（盖章）：</w:t>
      </w:r>
    </w:p>
    <w:p w14:paraId="62BBC0D4">
      <w:pPr>
        <w:spacing w:line="360" w:lineRule="auto"/>
        <w:rPr>
          <w:rFonts w:ascii="宋体" w:hAnsi="宋体" w:cs="宋体"/>
          <w:sz w:val="24"/>
        </w:rPr>
      </w:pPr>
      <w:r>
        <w:rPr>
          <w:rFonts w:hint="eastAsia" w:ascii="宋体" w:hAnsi="宋体" w:cs="宋体"/>
          <w:sz w:val="24"/>
        </w:rPr>
        <w:t>法定代表人（盖章或签字）：             法定代表人（盖章或签字）：</w:t>
      </w:r>
    </w:p>
    <w:p w14:paraId="1573C7C1">
      <w:pPr>
        <w:tabs>
          <w:tab w:val="left" w:pos="525"/>
          <w:tab w:val="left" w:pos="1155"/>
        </w:tabs>
        <w:spacing w:line="360" w:lineRule="auto"/>
        <w:rPr>
          <w:rFonts w:ascii="宋体" w:hAnsi="宋体" w:cs="宋体"/>
          <w:sz w:val="24"/>
        </w:rPr>
      </w:pPr>
      <w:r>
        <w:rPr>
          <w:rFonts w:hint="eastAsia" w:ascii="宋体" w:hAnsi="宋体" w:cs="宋体"/>
          <w:sz w:val="24"/>
        </w:rPr>
        <w:t>委托代理人（签字）：                   委托代理人（签字）：</w:t>
      </w:r>
    </w:p>
    <w:p w14:paraId="66DCD141">
      <w:pPr>
        <w:tabs>
          <w:tab w:val="left" w:pos="525"/>
          <w:tab w:val="left" w:pos="1155"/>
        </w:tabs>
        <w:spacing w:line="360" w:lineRule="auto"/>
        <w:rPr>
          <w:rFonts w:ascii="宋体" w:hAnsi="宋体" w:cs="宋体"/>
          <w:sz w:val="24"/>
        </w:rPr>
      </w:pPr>
      <w:r>
        <w:rPr>
          <w:rFonts w:hint="eastAsia" w:ascii="宋体" w:hAnsi="宋体" w:cs="宋体"/>
          <w:sz w:val="24"/>
        </w:rPr>
        <w:t>地  址：                               地  址：</w:t>
      </w:r>
    </w:p>
    <w:p w14:paraId="1654D614">
      <w:pPr>
        <w:tabs>
          <w:tab w:val="left" w:pos="525"/>
          <w:tab w:val="left" w:pos="1155"/>
        </w:tabs>
        <w:spacing w:line="360" w:lineRule="auto"/>
        <w:rPr>
          <w:rFonts w:ascii="宋体" w:hAnsi="宋体" w:cs="宋体"/>
          <w:sz w:val="24"/>
        </w:rPr>
      </w:pPr>
      <w:r>
        <w:rPr>
          <w:rFonts w:hint="eastAsia" w:ascii="宋体" w:hAnsi="宋体" w:cs="宋体"/>
          <w:sz w:val="24"/>
        </w:rPr>
        <w:t>电  话：                               电  话：</w:t>
      </w:r>
    </w:p>
    <w:p w14:paraId="1D3536CD">
      <w:pPr>
        <w:tabs>
          <w:tab w:val="left" w:pos="525"/>
          <w:tab w:val="left" w:pos="1155"/>
        </w:tabs>
        <w:spacing w:line="360" w:lineRule="auto"/>
        <w:ind w:firstLine="4680" w:firstLineChars="1950"/>
        <w:rPr>
          <w:rFonts w:ascii="宋体" w:hAnsi="宋体" w:cs="宋体"/>
          <w:sz w:val="24"/>
        </w:rPr>
      </w:pPr>
      <w:r>
        <w:rPr>
          <w:rFonts w:hint="eastAsia" w:ascii="宋体" w:hAnsi="宋体" w:cs="宋体"/>
          <w:sz w:val="24"/>
        </w:rPr>
        <w:t>开户名称：</w:t>
      </w:r>
    </w:p>
    <w:p w14:paraId="04120E0D">
      <w:pPr>
        <w:tabs>
          <w:tab w:val="left" w:pos="525"/>
          <w:tab w:val="left" w:pos="1155"/>
        </w:tabs>
        <w:spacing w:line="360" w:lineRule="auto"/>
        <w:ind w:firstLine="4680" w:firstLineChars="1950"/>
        <w:rPr>
          <w:rFonts w:ascii="宋体" w:hAnsi="宋体" w:cs="宋体"/>
          <w:sz w:val="24"/>
        </w:rPr>
      </w:pPr>
      <w:r>
        <w:rPr>
          <w:rFonts w:hint="eastAsia" w:ascii="宋体" w:hAnsi="宋体" w:cs="宋体"/>
          <w:sz w:val="24"/>
        </w:rPr>
        <w:t>开 户 行：</w:t>
      </w:r>
    </w:p>
    <w:p w14:paraId="0EE6862E">
      <w:pPr>
        <w:tabs>
          <w:tab w:val="left" w:pos="525"/>
          <w:tab w:val="left" w:pos="1155"/>
        </w:tabs>
        <w:spacing w:line="360" w:lineRule="auto"/>
        <w:ind w:firstLine="4680" w:firstLineChars="1950"/>
        <w:rPr>
          <w:rFonts w:ascii="宋体" w:hAnsi="宋体" w:cs="宋体"/>
          <w:sz w:val="24"/>
        </w:rPr>
      </w:pPr>
      <w:r>
        <w:rPr>
          <w:rFonts w:hint="eastAsia" w:ascii="宋体" w:hAnsi="宋体" w:cs="宋体"/>
          <w:sz w:val="24"/>
        </w:rPr>
        <w:t>银行帐号：</w:t>
      </w:r>
    </w:p>
    <w:p w14:paraId="08932BA5">
      <w:pPr>
        <w:spacing w:line="360" w:lineRule="auto"/>
        <w:rPr>
          <w:rFonts w:ascii="宋体" w:hAnsi="宋体" w:cs="宋体"/>
          <w:sz w:val="24"/>
        </w:rPr>
      </w:pPr>
    </w:p>
    <w:p w14:paraId="7469C351">
      <w:pPr>
        <w:spacing w:line="480" w:lineRule="exact"/>
        <w:rPr>
          <w:rFonts w:hint="eastAsia" w:ascii="宋体" w:hAnsi="宋体" w:cs="宋体"/>
          <w:sz w:val="24"/>
        </w:rPr>
      </w:pPr>
      <w:r>
        <w:rPr>
          <w:rFonts w:hint="eastAsia" w:ascii="宋体" w:hAnsi="宋体" w:cs="宋体"/>
          <w:sz w:val="24"/>
        </w:rPr>
        <w:t>日  期：</w:t>
      </w:r>
      <w:r>
        <w:rPr>
          <w:rFonts w:hint="eastAsia" w:ascii="宋体" w:hAnsi="宋体" w:cs="宋体"/>
          <w:sz w:val="24"/>
          <w:u w:val="single"/>
        </w:rPr>
        <w:t xml:space="preserve">   年  月  日</w:t>
      </w:r>
      <w:r>
        <w:rPr>
          <w:rFonts w:hint="eastAsia" w:ascii="宋体" w:hAnsi="宋体" w:cs="宋体"/>
          <w:sz w:val="24"/>
        </w:rPr>
        <w:t xml:space="preserve">               日    期：</w:t>
      </w:r>
      <w:r>
        <w:rPr>
          <w:rFonts w:hint="eastAsia" w:ascii="宋体" w:hAnsi="宋体" w:cs="宋体"/>
          <w:sz w:val="24"/>
          <w:u w:val="single"/>
        </w:rPr>
        <w:t xml:space="preserve">    年   月   日</w:t>
      </w:r>
    </w:p>
    <w:p w14:paraId="45BBDF15">
      <w:pPr>
        <w:spacing w:line="360" w:lineRule="auto"/>
        <w:rPr>
          <w:rFonts w:ascii="宋体" w:hAnsi="宋体" w:cs="宋体"/>
          <w:sz w:val="24"/>
        </w:rPr>
      </w:pPr>
    </w:p>
    <w:p w14:paraId="029802ED">
      <w:pPr>
        <w:rPr>
          <w:rFonts w:hint="eastAsia"/>
        </w:rPr>
      </w:pPr>
    </w:p>
    <w:p w14:paraId="778E1BFC">
      <w:pPr>
        <w:pStyle w:val="2"/>
        <w:shd w:val="clear" w:color="auto" w:fill="auto"/>
        <w:spacing w:before="0" w:after="0" w:line="360" w:lineRule="auto"/>
        <w:jc w:val="center"/>
        <w:rPr>
          <w:rFonts w:hint="eastAsia" w:ascii="宋体" w:hAnsi="宋体" w:cs="宋体"/>
          <w:color w:val="000000"/>
          <w:highlight w:val="none"/>
        </w:rPr>
      </w:pPr>
    </w:p>
    <w:p w14:paraId="50ACD838">
      <w:pPr>
        <w:pStyle w:val="2"/>
        <w:shd w:val="clear" w:color="auto" w:fill="auto"/>
        <w:spacing w:before="0" w:after="0" w:line="360" w:lineRule="auto"/>
        <w:jc w:val="center"/>
        <w:rPr>
          <w:rFonts w:hint="eastAsia" w:ascii="宋体" w:hAnsi="宋体" w:cs="宋体"/>
          <w:color w:val="000000"/>
          <w:highlight w:val="none"/>
        </w:rPr>
      </w:pPr>
    </w:p>
    <w:p w14:paraId="6F576643">
      <w:pPr>
        <w:pStyle w:val="2"/>
        <w:shd w:val="clear" w:color="auto" w:fill="auto"/>
        <w:spacing w:before="0" w:after="0" w:line="360" w:lineRule="auto"/>
        <w:jc w:val="both"/>
        <w:rPr>
          <w:rFonts w:hint="eastAsia" w:ascii="宋体" w:hAnsi="宋体" w:cs="宋体"/>
          <w:color w:val="000000"/>
          <w:highlight w:val="none"/>
        </w:rPr>
      </w:pPr>
    </w:p>
    <w:p w14:paraId="4D9DECC8">
      <w:pPr>
        <w:pStyle w:val="2"/>
        <w:shd w:val="clear" w:color="auto" w:fill="auto"/>
        <w:spacing w:before="0" w:after="0" w:line="360" w:lineRule="auto"/>
        <w:jc w:val="both"/>
        <w:rPr>
          <w:rFonts w:hint="eastAsia" w:ascii="宋体" w:hAnsi="宋体" w:cs="宋体"/>
          <w:color w:val="000000"/>
          <w:highlight w:val="none"/>
        </w:rPr>
      </w:pPr>
    </w:p>
    <w:p w14:paraId="0A9B6B40">
      <w:pPr>
        <w:pStyle w:val="2"/>
        <w:shd w:val="clear" w:color="auto" w:fill="auto"/>
        <w:spacing w:before="0" w:after="0" w:line="360" w:lineRule="auto"/>
        <w:jc w:val="both"/>
        <w:rPr>
          <w:rFonts w:hint="eastAsia" w:ascii="宋体" w:hAnsi="宋体" w:cs="宋体"/>
          <w:color w:val="000000"/>
          <w:highlight w:val="none"/>
        </w:rPr>
      </w:pPr>
    </w:p>
    <w:p w14:paraId="2D1B1B56">
      <w:pPr>
        <w:pStyle w:val="2"/>
        <w:shd w:val="clear" w:color="auto" w:fill="auto"/>
        <w:spacing w:before="0" w:after="0" w:line="360" w:lineRule="auto"/>
        <w:jc w:val="both"/>
        <w:rPr>
          <w:rFonts w:hint="eastAsia" w:ascii="宋体" w:hAnsi="宋体" w:cs="宋体"/>
          <w:color w:val="000000"/>
          <w:highlight w:val="none"/>
        </w:rPr>
      </w:pPr>
    </w:p>
    <w:p w14:paraId="49FA3CE4">
      <w:pPr>
        <w:pStyle w:val="2"/>
        <w:shd w:val="clear" w:color="auto" w:fill="auto"/>
        <w:spacing w:before="0" w:after="0" w:line="360" w:lineRule="auto"/>
        <w:jc w:val="both"/>
        <w:rPr>
          <w:rFonts w:hint="eastAsia" w:ascii="宋体" w:hAnsi="宋体" w:cs="宋体"/>
          <w:color w:val="000000"/>
          <w:highlight w:val="none"/>
        </w:rPr>
      </w:pPr>
    </w:p>
    <w:p w14:paraId="31F6F950">
      <w:pPr>
        <w:pStyle w:val="2"/>
        <w:shd w:val="clear" w:color="auto" w:fill="auto"/>
        <w:spacing w:before="0" w:after="0" w:line="360" w:lineRule="auto"/>
        <w:jc w:val="both"/>
        <w:rPr>
          <w:rFonts w:hint="eastAsia" w:ascii="宋体" w:hAnsi="宋体" w:cs="宋体"/>
          <w:color w:val="000000"/>
          <w:highlight w:val="none"/>
        </w:rPr>
      </w:pPr>
    </w:p>
    <w:p w14:paraId="619B9F47">
      <w:pPr>
        <w:pStyle w:val="2"/>
        <w:shd w:val="clear" w:color="auto" w:fill="auto"/>
        <w:spacing w:before="0" w:after="0" w:line="360" w:lineRule="auto"/>
        <w:jc w:val="both"/>
        <w:rPr>
          <w:rFonts w:hint="eastAsia" w:ascii="宋体" w:hAnsi="宋体" w:cs="宋体"/>
          <w:color w:val="000000"/>
          <w:highlight w:val="none"/>
        </w:rPr>
      </w:pPr>
    </w:p>
    <w:p w14:paraId="1D1BF5EF">
      <w:pPr>
        <w:pStyle w:val="2"/>
        <w:shd w:val="clear" w:color="auto" w:fill="auto"/>
        <w:spacing w:before="0" w:after="0" w:line="360" w:lineRule="auto"/>
        <w:jc w:val="both"/>
        <w:rPr>
          <w:rFonts w:hint="eastAsia" w:ascii="宋体" w:hAnsi="宋体" w:cs="宋体"/>
          <w:color w:val="000000"/>
          <w:highlight w:val="none"/>
        </w:rPr>
      </w:pPr>
    </w:p>
    <w:p w14:paraId="19C29D15">
      <w:pPr>
        <w:pStyle w:val="2"/>
        <w:shd w:val="clear" w:color="auto" w:fill="auto"/>
        <w:spacing w:before="0" w:after="0" w:line="360" w:lineRule="auto"/>
        <w:jc w:val="both"/>
        <w:rPr>
          <w:rFonts w:hint="eastAsia" w:ascii="宋体" w:hAnsi="宋体" w:cs="宋体"/>
          <w:color w:val="000000"/>
          <w:highlight w:val="none"/>
        </w:rPr>
      </w:pPr>
    </w:p>
    <w:p w14:paraId="3B522D36">
      <w:pPr>
        <w:pStyle w:val="2"/>
        <w:shd w:val="clear" w:color="auto" w:fill="auto"/>
        <w:spacing w:before="0" w:after="0" w:line="360" w:lineRule="auto"/>
        <w:jc w:val="both"/>
        <w:rPr>
          <w:rFonts w:hint="eastAsia" w:ascii="宋体" w:hAnsi="宋体" w:cs="宋体"/>
          <w:color w:val="000000"/>
          <w:highlight w:val="none"/>
        </w:rPr>
      </w:pPr>
    </w:p>
    <w:p w14:paraId="54FC72BB">
      <w:pPr>
        <w:pStyle w:val="2"/>
        <w:shd w:val="clear" w:color="auto" w:fill="auto"/>
        <w:spacing w:before="0" w:after="0" w:line="360" w:lineRule="auto"/>
        <w:jc w:val="both"/>
        <w:rPr>
          <w:rFonts w:hint="eastAsia" w:ascii="宋体" w:hAnsi="宋体" w:cs="宋体"/>
          <w:color w:val="000000"/>
          <w:highlight w:val="none"/>
        </w:rPr>
      </w:pPr>
    </w:p>
    <w:bookmarkEnd w:id="219"/>
    <w:bookmarkEnd w:id="220"/>
    <w:p w14:paraId="49BFA102">
      <w:pPr>
        <w:shd w:val="clear" w:color="auto" w:fill="auto"/>
        <w:rPr>
          <w:rFonts w:hint="eastAsia" w:ascii="宋体" w:hAnsi="宋体" w:cs="宋体"/>
          <w:color w:val="000000"/>
          <w:highlight w:val="none"/>
        </w:rPr>
      </w:pPr>
      <w:r>
        <w:rPr>
          <w:rFonts w:hint="eastAsia" w:ascii="宋体" w:hAnsi="宋体" w:cs="宋体"/>
          <w:color w:val="000000"/>
          <w:highlight w:val="none"/>
        </w:rPr>
        <w:t xml:space="preserve"> </w:t>
      </w:r>
    </w:p>
    <w:p w14:paraId="686466D0">
      <w:pPr>
        <w:shd w:val="clear" w:color="auto" w:fill="auto"/>
        <w:rPr>
          <w:rFonts w:hint="eastAsia" w:ascii="宋体" w:hAnsi="宋体" w:cs="宋体"/>
          <w:color w:val="000000"/>
          <w:highlight w:val="none"/>
        </w:rPr>
      </w:pPr>
      <w:r>
        <w:rPr>
          <w:rFonts w:hint="eastAsia" w:ascii="宋体" w:hAnsi="宋体" w:cs="宋体"/>
          <w:color w:val="000000"/>
          <w:highlight w:val="none"/>
        </w:rPr>
        <w:t xml:space="preserve"> </w:t>
      </w:r>
    </w:p>
    <w:p w14:paraId="0C81871A">
      <w:pPr>
        <w:shd w:val="clear" w:color="auto" w:fill="auto"/>
        <w:rPr>
          <w:rFonts w:hint="eastAsia" w:ascii="宋体" w:hAnsi="宋体" w:cs="宋体"/>
          <w:color w:val="000000"/>
          <w:highlight w:val="none"/>
        </w:rPr>
      </w:pPr>
    </w:p>
    <w:p w14:paraId="60A2ECE0">
      <w:pPr>
        <w:pStyle w:val="2"/>
        <w:shd w:val="clear" w:color="auto" w:fill="auto"/>
        <w:spacing w:before="0" w:after="0" w:line="360" w:lineRule="auto"/>
        <w:jc w:val="center"/>
        <w:rPr>
          <w:rFonts w:hint="eastAsia" w:ascii="宋体" w:hAnsi="宋体" w:cs="宋体"/>
          <w:color w:val="000000"/>
          <w:highlight w:val="none"/>
        </w:rPr>
      </w:pPr>
      <w:r>
        <w:rPr>
          <w:rFonts w:hint="eastAsia" w:ascii="宋体" w:hAnsi="宋体" w:cs="宋体"/>
          <w:color w:val="000000"/>
          <w:highlight w:val="none"/>
        </w:rPr>
        <w:t>第四章 投标文件格式</w:t>
      </w:r>
    </w:p>
    <w:p w14:paraId="76DD2A17">
      <w:pPr>
        <w:shd w:val="clear" w:color="auto" w:fill="auto"/>
        <w:rPr>
          <w:rFonts w:hint="eastAsia" w:ascii="宋体" w:hAnsi="宋体" w:cs="宋体"/>
          <w:color w:val="000000"/>
          <w:highlight w:val="none"/>
        </w:rPr>
      </w:pPr>
    </w:p>
    <w:p w14:paraId="2F5958D5">
      <w:pPr>
        <w:shd w:val="clear" w:color="auto" w:fill="auto"/>
        <w:rPr>
          <w:rFonts w:hint="eastAsia" w:ascii="宋体" w:hAnsi="宋体" w:cs="宋体"/>
          <w:color w:val="000000"/>
          <w:highlight w:val="none"/>
        </w:rPr>
      </w:pPr>
    </w:p>
    <w:p w14:paraId="7148905D">
      <w:pPr>
        <w:shd w:val="clear" w:color="auto" w:fill="auto"/>
        <w:jc w:val="center"/>
        <w:rPr>
          <w:rFonts w:hint="eastAsia" w:ascii="宋体" w:hAnsi="宋体" w:cs="宋体"/>
          <w:b/>
          <w:color w:val="000000"/>
          <w:sz w:val="44"/>
          <w:szCs w:val="44"/>
          <w:highlight w:val="none"/>
        </w:rPr>
      </w:pPr>
      <w:r>
        <w:rPr>
          <w:rFonts w:hint="eastAsia" w:ascii="宋体" w:hAnsi="宋体" w:cs="宋体"/>
          <w:b/>
          <w:color w:val="000000"/>
          <w:sz w:val="44"/>
          <w:szCs w:val="44"/>
          <w:highlight w:val="none"/>
        </w:rPr>
        <w:t>资格审查部分封面</w:t>
      </w:r>
    </w:p>
    <w:p w14:paraId="77294D00">
      <w:pPr>
        <w:shd w:val="clear" w:color="auto" w:fill="auto"/>
        <w:rPr>
          <w:rFonts w:hint="eastAsia" w:ascii="宋体" w:hAnsi="宋体" w:cs="宋体"/>
          <w:color w:val="000000"/>
          <w:highlight w:val="none"/>
        </w:rPr>
      </w:pPr>
    </w:p>
    <w:p w14:paraId="46DE482A">
      <w:pPr>
        <w:shd w:val="clear" w:color="auto" w:fill="auto"/>
        <w:rPr>
          <w:rFonts w:hint="eastAsia" w:ascii="宋体" w:hAnsi="宋体" w:cs="宋体"/>
          <w:color w:val="000000"/>
          <w:highlight w:val="none"/>
        </w:rPr>
      </w:pPr>
      <w:r>
        <w:rPr>
          <w:rFonts w:hint="eastAsia" w:ascii="宋体" w:hAnsi="宋体" w:cs="宋体"/>
          <w:color w:val="000000"/>
          <w:highlight w:val="none"/>
        </w:rPr>
        <w:t xml:space="preserve"> </w:t>
      </w:r>
    </w:p>
    <w:p w14:paraId="4EA65110">
      <w:pPr>
        <w:shd w:val="clear" w:color="auto" w:fill="auto"/>
        <w:spacing w:line="480" w:lineRule="auto"/>
        <w:jc w:val="center"/>
        <w:rPr>
          <w:rFonts w:hint="eastAsia" w:ascii="宋体" w:hAnsi="宋体" w:eastAsia="宋体" w:cs="宋体"/>
          <w:b/>
          <w:bCs/>
          <w:color w:val="000000"/>
          <w:sz w:val="52"/>
          <w:szCs w:val="52"/>
          <w:highlight w:val="none"/>
          <w:lang w:eastAsia="zh-CN"/>
        </w:rPr>
      </w:pPr>
      <w:r>
        <w:rPr>
          <w:rFonts w:hint="eastAsia" w:ascii="宋体" w:hAnsi="宋体" w:cs="宋体"/>
          <w:b/>
          <w:bCs/>
          <w:color w:val="000000"/>
          <w:sz w:val="52"/>
          <w:szCs w:val="52"/>
          <w:highlight w:val="none"/>
          <w:lang w:eastAsia="zh-CN"/>
        </w:rPr>
        <w:t>宜良县部分耕地园地等种植状况摸排技术服务</w:t>
      </w:r>
    </w:p>
    <w:p w14:paraId="7A7A8B05">
      <w:pPr>
        <w:shd w:val="clear" w:color="auto" w:fill="auto"/>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w:t>
      </w:r>
      <w:r>
        <w:rPr>
          <w:rFonts w:hint="eastAsia" w:ascii="宋体" w:hAnsi="宋体" w:cs="宋体"/>
          <w:b/>
          <w:bCs/>
          <w:color w:val="000000"/>
          <w:sz w:val="44"/>
          <w:szCs w:val="44"/>
          <w:highlight w:val="none"/>
          <w:lang w:val="en-US" w:eastAsia="zh-CN"/>
        </w:rPr>
        <w:t xml:space="preserve">   标段</w:t>
      </w:r>
      <w:r>
        <w:rPr>
          <w:rFonts w:hint="eastAsia" w:ascii="宋体" w:hAnsi="宋体" w:cs="宋体"/>
          <w:b/>
          <w:bCs/>
          <w:color w:val="000000"/>
          <w:sz w:val="44"/>
          <w:szCs w:val="44"/>
          <w:highlight w:val="none"/>
        </w:rPr>
        <w:t>）</w:t>
      </w:r>
    </w:p>
    <w:p w14:paraId="3D8C5C01">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04C873F2">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078FCF19">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5BBFF734">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66F50DD8">
      <w:pPr>
        <w:shd w:val="clear" w:color="auto" w:fill="auto"/>
        <w:jc w:val="center"/>
        <w:rPr>
          <w:rFonts w:hint="eastAsia" w:ascii="宋体" w:hAnsi="宋体" w:cs="宋体"/>
          <w:b/>
          <w:bCs/>
          <w:color w:val="000000"/>
          <w:sz w:val="52"/>
          <w:szCs w:val="52"/>
          <w:highlight w:val="none"/>
        </w:rPr>
      </w:pPr>
      <w:r>
        <w:rPr>
          <w:rFonts w:hint="eastAsia" w:ascii="宋体" w:hAnsi="宋体" w:cs="宋体"/>
          <w:b/>
          <w:bCs/>
          <w:color w:val="000000"/>
          <w:sz w:val="52"/>
          <w:szCs w:val="52"/>
          <w:highlight w:val="none"/>
        </w:rPr>
        <w:t>投 标 文 件</w:t>
      </w:r>
    </w:p>
    <w:p w14:paraId="313C85D6">
      <w:pPr>
        <w:shd w:val="clear" w:color="auto" w:fill="auto"/>
        <w:jc w:val="center"/>
        <w:outlineLvl w:val="2"/>
        <w:rPr>
          <w:rFonts w:hint="eastAsia" w:ascii="宋体" w:hAnsi="宋体" w:cs="宋体"/>
          <w:b/>
          <w:bCs/>
          <w:color w:val="000000"/>
          <w:sz w:val="32"/>
          <w:szCs w:val="32"/>
          <w:highlight w:val="none"/>
        </w:rPr>
      </w:pPr>
      <w:bookmarkStart w:id="241" w:name="_Toc26907"/>
      <w:r>
        <w:rPr>
          <w:rFonts w:hint="eastAsia" w:ascii="宋体" w:hAnsi="宋体" w:cs="宋体"/>
          <w:b/>
          <w:bCs/>
          <w:color w:val="000000"/>
          <w:sz w:val="32"/>
          <w:szCs w:val="32"/>
          <w:highlight w:val="none"/>
        </w:rPr>
        <w:t>资格审查部分</w:t>
      </w:r>
      <w:bookmarkEnd w:id="241"/>
    </w:p>
    <w:p w14:paraId="13DD9538">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62B7FE00">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66B9BD91">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7C43A78B">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314369BE">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23B23365">
      <w:pPr>
        <w:shd w:val="clear" w:color="auto" w:fill="auto"/>
        <w:ind w:firstLine="1205" w:firstLineChars="5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投标人：</w:t>
      </w:r>
      <w:r>
        <w:rPr>
          <w:rFonts w:hint="eastAsia" w:ascii="宋体" w:hAnsi="宋体" w:cs="宋体"/>
          <w:b/>
          <w:bCs/>
          <w:color w:val="000000"/>
          <w:sz w:val="24"/>
          <w:szCs w:val="24"/>
          <w:highlight w:val="none"/>
          <w:u w:val="single"/>
        </w:rPr>
        <w:tab/>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w:t>
      </w:r>
    </w:p>
    <w:p w14:paraId="5FC6549F">
      <w:pP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p>
    <w:p w14:paraId="378412B2">
      <w:pPr>
        <w:shd w:val="clear" w:color="auto" w:fill="auto"/>
        <w:ind w:firstLine="1205" w:firstLineChars="5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法定代表人（单位负责人）：</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（电子签章或电子签名）</w:t>
      </w:r>
    </w:p>
    <w:p w14:paraId="130CA2DF">
      <w:pP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p>
    <w:p w14:paraId="19B2C127">
      <w:pPr>
        <w:shd w:val="clear" w:color="auto" w:fill="auto"/>
        <w:ind w:firstLine="2891" w:firstLineChars="1200"/>
        <w:rPr>
          <w:rFonts w:hint="eastAsia" w:ascii="宋体" w:hAnsi="宋体" w:cs="宋体"/>
          <w:color w:val="000000"/>
          <w:sz w:val="44"/>
          <w:szCs w:val="44"/>
          <w:highlight w:val="none"/>
        </w:rPr>
      </w:pPr>
      <w:r>
        <w:rPr>
          <w:rFonts w:hint="eastAsia" w:ascii="宋体" w:hAnsi="宋体" w:cs="宋体"/>
          <w:b/>
          <w:bCs/>
          <w:color w:val="000000"/>
          <w:sz w:val="24"/>
          <w:szCs w:val="24"/>
          <w:highlight w:val="none"/>
        </w:rPr>
        <w:t xml:space="preserve">日期：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年</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月</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日</w:t>
      </w:r>
      <w:bookmarkStart w:id="242" w:name="_Toc14917"/>
      <w:bookmarkEnd w:id="242"/>
      <w:bookmarkStart w:id="243" w:name="_Toc184"/>
      <w:bookmarkEnd w:id="243"/>
      <w:bookmarkStart w:id="244" w:name="_Toc25438"/>
    </w:p>
    <w:bookmarkEnd w:id="244"/>
    <w:p w14:paraId="2E2367E6">
      <w:pPr>
        <w:pStyle w:val="4"/>
        <w:widowControl/>
        <w:shd w:val="clear" w:color="auto" w:fill="auto"/>
        <w:autoSpaceDE w:val="0"/>
        <w:spacing w:before="0" w:after="0" w:line="360" w:lineRule="auto"/>
        <w:ind w:firstLine="562" w:firstLineChars="200"/>
        <w:rPr>
          <w:rFonts w:hint="eastAsia" w:ascii="宋体" w:hAnsi="宋体" w:cs="宋体"/>
          <w:color w:val="000000"/>
          <w:szCs w:val="28"/>
          <w:highlight w:val="none"/>
        </w:rPr>
      </w:pPr>
      <w:bookmarkStart w:id="245" w:name="_Toc24434"/>
      <w:bookmarkEnd w:id="245"/>
      <w:r>
        <w:rPr>
          <w:rFonts w:hint="eastAsia" w:ascii="宋体" w:hAnsi="宋体" w:cs="宋体"/>
          <w:color w:val="000000"/>
          <w:szCs w:val="28"/>
          <w:highlight w:val="none"/>
        </w:rPr>
        <w:br w:type="page"/>
      </w:r>
      <w:bookmarkStart w:id="246" w:name="_Toc11076"/>
      <w:r>
        <w:rPr>
          <w:rFonts w:hint="eastAsia" w:ascii="宋体" w:hAnsi="宋体" w:cs="宋体"/>
          <w:color w:val="000000"/>
          <w:szCs w:val="28"/>
          <w:highlight w:val="none"/>
        </w:rPr>
        <w:t>投标人基本情况表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9"/>
        <w:gridCol w:w="1350"/>
        <w:gridCol w:w="2721"/>
        <w:gridCol w:w="1404"/>
        <w:gridCol w:w="1982"/>
      </w:tblGrid>
      <w:tr w14:paraId="52D02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F3D11D2">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投标人名称</w:t>
            </w:r>
          </w:p>
        </w:tc>
        <w:tc>
          <w:tcPr>
            <w:tcW w:w="7457" w:type="dxa"/>
            <w:gridSpan w:val="4"/>
            <w:tcBorders>
              <w:top w:val="single" w:color="auto" w:sz="4" w:space="0"/>
              <w:left w:val="nil"/>
              <w:bottom w:val="single" w:color="auto" w:sz="4" w:space="0"/>
              <w:right w:val="single" w:color="auto" w:sz="4" w:space="0"/>
            </w:tcBorders>
            <w:vAlign w:val="center"/>
          </w:tcPr>
          <w:p w14:paraId="362B84FB">
            <w:pPr>
              <w:shd w:val="clear" w:color="auto" w:fill="auto"/>
              <w:spacing w:line="440" w:lineRule="exact"/>
              <w:jc w:val="center"/>
              <w:rPr>
                <w:rFonts w:hint="eastAsia" w:ascii="宋体" w:hAnsi="宋体" w:cs="宋体"/>
                <w:color w:val="000000"/>
                <w:sz w:val="24"/>
                <w:szCs w:val="24"/>
                <w:highlight w:val="none"/>
              </w:rPr>
            </w:pPr>
          </w:p>
        </w:tc>
      </w:tr>
      <w:tr w14:paraId="778AF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602B5A9">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注册资金</w:t>
            </w:r>
          </w:p>
        </w:tc>
        <w:tc>
          <w:tcPr>
            <w:tcW w:w="4071" w:type="dxa"/>
            <w:gridSpan w:val="2"/>
            <w:tcBorders>
              <w:top w:val="single" w:color="auto" w:sz="4" w:space="0"/>
              <w:left w:val="nil"/>
              <w:bottom w:val="single" w:color="auto" w:sz="4" w:space="0"/>
              <w:right w:val="single" w:color="auto" w:sz="4" w:space="0"/>
            </w:tcBorders>
            <w:vAlign w:val="center"/>
          </w:tcPr>
          <w:p w14:paraId="4D082E60">
            <w:pPr>
              <w:shd w:val="clear" w:color="auto" w:fill="auto"/>
              <w:spacing w:line="440" w:lineRule="exact"/>
              <w:jc w:val="center"/>
              <w:rPr>
                <w:rFonts w:hint="eastAsia" w:ascii="宋体" w:hAnsi="宋体" w:cs="宋体"/>
                <w:color w:val="000000"/>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39E5CCE3">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成立时间</w:t>
            </w:r>
          </w:p>
        </w:tc>
        <w:tc>
          <w:tcPr>
            <w:tcW w:w="1982" w:type="dxa"/>
            <w:tcBorders>
              <w:top w:val="single" w:color="auto" w:sz="4" w:space="0"/>
              <w:left w:val="nil"/>
              <w:bottom w:val="single" w:color="auto" w:sz="4" w:space="0"/>
              <w:right w:val="single" w:color="auto" w:sz="4" w:space="0"/>
            </w:tcBorders>
            <w:vAlign w:val="center"/>
          </w:tcPr>
          <w:p w14:paraId="6B4884A1">
            <w:pPr>
              <w:shd w:val="clear" w:color="auto" w:fill="auto"/>
              <w:spacing w:line="440" w:lineRule="exact"/>
              <w:jc w:val="center"/>
              <w:rPr>
                <w:rFonts w:hint="eastAsia" w:ascii="宋体" w:hAnsi="宋体" w:cs="宋体"/>
                <w:color w:val="000000"/>
                <w:sz w:val="24"/>
                <w:szCs w:val="24"/>
                <w:highlight w:val="none"/>
              </w:rPr>
            </w:pPr>
          </w:p>
        </w:tc>
      </w:tr>
      <w:tr w14:paraId="05F5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6CC54DFD">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注册地址</w:t>
            </w:r>
          </w:p>
        </w:tc>
        <w:tc>
          <w:tcPr>
            <w:tcW w:w="7457" w:type="dxa"/>
            <w:gridSpan w:val="4"/>
            <w:tcBorders>
              <w:top w:val="single" w:color="auto" w:sz="4" w:space="0"/>
              <w:left w:val="nil"/>
              <w:bottom w:val="single" w:color="auto" w:sz="4" w:space="0"/>
              <w:right w:val="single" w:color="auto" w:sz="4" w:space="0"/>
            </w:tcBorders>
            <w:vAlign w:val="center"/>
          </w:tcPr>
          <w:p w14:paraId="6267CA85">
            <w:pPr>
              <w:shd w:val="clear" w:color="auto" w:fill="auto"/>
              <w:spacing w:line="440" w:lineRule="exact"/>
              <w:jc w:val="center"/>
              <w:rPr>
                <w:rFonts w:hint="eastAsia" w:ascii="宋体" w:hAnsi="宋体" w:cs="宋体"/>
                <w:color w:val="000000"/>
                <w:sz w:val="24"/>
                <w:szCs w:val="24"/>
                <w:highlight w:val="none"/>
              </w:rPr>
            </w:pPr>
          </w:p>
        </w:tc>
      </w:tr>
      <w:tr w14:paraId="5D7F9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D48B4A5">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邮政编码</w:t>
            </w:r>
          </w:p>
        </w:tc>
        <w:tc>
          <w:tcPr>
            <w:tcW w:w="4071" w:type="dxa"/>
            <w:gridSpan w:val="2"/>
            <w:tcBorders>
              <w:top w:val="single" w:color="auto" w:sz="4" w:space="0"/>
              <w:left w:val="nil"/>
              <w:bottom w:val="single" w:color="auto" w:sz="4" w:space="0"/>
              <w:right w:val="single" w:color="auto" w:sz="4" w:space="0"/>
            </w:tcBorders>
            <w:vAlign w:val="center"/>
          </w:tcPr>
          <w:p w14:paraId="4021270A">
            <w:pPr>
              <w:shd w:val="clear" w:color="auto" w:fill="auto"/>
              <w:spacing w:line="440" w:lineRule="exact"/>
              <w:jc w:val="center"/>
              <w:rPr>
                <w:rFonts w:hint="eastAsia" w:ascii="宋体" w:hAnsi="宋体" w:cs="宋体"/>
                <w:color w:val="000000"/>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709FB329">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员工总数</w:t>
            </w:r>
          </w:p>
        </w:tc>
        <w:tc>
          <w:tcPr>
            <w:tcW w:w="1982" w:type="dxa"/>
            <w:tcBorders>
              <w:top w:val="single" w:color="auto" w:sz="4" w:space="0"/>
              <w:left w:val="nil"/>
              <w:bottom w:val="single" w:color="auto" w:sz="4" w:space="0"/>
              <w:right w:val="single" w:color="auto" w:sz="4" w:space="0"/>
            </w:tcBorders>
            <w:vAlign w:val="center"/>
          </w:tcPr>
          <w:p w14:paraId="5824F677">
            <w:pPr>
              <w:shd w:val="clear" w:color="auto" w:fill="auto"/>
              <w:spacing w:line="440" w:lineRule="exact"/>
              <w:jc w:val="center"/>
              <w:rPr>
                <w:rFonts w:hint="eastAsia" w:ascii="宋体" w:hAnsi="宋体" w:cs="宋体"/>
                <w:color w:val="000000"/>
                <w:sz w:val="24"/>
                <w:szCs w:val="24"/>
                <w:highlight w:val="none"/>
              </w:rPr>
            </w:pPr>
          </w:p>
        </w:tc>
      </w:tr>
      <w:tr w14:paraId="04221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restart"/>
            <w:tcBorders>
              <w:top w:val="nil"/>
              <w:left w:val="single" w:color="auto" w:sz="4" w:space="0"/>
              <w:bottom w:val="single" w:color="auto" w:sz="4" w:space="0"/>
              <w:right w:val="single" w:color="auto" w:sz="4" w:space="0"/>
            </w:tcBorders>
            <w:vAlign w:val="center"/>
          </w:tcPr>
          <w:p w14:paraId="7272E06A">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联系方式</w:t>
            </w:r>
          </w:p>
        </w:tc>
        <w:tc>
          <w:tcPr>
            <w:tcW w:w="1350" w:type="dxa"/>
            <w:tcBorders>
              <w:top w:val="single" w:color="auto" w:sz="4" w:space="0"/>
              <w:left w:val="nil"/>
              <w:bottom w:val="single" w:color="auto" w:sz="4" w:space="0"/>
              <w:right w:val="single" w:color="auto" w:sz="4" w:space="0"/>
            </w:tcBorders>
            <w:vAlign w:val="center"/>
          </w:tcPr>
          <w:p w14:paraId="12069808">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联系人</w:t>
            </w:r>
          </w:p>
        </w:tc>
        <w:tc>
          <w:tcPr>
            <w:tcW w:w="2721" w:type="dxa"/>
            <w:tcBorders>
              <w:top w:val="single" w:color="auto" w:sz="4" w:space="0"/>
              <w:left w:val="nil"/>
              <w:bottom w:val="single" w:color="auto" w:sz="4" w:space="0"/>
              <w:right w:val="single" w:color="auto" w:sz="4" w:space="0"/>
            </w:tcBorders>
            <w:vAlign w:val="center"/>
          </w:tcPr>
          <w:p w14:paraId="37DC6A6A">
            <w:pPr>
              <w:shd w:val="clear" w:color="auto" w:fill="auto"/>
              <w:spacing w:line="440" w:lineRule="exact"/>
              <w:jc w:val="center"/>
              <w:rPr>
                <w:rFonts w:hint="eastAsia" w:ascii="宋体" w:hAnsi="宋体" w:cs="宋体"/>
                <w:color w:val="000000"/>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351359DB">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72EBB48F">
            <w:pPr>
              <w:shd w:val="clear" w:color="auto" w:fill="auto"/>
              <w:spacing w:line="440" w:lineRule="exact"/>
              <w:jc w:val="center"/>
              <w:rPr>
                <w:rFonts w:hint="eastAsia" w:ascii="宋体" w:hAnsi="宋体" w:cs="宋体"/>
                <w:color w:val="000000"/>
                <w:sz w:val="24"/>
                <w:szCs w:val="24"/>
                <w:highlight w:val="none"/>
              </w:rPr>
            </w:pPr>
          </w:p>
        </w:tc>
      </w:tr>
      <w:tr w14:paraId="4FF0B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vMerge w:val="continue"/>
            <w:tcBorders>
              <w:top w:val="nil"/>
              <w:left w:val="single" w:color="auto" w:sz="4" w:space="0"/>
              <w:bottom w:val="single" w:color="auto" w:sz="4" w:space="0"/>
              <w:right w:val="single" w:color="auto" w:sz="4" w:space="0"/>
            </w:tcBorders>
            <w:vAlign w:val="center"/>
          </w:tcPr>
          <w:p w14:paraId="56637AD9">
            <w:pPr>
              <w:widowControl w:val="0"/>
              <w:shd w:val="clear" w:color="auto" w:fill="auto"/>
              <w:jc w:val="both"/>
              <w:rPr>
                <w:rFonts w:hint="eastAsia" w:ascii="宋体" w:hAnsi="宋体" w:cs="宋体"/>
                <w:color w:val="000000"/>
                <w:kern w:val="2"/>
                <w:sz w:val="24"/>
                <w:szCs w:val="24"/>
                <w:highlight w:val="none"/>
              </w:rPr>
            </w:pPr>
          </w:p>
        </w:tc>
        <w:tc>
          <w:tcPr>
            <w:tcW w:w="1350" w:type="dxa"/>
            <w:tcBorders>
              <w:top w:val="single" w:color="auto" w:sz="4" w:space="0"/>
              <w:left w:val="nil"/>
              <w:bottom w:val="single" w:color="auto" w:sz="4" w:space="0"/>
              <w:right w:val="single" w:color="auto" w:sz="4" w:space="0"/>
            </w:tcBorders>
            <w:vAlign w:val="center"/>
          </w:tcPr>
          <w:p w14:paraId="07679401">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网址</w:t>
            </w:r>
          </w:p>
        </w:tc>
        <w:tc>
          <w:tcPr>
            <w:tcW w:w="2721" w:type="dxa"/>
            <w:tcBorders>
              <w:top w:val="single" w:color="auto" w:sz="4" w:space="0"/>
              <w:left w:val="nil"/>
              <w:bottom w:val="single" w:color="auto" w:sz="4" w:space="0"/>
              <w:right w:val="single" w:color="auto" w:sz="4" w:space="0"/>
            </w:tcBorders>
            <w:vAlign w:val="center"/>
          </w:tcPr>
          <w:p w14:paraId="49B2612E">
            <w:pPr>
              <w:shd w:val="clear" w:color="auto" w:fill="auto"/>
              <w:spacing w:line="440" w:lineRule="exact"/>
              <w:jc w:val="center"/>
              <w:rPr>
                <w:rFonts w:hint="eastAsia" w:ascii="宋体" w:hAnsi="宋体" w:cs="宋体"/>
                <w:color w:val="000000"/>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2724CE60">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传真</w:t>
            </w:r>
          </w:p>
        </w:tc>
        <w:tc>
          <w:tcPr>
            <w:tcW w:w="1982" w:type="dxa"/>
            <w:tcBorders>
              <w:top w:val="single" w:color="auto" w:sz="4" w:space="0"/>
              <w:left w:val="nil"/>
              <w:bottom w:val="single" w:color="auto" w:sz="4" w:space="0"/>
              <w:right w:val="single" w:color="auto" w:sz="4" w:space="0"/>
            </w:tcBorders>
            <w:vAlign w:val="center"/>
          </w:tcPr>
          <w:p w14:paraId="787F8571">
            <w:pPr>
              <w:shd w:val="clear" w:color="auto" w:fill="auto"/>
              <w:spacing w:line="440" w:lineRule="exact"/>
              <w:jc w:val="center"/>
              <w:rPr>
                <w:rFonts w:hint="eastAsia" w:ascii="宋体" w:hAnsi="宋体" w:cs="宋体"/>
                <w:color w:val="000000"/>
                <w:sz w:val="24"/>
                <w:szCs w:val="24"/>
                <w:highlight w:val="none"/>
              </w:rPr>
            </w:pPr>
          </w:p>
        </w:tc>
      </w:tr>
      <w:tr w14:paraId="6F800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D312AB0">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法定代表人</w:t>
            </w:r>
          </w:p>
          <w:p w14:paraId="5F8AB0D6">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（单位负责人）</w:t>
            </w:r>
          </w:p>
        </w:tc>
        <w:tc>
          <w:tcPr>
            <w:tcW w:w="1350" w:type="dxa"/>
            <w:tcBorders>
              <w:top w:val="single" w:color="auto" w:sz="4" w:space="0"/>
              <w:left w:val="nil"/>
              <w:bottom w:val="single" w:color="auto" w:sz="4" w:space="0"/>
              <w:right w:val="single" w:color="auto" w:sz="4" w:space="0"/>
            </w:tcBorders>
            <w:vAlign w:val="center"/>
          </w:tcPr>
          <w:p w14:paraId="30EFC1EA">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姓名</w:t>
            </w:r>
          </w:p>
        </w:tc>
        <w:tc>
          <w:tcPr>
            <w:tcW w:w="2721" w:type="dxa"/>
            <w:tcBorders>
              <w:top w:val="single" w:color="auto" w:sz="4" w:space="0"/>
              <w:left w:val="nil"/>
              <w:bottom w:val="single" w:color="auto" w:sz="4" w:space="0"/>
              <w:right w:val="single" w:color="auto" w:sz="4" w:space="0"/>
            </w:tcBorders>
            <w:vAlign w:val="center"/>
          </w:tcPr>
          <w:p w14:paraId="5C11F57B">
            <w:pPr>
              <w:shd w:val="clear" w:color="auto" w:fill="auto"/>
              <w:spacing w:line="440" w:lineRule="exact"/>
              <w:jc w:val="center"/>
              <w:rPr>
                <w:rFonts w:hint="eastAsia" w:ascii="宋体" w:hAnsi="宋体" w:cs="宋体"/>
                <w:color w:val="000000"/>
                <w:sz w:val="24"/>
                <w:szCs w:val="24"/>
                <w:highlight w:val="none"/>
              </w:rPr>
            </w:pPr>
          </w:p>
        </w:tc>
        <w:tc>
          <w:tcPr>
            <w:tcW w:w="1404" w:type="dxa"/>
            <w:tcBorders>
              <w:top w:val="single" w:color="auto" w:sz="4" w:space="0"/>
              <w:left w:val="nil"/>
              <w:bottom w:val="single" w:color="auto" w:sz="4" w:space="0"/>
              <w:right w:val="single" w:color="auto" w:sz="4" w:space="0"/>
            </w:tcBorders>
            <w:vAlign w:val="center"/>
          </w:tcPr>
          <w:p w14:paraId="5DE9F168">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电话</w:t>
            </w:r>
          </w:p>
        </w:tc>
        <w:tc>
          <w:tcPr>
            <w:tcW w:w="1982" w:type="dxa"/>
            <w:tcBorders>
              <w:top w:val="single" w:color="auto" w:sz="4" w:space="0"/>
              <w:left w:val="nil"/>
              <w:bottom w:val="single" w:color="auto" w:sz="4" w:space="0"/>
              <w:right w:val="single" w:color="auto" w:sz="4" w:space="0"/>
            </w:tcBorders>
            <w:vAlign w:val="center"/>
          </w:tcPr>
          <w:p w14:paraId="19ECA244">
            <w:pPr>
              <w:shd w:val="clear" w:color="auto" w:fill="auto"/>
              <w:spacing w:line="440" w:lineRule="exact"/>
              <w:jc w:val="center"/>
              <w:rPr>
                <w:rFonts w:hint="eastAsia" w:ascii="宋体" w:hAnsi="宋体" w:cs="宋体"/>
                <w:color w:val="000000"/>
                <w:sz w:val="24"/>
                <w:szCs w:val="24"/>
                <w:highlight w:val="none"/>
              </w:rPr>
            </w:pPr>
          </w:p>
        </w:tc>
      </w:tr>
      <w:tr w14:paraId="777EA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53609A9">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投标人须知要求投标人需具有的各类资质证书（若有）</w:t>
            </w:r>
          </w:p>
        </w:tc>
        <w:tc>
          <w:tcPr>
            <w:tcW w:w="7457" w:type="dxa"/>
            <w:gridSpan w:val="4"/>
            <w:tcBorders>
              <w:top w:val="single" w:color="auto" w:sz="4" w:space="0"/>
              <w:left w:val="nil"/>
              <w:bottom w:val="single" w:color="auto" w:sz="4" w:space="0"/>
              <w:right w:val="single" w:color="auto" w:sz="4" w:space="0"/>
            </w:tcBorders>
            <w:vAlign w:val="center"/>
          </w:tcPr>
          <w:p w14:paraId="7014234D">
            <w:pPr>
              <w:shd w:val="clear" w:color="auto" w:fill="auto"/>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类型：                等级：                 证书号：</w:t>
            </w:r>
          </w:p>
        </w:tc>
      </w:tr>
      <w:tr w14:paraId="37D48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7CE68E4C">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基本账户开户银行</w:t>
            </w:r>
          </w:p>
        </w:tc>
        <w:tc>
          <w:tcPr>
            <w:tcW w:w="7457" w:type="dxa"/>
            <w:gridSpan w:val="4"/>
            <w:tcBorders>
              <w:top w:val="single" w:color="auto" w:sz="4" w:space="0"/>
              <w:left w:val="nil"/>
              <w:bottom w:val="single" w:color="auto" w:sz="4" w:space="0"/>
              <w:right w:val="single" w:color="auto" w:sz="4" w:space="0"/>
            </w:tcBorders>
            <w:vAlign w:val="center"/>
          </w:tcPr>
          <w:p w14:paraId="2ED188A7">
            <w:pPr>
              <w:shd w:val="clear" w:color="auto" w:fill="auto"/>
              <w:spacing w:line="440" w:lineRule="exact"/>
              <w:jc w:val="center"/>
              <w:rPr>
                <w:rFonts w:hint="eastAsia" w:ascii="宋体" w:hAnsi="宋体" w:cs="宋体"/>
                <w:color w:val="000000"/>
                <w:sz w:val="24"/>
                <w:szCs w:val="24"/>
                <w:highlight w:val="none"/>
              </w:rPr>
            </w:pPr>
          </w:p>
        </w:tc>
      </w:tr>
      <w:tr w14:paraId="66E09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4CCE69DE">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基本账户银行账号</w:t>
            </w:r>
          </w:p>
        </w:tc>
        <w:tc>
          <w:tcPr>
            <w:tcW w:w="7457" w:type="dxa"/>
            <w:gridSpan w:val="4"/>
            <w:tcBorders>
              <w:top w:val="single" w:color="auto" w:sz="4" w:space="0"/>
              <w:left w:val="nil"/>
              <w:bottom w:val="single" w:color="auto" w:sz="4" w:space="0"/>
              <w:right w:val="single" w:color="auto" w:sz="4" w:space="0"/>
            </w:tcBorders>
            <w:vAlign w:val="center"/>
          </w:tcPr>
          <w:p w14:paraId="4C64559E">
            <w:pPr>
              <w:shd w:val="clear" w:color="auto" w:fill="auto"/>
              <w:spacing w:line="440" w:lineRule="exact"/>
              <w:jc w:val="center"/>
              <w:rPr>
                <w:rFonts w:hint="eastAsia" w:ascii="宋体" w:hAnsi="宋体" w:cs="宋体"/>
                <w:color w:val="000000"/>
                <w:sz w:val="24"/>
                <w:szCs w:val="24"/>
                <w:highlight w:val="none"/>
              </w:rPr>
            </w:pPr>
          </w:p>
        </w:tc>
      </w:tr>
      <w:tr w14:paraId="49D3B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15F200C9">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投标人关联企业情况（包括但不限于与投标人法定代表人（单位负责人）为同一人或者存在控股、管理关系的不同单位）</w:t>
            </w:r>
          </w:p>
        </w:tc>
        <w:tc>
          <w:tcPr>
            <w:tcW w:w="7457" w:type="dxa"/>
            <w:gridSpan w:val="4"/>
            <w:tcBorders>
              <w:top w:val="single" w:color="auto" w:sz="4" w:space="0"/>
              <w:left w:val="nil"/>
              <w:bottom w:val="single" w:color="auto" w:sz="4" w:space="0"/>
              <w:right w:val="single" w:color="auto" w:sz="4" w:space="0"/>
            </w:tcBorders>
            <w:vAlign w:val="center"/>
          </w:tcPr>
          <w:p w14:paraId="469651FB">
            <w:pPr>
              <w:shd w:val="clear" w:color="auto" w:fill="auto"/>
              <w:spacing w:line="440" w:lineRule="exact"/>
              <w:jc w:val="center"/>
              <w:rPr>
                <w:rFonts w:hint="eastAsia" w:ascii="宋体" w:hAnsi="宋体" w:cs="宋体"/>
                <w:color w:val="000000"/>
                <w:sz w:val="24"/>
                <w:szCs w:val="24"/>
                <w:highlight w:val="none"/>
              </w:rPr>
            </w:pPr>
          </w:p>
        </w:tc>
      </w:tr>
      <w:tr w14:paraId="1EDE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449" w:type="dxa"/>
            <w:tcBorders>
              <w:top w:val="single" w:color="auto" w:sz="4" w:space="0"/>
              <w:left w:val="single" w:color="auto" w:sz="4" w:space="0"/>
              <w:bottom w:val="single" w:color="auto" w:sz="4" w:space="0"/>
              <w:right w:val="single" w:color="auto" w:sz="4" w:space="0"/>
            </w:tcBorders>
            <w:vAlign w:val="center"/>
          </w:tcPr>
          <w:p w14:paraId="3A160B55">
            <w:pPr>
              <w:shd w:val="clear" w:color="auto" w:fill="auto"/>
              <w:spacing w:line="44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备注</w:t>
            </w:r>
          </w:p>
        </w:tc>
        <w:tc>
          <w:tcPr>
            <w:tcW w:w="7457" w:type="dxa"/>
            <w:gridSpan w:val="4"/>
            <w:tcBorders>
              <w:top w:val="single" w:color="auto" w:sz="4" w:space="0"/>
              <w:left w:val="nil"/>
              <w:bottom w:val="single" w:color="auto" w:sz="4" w:space="0"/>
              <w:right w:val="single" w:color="auto" w:sz="4" w:space="0"/>
            </w:tcBorders>
            <w:vAlign w:val="center"/>
          </w:tcPr>
          <w:p w14:paraId="1267FBD8">
            <w:pPr>
              <w:shd w:val="clear" w:color="auto" w:fill="auto"/>
              <w:spacing w:line="440" w:lineRule="exact"/>
              <w:jc w:val="center"/>
              <w:rPr>
                <w:rFonts w:hint="eastAsia" w:ascii="宋体" w:hAnsi="宋体" w:cs="宋体"/>
                <w:color w:val="000000"/>
                <w:sz w:val="24"/>
                <w:szCs w:val="24"/>
                <w:highlight w:val="none"/>
              </w:rPr>
            </w:pPr>
          </w:p>
        </w:tc>
      </w:tr>
    </w:tbl>
    <w:p w14:paraId="457B1734">
      <w:pPr>
        <w:shd w:val="clear" w:color="auto" w:fill="auto"/>
        <w:spacing w:line="240" w:lineRule="exact"/>
        <w:rPr>
          <w:rFonts w:hint="eastAsia" w:ascii="宋体" w:hAnsi="宋体" w:cs="宋体"/>
          <w:color w:val="000000"/>
          <w:sz w:val="24"/>
          <w:szCs w:val="24"/>
          <w:highlight w:val="none"/>
        </w:rPr>
      </w:pPr>
    </w:p>
    <w:p w14:paraId="72D4CB52">
      <w:pPr>
        <w:pStyle w:val="4"/>
        <w:shd w:val="clear" w:color="auto" w:fill="auto"/>
        <w:spacing w:before="0" w:after="0" w:line="720" w:lineRule="auto"/>
        <w:rPr>
          <w:rFonts w:hint="eastAsia" w:ascii="宋体" w:hAnsi="宋体" w:cs="宋体"/>
          <w:color w:val="000000"/>
          <w:szCs w:val="28"/>
          <w:highlight w:val="none"/>
        </w:rPr>
      </w:pPr>
    </w:p>
    <w:p w14:paraId="696F6E78">
      <w:pPr>
        <w:rPr>
          <w:rFonts w:hint="eastAsia" w:ascii="宋体" w:hAnsi="宋体" w:cs="宋体"/>
          <w:color w:val="000000"/>
          <w:szCs w:val="28"/>
          <w:highlight w:val="none"/>
        </w:rPr>
      </w:pPr>
      <w:r>
        <w:rPr>
          <w:rFonts w:hint="eastAsia" w:ascii="宋体" w:hAnsi="宋体" w:cs="宋体"/>
          <w:color w:val="000000"/>
          <w:szCs w:val="28"/>
          <w:highlight w:val="none"/>
        </w:rPr>
        <w:br w:type="page"/>
      </w:r>
    </w:p>
    <w:p w14:paraId="165EC512">
      <w:pPr>
        <w:rPr>
          <w:rFonts w:hint="eastAsia"/>
        </w:rPr>
      </w:pPr>
    </w:p>
    <w:p w14:paraId="45BFBB7A">
      <w:pPr>
        <w:pStyle w:val="4"/>
        <w:shd w:val="clear" w:color="auto" w:fill="auto"/>
        <w:spacing w:before="0" w:after="0" w:line="720" w:lineRule="auto"/>
        <w:rPr>
          <w:rFonts w:hint="eastAsia" w:ascii="宋体" w:hAnsi="宋体" w:cs="宋体"/>
          <w:color w:val="000000"/>
          <w:szCs w:val="28"/>
          <w:highlight w:val="none"/>
        </w:rPr>
      </w:pPr>
      <w:r>
        <w:rPr>
          <w:rFonts w:hint="eastAsia" w:ascii="宋体" w:hAnsi="宋体" w:cs="宋体"/>
          <w:color w:val="000000"/>
          <w:szCs w:val="28"/>
          <w:highlight w:val="none"/>
        </w:rPr>
        <w:t>一、具有独立承担民事责任的能力</w:t>
      </w:r>
      <w:bookmarkEnd w:id="246"/>
    </w:p>
    <w:p w14:paraId="4582C5DD">
      <w:pPr>
        <w:shd w:val="clear" w:color="auto" w:fill="auto"/>
        <w:spacing w:line="360" w:lineRule="auto"/>
        <w:ind w:firstLine="480" w:firstLineChars="200"/>
        <w:rPr>
          <w:rFonts w:hint="eastAsia" w:ascii="宋体" w:hAnsi="宋体" w:cs="宋体"/>
          <w:color w:val="000000"/>
          <w:sz w:val="24"/>
          <w:szCs w:val="24"/>
          <w:highlight w:val="none"/>
        </w:rPr>
      </w:pPr>
      <w:bookmarkStart w:id="247" w:name="_Toc24593"/>
      <w:bookmarkEnd w:id="247"/>
      <w:bookmarkStart w:id="248" w:name="_Toc10328"/>
      <w:r>
        <w:rPr>
          <w:rFonts w:hint="eastAsia" w:ascii="宋体" w:hAnsi="宋体" w:cs="宋体"/>
          <w:color w:val="000000"/>
          <w:sz w:val="24"/>
          <w:szCs w:val="24"/>
          <w:highlight w:val="none"/>
          <w:lang w:eastAsia="zh-CN"/>
        </w:rPr>
        <w:t>具有独立承担民事责任的能力：投标供应商须提供法人或者其他组织的营业执照等证明文件，自然人</w:t>
      </w:r>
      <w:r>
        <w:rPr>
          <w:rFonts w:hint="eastAsia" w:ascii="宋体" w:hAnsi="宋体" w:cs="宋体"/>
          <w:color w:val="000000"/>
          <w:sz w:val="24"/>
          <w:szCs w:val="24"/>
          <w:highlight w:val="none"/>
          <w:lang w:val="en-US" w:eastAsia="zh-CN"/>
        </w:rPr>
        <w:t>提供</w:t>
      </w:r>
      <w:r>
        <w:rPr>
          <w:rFonts w:hint="eastAsia" w:ascii="宋体" w:hAnsi="宋体" w:cs="宋体"/>
          <w:color w:val="000000"/>
          <w:sz w:val="24"/>
          <w:szCs w:val="24"/>
          <w:highlight w:val="none"/>
          <w:lang w:eastAsia="zh-CN"/>
        </w:rPr>
        <w:t>身份证明</w:t>
      </w:r>
      <w:r>
        <w:rPr>
          <w:rFonts w:hint="eastAsia" w:ascii="宋体" w:hAnsi="宋体" w:cs="宋体"/>
          <w:color w:val="000000"/>
          <w:sz w:val="24"/>
          <w:szCs w:val="24"/>
          <w:highlight w:val="none"/>
        </w:rPr>
        <w:t>。</w:t>
      </w:r>
    </w:p>
    <w:p w14:paraId="56EAF4EC">
      <w:pPr>
        <w:shd w:val="clear" w:color="auto" w:fill="auto"/>
        <w:rPr>
          <w:rFonts w:hint="eastAsia" w:ascii="宋体" w:hAnsi="宋体" w:cs="宋体"/>
          <w:color w:val="000000"/>
          <w:highlight w:val="none"/>
        </w:rPr>
      </w:pPr>
    </w:p>
    <w:p w14:paraId="4455FC89">
      <w:pPr>
        <w:shd w:val="clear" w:color="auto" w:fill="auto"/>
        <w:rPr>
          <w:rFonts w:hint="eastAsia" w:ascii="宋体" w:hAnsi="宋体" w:cs="宋体"/>
          <w:color w:val="000000"/>
          <w:highlight w:val="none"/>
        </w:rPr>
      </w:pPr>
    </w:p>
    <w:p w14:paraId="35AE9C2F">
      <w:pPr>
        <w:shd w:val="clear" w:color="auto" w:fill="auto"/>
        <w:rPr>
          <w:rFonts w:hint="eastAsia" w:ascii="宋体" w:hAnsi="宋体" w:cs="宋体"/>
          <w:color w:val="000000"/>
          <w:highlight w:val="none"/>
        </w:rPr>
      </w:pPr>
    </w:p>
    <w:p w14:paraId="33C9D42E">
      <w:pPr>
        <w:shd w:val="clear" w:color="auto" w:fill="auto"/>
        <w:rPr>
          <w:rFonts w:hint="eastAsia" w:ascii="宋体" w:hAnsi="宋体" w:cs="宋体"/>
          <w:color w:val="000000"/>
          <w:highlight w:val="none"/>
        </w:rPr>
      </w:pPr>
    </w:p>
    <w:p w14:paraId="44107723">
      <w:pPr>
        <w:shd w:val="clear" w:color="auto" w:fill="auto"/>
        <w:rPr>
          <w:rFonts w:hint="eastAsia" w:ascii="宋体" w:hAnsi="宋体" w:cs="宋体"/>
          <w:color w:val="000000"/>
          <w:highlight w:val="none"/>
        </w:rPr>
      </w:pPr>
    </w:p>
    <w:p w14:paraId="0ADAF098">
      <w:pPr>
        <w:shd w:val="clear" w:color="auto" w:fill="auto"/>
        <w:rPr>
          <w:rFonts w:hint="eastAsia" w:ascii="宋体" w:hAnsi="宋体" w:cs="宋体"/>
          <w:color w:val="000000"/>
          <w:highlight w:val="none"/>
        </w:rPr>
      </w:pPr>
    </w:p>
    <w:p w14:paraId="04AB0E0E">
      <w:pPr>
        <w:shd w:val="clear" w:color="auto" w:fill="auto"/>
        <w:rPr>
          <w:rFonts w:hint="eastAsia" w:ascii="宋体" w:hAnsi="宋体" w:cs="宋体"/>
          <w:color w:val="000000"/>
          <w:highlight w:val="none"/>
        </w:rPr>
      </w:pPr>
    </w:p>
    <w:p w14:paraId="76804EB9">
      <w:pPr>
        <w:shd w:val="clear" w:color="auto" w:fill="auto"/>
        <w:rPr>
          <w:rFonts w:hint="eastAsia" w:ascii="宋体" w:hAnsi="宋体" w:cs="宋体"/>
          <w:color w:val="000000"/>
          <w:highlight w:val="none"/>
        </w:rPr>
      </w:pPr>
    </w:p>
    <w:p w14:paraId="5E4B8B5C">
      <w:pPr>
        <w:shd w:val="clear" w:color="auto" w:fill="auto"/>
        <w:rPr>
          <w:rFonts w:hint="eastAsia" w:ascii="宋体" w:hAnsi="宋体" w:cs="宋体"/>
          <w:color w:val="000000"/>
          <w:highlight w:val="none"/>
        </w:rPr>
      </w:pPr>
    </w:p>
    <w:p w14:paraId="72D85EA8">
      <w:pPr>
        <w:shd w:val="clear" w:color="auto" w:fill="auto"/>
        <w:rPr>
          <w:rFonts w:hint="eastAsia" w:ascii="宋体" w:hAnsi="宋体" w:cs="宋体"/>
          <w:color w:val="000000"/>
          <w:highlight w:val="none"/>
        </w:rPr>
      </w:pPr>
    </w:p>
    <w:p w14:paraId="44E6EA52">
      <w:pPr>
        <w:shd w:val="clear" w:color="auto" w:fill="auto"/>
        <w:rPr>
          <w:rFonts w:hint="eastAsia" w:ascii="宋体" w:hAnsi="宋体" w:cs="宋体"/>
          <w:color w:val="000000"/>
          <w:highlight w:val="none"/>
        </w:rPr>
      </w:pPr>
    </w:p>
    <w:p w14:paraId="50AC9B62">
      <w:pPr>
        <w:shd w:val="clear" w:color="auto" w:fill="auto"/>
        <w:rPr>
          <w:rFonts w:hint="eastAsia" w:ascii="宋体" w:hAnsi="宋体" w:cs="宋体"/>
          <w:color w:val="000000"/>
          <w:highlight w:val="none"/>
        </w:rPr>
      </w:pPr>
    </w:p>
    <w:p w14:paraId="7415D66F">
      <w:pPr>
        <w:shd w:val="clear" w:color="auto" w:fill="auto"/>
        <w:rPr>
          <w:rFonts w:hint="eastAsia" w:ascii="宋体" w:hAnsi="宋体" w:cs="宋体"/>
          <w:color w:val="000000"/>
          <w:highlight w:val="none"/>
        </w:rPr>
      </w:pPr>
    </w:p>
    <w:p w14:paraId="08FFF6EC">
      <w:pPr>
        <w:shd w:val="clear" w:color="auto" w:fill="auto"/>
        <w:rPr>
          <w:rFonts w:hint="eastAsia" w:ascii="宋体" w:hAnsi="宋体" w:cs="宋体"/>
          <w:color w:val="000000"/>
          <w:highlight w:val="none"/>
        </w:rPr>
      </w:pPr>
    </w:p>
    <w:p w14:paraId="3DFE36E3">
      <w:pPr>
        <w:shd w:val="clear" w:color="auto" w:fill="auto"/>
        <w:rPr>
          <w:rFonts w:hint="eastAsia" w:ascii="宋体" w:hAnsi="宋体" w:cs="宋体"/>
          <w:color w:val="000000"/>
          <w:highlight w:val="none"/>
        </w:rPr>
      </w:pPr>
    </w:p>
    <w:p w14:paraId="7FBB12AC">
      <w:pPr>
        <w:shd w:val="clear" w:color="auto" w:fill="auto"/>
        <w:rPr>
          <w:rFonts w:hint="eastAsia" w:ascii="宋体" w:hAnsi="宋体" w:cs="宋体"/>
          <w:color w:val="000000"/>
          <w:highlight w:val="none"/>
        </w:rPr>
      </w:pPr>
    </w:p>
    <w:p w14:paraId="012A45D0">
      <w:pPr>
        <w:shd w:val="clear" w:color="auto" w:fill="auto"/>
        <w:rPr>
          <w:rFonts w:hint="eastAsia" w:ascii="宋体" w:hAnsi="宋体" w:cs="宋体"/>
          <w:color w:val="000000"/>
          <w:highlight w:val="none"/>
        </w:rPr>
      </w:pPr>
    </w:p>
    <w:p w14:paraId="25FF2F9E">
      <w:pPr>
        <w:shd w:val="clear" w:color="auto" w:fill="auto"/>
        <w:rPr>
          <w:rFonts w:hint="eastAsia" w:ascii="宋体" w:hAnsi="宋体" w:cs="宋体"/>
          <w:color w:val="000000"/>
          <w:highlight w:val="none"/>
        </w:rPr>
      </w:pPr>
    </w:p>
    <w:p w14:paraId="67FAC7B4">
      <w:pPr>
        <w:shd w:val="clear" w:color="auto" w:fill="auto"/>
        <w:rPr>
          <w:rFonts w:hint="eastAsia" w:ascii="宋体" w:hAnsi="宋体" w:cs="宋体"/>
          <w:color w:val="000000"/>
          <w:highlight w:val="none"/>
        </w:rPr>
      </w:pPr>
    </w:p>
    <w:p w14:paraId="79C5B4D5">
      <w:pPr>
        <w:shd w:val="clear" w:color="auto" w:fill="auto"/>
        <w:ind w:firstLine="420"/>
        <w:jc w:val="center"/>
        <w:outlineLvl w:val="2"/>
        <w:rPr>
          <w:rFonts w:hint="eastAsia" w:ascii="宋体" w:hAnsi="宋体" w:cs="宋体"/>
          <w:color w:val="000000"/>
          <w:highlight w:val="none"/>
        </w:rPr>
      </w:pPr>
      <w:r>
        <w:rPr>
          <w:rFonts w:hint="eastAsia" w:ascii="宋体" w:hAnsi="宋体" w:cs="宋体"/>
          <w:color w:val="000000"/>
          <w:highlight w:val="none"/>
        </w:rPr>
        <w:br w:type="page"/>
      </w:r>
      <w:bookmarkEnd w:id="248"/>
      <w:bookmarkStart w:id="249" w:name="_Toc22695"/>
      <w:r>
        <w:rPr>
          <w:rFonts w:hint="eastAsia" w:ascii="宋体" w:hAnsi="宋体" w:cs="宋体"/>
          <w:b/>
          <w:bCs/>
          <w:color w:val="000000"/>
          <w:sz w:val="28"/>
          <w:szCs w:val="28"/>
          <w:highlight w:val="none"/>
        </w:rPr>
        <w:t>二、具有良好的商业信誉和健全的财务会计制度</w:t>
      </w:r>
      <w:bookmarkEnd w:id="249"/>
    </w:p>
    <w:p w14:paraId="051D01BA">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具有良好的商业信誉和健全的财务会计制度：</w:t>
      </w:r>
      <w:r>
        <w:rPr>
          <w:rFonts w:hint="eastAsia" w:ascii="宋体" w:hAnsi="宋体" w:cs="宋体"/>
          <w:color w:val="000000"/>
          <w:sz w:val="24"/>
          <w:szCs w:val="24"/>
          <w:highlight w:val="none"/>
          <w:lang w:eastAsia="zh-CN"/>
        </w:rPr>
        <w:t>根据投标人性质提供下列任意材料</w:t>
      </w:r>
      <w:r>
        <w:rPr>
          <w:rFonts w:hint="eastAsia" w:ascii="宋体" w:hAnsi="宋体" w:cs="宋体"/>
          <w:color w:val="000000"/>
          <w:sz w:val="24"/>
          <w:szCs w:val="24"/>
          <w:highlight w:val="none"/>
        </w:rPr>
        <w:t>：①</w:t>
      </w:r>
      <w:r>
        <w:rPr>
          <w:rFonts w:hint="eastAsia" w:ascii="宋体" w:hAnsi="宋体" w:cs="宋体"/>
          <w:color w:val="000000"/>
          <w:sz w:val="24"/>
          <w:szCs w:val="24"/>
          <w:highlight w:val="none"/>
          <w:lang w:eastAsia="zh-CN"/>
        </w:rPr>
        <w:t>提供2022年至今任意一年经第三方审计</w:t>
      </w:r>
      <w:r>
        <w:rPr>
          <w:rFonts w:hint="eastAsia" w:ascii="宋体" w:hAnsi="宋体" w:cs="宋体"/>
          <w:color w:val="000000"/>
          <w:sz w:val="24"/>
          <w:szCs w:val="24"/>
          <w:highlight w:val="none"/>
        </w:rPr>
        <w:t>的审计报告及财务报表(包括资产负债表、利润表、现金流量表），成立不满1年的，提供自成立至今财务报表(包括资产负债表、利润表、现金流量表）。②也可提供距文件递交截止日一年内</w:t>
      </w:r>
      <w:r>
        <w:rPr>
          <w:rFonts w:hint="eastAsia" w:ascii="宋体" w:hAnsi="宋体" w:cs="宋体"/>
          <w:color w:val="000000"/>
          <w:sz w:val="24"/>
          <w:szCs w:val="24"/>
          <w:highlight w:val="none"/>
          <w:lang w:eastAsia="zh-CN"/>
        </w:rPr>
        <w:t>银行开户行出具的资信证明</w:t>
      </w:r>
      <w:r>
        <w:rPr>
          <w:rFonts w:hint="eastAsia" w:ascii="宋体" w:hAnsi="宋体" w:cs="宋体"/>
          <w:color w:val="000000"/>
          <w:sz w:val="24"/>
          <w:szCs w:val="24"/>
          <w:highlight w:val="none"/>
        </w:rPr>
        <w:t>；③非营利性单位或者社会团体或者其他机关事业单位也可提供以符合财务会计制度为准或者提供承诺函；④投标人为自然人的也可提供承诺函（格式自拟）。</w:t>
      </w:r>
    </w:p>
    <w:p w14:paraId="24FBD29F">
      <w:pPr>
        <w:pStyle w:val="77"/>
        <w:shd w:val="clear" w:color="auto" w:fill="auto"/>
        <w:ind w:firstLine="0" w:firstLineChars="0"/>
        <w:jc w:val="center"/>
        <w:outlineLvl w:val="2"/>
        <w:rPr>
          <w:rFonts w:hint="default" w:ascii="宋体" w:hAnsi="宋体" w:eastAsia="宋体"/>
          <w:color w:val="000000"/>
          <w:highlight w:val="none"/>
          <w:lang w:val="en-US" w:eastAsia="zh-CN"/>
        </w:rPr>
      </w:pPr>
      <w:r>
        <w:rPr>
          <w:rFonts w:hint="eastAsia" w:ascii="宋体" w:hAnsi="宋体" w:cs="宋体"/>
          <w:color w:val="000000"/>
          <w:highlight w:val="none"/>
        </w:rPr>
        <w:br w:type="page"/>
      </w:r>
      <w:bookmarkStart w:id="250" w:name="_Toc25177"/>
      <w:r>
        <w:rPr>
          <w:rFonts w:hint="eastAsia" w:ascii="宋体" w:hAnsi="宋体" w:cs="宋体"/>
          <w:b/>
          <w:bCs/>
          <w:color w:val="000000"/>
          <w:sz w:val="28"/>
          <w:szCs w:val="28"/>
          <w:highlight w:val="none"/>
        </w:rPr>
        <w:t>三、</w:t>
      </w:r>
      <w:bookmarkEnd w:id="250"/>
      <w:r>
        <w:rPr>
          <w:rFonts w:hint="eastAsia" w:ascii="宋体" w:hAnsi="宋体" w:eastAsia="宋体"/>
          <w:b/>
          <w:bCs/>
          <w:color w:val="000000"/>
          <w:sz w:val="28"/>
          <w:szCs w:val="28"/>
          <w:highlight w:val="none"/>
        </w:rPr>
        <w:t>投标人须具有履行合同所必需的设备和专业技术能力证明材料</w:t>
      </w:r>
      <w:r>
        <w:rPr>
          <w:rFonts w:hint="eastAsia" w:ascii="宋体" w:hAnsi="宋体" w:eastAsia="宋体"/>
          <w:b/>
          <w:bCs/>
          <w:color w:val="000000"/>
          <w:sz w:val="28"/>
          <w:szCs w:val="28"/>
          <w:highlight w:val="none"/>
          <w:lang w:val="en-US" w:eastAsia="zh-CN"/>
        </w:rPr>
        <w:t>或声明函</w:t>
      </w:r>
    </w:p>
    <w:p w14:paraId="690CDC94">
      <w:pPr>
        <w:shd w:val="clear" w:color="auto" w:fill="auto"/>
        <w:spacing w:line="360" w:lineRule="auto"/>
        <w:jc w:val="cente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（提供相关证明材料</w:t>
      </w:r>
      <w:r>
        <w:rPr>
          <w:rFonts w:hint="eastAsia" w:ascii="宋体" w:hAnsi="宋体" w:cs="宋体"/>
          <w:color w:val="000000"/>
          <w:sz w:val="24"/>
          <w:szCs w:val="24"/>
          <w:highlight w:val="none"/>
          <w:lang w:val="en-US" w:eastAsia="zh-CN"/>
        </w:rPr>
        <w:t>或声明函</w:t>
      </w:r>
      <w:r>
        <w:rPr>
          <w:rFonts w:hint="eastAsia" w:ascii="宋体" w:hAnsi="宋体" w:cs="宋体"/>
          <w:color w:val="000000"/>
          <w:sz w:val="24"/>
          <w:szCs w:val="24"/>
          <w:highlight w:val="none"/>
        </w:rPr>
        <w:t>，格式自拟）</w:t>
      </w:r>
    </w:p>
    <w:p w14:paraId="0D53733B">
      <w:pPr>
        <w:shd w:val="clear" w:color="auto" w:fill="auto"/>
        <w:spacing w:line="360" w:lineRule="auto"/>
        <w:ind w:firstLine="422" w:firstLineChars="200"/>
        <w:rPr>
          <w:rFonts w:hint="eastAsia" w:ascii="宋体" w:hAnsi="宋体" w:cs="宋体"/>
          <w:b/>
          <w:bCs/>
          <w:color w:val="000000"/>
          <w:highlight w:val="none"/>
        </w:rPr>
      </w:pPr>
    </w:p>
    <w:p w14:paraId="65C794DF">
      <w:pPr>
        <w:shd w:val="clear" w:color="auto" w:fill="auto"/>
        <w:jc w:val="center"/>
        <w:outlineLvl w:val="2"/>
        <w:rPr>
          <w:rFonts w:hint="eastAsia" w:ascii="宋体" w:hAnsi="宋体" w:cs="宋体"/>
          <w:color w:val="000000"/>
          <w:highlight w:val="none"/>
        </w:rPr>
      </w:pPr>
      <w:r>
        <w:rPr>
          <w:rFonts w:hint="eastAsia" w:ascii="宋体" w:hAnsi="宋体" w:eastAsia="宋体"/>
          <w:b/>
          <w:bCs/>
          <w:color w:val="000000"/>
          <w:highlight w:val="none"/>
        </w:rPr>
        <w:br w:type="page"/>
      </w:r>
      <w:bookmarkStart w:id="251" w:name="_Toc1891"/>
      <w:r>
        <w:rPr>
          <w:rFonts w:hint="eastAsia" w:ascii="宋体" w:hAnsi="宋体" w:eastAsia="宋体" w:cs="宋体"/>
          <w:b/>
          <w:bCs/>
          <w:color w:val="000000"/>
          <w:sz w:val="28"/>
          <w:szCs w:val="28"/>
          <w:highlight w:val="none"/>
          <w:lang w:val="en-US" w:eastAsia="zh-CN" w:bidi="ar-SA"/>
        </w:rPr>
        <w:t>四、具</w:t>
      </w:r>
      <w:r>
        <w:rPr>
          <w:rFonts w:hint="eastAsia" w:ascii="宋体" w:hAnsi="宋体" w:cs="宋体"/>
          <w:b/>
          <w:bCs/>
          <w:color w:val="000000"/>
          <w:sz w:val="28"/>
          <w:szCs w:val="28"/>
          <w:highlight w:val="none"/>
        </w:rPr>
        <w:t>有依法缴纳税收和社会保障资金的良好记录</w:t>
      </w:r>
    </w:p>
    <w:p w14:paraId="31FD38EE">
      <w:pPr>
        <w:shd w:val="clear" w:color="auto" w:fill="auto"/>
        <w:spacing w:line="360" w:lineRule="auto"/>
        <w:ind w:firstLine="480" w:firstLineChars="200"/>
        <w:rPr>
          <w:rFonts w:hint="eastAsia" w:ascii="宋体" w:hAnsi="宋体" w:cs="宋体"/>
          <w:b/>
          <w:bCs/>
          <w:color w:val="000000"/>
          <w:highlight w:val="none"/>
        </w:rPr>
      </w:pPr>
      <w:bookmarkStart w:id="252" w:name="_Toc14504"/>
      <w:bookmarkEnd w:id="252"/>
      <w:r>
        <w:rPr>
          <w:rFonts w:hint="eastAsia" w:ascii="宋体" w:hAnsi="宋体" w:cs="宋体"/>
          <w:color w:val="000000"/>
          <w:sz w:val="24"/>
          <w:szCs w:val="24"/>
          <w:highlight w:val="none"/>
        </w:rPr>
        <w:t>具有依法缴纳税收和社会保障资金的良好记录，提供2024年01月至今任意1个月的税务局税收通用缴款书复印件或银行电子缴税（费）凭证或税务局出具纳税情况的相关证明，依法免税的，应提供依法免税的相关证明文件（新成立未产生税务缴纳的单位提供情况说明）；提供2024年01月至今任意1个月的社会保险费缴款书或银行电子缴税（费）凭证或相关部门出具的有效的缴款证明，依法免缴的，应提供依法免缴的相关证明文件；属于个体工商户或自然人的只需提供个体工商户经营者或自然人本人的社会保障金缴纳记录证明材料。无需缴纳社会保障资金的需提供相应证明文件（新成立尚未缴纳社保的单位提供情况说明）。</w:t>
      </w:r>
    </w:p>
    <w:bookmarkEnd w:id="251"/>
    <w:p w14:paraId="11C798F2">
      <w:pPr>
        <w:shd w:val="clear" w:color="auto" w:fill="auto"/>
        <w:spacing w:line="360" w:lineRule="auto"/>
        <w:jc w:val="center"/>
        <w:outlineLvl w:val="2"/>
        <w:rPr>
          <w:rFonts w:hint="eastAsia" w:ascii="宋体" w:hAnsi="宋体" w:cs="宋体"/>
          <w:color w:val="000000"/>
          <w:highlight w:val="none"/>
        </w:rPr>
      </w:pPr>
      <w:bookmarkStart w:id="253" w:name="_Toc8069"/>
      <w:bookmarkEnd w:id="253"/>
      <w:r>
        <w:rPr>
          <w:rFonts w:hint="eastAsia" w:ascii="宋体" w:hAnsi="宋体" w:cs="宋体"/>
          <w:b/>
          <w:bCs/>
          <w:color w:val="000000"/>
          <w:sz w:val="28"/>
          <w:szCs w:val="28"/>
          <w:highlight w:val="none"/>
        </w:rPr>
        <w:br w:type="page"/>
      </w:r>
      <w:bookmarkStart w:id="254" w:name="_Toc10963"/>
      <w:r>
        <w:rPr>
          <w:rFonts w:hint="eastAsia" w:ascii="宋体" w:hAnsi="宋体" w:cs="宋体"/>
          <w:b/>
          <w:bCs/>
          <w:color w:val="000000"/>
          <w:sz w:val="28"/>
          <w:szCs w:val="28"/>
          <w:highlight w:val="none"/>
        </w:rPr>
        <w:t>五、投标人参加政府采购活动前三年内，在经营活动中没有重大违法记录</w:t>
      </w:r>
      <w:bookmarkEnd w:id="254"/>
    </w:p>
    <w:p w14:paraId="640BD4EB">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提供参加本次采购活动前三年内在经营活动中没有重大违法记录的书面声明。</w:t>
      </w:r>
    </w:p>
    <w:p w14:paraId="7E353FDC">
      <w:pPr>
        <w:shd w:val="clear" w:color="auto" w:fill="auto"/>
        <w:jc w:val="center"/>
        <w:rPr>
          <w:rFonts w:hint="eastAsia" w:ascii="宋体" w:hAnsi="宋体" w:cs="宋体"/>
          <w:b/>
          <w:color w:val="000000"/>
          <w:sz w:val="24"/>
          <w:highlight w:val="none"/>
        </w:rPr>
      </w:pPr>
    </w:p>
    <w:p w14:paraId="55E4FAAF">
      <w:pPr>
        <w:shd w:val="clear" w:color="auto" w:fill="auto"/>
        <w:jc w:val="center"/>
        <w:rPr>
          <w:rFonts w:hint="eastAsia" w:ascii="宋体" w:hAnsi="宋体" w:cs="宋体"/>
          <w:b/>
          <w:color w:val="000000"/>
          <w:sz w:val="24"/>
          <w:highlight w:val="none"/>
        </w:rPr>
      </w:pPr>
    </w:p>
    <w:p w14:paraId="039DD056">
      <w:pPr>
        <w:shd w:val="clear" w:color="auto" w:fill="auto"/>
        <w:jc w:val="center"/>
        <w:rPr>
          <w:rFonts w:hint="eastAsia" w:ascii="宋体" w:hAnsi="宋体" w:cs="宋体"/>
          <w:b/>
          <w:color w:val="000000"/>
          <w:sz w:val="24"/>
          <w:highlight w:val="none"/>
        </w:rPr>
      </w:pPr>
      <w:r>
        <w:rPr>
          <w:rFonts w:hint="eastAsia" w:ascii="宋体" w:hAnsi="宋体" w:cs="宋体"/>
          <w:b/>
          <w:color w:val="000000"/>
          <w:sz w:val="24"/>
          <w:highlight w:val="none"/>
        </w:rPr>
        <w:t>声明函</w:t>
      </w:r>
    </w:p>
    <w:p w14:paraId="2F84E6D0">
      <w:pPr>
        <w:shd w:val="clear" w:color="auto" w:fill="auto"/>
        <w:jc w:val="center"/>
        <w:rPr>
          <w:rFonts w:hint="eastAsia" w:ascii="宋体" w:hAnsi="宋体" w:cs="宋体"/>
          <w:color w:val="000000"/>
          <w:sz w:val="24"/>
          <w:highlight w:val="none"/>
        </w:rPr>
      </w:pPr>
    </w:p>
    <w:p w14:paraId="7DE1ED23">
      <w:pPr>
        <w:shd w:val="clear" w:color="auto" w:fill="auto"/>
        <w:tabs>
          <w:tab w:val="left" w:pos="5580"/>
        </w:tabs>
        <w:spacing w:before="120" w:line="360" w:lineRule="auto"/>
        <w:rPr>
          <w:rFonts w:hint="eastAsia"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s="宋体"/>
          <w:color w:val="000000"/>
          <w:sz w:val="24"/>
          <w:highlight w:val="none"/>
          <w:u w:val="single"/>
        </w:rPr>
        <w:t xml:space="preserve">   （采购人）  </w:t>
      </w:r>
    </w:p>
    <w:p w14:paraId="3DB8F146">
      <w:pPr>
        <w:shd w:val="clear" w:color="auto" w:fill="auto"/>
        <w:tabs>
          <w:tab w:val="left" w:pos="5580"/>
        </w:tabs>
        <w:spacing w:before="120" w:line="360" w:lineRule="auto"/>
        <w:ind w:firstLine="480" w:firstLineChars="200"/>
        <w:rPr>
          <w:rFonts w:hint="eastAsia" w:ascii="宋体" w:hAnsi="宋体" w:cs="宋体"/>
          <w:color w:val="000000"/>
          <w:sz w:val="24"/>
          <w:highlight w:val="none"/>
        </w:rPr>
      </w:pPr>
    </w:p>
    <w:p w14:paraId="2825629C">
      <w:pPr>
        <w:shd w:val="clear" w:color="auto" w:fill="auto"/>
        <w:tabs>
          <w:tab w:val="left" w:pos="5580"/>
        </w:tabs>
        <w:spacing w:before="120"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我公司郑重承诺在参加本项目采购活动前三年内，在经营活动中没有重大违法记录（重大违法记录，是指投标人因违法经营受到刑事处罚或者责令停产停业、吊销许可证或者执照、较大数额罚款等行政处罚）。</w:t>
      </w:r>
    </w:p>
    <w:p w14:paraId="124DFF60">
      <w:pPr>
        <w:shd w:val="clear" w:color="auto" w:fill="auto"/>
        <w:tabs>
          <w:tab w:val="left" w:pos="5580"/>
        </w:tabs>
        <w:spacing w:before="120"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特此声明。</w:t>
      </w:r>
    </w:p>
    <w:p w14:paraId="1DE88068">
      <w:pPr>
        <w:shd w:val="clear" w:color="auto" w:fill="auto"/>
        <w:ind w:firstLine="1200" w:firstLineChars="500"/>
        <w:rPr>
          <w:rFonts w:hint="eastAsia" w:ascii="宋体" w:hAnsi="宋体" w:cs="宋体"/>
          <w:color w:val="000000"/>
          <w:sz w:val="24"/>
          <w:highlight w:val="none"/>
        </w:rPr>
      </w:pPr>
      <w:r>
        <w:rPr>
          <w:rFonts w:hint="eastAsia" w:ascii="宋体" w:hAnsi="宋体" w:cs="宋体"/>
          <w:color w:val="000000"/>
          <w:sz w:val="24"/>
          <w:highlight w:val="none"/>
        </w:rPr>
        <w:t xml:space="preserve"> </w:t>
      </w:r>
    </w:p>
    <w:p w14:paraId="2490287A">
      <w:pPr>
        <w:shd w:val="clear" w:color="auto" w:fill="auto"/>
        <w:ind w:firstLine="1205" w:firstLineChars="500"/>
        <w:rPr>
          <w:rFonts w:hint="eastAsia" w:ascii="宋体" w:hAnsi="宋体" w:cs="宋体"/>
          <w:b/>
          <w:bCs/>
          <w:color w:val="000000"/>
          <w:sz w:val="24"/>
          <w:szCs w:val="24"/>
          <w:highlight w:val="none"/>
        </w:rPr>
      </w:pPr>
    </w:p>
    <w:p w14:paraId="01F3FD6B">
      <w:pPr>
        <w:shd w:val="clear" w:color="auto" w:fill="auto"/>
        <w:ind w:firstLine="1205" w:firstLineChars="500"/>
        <w:rPr>
          <w:rFonts w:hint="eastAsia" w:ascii="宋体" w:hAnsi="宋体" w:cs="宋体"/>
          <w:b/>
          <w:bCs/>
          <w:color w:val="000000"/>
          <w:sz w:val="24"/>
          <w:szCs w:val="24"/>
          <w:highlight w:val="none"/>
        </w:rPr>
      </w:pPr>
    </w:p>
    <w:p w14:paraId="70F779E5">
      <w:pPr>
        <w:shd w:val="clear" w:color="auto" w:fill="auto"/>
        <w:ind w:firstLine="1205" w:firstLineChars="500"/>
        <w:rPr>
          <w:rFonts w:hint="eastAsia" w:ascii="宋体" w:hAnsi="宋体" w:cs="宋体"/>
          <w:b/>
          <w:bCs/>
          <w:color w:val="000000"/>
          <w:sz w:val="24"/>
          <w:szCs w:val="24"/>
          <w:highlight w:val="none"/>
        </w:rPr>
      </w:pPr>
    </w:p>
    <w:p w14:paraId="574E61B4">
      <w:pPr>
        <w:shd w:val="clear" w:color="auto" w:fill="auto"/>
        <w:ind w:firstLine="1205" w:firstLineChars="500"/>
        <w:rPr>
          <w:rFonts w:hint="eastAsia" w:ascii="宋体" w:hAnsi="宋体" w:cs="宋体"/>
          <w:b/>
          <w:bCs/>
          <w:color w:val="000000"/>
          <w:sz w:val="24"/>
          <w:szCs w:val="24"/>
          <w:highlight w:val="none"/>
        </w:rPr>
      </w:pPr>
    </w:p>
    <w:p w14:paraId="2C70116F">
      <w:pPr>
        <w:shd w:val="clear" w:color="auto" w:fill="auto"/>
        <w:ind w:firstLine="1205" w:firstLineChars="500"/>
        <w:rPr>
          <w:rFonts w:hint="eastAsia" w:ascii="宋体" w:hAnsi="宋体" w:cs="宋体"/>
          <w:b/>
          <w:bCs/>
          <w:color w:val="000000"/>
          <w:sz w:val="24"/>
          <w:szCs w:val="24"/>
          <w:highlight w:val="none"/>
        </w:rPr>
      </w:pPr>
    </w:p>
    <w:p w14:paraId="1290E1FB">
      <w:pPr>
        <w:keepNext w:val="0"/>
        <w:keepLines w:val="0"/>
        <w:pageBreakBefore w:val="0"/>
        <w:widowControl w:val="0"/>
        <w:tabs>
          <w:tab w:val="left" w:pos="2977"/>
          <w:tab w:val="left" w:pos="3261"/>
        </w:tabs>
        <w:kinsoku/>
        <w:wordWrap/>
        <w:overflowPunct/>
        <w:topLinePunct w:val="0"/>
        <w:autoSpaceDE w:val="0"/>
        <w:autoSpaceDN w:val="0"/>
        <w:bidi w:val="0"/>
        <w:adjustRightInd/>
        <w:snapToGrid/>
        <w:spacing w:after="0" w:line="420" w:lineRule="exact"/>
        <w:textAlignment w:val="auto"/>
        <w:rPr>
          <w:rFonts w:ascii="宋体" w:hAnsi="宋体"/>
          <w:b/>
          <w:bCs/>
          <w:color w:val="000000"/>
          <w:sz w:val="24"/>
          <w:szCs w:val="24"/>
        </w:rPr>
      </w:pPr>
      <w:bookmarkStart w:id="255" w:name="_Toc16296"/>
      <w:bookmarkEnd w:id="255"/>
      <w:bookmarkStart w:id="256" w:name="_Toc15638"/>
      <w:bookmarkEnd w:id="256"/>
      <w:bookmarkStart w:id="257" w:name="_Toc15765"/>
      <w:r>
        <w:rPr>
          <w:rFonts w:hint="eastAsia" w:ascii="宋体" w:hAnsi="宋体"/>
          <w:b/>
          <w:bCs/>
          <w:color w:val="000000"/>
          <w:sz w:val="24"/>
          <w:szCs w:val="24"/>
          <w:lang w:val="en-US" w:eastAsia="zh-CN"/>
        </w:rPr>
        <w:t xml:space="preserve">投 标 </w:t>
      </w:r>
      <w:r>
        <w:rPr>
          <w:rFonts w:ascii="宋体" w:hAnsi="宋体"/>
          <w:b/>
          <w:bCs/>
          <w:color w:val="000000"/>
          <w:sz w:val="24"/>
          <w:szCs w:val="24"/>
        </w:rPr>
        <w:t>人：</w:t>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39F5B7A4">
      <w:pPr>
        <w:keepNext w:val="0"/>
        <w:keepLines w:val="0"/>
        <w:pageBreakBefore w:val="0"/>
        <w:widowControl w:val="0"/>
        <w:kinsoku/>
        <w:wordWrap/>
        <w:overflowPunct/>
        <w:topLinePunct w:val="0"/>
        <w:autoSpaceDE w:val="0"/>
        <w:autoSpaceDN w:val="0"/>
        <w:bidi w:val="0"/>
        <w:adjustRightInd/>
        <w:snapToGrid/>
        <w:spacing w:after="0" w:line="420" w:lineRule="exact"/>
        <w:textAlignment w:val="auto"/>
        <w:rPr>
          <w:rFonts w:ascii="宋体" w:hAnsi="宋体"/>
          <w:b/>
          <w:bCs/>
          <w:color w:val="000000"/>
          <w:sz w:val="24"/>
          <w:szCs w:val="24"/>
        </w:rPr>
      </w:pPr>
      <w:r>
        <w:rPr>
          <w:rFonts w:ascii="宋体" w:hAnsi="宋体"/>
          <w:b/>
          <w:bCs/>
          <w:color w:val="000000"/>
          <w:sz w:val="24"/>
          <w:szCs w:val="24"/>
        </w:rPr>
        <w:t>法定代表人：</w:t>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r>
        <w:rPr>
          <w:rFonts w:hint="eastAsia" w:ascii="宋体" w:hAnsi="宋体"/>
          <w:b/>
          <w:bCs/>
          <w:color w:val="000000"/>
          <w:sz w:val="24"/>
          <w:szCs w:val="24"/>
          <w:lang w:val="en-US" w:eastAsia="zh-CN"/>
        </w:rPr>
        <w:t>或电子签名</w:t>
      </w:r>
      <w:r>
        <w:rPr>
          <w:rFonts w:hint="eastAsia" w:ascii="宋体" w:hAnsi="宋体"/>
          <w:b/>
          <w:bCs/>
          <w:color w:val="000000"/>
          <w:sz w:val="24"/>
          <w:szCs w:val="24"/>
        </w:rPr>
        <w:t>）</w:t>
      </w:r>
    </w:p>
    <w:p w14:paraId="45854F9B">
      <w:pPr>
        <w:pStyle w:val="19"/>
        <w:keepNext w:val="0"/>
        <w:keepLines w:val="0"/>
        <w:pageBreakBefore w:val="0"/>
        <w:widowControl w:val="0"/>
        <w:kinsoku/>
        <w:wordWrap/>
        <w:overflowPunct/>
        <w:topLinePunct w:val="0"/>
        <w:autoSpaceDE w:val="0"/>
        <w:autoSpaceDN w:val="0"/>
        <w:bidi w:val="0"/>
        <w:adjustRightInd/>
        <w:snapToGrid/>
        <w:spacing w:after="0" w:line="420" w:lineRule="exact"/>
        <w:textAlignment w:val="auto"/>
        <w:rPr>
          <w:rFonts w:hAnsi="宋体"/>
          <w:b/>
          <w:bCs/>
          <w:color w:val="000000"/>
          <w:sz w:val="24"/>
          <w:szCs w:val="24"/>
        </w:rPr>
      </w:pPr>
      <w:r>
        <w:rPr>
          <w:rFonts w:hint="eastAsia" w:hAnsi="宋体"/>
          <w:b/>
          <w:bCs/>
          <w:color w:val="000000"/>
          <w:sz w:val="24"/>
          <w:szCs w:val="24"/>
        </w:rPr>
        <w:t>日期：</w:t>
      </w:r>
      <w:r>
        <w:rPr>
          <w:rFonts w:hint="eastAsia" w:hAnsi="宋体"/>
          <w:b/>
          <w:bCs/>
          <w:color w:val="000000"/>
          <w:sz w:val="24"/>
          <w:szCs w:val="24"/>
          <w:u w:val="single"/>
        </w:rPr>
        <w:t xml:space="preserve">       </w:t>
      </w:r>
      <w:r>
        <w:rPr>
          <w:rFonts w:hint="eastAsia" w:hAnsi="宋体"/>
          <w:b/>
          <w:bCs/>
          <w:color w:val="000000"/>
          <w:sz w:val="24"/>
          <w:szCs w:val="24"/>
        </w:rPr>
        <w:t>年</w:t>
      </w:r>
      <w:r>
        <w:rPr>
          <w:rFonts w:hint="eastAsia" w:hAnsi="宋体"/>
          <w:b/>
          <w:bCs/>
          <w:color w:val="000000"/>
          <w:sz w:val="24"/>
          <w:szCs w:val="24"/>
          <w:u w:val="single"/>
        </w:rPr>
        <w:t xml:space="preserve">        </w:t>
      </w:r>
      <w:r>
        <w:rPr>
          <w:rFonts w:hint="eastAsia" w:hAnsi="宋体"/>
          <w:b/>
          <w:bCs/>
          <w:color w:val="000000"/>
          <w:sz w:val="24"/>
          <w:szCs w:val="24"/>
        </w:rPr>
        <w:t>月</w:t>
      </w:r>
      <w:r>
        <w:rPr>
          <w:rFonts w:hint="eastAsia" w:hAnsi="宋体"/>
          <w:b/>
          <w:bCs/>
          <w:color w:val="000000"/>
          <w:sz w:val="24"/>
          <w:szCs w:val="24"/>
          <w:u w:val="single"/>
        </w:rPr>
        <w:t xml:space="preserve">      </w:t>
      </w:r>
      <w:r>
        <w:rPr>
          <w:rFonts w:hint="eastAsia" w:hAnsi="宋体"/>
          <w:b/>
          <w:bCs/>
          <w:color w:val="000000"/>
          <w:sz w:val="24"/>
          <w:szCs w:val="24"/>
        </w:rPr>
        <w:t>日</w:t>
      </w:r>
    </w:p>
    <w:p w14:paraId="4BCBC60B">
      <w:pPr>
        <w:widowControl w:val="0"/>
        <w:shd w:val="clear" w:color="auto" w:fill="auto"/>
        <w:spacing w:line="360" w:lineRule="auto"/>
        <w:rPr>
          <w:rFonts w:hint="eastAsia" w:ascii="宋体" w:hAnsi="宋体" w:cs="宋体"/>
          <w:color w:val="000000"/>
          <w:highlight w:val="none"/>
        </w:rPr>
      </w:pPr>
    </w:p>
    <w:p w14:paraId="42B6A639">
      <w:pPr>
        <w:numPr>
          <w:ilvl w:val="0"/>
          <w:numId w:val="0"/>
        </w:numPr>
        <w:shd w:val="clear" w:color="auto" w:fill="auto"/>
        <w:spacing w:line="360" w:lineRule="auto"/>
        <w:ind w:firstLine="840" w:firstLineChars="400"/>
        <w:jc w:val="both"/>
        <w:outlineLvl w:val="9"/>
        <w:rPr>
          <w:rFonts w:hint="eastAsia" w:ascii="宋体" w:hAnsi="宋体" w:eastAsia="宋体" w:cs="宋体"/>
          <w:b/>
          <w:color w:val="000000"/>
          <w:kern w:val="0"/>
          <w:sz w:val="22"/>
          <w:szCs w:val="22"/>
          <w:highlight w:val="none"/>
          <w:lang w:val="en-US" w:eastAsia="zh-CN" w:bidi="ar-SA"/>
        </w:rPr>
      </w:pPr>
      <w:r>
        <w:rPr>
          <w:rFonts w:hint="eastAsia" w:ascii="宋体" w:hAnsi="宋体" w:cs="宋体"/>
          <w:color w:val="000000"/>
          <w:szCs w:val="28"/>
          <w:highlight w:val="none"/>
        </w:rPr>
        <w:br w:type="page"/>
      </w:r>
      <w:bookmarkEnd w:id="257"/>
      <w:bookmarkStart w:id="258" w:name="_Toc29133"/>
      <w:bookmarkEnd w:id="258"/>
    </w:p>
    <w:p w14:paraId="1C2C6F54">
      <w:pPr>
        <w:numPr>
          <w:ilvl w:val="0"/>
          <w:numId w:val="3"/>
        </w:numPr>
        <w:jc w:val="center"/>
        <w:rPr>
          <w:rFonts w:hint="eastAsia" w:ascii="宋体" w:hAnsi="宋体" w:cs="宋体"/>
          <w:b/>
          <w:bCs/>
          <w:color w:val="000000"/>
          <w:sz w:val="28"/>
          <w:szCs w:val="28"/>
          <w:highlight w:val="none"/>
          <w:lang w:val="en-US" w:eastAsia="zh-CN"/>
        </w:rPr>
      </w:pPr>
      <w:bookmarkStart w:id="259" w:name="_Toc18762"/>
      <w:r>
        <w:rPr>
          <w:rFonts w:hint="eastAsia" w:ascii="宋体" w:hAnsi="宋体" w:cs="宋体"/>
          <w:b/>
          <w:bCs/>
          <w:color w:val="000000"/>
          <w:sz w:val="28"/>
          <w:szCs w:val="28"/>
          <w:highlight w:val="none"/>
          <w:lang w:val="en-US" w:eastAsia="zh-CN"/>
        </w:rPr>
        <w:t>特定资格要求</w:t>
      </w:r>
    </w:p>
    <w:p w14:paraId="3C8AA037">
      <w:pPr>
        <w:numPr>
          <w:ilvl w:val="0"/>
          <w:numId w:val="0"/>
        </w:numPr>
        <w:jc w:val="both"/>
        <w:rPr>
          <w:rFonts w:hint="eastAsia" w:ascii="宋体" w:hAnsi="宋体" w:cs="宋体"/>
          <w:b w:val="0"/>
          <w:bCs w:val="0"/>
          <w:color w:val="000000"/>
          <w:sz w:val="24"/>
          <w:szCs w:val="24"/>
          <w:highlight w:val="none"/>
          <w:lang w:val="en-US" w:eastAsia="zh-CN"/>
        </w:rPr>
      </w:pPr>
      <w:r>
        <w:rPr>
          <w:rFonts w:hint="eastAsia" w:ascii="宋体" w:hAnsi="宋体" w:cs="宋体"/>
          <w:b w:val="0"/>
          <w:bCs w:val="0"/>
          <w:color w:val="000000"/>
          <w:sz w:val="24"/>
          <w:szCs w:val="24"/>
          <w:highlight w:val="none"/>
          <w:lang w:val="en-US" w:eastAsia="zh-CN"/>
        </w:rPr>
        <w:t>（1）提供行政主管部门核发的测绘乙级及以上资质证书；（原件扫描件清晰加盖公章）。</w:t>
      </w:r>
    </w:p>
    <w:p w14:paraId="1FA5AC84">
      <w:pPr>
        <w:numPr>
          <w:ilvl w:val="0"/>
          <w:numId w:val="0"/>
        </w:numPr>
        <w:jc w:val="both"/>
        <w:rPr>
          <w:rFonts w:hint="eastAsia" w:ascii="宋体" w:hAnsi="宋体" w:cs="宋体"/>
          <w:b w:val="0"/>
          <w:bCs w:val="0"/>
          <w:color w:val="000000"/>
          <w:sz w:val="24"/>
          <w:szCs w:val="24"/>
          <w:highlight w:val="none"/>
          <w:lang w:val="en-US" w:eastAsia="zh-CN"/>
        </w:rPr>
      </w:pPr>
    </w:p>
    <w:p w14:paraId="26CD57FE">
      <w:pPr>
        <w:numPr>
          <w:ilvl w:val="0"/>
          <w:numId w:val="0"/>
        </w:numPr>
        <w:jc w:val="both"/>
        <w:rPr>
          <w:rFonts w:hint="eastAsia" w:ascii="宋体" w:hAnsi="宋体" w:cs="宋体"/>
          <w:b w:val="0"/>
          <w:bCs w:val="0"/>
          <w:color w:val="000000"/>
          <w:sz w:val="24"/>
          <w:szCs w:val="24"/>
          <w:highlight w:val="none"/>
          <w:lang w:val="en-US" w:eastAsia="zh-CN"/>
        </w:rPr>
      </w:pPr>
    </w:p>
    <w:p w14:paraId="28B44382">
      <w:pPr>
        <w:numPr>
          <w:ilvl w:val="0"/>
          <w:numId w:val="0"/>
        </w:numPr>
        <w:jc w:val="both"/>
        <w:rPr>
          <w:rFonts w:hint="eastAsia" w:ascii="宋体" w:hAnsi="宋体" w:cs="宋体"/>
          <w:b w:val="0"/>
          <w:bCs w:val="0"/>
          <w:color w:val="000000"/>
          <w:sz w:val="24"/>
          <w:szCs w:val="24"/>
          <w:highlight w:val="none"/>
          <w:lang w:val="en-US" w:eastAsia="zh-CN"/>
        </w:rPr>
      </w:pPr>
    </w:p>
    <w:p w14:paraId="65DFFF36">
      <w:pPr>
        <w:numPr>
          <w:ilvl w:val="0"/>
          <w:numId w:val="0"/>
        </w:numPr>
        <w:jc w:val="both"/>
        <w:rPr>
          <w:rFonts w:hint="eastAsia" w:ascii="宋体" w:hAnsi="宋体" w:cs="宋体"/>
          <w:b w:val="0"/>
          <w:bCs w:val="0"/>
          <w:color w:val="000000"/>
          <w:sz w:val="24"/>
          <w:szCs w:val="24"/>
          <w:highlight w:val="none"/>
          <w:lang w:val="en-US" w:eastAsia="zh-CN"/>
        </w:rPr>
      </w:pPr>
    </w:p>
    <w:p w14:paraId="487AEA05">
      <w:pPr>
        <w:numPr>
          <w:ilvl w:val="0"/>
          <w:numId w:val="0"/>
        </w:numPr>
        <w:jc w:val="both"/>
        <w:rPr>
          <w:rFonts w:hint="eastAsia" w:ascii="宋体" w:hAnsi="宋体" w:cs="宋体"/>
          <w:b w:val="0"/>
          <w:bCs w:val="0"/>
          <w:color w:val="000000"/>
          <w:sz w:val="24"/>
          <w:szCs w:val="24"/>
          <w:highlight w:val="none"/>
          <w:lang w:val="en-US" w:eastAsia="zh-CN"/>
        </w:rPr>
      </w:pPr>
    </w:p>
    <w:p w14:paraId="0D2CE48A">
      <w:pPr>
        <w:numPr>
          <w:ilvl w:val="0"/>
          <w:numId w:val="0"/>
        </w:numPr>
        <w:jc w:val="both"/>
        <w:rPr>
          <w:rFonts w:hint="eastAsia" w:ascii="宋体" w:hAnsi="宋体" w:cs="宋体"/>
          <w:b w:val="0"/>
          <w:bCs w:val="0"/>
          <w:color w:val="000000"/>
          <w:sz w:val="24"/>
          <w:szCs w:val="24"/>
          <w:highlight w:val="none"/>
          <w:lang w:val="en-US" w:eastAsia="zh-CN"/>
        </w:rPr>
      </w:pPr>
    </w:p>
    <w:p w14:paraId="743A9089">
      <w:pPr>
        <w:numPr>
          <w:ilvl w:val="0"/>
          <w:numId w:val="0"/>
        </w:numPr>
        <w:jc w:val="both"/>
        <w:rPr>
          <w:rFonts w:hint="eastAsia" w:ascii="宋体" w:hAnsi="宋体" w:cs="宋体"/>
          <w:b w:val="0"/>
          <w:bCs w:val="0"/>
          <w:color w:val="000000"/>
          <w:sz w:val="24"/>
          <w:szCs w:val="24"/>
          <w:highlight w:val="none"/>
          <w:lang w:val="en-US" w:eastAsia="zh-CN"/>
        </w:rPr>
      </w:pPr>
    </w:p>
    <w:p w14:paraId="3741E638">
      <w:pPr>
        <w:numPr>
          <w:ilvl w:val="0"/>
          <w:numId w:val="0"/>
        </w:numPr>
        <w:jc w:val="both"/>
        <w:rPr>
          <w:rFonts w:hint="eastAsia" w:ascii="宋体" w:hAnsi="宋体" w:cs="宋体"/>
          <w:b w:val="0"/>
          <w:bCs w:val="0"/>
          <w:color w:val="000000"/>
          <w:sz w:val="24"/>
          <w:szCs w:val="24"/>
          <w:highlight w:val="none"/>
          <w:lang w:val="en-US" w:eastAsia="zh-CN"/>
        </w:rPr>
      </w:pPr>
    </w:p>
    <w:p w14:paraId="0B81C8E2">
      <w:pPr>
        <w:numPr>
          <w:ilvl w:val="0"/>
          <w:numId w:val="0"/>
        </w:numPr>
        <w:jc w:val="both"/>
        <w:rPr>
          <w:rFonts w:hint="eastAsia" w:ascii="宋体" w:hAnsi="宋体" w:cs="宋体"/>
          <w:b w:val="0"/>
          <w:bCs w:val="0"/>
          <w:color w:val="000000"/>
          <w:sz w:val="24"/>
          <w:szCs w:val="24"/>
          <w:highlight w:val="none"/>
          <w:lang w:val="en-US" w:eastAsia="zh-CN"/>
        </w:rPr>
      </w:pPr>
    </w:p>
    <w:p w14:paraId="17147662">
      <w:pPr>
        <w:numPr>
          <w:ilvl w:val="0"/>
          <w:numId w:val="0"/>
        </w:numPr>
        <w:jc w:val="both"/>
        <w:rPr>
          <w:rFonts w:hint="eastAsia" w:ascii="宋体" w:hAnsi="宋体" w:cs="宋体"/>
          <w:b w:val="0"/>
          <w:bCs w:val="0"/>
          <w:color w:val="000000"/>
          <w:sz w:val="24"/>
          <w:szCs w:val="24"/>
          <w:highlight w:val="none"/>
          <w:lang w:val="en-US" w:eastAsia="zh-CN"/>
        </w:rPr>
      </w:pPr>
    </w:p>
    <w:p w14:paraId="15214E88">
      <w:pPr>
        <w:numPr>
          <w:ilvl w:val="0"/>
          <w:numId w:val="0"/>
        </w:numPr>
        <w:jc w:val="both"/>
        <w:rPr>
          <w:rFonts w:hint="eastAsia" w:ascii="宋体" w:hAnsi="宋体" w:cs="宋体"/>
          <w:b w:val="0"/>
          <w:bCs w:val="0"/>
          <w:color w:val="000000"/>
          <w:sz w:val="24"/>
          <w:szCs w:val="24"/>
          <w:highlight w:val="none"/>
          <w:lang w:val="en-US" w:eastAsia="zh-CN"/>
        </w:rPr>
      </w:pPr>
    </w:p>
    <w:p w14:paraId="1E9AD7C6">
      <w:pPr>
        <w:numPr>
          <w:ilvl w:val="0"/>
          <w:numId w:val="0"/>
        </w:numPr>
        <w:jc w:val="both"/>
        <w:rPr>
          <w:rFonts w:hint="eastAsia" w:ascii="宋体" w:hAnsi="宋体" w:cs="宋体"/>
          <w:b w:val="0"/>
          <w:bCs w:val="0"/>
          <w:color w:val="000000"/>
          <w:sz w:val="24"/>
          <w:szCs w:val="24"/>
          <w:highlight w:val="none"/>
          <w:lang w:val="en-US" w:eastAsia="zh-CN"/>
        </w:rPr>
      </w:pPr>
    </w:p>
    <w:p w14:paraId="3DCA528E">
      <w:pPr>
        <w:numPr>
          <w:ilvl w:val="0"/>
          <w:numId w:val="0"/>
        </w:numPr>
        <w:jc w:val="both"/>
        <w:rPr>
          <w:rFonts w:hint="eastAsia" w:ascii="宋体" w:hAnsi="宋体" w:cs="宋体"/>
          <w:b w:val="0"/>
          <w:bCs w:val="0"/>
          <w:color w:val="000000"/>
          <w:sz w:val="24"/>
          <w:szCs w:val="24"/>
          <w:highlight w:val="none"/>
          <w:lang w:val="en-US" w:eastAsia="zh-CN"/>
        </w:rPr>
      </w:pPr>
    </w:p>
    <w:p w14:paraId="7C00EA5B">
      <w:pPr>
        <w:numPr>
          <w:ilvl w:val="0"/>
          <w:numId w:val="0"/>
        </w:numPr>
        <w:jc w:val="both"/>
        <w:rPr>
          <w:rFonts w:hint="eastAsia" w:ascii="宋体" w:hAnsi="宋体" w:cs="宋体"/>
          <w:b w:val="0"/>
          <w:bCs w:val="0"/>
          <w:color w:val="000000"/>
          <w:sz w:val="24"/>
          <w:szCs w:val="24"/>
          <w:highlight w:val="none"/>
          <w:lang w:val="en-US" w:eastAsia="zh-CN"/>
        </w:rPr>
      </w:pPr>
    </w:p>
    <w:p w14:paraId="7501A693">
      <w:pPr>
        <w:numPr>
          <w:ilvl w:val="0"/>
          <w:numId w:val="0"/>
        </w:numPr>
        <w:jc w:val="both"/>
        <w:rPr>
          <w:rFonts w:hint="eastAsia" w:ascii="宋体" w:hAnsi="宋体" w:cs="宋体"/>
          <w:b w:val="0"/>
          <w:bCs w:val="0"/>
          <w:color w:val="000000"/>
          <w:sz w:val="24"/>
          <w:szCs w:val="24"/>
          <w:highlight w:val="none"/>
          <w:lang w:val="en-US" w:eastAsia="zh-CN"/>
        </w:rPr>
      </w:pPr>
    </w:p>
    <w:p w14:paraId="42A19F3B">
      <w:pPr>
        <w:numPr>
          <w:ilvl w:val="0"/>
          <w:numId w:val="0"/>
        </w:numPr>
        <w:jc w:val="both"/>
        <w:rPr>
          <w:rFonts w:hint="eastAsia" w:ascii="宋体" w:hAnsi="宋体" w:cs="宋体"/>
          <w:b w:val="0"/>
          <w:bCs w:val="0"/>
          <w:color w:val="000000"/>
          <w:sz w:val="24"/>
          <w:szCs w:val="24"/>
          <w:highlight w:val="none"/>
          <w:lang w:val="en-US" w:eastAsia="zh-CN"/>
        </w:rPr>
      </w:pPr>
    </w:p>
    <w:p w14:paraId="55388ED0">
      <w:pPr>
        <w:numPr>
          <w:ilvl w:val="0"/>
          <w:numId w:val="0"/>
        </w:numPr>
        <w:jc w:val="both"/>
        <w:rPr>
          <w:rFonts w:hint="eastAsia" w:ascii="宋体" w:hAnsi="宋体" w:cs="宋体"/>
          <w:b w:val="0"/>
          <w:bCs w:val="0"/>
          <w:color w:val="000000"/>
          <w:sz w:val="24"/>
          <w:szCs w:val="24"/>
          <w:highlight w:val="none"/>
          <w:lang w:val="en-US" w:eastAsia="zh-CN"/>
        </w:rPr>
      </w:pPr>
    </w:p>
    <w:p w14:paraId="49326B81">
      <w:pPr>
        <w:numPr>
          <w:ilvl w:val="0"/>
          <w:numId w:val="0"/>
        </w:numPr>
        <w:jc w:val="both"/>
        <w:rPr>
          <w:rFonts w:hint="eastAsia" w:ascii="宋体" w:hAnsi="宋体" w:cs="宋体"/>
          <w:b w:val="0"/>
          <w:bCs w:val="0"/>
          <w:color w:val="000000"/>
          <w:sz w:val="24"/>
          <w:szCs w:val="24"/>
          <w:highlight w:val="none"/>
          <w:lang w:val="en-US" w:eastAsia="zh-CN"/>
        </w:rPr>
      </w:pPr>
    </w:p>
    <w:p w14:paraId="33B5F29F">
      <w:pPr>
        <w:numPr>
          <w:ilvl w:val="0"/>
          <w:numId w:val="0"/>
        </w:numPr>
        <w:jc w:val="both"/>
        <w:rPr>
          <w:rFonts w:hint="eastAsia" w:ascii="宋体" w:hAnsi="宋体" w:cs="宋体"/>
          <w:b w:val="0"/>
          <w:bCs w:val="0"/>
          <w:color w:val="000000"/>
          <w:sz w:val="24"/>
          <w:szCs w:val="24"/>
          <w:highlight w:val="none"/>
          <w:lang w:val="en-US" w:eastAsia="zh-CN"/>
        </w:rPr>
      </w:pPr>
    </w:p>
    <w:p w14:paraId="2EE825D7">
      <w:pPr>
        <w:numPr>
          <w:ilvl w:val="0"/>
          <w:numId w:val="0"/>
        </w:numPr>
        <w:jc w:val="both"/>
        <w:rPr>
          <w:rFonts w:hint="eastAsia" w:ascii="宋体" w:hAnsi="宋体" w:cs="宋体"/>
          <w:b w:val="0"/>
          <w:bCs w:val="0"/>
          <w:color w:val="000000"/>
          <w:sz w:val="24"/>
          <w:szCs w:val="24"/>
          <w:highlight w:val="none"/>
          <w:lang w:val="en-US" w:eastAsia="zh-CN"/>
        </w:rPr>
      </w:pPr>
    </w:p>
    <w:p w14:paraId="14B635F9">
      <w:pPr>
        <w:numPr>
          <w:ilvl w:val="0"/>
          <w:numId w:val="0"/>
        </w:numPr>
        <w:jc w:val="both"/>
        <w:rPr>
          <w:rFonts w:hint="eastAsia" w:ascii="宋体" w:hAnsi="宋体" w:cs="宋体"/>
          <w:b w:val="0"/>
          <w:bCs w:val="0"/>
          <w:color w:val="000000"/>
          <w:sz w:val="24"/>
          <w:szCs w:val="24"/>
          <w:highlight w:val="none"/>
          <w:lang w:val="en-US" w:eastAsia="zh-CN"/>
        </w:rPr>
      </w:pPr>
    </w:p>
    <w:p w14:paraId="058354E7">
      <w:pPr>
        <w:numPr>
          <w:ilvl w:val="0"/>
          <w:numId w:val="0"/>
        </w:numPr>
        <w:jc w:val="both"/>
        <w:rPr>
          <w:rFonts w:hint="eastAsia" w:ascii="宋体" w:hAnsi="宋体" w:cs="宋体"/>
          <w:b w:val="0"/>
          <w:bCs w:val="0"/>
          <w:color w:val="000000"/>
          <w:sz w:val="24"/>
          <w:szCs w:val="24"/>
          <w:highlight w:val="none"/>
          <w:lang w:val="en-US" w:eastAsia="zh-CN"/>
        </w:rPr>
      </w:pPr>
    </w:p>
    <w:p w14:paraId="2D4FC600">
      <w:pPr>
        <w:numPr>
          <w:ilvl w:val="0"/>
          <w:numId w:val="0"/>
        </w:numPr>
        <w:jc w:val="both"/>
        <w:rPr>
          <w:rFonts w:hint="eastAsia" w:ascii="宋体" w:hAnsi="宋体" w:cs="宋体"/>
          <w:b w:val="0"/>
          <w:bCs w:val="0"/>
          <w:color w:val="000000"/>
          <w:sz w:val="24"/>
          <w:szCs w:val="24"/>
          <w:highlight w:val="none"/>
          <w:lang w:val="en-US" w:eastAsia="zh-CN"/>
        </w:rPr>
      </w:pPr>
    </w:p>
    <w:p w14:paraId="39C5771C">
      <w:pPr>
        <w:numPr>
          <w:ilvl w:val="0"/>
          <w:numId w:val="0"/>
        </w:numPr>
        <w:jc w:val="both"/>
        <w:rPr>
          <w:rFonts w:hint="eastAsia" w:ascii="宋体" w:hAnsi="宋体" w:cs="宋体"/>
          <w:b w:val="0"/>
          <w:bCs w:val="0"/>
          <w:color w:val="000000"/>
          <w:sz w:val="24"/>
          <w:szCs w:val="24"/>
          <w:highlight w:val="none"/>
          <w:lang w:val="en-US" w:eastAsia="zh-CN"/>
        </w:rPr>
      </w:pPr>
    </w:p>
    <w:p w14:paraId="7F1D78E7">
      <w:pPr>
        <w:numPr>
          <w:ilvl w:val="0"/>
          <w:numId w:val="0"/>
        </w:numPr>
        <w:jc w:val="both"/>
        <w:rPr>
          <w:rFonts w:hint="eastAsia" w:ascii="宋体" w:hAnsi="宋体" w:cs="宋体"/>
          <w:b w:val="0"/>
          <w:bCs w:val="0"/>
          <w:color w:val="000000"/>
          <w:sz w:val="24"/>
          <w:szCs w:val="24"/>
          <w:highlight w:val="none"/>
          <w:lang w:val="en-US" w:eastAsia="zh-CN"/>
        </w:rPr>
      </w:pPr>
    </w:p>
    <w:p w14:paraId="7712102B">
      <w:pPr>
        <w:numPr>
          <w:ilvl w:val="0"/>
          <w:numId w:val="0"/>
        </w:numPr>
        <w:jc w:val="both"/>
        <w:rPr>
          <w:rFonts w:hint="eastAsia" w:ascii="宋体" w:hAnsi="宋体" w:cs="宋体"/>
          <w:b w:val="0"/>
          <w:bCs w:val="0"/>
          <w:color w:val="000000"/>
          <w:sz w:val="24"/>
          <w:szCs w:val="24"/>
          <w:highlight w:val="none"/>
          <w:lang w:val="en-US" w:eastAsia="zh-CN"/>
        </w:rPr>
      </w:pPr>
    </w:p>
    <w:p w14:paraId="3A15ADED">
      <w:pPr>
        <w:numPr>
          <w:ilvl w:val="0"/>
          <w:numId w:val="0"/>
        </w:numPr>
        <w:jc w:val="both"/>
        <w:rPr>
          <w:rFonts w:hint="eastAsia" w:ascii="宋体" w:hAnsi="宋体" w:cs="宋体"/>
          <w:b w:val="0"/>
          <w:bCs w:val="0"/>
          <w:color w:val="000000"/>
          <w:sz w:val="24"/>
          <w:szCs w:val="24"/>
          <w:highlight w:val="none"/>
          <w:lang w:val="en-US" w:eastAsia="zh-CN"/>
        </w:rPr>
      </w:pPr>
    </w:p>
    <w:p w14:paraId="7407E307">
      <w:pPr>
        <w:numPr>
          <w:ilvl w:val="0"/>
          <w:numId w:val="0"/>
        </w:numPr>
        <w:jc w:val="both"/>
        <w:rPr>
          <w:rFonts w:hint="eastAsia" w:ascii="宋体" w:hAnsi="宋体" w:cs="宋体"/>
          <w:b w:val="0"/>
          <w:bCs w:val="0"/>
          <w:color w:val="000000"/>
          <w:sz w:val="24"/>
          <w:szCs w:val="24"/>
          <w:highlight w:val="none"/>
          <w:lang w:val="en-US" w:eastAsia="zh-CN"/>
        </w:rPr>
      </w:pPr>
    </w:p>
    <w:p w14:paraId="5FC43546">
      <w:pPr>
        <w:numPr>
          <w:ilvl w:val="0"/>
          <w:numId w:val="0"/>
        </w:numPr>
        <w:jc w:val="both"/>
        <w:rPr>
          <w:rFonts w:hint="eastAsia" w:ascii="宋体" w:hAnsi="宋体" w:cs="宋体"/>
          <w:b w:val="0"/>
          <w:bCs w:val="0"/>
          <w:color w:val="000000"/>
          <w:sz w:val="24"/>
          <w:szCs w:val="24"/>
          <w:highlight w:val="none"/>
          <w:lang w:val="en-US" w:eastAsia="zh-CN"/>
        </w:rPr>
      </w:pPr>
    </w:p>
    <w:p w14:paraId="0825E630">
      <w:pPr>
        <w:numPr>
          <w:ilvl w:val="0"/>
          <w:numId w:val="0"/>
        </w:numPr>
        <w:jc w:val="both"/>
        <w:rPr>
          <w:rFonts w:hint="eastAsia" w:ascii="宋体" w:hAnsi="宋体" w:cs="宋体"/>
          <w:b w:val="0"/>
          <w:bCs w:val="0"/>
          <w:color w:val="000000"/>
          <w:sz w:val="24"/>
          <w:szCs w:val="24"/>
          <w:highlight w:val="none"/>
          <w:lang w:val="en-US" w:eastAsia="zh-CN"/>
        </w:rPr>
      </w:pPr>
    </w:p>
    <w:p w14:paraId="659A651C">
      <w:pPr>
        <w:numPr>
          <w:ilvl w:val="0"/>
          <w:numId w:val="0"/>
        </w:numPr>
        <w:jc w:val="both"/>
        <w:rPr>
          <w:rFonts w:hint="eastAsia" w:ascii="宋体" w:hAnsi="宋体" w:cs="宋体"/>
          <w:b w:val="0"/>
          <w:bCs w:val="0"/>
          <w:color w:val="000000"/>
          <w:sz w:val="24"/>
          <w:szCs w:val="24"/>
          <w:highlight w:val="none"/>
          <w:lang w:val="en-US" w:eastAsia="zh-CN"/>
        </w:rPr>
      </w:pPr>
    </w:p>
    <w:p w14:paraId="794EE539">
      <w:pPr>
        <w:numPr>
          <w:ilvl w:val="0"/>
          <w:numId w:val="0"/>
        </w:numPr>
        <w:jc w:val="both"/>
        <w:rPr>
          <w:rFonts w:hint="eastAsia" w:ascii="宋体" w:hAnsi="宋体" w:cs="宋体"/>
          <w:b w:val="0"/>
          <w:bCs w:val="0"/>
          <w:color w:val="000000"/>
          <w:sz w:val="24"/>
          <w:szCs w:val="24"/>
          <w:highlight w:val="none"/>
          <w:lang w:val="en-US" w:eastAsia="zh-CN"/>
        </w:rPr>
      </w:pPr>
    </w:p>
    <w:p w14:paraId="7C3BF62B">
      <w:pPr>
        <w:numPr>
          <w:ilvl w:val="0"/>
          <w:numId w:val="0"/>
        </w:numPr>
        <w:jc w:val="both"/>
        <w:rPr>
          <w:rFonts w:hint="eastAsia" w:ascii="宋体" w:hAnsi="宋体" w:cs="宋体"/>
          <w:b w:val="0"/>
          <w:bCs w:val="0"/>
          <w:color w:val="000000"/>
          <w:sz w:val="24"/>
          <w:szCs w:val="24"/>
          <w:highlight w:val="none"/>
          <w:lang w:val="en-US" w:eastAsia="zh-CN"/>
        </w:rPr>
      </w:pPr>
    </w:p>
    <w:p w14:paraId="07CAC989">
      <w:pPr>
        <w:numPr>
          <w:ilvl w:val="0"/>
          <w:numId w:val="0"/>
        </w:numPr>
        <w:jc w:val="both"/>
        <w:rPr>
          <w:rFonts w:hint="eastAsia" w:ascii="宋体" w:hAnsi="宋体" w:cs="宋体"/>
          <w:b w:val="0"/>
          <w:bCs w:val="0"/>
          <w:color w:val="000000"/>
          <w:sz w:val="24"/>
          <w:szCs w:val="24"/>
          <w:highlight w:val="none"/>
          <w:lang w:val="en-US" w:eastAsia="zh-CN"/>
        </w:rPr>
      </w:pPr>
    </w:p>
    <w:p w14:paraId="71DB540B">
      <w:pPr>
        <w:numPr>
          <w:ilvl w:val="0"/>
          <w:numId w:val="0"/>
        </w:numPr>
        <w:jc w:val="both"/>
        <w:rPr>
          <w:rFonts w:hint="eastAsia" w:ascii="宋体" w:hAnsi="宋体" w:cs="宋体"/>
          <w:b w:val="0"/>
          <w:bCs w:val="0"/>
          <w:color w:val="000000"/>
          <w:sz w:val="24"/>
          <w:szCs w:val="24"/>
          <w:highlight w:val="none"/>
          <w:lang w:val="en-US" w:eastAsia="zh-CN"/>
        </w:rPr>
      </w:pPr>
    </w:p>
    <w:p w14:paraId="4FFE1C79">
      <w:pPr>
        <w:numPr>
          <w:ilvl w:val="0"/>
          <w:numId w:val="0"/>
        </w:numPr>
        <w:jc w:val="both"/>
        <w:rPr>
          <w:rFonts w:hint="eastAsia" w:ascii="宋体" w:hAnsi="宋体" w:cs="宋体"/>
          <w:b w:val="0"/>
          <w:bCs w:val="0"/>
          <w:color w:val="000000"/>
          <w:sz w:val="24"/>
          <w:szCs w:val="24"/>
          <w:highlight w:val="none"/>
          <w:lang w:val="en-US" w:eastAsia="zh-CN"/>
        </w:rPr>
      </w:pPr>
    </w:p>
    <w:p w14:paraId="75788B26">
      <w:pPr>
        <w:numPr>
          <w:ilvl w:val="0"/>
          <w:numId w:val="0"/>
        </w:numPr>
        <w:jc w:val="both"/>
        <w:rPr>
          <w:rFonts w:hint="eastAsia" w:ascii="宋体" w:hAnsi="宋体" w:cs="宋体"/>
          <w:b w:val="0"/>
          <w:bCs w:val="0"/>
          <w:color w:val="000000"/>
          <w:sz w:val="24"/>
          <w:szCs w:val="24"/>
          <w:highlight w:val="none"/>
          <w:lang w:val="en-US" w:eastAsia="zh-CN"/>
        </w:rPr>
      </w:pPr>
    </w:p>
    <w:p w14:paraId="0C07B625">
      <w:pPr>
        <w:numPr>
          <w:ilvl w:val="0"/>
          <w:numId w:val="0"/>
        </w:numPr>
        <w:jc w:val="both"/>
        <w:rPr>
          <w:rFonts w:hint="eastAsia" w:ascii="宋体" w:hAnsi="宋体" w:cs="宋体"/>
          <w:b w:val="0"/>
          <w:bCs w:val="0"/>
          <w:color w:val="000000"/>
          <w:sz w:val="24"/>
          <w:szCs w:val="24"/>
          <w:highlight w:val="none"/>
          <w:lang w:val="en-US" w:eastAsia="zh-CN"/>
        </w:rPr>
      </w:pPr>
    </w:p>
    <w:p w14:paraId="679F3B62">
      <w:pPr>
        <w:numPr>
          <w:ilvl w:val="0"/>
          <w:numId w:val="0"/>
        </w:numPr>
        <w:jc w:val="both"/>
        <w:rPr>
          <w:rFonts w:hint="eastAsia" w:ascii="宋体" w:hAnsi="宋体" w:cs="宋体"/>
          <w:b w:val="0"/>
          <w:bCs w:val="0"/>
          <w:color w:val="000000"/>
          <w:sz w:val="24"/>
          <w:szCs w:val="24"/>
          <w:highlight w:val="none"/>
          <w:lang w:val="en-US" w:eastAsia="zh-CN"/>
        </w:rPr>
      </w:pPr>
    </w:p>
    <w:p w14:paraId="4FE0C37F">
      <w:pPr>
        <w:numPr>
          <w:ilvl w:val="0"/>
          <w:numId w:val="0"/>
        </w:numPr>
        <w:jc w:val="both"/>
        <w:rPr>
          <w:rFonts w:hint="eastAsia" w:ascii="宋体" w:hAnsi="宋体" w:cs="宋体"/>
          <w:b w:val="0"/>
          <w:bCs w:val="0"/>
          <w:color w:val="000000"/>
          <w:sz w:val="24"/>
          <w:szCs w:val="24"/>
          <w:highlight w:val="none"/>
          <w:lang w:val="en-US" w:eastAsia="zh-CN"/>
        </w:rPr>
      </w:pPr>
    </w:p>
    <w:p w14:paraId="690E9C79">
      <w:pPr>
        <w:numPr>
          <w:ilvl w:val="0"/>
          <w:numId w:val="0"/>
        </w:numPr>
        <w:jc w:val="both"/>
        <w:rPr>
          <w:rFonts w:hint="eastAsia" w:ascii="宋体" w:hAnsi="宋体" w:cs="宋体"/>
          <w:b w:val="0"/>
          <w:bCs w:val="0"/>
          <w:color w:val="000000"/>
          <w:sz w:val="24"/>
          <w:szCs w:val="24"/>
          <w:highlight w:val="none"/>
          <w:lang w:val="en-US" w:eastAsia="zh-CN"/>
        </w:rPr>
      </w:pPr>
    </w:p>
    <w:p w14:paraId="0F3142A4">
      <w:pPr>
        <w:numPr>
          <w:ilvl w:val="0"/>
          <w:numId w:val="0"/>
        </w:numPr>
        <w:jc w:val="both"/>
        <w:rPr>
          <w:rFonts w:hint="eastAsia" w:ascii="宋体" w:hAnsi="宋体" w:cs="宋体"/>
          <w:b w:val="0"/>
          <w:bCs w:val="0"/>
          <w:color w:val="000000"/>
          <w:sz w:val="24"/>
          <w:szCs w:val="24"/>
          <w:highlight w:val="none"/>
          <w:lang w:val="en-US" w:eastAsia="zh-CN"/>
        </w:rPr>
      </w:pPr>
    </w:p>
    <w:p w14:paraId="41714529">
      <w:pPr>
        <w:numPr>
          <w:ilvl w:val="0"/>
          <w:numId w:val="0"/>
        </w:numPr>
        <w:jc w:val="both"/>
        <w:rPr>
          <w:rFonts w:hint="eastAsia" w:ascii="宋体" w:hAnsi="宋体" w:cs="宋体"/>
          <w:b w:val="0"/>
          <w:bCs w:val="0"/>
          <w:color w:val="000000"/>
          <w:sz w:val="24"/>
          <w:szCs w:val="24"/>
          <w:highlight w:val="none"/>
          <w:lang w:val="en-US" w:eastAsia="zh-CN"/>
        </w:rPr>
      </w:pPr>
    </w:p>
    <w:p w14:paraId="6B9A664D">
      <w:pPr>
        <w:numPr>
          <w:ilvl w:val="0"/>
          <w:numId w:val="0"/>
        </w:numPr>
        <w:jc w:val="center"/>
        <w:rPr>
          <w:b w:val="0"/>
          <w:bCs/>
          <w:color w:val="000000"/>
          <w:sz w:val="24"/>
          <w:szCs w:val="24"/>
        </w:rPr>
      </w:pPr>
      <w:r>
        <w:rPr>
          <w:rFonts w:hint="eastAsia"/>
          <w:b w:val="0"/>
          <w:bCs/>
          <w:color w:val="000000"/>
          <w:sz w:val="24"/>
          <w:szCs w:val="24"/>
          <w:lang w:eastAsia="zh-CN"/>
        </w:rPr>
        <w:t>（</w:t>
      </w:r>
      <w:r>
        <w:rPr>
          <w:rFonts w:hint="eastAsia"/>
          <w:b w:val="0"/>
          <w:bCs/>
          <w:color w:val="000000"/>
          <w:sz w:val="24"/>
          <w:szCs w:val="24"/>
          <w:lang w:val="en-US" w:eastAsia="zh-CN"/>
        </w:rPr>
        <w:t>2</w:t>
      </w:r>
      <w:r>
        <w:rPr>
          <w:rFonts w:hint="eastAsia"/>
          <w:b w:val="0"/>
          <w:bCs/>
          <w:color w:val="000000"/>
          <w:sz w:val="24"/>
          <w:szCs w:val="24"/>
          <w:lang w:eastAsia="zh-CN"/>
        </w:rPr>
        <w:t>）</w:t>
      </w:r>
      <w:r>
        <w:rPr>
          <w:rFonts w:hint="eastAsia"/>
          <w:b w:val="0"/>
          <w:bCs/>
          <w:color w:val="000000"/>
          <w:sz w:val="24"/>
          <w:szCs w:val="24"/>
        </w:rPr>
        <w:t>拟投入本项目</w:t>
      </w:r>
      <w:r>
        <w:rPr>
          <w:b w:val="0"/>
          <w:bCs/>
          <w:color w:val="000000"/>
          <w:sz w:val="24"/>
          <w:szCs w:val="24"/>
        </w:rPr>
        <w:t>负责人简历表</w:t>
      </w:r>
    </w:p>
    <w:p w14:paraId="51DA45B8">
      <w:pPr>
        <w:rPr>
          <w:color w:val="000000"/>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0"/>
        <w:gridCol w:w="932"/>
        <w:gridCol w:w="186"/>
        <w:gridCol w:w="1220"/>
        <w:gridCol w:w="1214"/>
        <w:gridCol w:w="2389"/>
        <w:gridCol w:w="2389"/>
      </w:tblGrid>
      <w:tr w14:paraId="3FA9F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240" w:type="dxa"/>
            <w:noWrap w:val="0"/>
            <w:vAlign w:val="center"/>
          </w:tcPr>
          <w:p w14:paraId="381953A3">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姓名</w:t>
            </w:r>
          </w:p>
        </w:tc>
        <w:tc>
          <w:tcPr>
            <w:tcW w:w="1118" w:type="dxa"/>
            <w:gridSpan w:val="2"/>
            <w:noWrap w:val="0"/>
            <w:vAlign w:val="top"/>
          </w:tcPr>
          <w:p w14:paraId="0448CF1F">
            <w:pPr>
              <w:keepNext w:val="0"/>
              <w:keepLines w:val="0"/>
              <w:pageBreakBefore w:val="0"/>
              <w:widowControl w:val="0"/>
              <w:kinsoku/>
              <w:wordWrap/>
              <w:overflowPunct/>
              <w:topLinePunct w:val="0"/>
              <w:autoSpaceDE w:val="0"/>
              <w:autoSpaceDN w:val="0"/>
              <w:bidi w:val="0"/>
              <w:adjustRightInd/>
              <w:snapToGrid/>
              <w:spacing w:after="0" w:line="380" w:lineRule="exact"/>
              <w:textAlignment w:val="auto"/>
              <w:rPr>
                <w:rFonts w:hint="eastAsia" w:ascii="宋体" w:hAnsi="宋体" w:eastAsia="宋体" w:cs="宋体"/>
                <w:color w:val="000000"/>
                <w:sz w:val="24"/>
                <w:szCs w:val="24"/>
              </w:rPr>
            </w:pPr>
          </w:p>
        </w:tc>
        <w:tc>
          <w:tcPr>
            <w:tcW w:w="1220" w:type="dxa"/>
            <w:noWrap w:val="0"/>
            <w:vAlign w:val="center"/>
          </w:tcPr>
          <w:p w14:paraId="54461420">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性别</w:t>
            </w:r>
          </w:p>
        </w:tc>
        <w:tc>
          <w:tcPr>
            <w:tcW w:w="1214" w:type="dxa"/>
            <w:noWrap w:val="0"/>
            <w:vAlign w:val="center"/>
          </w:tcPr>
          <w:p w14:paraId="65B2D551">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3B1B9071">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出生日期</w:t>
            </w:r>
          </w:p>
        </w:tc>
        <w:tc>
          <w:tcPr>
            <w:tcW w:w="2389" w:type="dxa"/>
            <w:noWrap w:val="0"/>
            <w:vAlign w:val="top"/>
          </w:tcPr>
          <w:p w14:paraId="7B3D8934">
            <w:pPr>
              <w:keepNext w:val="0"/>
              <w:keepLines w:val="0"/>
              <w:pageBreakBefore w:val="0"/>
              <w:widowControl w:val="0"/>
              <w:kinsoku/>
              <w:wordWrap/>
              <w:overflowPunct/>
              <w:topLinePunct w:val="0"/>
              <w:autoSpaceDE w:val="0"/>
              <w:autoSpaceDN w:val="0"/>
              <w:bidi w:val="0"/>
              <w:adjustRightInd/>
              <w:snapToGrid/>
              <w:spacing w:after="0" w:line="380" w:lineRule="exact"/>
              <w:textAlignment w:val="auto"/>
              <w:rPr>
                <w:rFonts w:hint="eastAsia" w:ascii="宋体" w:hAnsi="宋体" w:eastAsia="宋体" w:cs="宋体"/>
                <w:color w:val="000000"/>
                <w:sz w:val="24"/>
                <w:szCs w:val="24"/>
              </w:rPr>
            </w:pPr>
          </w:p>
        </w:tc>
      </w:tr>
      <w:tr w14:paraId="5A547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240" w:type="dxa"/>
            <w:noWrap w:val="0"/>
            <w:vAlign w:val="center"/>
          </w:tcPr>
          <w:p w14:paraId="098535B3">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毕业院校及专业</w:t>
            </w:r>
          </w:p>
        </w:tc>
        <w:tc>
          <w:tcPr>
            <w:tcW w:w="3552" w:type="dxa"/>
            <w:gridSpan w:val="4"/>
            <w:noWrap w:val="0"/>
            <w:vAlign w:val="center"/>
          </w:tcPr>
          <w:p w14:paraId="55C311F3">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7EF15659">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毕业时间</w:t>
            </w:r>
          </w:p>
        </w:tc>
        <w:tc>
          <w:tcPr>
            <w:tcW w:w="2389" w:type="dxa"/>
            <w:noWrap w:val="0"/>
            <w:vAlign w:val="center"/>
          </w:tcPr>
          <w:p w14:paraId="5CFF54AB">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r w14:paraId="55AF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240" w:type="dxa"/>
            <w:noWrap w:val="0"/>
            <w:vAlign w:val="center"/>
          </w:tcPr>
          <w:p w14:paraId="47A2128B">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从事本专业时间</w:t>
            </w:r>
          </w:p>
        </w:tc>
        <w:tc>
          <w:tcPr>
            <w:tcW w:w="3552" w:type="dxa"/>
            <w:gridSpan w:val="4"/>
            <w:noWrap w:val="0"/>
            <w:vAlign w:val="center"/>
          </w:tcPr>
          <w:p w14:paraId="6BD26E7B">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77AD22B8">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为</w:t>
            </w:r>
            <w:r>
              <w:rPr>
                <w:rFonts w:hint="eastAsia" w:ascii="宋体" w:hAnsi="宋体" w:eastAsia="宋体" w:cs="宋体"/>
                <w:color w:val="000000"/>
                <w:sz w:val="24"/>
                <w:szCs w:val="24"/>
                <w:lang w:val="en-US" w:eastAsia="zh-CN"/>
              </w:rPr>
              <w:t>响应人</w:t>
            </w:r>
            <w:r>
              <w:rPr>
                <w:rFonts w:hint="eastAsia" w:ascii="宋体" w:hAnsi="宋体" w:eastAsia="宋体" w:cs="宋体"/>
                <w:color w:val="000000"/>
                <w:sz w:val="24"/>
                <w:szCs w:val="24"/>
              </w:rPr>
              <w:t>服务时间</w:t>
            </w:r>
          </w:p>
        </w:tc>
        <w:tc>
          <w:tcPr>
            <w:tcW w:w="2389" w:type="dxa"/>
            <w:noWrap w:val="0"/>
            <w:vAlign w:val="center"/>
          </w:tcPr>
          <w:p w14:paraId="36666109">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r w14:paraId="6901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240" w:type="dxa"/>
            <w:noWrap w:val="0"/>
            <w:vAlign w:val="center"/>
          </w:tcPr>
          <w:p w14:paraId="1D41BA76">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执业注册</w:t>
            </w:r>
          </w:p>
        </w:tc>
        <w:tc>
          <w:tcPr>
            <w:tcW w:w="3552" w:type="dxa"/>
            <w:gridSpan w:val="4"/>
            <w:noWrap w:val="0"/>
            <w:vAlign w:val="center"/>
          </w:tcPr>
          <w:p w14:paraId="76480874">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41E8AEB0">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职称</w:t>
            </w:r>
          </w:p>
        </w:tc>
        <w:tc>
          <w:tcPr>
            <w:tcW w:w="2389" w:type="dxa"/>
            <w:noWrap w:val="0"/>
            <w:vAlign w:val="center"/>
          </w:tcPr>
          <w:p w14:paraId="67862192">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r w14:paraId="3C966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1240" w:type="dxa"/>
            <w:noWrap w:val="0"/>
            <w:vAlign w:val="center"/>
          </w:tcPr>
          <w:p w14:paraId="16E6D6CF">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在本项目中担任</w:t>
            </w:r>
            <w:r>
              <w:rPr>
                <w:rFonts w:hint="eastAsia" w:ascii="宋体" w:hAnsi="宋体" w:eastAsia="宋体" w:cs="宋体"/>
                <w:color w:val="000000"/>
                <w:sz w:val="24"/>
                <w:szCs w:val="24"/>
                <w:lang w:val="en-US" w:eastAsia="zh-CN"/>
              </w:rPr>
              <w:t>职</w:t>
            </w:r>
            <w:r>
              <w:rPr>
                <w:rFonts w:hint="eastAsia" w:ascii="宋体" w:hAnsi="宋体" w:eastAsia="宋体" w:cs="宋体"/>
                <w:color w:val="000000"/>
                <w:sz w:val="24"/>
                <w:szCs w:val="24"/>
              </w:rPr>
              <w:t>务</w:t>
            </w:r>
          </w:p>
        </w:tc>
        <w:tc>
          <w:tcPr>
            <w:tcW w:w="8330" w:type="dxa"/>
            <w:gridSpan w:val="6"/>
            <w:noWrap w:val="0"/>
            <w:vAlign w:val="center"/>
          </w:tcPr>
          <w:p w14:paraId="23C09812">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r w14:paraId="37058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40" w:type="dxa"/>
            <w:vMerge w:val="restart"/>
            <w:noWrap w:val="0"/>
            <w:vAlign w:val="center"/>
          </w:tcPr>
          <w:p w14:paraId="4854BCAE">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本人相关业绩</w:t>
            </w:r>
          </w:p>
        </w:tc>
        <w:tc>
          <w:tcPr>
            <w:tcW w:w="932" w:type="dxa"/>
            <w:noWrap w:val="0"/>
            <w:vAlign w:val="center"/>
          </w:tcPr>
          <w:p w14:paraId="6269F341">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2620" w:type="dxa"/>
            <w:gridSpan w:val="3"/>
            <w:noWrap w:val="0"/>
            <w:vAlign w:val="center"/>
          </w:tcPr>
          <w:p w14:paraId="6A6E6B32">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项目名称及规模</w:t>
            </w:r>
          </w:p>
        </w:tc>
        <w:tc>
          <w:tcPr>
            <w:tcW w:w="2389" w:type="dxa"/>
            <w:noWrap w:val="0"/>
            <w:vAlign w:val="center"/>
          </w:tcPr>
          <w:p w14:paraId="68756690">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完成时间</w:t>
            </w:r>
          </w:p>
        </w:tc>
        <w:tc>
          <w:tcPr>
            <w:tcW w:w="2389" w:type="dxa"/>
            <w:noWrap w:val="0"/>
            <w:vAlign w:val="center"/>
          </w:tcPr>
          <w:p w14:paraId="2BB00CCB">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在该项目中任何职</w:t>
            </w:r>
          </w:p>
        </w:tc>
      </w:tr>
      <w:tr w14:paraId="708BC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40" w:type="dxa"/>
            <w:vMerge w:val="continue"/>
            <w:noWrap w:val="0"/>
            <w:vAlign w:val="center"/>
          </w:tcPr>
          <w:p w14:paraId="49A2E9F7">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932" w:type="dxa"/>
            <w:noWrap w:val="0"/>
            <w:vAlign w:val="center"/>
          </w:tcPr>
          <w:p w14:paraId="70FE268C">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2620" w:type="dxa"/>
            <w:gridSpan w:val="3"/>
            <w:noWrap w:val="0"/>
            <w:vAlign w:val="center"/>
          </w:tcPr>
          <w:p w14:paraId="795985EE">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615077C4">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7DB12605">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r w14:paraId="53A70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240" w:type="dxa"/>
            <w:vMerge w:val="continue"/>
            <w:noWrap w:val="0"/>
            <w:vAlign w:val="center"/>
          </w:tcPr>
          <w:p w14:paraId="34C60DD9">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932" w:type="dxa"/>
            <w:noWrap w:val="0"/>
            <w:vAlign w:val="center"/>
          </w:tcPr>
          <w:p w14:paraId="286E749D">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2620" w:type="dxa"/>
            <w:gridSpan w:val="3"/>
            <w:noWrap w:val="0"/>
            <w:vAlign w:val="center"/>
          </w:tcPr>
          <w:p w14:paraId="5D9E4C06">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0D443FEE">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76063172">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r w14:paraId="32391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1240" w:type="dxa"/>
            <w:vMerge w:val="continue"/>
            <w:noWrap w:val="0"/>
            <w:vAlign w:val="center"/>
          </w:tcPr>
          <w:p w14:paraId="7ACBDA68">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932" w:type="dxa"/>
            <w:noWrap w:val="0"/>
            <w:vAlign w:val="center"/>
          </w:tcPr>
          <w:p w14:paraId="4710F3B2">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w:t>
            </w:r>
          </w:p>
        </w:tc>
        <w:tc>
          <w:tcPr>
            <w:tcW w:w="2620" w:type="dxa"/>
            <w:gridSpan w:val="3"/>
            <w:noWrap w:val="0"/>
            <w:vAlign w:val="center"/>
          </w:tcPr>
          <w:p w14:paraId="06BFA718">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087793C0">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c>
          <w:tcPr>
            <w:tcW w:w="2389" w:type="dxa"/>
            <w:noWrap w:val="0"/>
            <w:vAlign w:val="center"/>
          </w:tcPr>
          <w:p w14:paraId="458F3622">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r w14:paraId="09895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240" w:type="dxa"/>
            <w:noWrap w:val="0"/>
            <w:vAlign w:val="center"/>
          </w:tcPr>
          <w:p w14:paraId="73BC2926">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r>
              <w:rPr>
                <w:rFonts w:hint="eastAsia" w:ascii="宋体" w:hAnsi="宋体" w:eastAsia="宋体" w:cs="宋体"/>
                <w:color w:val="000000"/>
                <w:sz w:val="24"/>
                <w:szCs w:val="24"/>
              </w:rPr>
              <w:t>其它需要补充情况</w:t>
            </w:r>
          </w:p>
        </w:tc>
        <w:tc>
          <w:tcPr>
            <w:tcW w:w="8330" w:type="dxa"/>
            <w:gridSpan w:val="6"/>
            <w:noWrap w:val="0"/>
            <w:vAlign w:val="center"/>
          </w:tcPr>
          <w:p w14:paraId="605B37B4">
            <w:pPr>
              <w:keepNext w:val="0"/>
              <w:keepLines w:val="0"/>
              <w:pageBreakBefore w:val="0"/>
              <w:widowControl w:val="0"/>
              <w:kinsoku/>
              <w:wordWrap/>
              <w:overflowPunct/>
              <w:topLinePunct w:val="0"/>
              <w:autoSpaceDE w:val="0"/>
              <w:autoSpaceDN w:val="0"/>
              <w:bidi w:val="0"/>
              <w:adjustRightInd/>
              <w:snapToGrid/>
              <w:spacing w:after="0" w:line="380" w:lineRule="exact"/>
              <w:jc w:val="center"/>
              <w:textAlignment w:val="auto"/>
              <w:rPr>
                <w:rFonts w:hint="eastAsia" w:ascii="宋体" w:hAnsi="宋体" w:eastAsia="宋体" w:cs="宋体"/>
                <w:color w:val="000000"/>
                <w:sz w:val="24"/>
                <w:szCs w:val="24"/>
              </w:rPr>
            </w:pPr>
          </w:p>
        </w:tc>
      </w:tr>
    </w:tbl>
    <w:p w14:paraId="315070CA">
      <w:pPr>
        <w:spacing w:before="240" w:after="0" w:line="360" w:lineRule="auto"/>
        <w:rPr>
          <w:rFonts w:hint="eastAsia" w:ascii="宋体" w:hAnsi="宋体" w:cs="宋体"/>
          <w:color w:val="000000"/>
          <w:sz w:val="21"/>
          <w:szCs w:val="21"/>
        </w:rPr>
      </w:pPr>
      <w:r>
        <w:rPr>
          <w:rFonts w:hint="eastAsia" w:ascii="宋体" w:hAnsi="宋体"/>
          <w:b w:val="0"/>
          <w:bCs w:val="0"/>
          <w:color w:val="000000"/>
          <w:sz w:val="24"/>
          <w:szCs w:val="24"/>
        </w:rPr>
        <w:t>注：</w:t>
      </w:r>
      <w:bookmarkStart w:id="260" w:name="_Hlk59575669"/>
      <w:r>
        <w:rPr>
          <w:rFonts w:hint="eastAsia" w:ascii="宋体" w:hAnsi="宋体" w:cs="宋体"/>
          <w:color w:val="000000"/>
          <w:sz w:val="24"/>
          <w:szCs w:val="24"/>
          <w:lang w:eastAsia="zh-CN"/>
        </w:rPr>
        <w:t>响应人</w:t>
      </w:r>
      <w:r>
        <w:rPr>
          <w:rFonts w:hint="eastAsia" w:ascii="宋体" w:hAnsi="宋体" w:cs="宋体"/>
          <w:color w:val="000000"/>
          <w:sz w:val="24"/>
          <w:szCs w:val="24"/>
        </w:rPr>
        <w:t>须提供拟派往本项目的项目负责人身份证、资格证书（如有）、技术职称等级证书、社保</w:t>
      </w:r>
      <w:r>
        <w:rPr>
          <w:rFonts w:hint="eastAsia" w:cs="宋体"/>
          <w:color w:val="000000"/>
          <w:sz w:val="24"/>
          <w:szCs w:val="24"/>
          <w:lang w:val="en-US" w:eastAsia="zh-CN"/>
        </w:rPr>
        <w:t>证明材料</w:t>
      </w:r>
      <w:r>
        <w:rPr>
          <w:rFonts w:hint="eastAsia" w:ascii="宋体" w:hAnsi="宋体" w:cs="宋体"/>
          <w:color w:val="000000"/>
          <w:sz w:val="24"/>
          <w:szCs w:val="24"/>
        </w:rPr>
        <w:t>（</w:t>
      </w:r>
      <w:r>
        <w:rPr>
          <w:rFonts w:hint="eastAsia" w:cs="宋体"/>
          <w:color w:val="000000"/>
          <w:sz w:val="24"/>
          <w:szCs w:val="24"/>
          <w:lang w:val="en-US" w:eastAsia="zh-CN"/>
        </w:rPr>
        <w:t>或</w:t>
      </w:r>
      <w:r>
        <w:rPr>
          <w:rFonts w:hint="eastAsia" w:ascii="宋体" w:hAnsi="宋体" w:cs="宋体"/>
          <w:color w:val="000000"/>
          <w:sz w:val="24"/>
          <w:szCs w:val="24"/>
        </w:rPr>
        <w:t>单位在职证明）等资料的原件扫描件；</w:t>
      </w:r>
      <w:bookmarkEnd w:id="260"/>
    </w:p>
    <w:p w14:paraId="0C20AEA8">
      <w:pPr>
        <w:keepNext w:val="0"/>
        <w:keepLines w:val="0"/>
        <w:pageBreakBefore w:val="0"/>
        <w:widowControl w:val="0"/>
        <w:tabs>
          <w:tab w:val="left" w:pos="6585"/>
        </w:tabs>
        <w:kinsoku/>
        <w:wordWrap/>
        <w:overflowPunct/>
        <w:topLinePunct w:val="0"/>
        <w:autoSpaceDE w:val="0"/>
        <w:autoSpaceDN w:val="0"/>
        <w:bidi w:val="0"/>
        <w:adjustRightInd/>
        <w:snapToGrid/>
        <w:spacing w:line="440" w:lineRule="exact"/>
        <w:textAlignment w:val="auto"/>
        <w:rPr>
          <w:rFonts w:hint="eastAsia" w:ascii="宋体" w:hAnsi="宋体" w:eastAsia="宋体"/>
          <w:b w:val="0"/>
          <w:bCs w:val="0"/>
          <w:color w:val="FF0000"/>
          <w:sz w:val="21"/>
          <w:szCs w:val="21"/>
          <w:lang w:eastAsia="zh-CN"/>
        </w:rPr>
      </w:pPr>
    </w:p>
    <w:p w14:paraId="5C15E8F1">
      <w:pPr>
        <w:spacing w:line="400" w:lineRule="exact"/>
        <w:rPr>
          <w:rFonts w:ascii="宋体" w:hAnsi="宋体"/>
          <w:bCs/>
          <w:color w:val="000000"/>
          <w:sz w:val="21"/>
          <w:szCs w:val="21"/>
        </w:rPr>
      </w:pPr>
    </w:p>
    <w:p w14:paraId="031CA06B">
      <w:pPr>
        <w:keepNext w:val="0"/>
        <w:keepLines w:val="0"/>
        <w:pageBreakBefore w:val="0"/>
        <w:widowControl w:val="0"/>
        <w:tabs>
          <w:tab w:val="left" w:pos="2977"/>
          <w:tab w:val="left" w:pos="3261"/>
        </w:tabs>
        <w:kinsoku/>
        <w:wordWrap/>
        <w:overflowPunct/>
        <w:topLinePunct w:val="0"/>
        <w:autoSpaceDE w:val="0"/>
        <w:autoSpaceDN w:val="0"/>
        <w:bidi w:val="0"/>
        <w:adjustRightInd/>
        <w:snapToGrid/>
        <w:spacing w:after="0" w:line="420" w:lineRule="exact"/>
        <w:textAlignment w:val="auto"/>
        <w:rPr>
          <w:rFonts w:ascii="宋体" w:hAnsi="宋体"/>
          <w:b/>
          <w:bCs/>
          <w:color w:val="000000"/>
          <w:sz w:val="24"/>
          <w:szCs w:val="24"/>
        </w:rPr>
      </w:pPr>
      <w:r>
        <w:rPr>
          <w:rFonts w:hint="eastAsia" w:ascii="宋体" w:hAnsi="宋体"/>
          <w:b/>
          <w:bCs/>
          <w:color w:val="000000"/>
          <w:sz w:val="24"/>
          <w:szCs w:val="24"/>
          <w:lang w:val="en-US" w:eastAsia="zh-CN"/>
        </w:rPr>
        <w:t xml:space="preserve">投 标 </w:t>
      </w:r>
      <w:r>
        <w:rPr>
          <w:rFonts w:ascii="宋体" w:hAnsi="宋体"/>
          <w:b/>
          <w:bCs/>
          <w:color w:val="000000"/>
          <w:sz w:val="24"/>
          <w:szCs w:val="24"/>
        </w:rPr>
        <w:t>人：</w:t>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p>
    <w:p w14:paraId="5704BE2F">
      <w:pPr>
        <w:keepNext w:val="0"/>
        <w:keepLines w:val="0"/>
        <w:pageBreakBefore w:val="0"/>
        <w:widowControl w:val="0"/>
        <w:kinsoku/>
        <w:wordWrap/>
        <w:overflowPunct/>
        <w:topLinePunct w:val="0"/>
        <w:autoSpaceDE w:val="0"/>
        <w:autoSpaceDN w:val="0"/>
        <w:bidi w:val="0"/>
        <w:adjustRightInd/>
        <w:snapToGrid/>
        <w:spacing w:after="0" w:line="420" w:lineRule="exact"/>
        <w:textAlignment w:val="auto"/>
        <w:rPr>
          <w:rFonts w:ascii="宋体" w:hAnsi="宋体"/>
          <w:b/>
          <w:bCs/>
          <w:color w:val="000000"/>
          <w:sz w:val="24"/>
          <w:szCs w:val="24"/>
        </w:rPr>
      </w:pPr>
      <w:r>
        <w:rPr>
          <w:rFonts w:ascii="宋体" w:hAnsi="宋体"/>
          <w:b/>
          <w:bCs/>
          <w:color w:val="000000"/>
          <w:sz w:val="24"/>
          <w:szCs w:val="24"/>
        </w:rPr>
        <w:t>法定代表人：</w:t>
      </w:r>
      <w:r>
        <w:rPr>
          <w:rFonts w:hint="eastAsia" w:ascii="宋体" w:hAnsi="宋体"/>
          <w:b/>
          <w:bCs/>
          <w:color w:val="000000"/>
          <w:sz w:val="24"/>
          <w:szCs w:val="24"/>
          <w:u w:val="single"/>
        </w:rPr>
        <w:t xml:space="preserve">        </w:t>
      </w:r>
      <w:r>
        <w:rPr>
          <w:rFonts w:hint="eastAsia" w:ascii="宋体" w:hAnsi="宋体"/>
          <w:b/>
          <w:bCs/>
          <w:color w:val="000000"/>
          <w:sz w:val="24"/>
          <w:szCs w:val="24"/>
        </w:rPr>
        <w:t>（电子签章</w:t>
      </w:r>
      <w:r>
        <w:rPr>
          <w:rFonts w:hint="eastAsia" w:ascii="宋体" w:hAnsi="宋体"/>
          <w:b/>
          <w:bCs/>
          <w:color w:val="000000"/>
          <w:sz w:val="24"/>
          <w:szCs w:val="24"/>
          <w:lang w:val="en-US" w:eastAsia="zh-CN"/>
        </w:rPr>
        <w:t>或电子签名</w:t>
      </w:r>
      <w:r>
        <w:rPr>
          <w:rFonts w:hint="eastAsia" w:ascii="宋体" w:hAnsi="宋体"/>
          <w:b/>
          <w:bCs/>
          <w:color w:val="000000"/>
          <w:sz w:val="24"/>
          <w:szCs w:val="24"/>
        </w:rPr>
        <w:t>）</w:t>
      </w:r>
    </w:p>
    <w:p w14:paraId="5321834F">
      <w:pPr>
        <w:pStyle w:val="19"/>
        <w:keepNext w:val="0"/>
        <w:keepLines w:val="0"/>
        <w:pageBreakBefore w:val="0"/>
        <w:widowControl w:val="0"/>
        <w:kinsoku/>
        <w:wordWrap/>
        <w:overflowPunct/>
        <w:topLinePunct w:val="0"/>
        <w:autoSpaceDE w:val="0"/>
        <w:autoSpaceDN w:val="0"/>
        <w:bidi w:val="0"/>
        <w:adjustRightInd/>
        <w:snapToGrid/>
        <w:spacing w:after="0" w:line="420" w:lineRule="exact"/>
        <w:textAlignment w:val="auto"/>
        <w:rPr>
          <w:rFonts w:hAnsi="宋体"/>
          <w:b/>
          <w:bCs/>
          <w:color w:val="000000"/>
          <w:sz w:val="24"/>
          <w:szCs w:val="24"/>
        </w:rPr>
      </w:pPr>
      <w:r>
        <w:rPr>
          <w:rFonts w:hint="eastAsia" w:hAnsi="宋体"/>
          <w:b/>
          <w:bCs/>
          <w:color w:val="000000"/>
          <w:sz w:val="24"/>
          <w:szCs w:val="24"/>
        </w:rPr>
        <w:t>日期：</w:t>
      </w:r>
      <w:r>
        <w:rPr>
          <w:rFonts w:hint="eastAsia" w:hAnsi="宋体"/>
          <w:b/>
          <w:bCs/>
          <w:color w:val="000000"/>
          <w:sz w:val="24"/>
          <w:szCs w:val="24"/>
          <w:u w:val="single"/>
        </w:rPr>
        <w:t xml:space="preserve">       </w:t>
      </w:r>
      <w:r>
        <w:rPr>
          <w:rFonts w:hint="eastAsia" w:hAnsi="宋体"/>
          <w:b/>
          <w:bCs/>
          <w:color w:val="000000"/>
          <w:sz w:val="24"/>
          <w:szCs w:val="24"/>
        </w:rPr>
        <w:t>年</w:t>
      </w:r>
      <w:r>
        <w:rPr>
          <w:rFonts w:hint="eastAsia" w:hAnsi="宋体"/>
          <w:b/>
          <w:bCs/>
          <w:color w:val="000000"/>
          <w:sz w:val="24"/>
          <w:szCs w:val="24"/>
          <w:u w:val="single"/>
        </w:rPr>
        <w:t xml:space="preserve">        </w:t>
      </w:r>
      <w:r>
        <w:rPr>
          <w:rFonts w:hint="eastAsia" w:hAnsi="宋体"/>
          <w:b/>
          <w:bCs/>
          <w:color w:val="000000"/>
          <w:sz w:val="24"/>
          <w:szCs w:val="24"/>
        </w:rPr>
        <w:t>月</w:t>
      </w:r>
      <w:r>
        <w:rPr>
          <w:rFonts w:hint="eastAsia" w:hAnsi="宋体"/>
          <w:b/>
          <w:bCs/>
          <w:color w:val="000000"/>
          <w:sz w:val="24"/>
          <w:szCs w:val="24"/>
          <w:u w:val="single"/>
        </w:rPr>
        <w:t xml:space="preserve">      </w:t>
      </w:r>
      <w:r>
        <w:rPr>
          <w:rFonts w:hint="eastAsia" w:hAnsi="宋体"/>
          <w:b/>
          <w:bCs/>
          <w:color w:val="000000"/>
          <w:sz w:val="24"/>
          <w:szCs w:val="24"/>
        </w:rPr>
        <w:t>日</w:t>
      </w:r>
    </w:p>
    <w:p w14:paraId="24B1D80E">
      <w:pPr>
        <w:pStyle w:val="14"/>
        <w:jc w:val="center"/>
        <w:rPr>
          <w:rFonts w:hint="eastAsia" w:ascii="宋体" w:hAnsi="宋体" w:cs="宋体"/>
          <w:b/>
          <w:bCs/>
          <w:color w:val="000000"/>
          <w:sz w:val="28"/>
          <w:szCs w:val="28"/>
          <w:highlight w:val="none"/>
          <w:lang w:val="en-US" w:eastAsia="zh-CN"/>
        </w:rPr>
      </w:pPr>
    </w:p>
    <w:p w14:paraId="60E84671">
      <w:pPr>
        <w:pStyle w:val="14"/>
        <w:jc w:val="center"/>
        <w:rPr>
          <w:rFonts w:hint="eastAsia" w:ascii="宋体" w:hAnsi="宋体" w:cs="宋体"/>
          <w:b/>
          <w:bCs/>
          <w:color w:val="000000"/>
          <w:sz w:val="28"/>
          <w:szCs w:val="28"/>
          <w:highlight w:val="none"/>
          <w:lang w:val="en-US" w:eastAsia="zh-CN"/>
        </w:rPr>
      </w:pPr>
    </w:p>
    <w:p w14:paraId="2C2A1103">
      <w:pPr>
        <w:pStyle w:val="14"/>
        <w:jc w:val="center"/>
        <w:rPr>
          <w:rFonts w:hint="eastAsia" w:ascii="宋体" w:hAnsi="宋体" w:cs="宋体"/>
          <w:b/>
          <w:bCs/>
          <w:color w:val="000000"/>
          <w:sz w:val="28"/>
          <w:szCs w:val="28"/>
          <w:highlight w:val="none"/>
          <w:lang w:val="en-US" w:eastAsia="zh-CN"/>
        </w:rPr>
      </w:pPr>
    </w:p>
    <w:p w14:paraId="7609F28C">
      <w:pPr>
        <w:pStyle w:val="14"/>
        <w:jc w:val="center"/>
        <w:rPr>
          <w:rFonts w:hint="eastAsia" w:ascii="宋体" w:hAnsi="宋体" w:cs="宋体"/>
          <w:b/>
          <w:bCs/>
          <w:color w:val="000000"/>
          <w:sz w:val="28"/>
          <w:szCs w:val="28"/>
          <w:highlight w:val="none"/>
          <w:lang w:val="en-US" w:eastAsia="zh-CN"/>
        </w:rPr>
      </w:pPr>
    </w:p>
    <w:p w14:paraId="3A041C8A">
      <w:pPr>
        <w:pStyle w:val="14"/>
        <w:jc w:val="center"/>
        <w:rPr>
          <w:rFonts w:hint="eastAsia" w:ascii="宋体" w:hAnsi="宋体" w:cs="宋体"/>
          <w:b/>
          <w:bCs/>
          <w:color w:val="000000"/>
          <w:sz w:val="28"/>
          <w:szCs w:val="28"/>
          <w:highlight w:val="none"/>
          <w:lang w:val="en-US" w:eastAsia="zh-CN"/>
        </w:rPr>
      </w:pPr>
    </w:p>
    <w:p w14:paraId="0B80A827">
      <w:pPr>
        <w:pStyle w:val="14"/>
        <w:jc w:val="center"/>
        <w:rPr>
          <w:rFonts w:hint="eastAsia" w:ascii="宋体" w:hAnsi="宋体" w:cs="宋体"/>
          <w:b/>
          <w:bCs/>
          <w:color w:val="000000"/>
          <w:sz w:val="28"/>
          <w:szCs w:val="28"/>
          <w:highlight w:val="none"/>
          <w:lang w:val="en-US" w:eastAsia="zh-CN"/>
        </w:rPr>
      </w:pPr>
    </w:p>
    <w:p w14:paraId="792501FB">
      <w:pPr>
        <w:pStyle w:val="14"/>
        <w:jc w:val="center"/>
        <w:rPr>
          <w:rFonts w:hint="eastAsia" w:ascii="宋体" w:hAnsi="宋体" w:eastAsia="宋体" w:cs="宋体"/>
          <w:b/>
          <w:bCs/>
          <w:color w:val="000000"/>
          <w:sz w:val="28"/>
          <w:szCs w:val="28"/>
          <w:highlight w:val="none"/>
        </w:rPr>
      </w:pPr>
      <w:r>
        <w:rPr>
          <w:rFonts w:hint="eastAsia" w:ascii="宋体" w:hAnsi="宋体" w:cs="宋体"/>
          <w:b/>
          <w:bCs/>
          <w:color w:val="000000"/>
          <w:sz w:val="28"/>
          <w:szCs w:val="28"/>
          <w:highlight w:val="none"/>
          <w:lang w:val="en-US" w:eastAsia="zh-CN"/>
        </w:rPr>
        <w:t>七</w:t>
      </w:r>
      <w:r>
        <w:rPr>
          <w:rFonts w:hint="eastAsia" w:ascii="宋体" w:hAnsi="宋体" w:eastAsia="宋体" w:cs="宋体"/>
          <w:b/>
          <w:bCs/>
          <w:color w:val="000000"/>
          <w:sz w:val="28"/>
          <w:szCs w:val="28"/>
          <w:highlight w:val="none"/>
          <w:lang w:val="en-US" w:eastAsia="zh-CN"/>
        </w:rPr>
        <w:t>、其他</w:t>
      </w:r>
      <w:bookmarkEnd w:id="259"/>
    </w:p>
    <w:p w14:paraId="3B99408C">
      <w:pPr>
        <w:numPr>
          <w:ilvl w:val="0"/>
          <w:numId w:val="0"/>
        </w:numPr>
        <w:shd w:val="clear" w:color="auto" w:fill="auto"/>
        <w:spacing w:line="360" w:lineRule="auto"/>
        <w:ind w:firstLine="843" w:firstLineChars="400"/>
        <w:jc w:val="both"/>
        <w:outlineLvl w:val="9"/>
        <w:rPr>
          <w:rFonts w:hint="eastAsia" w:ascii="宋体" w:hAnsi="宋体" w:eastAsia="宋体" w:cs="宋体"/>
          <w:b/>
          <w:color w:val="000000"/>
          <w:kern w:val="0"/>
          <w:sz w:val="21"/>
          <w:szCs w:val="21"/>
          <w:highlight w:val="none"/>
          <w:lang w:val="en-US" w:eastAsia="zh-CN" w:bidi="ar-SA"/>
        </w:rPr>
      </w:pPr>
      <w:r>
        <w:rPr>
          <w:rFonts w:hint="eastAsia" w:ascii="宋体" w:hAnsi="宋体" w:eastAsia="宋体" w:cs="宋体"/>
          <w:b/>
          <w:color w:val="000000"/>
          <w:kern w:val="0"/>
          <w:sz w:val="21"/>
          <w:szCs w:val="21"/>
          <w:highlight w:val="none"/>
          <w:lang w:val="en-US" w:eastAsia="zh-CN" w:bidi="ar-SA"/>
        </w:rPr>
        <w:t>投标人认为需要提交的其他资格证明材料。</w:t>
      </w:r>
    </w:p>
    <w:p w14:paraId="06399EB7">
      <w:pPr>
        <w:shd w:val="clear" w:color="auto" w:fill="auto"/>
        <w:jc w:val="center"/>
        <w:rPr>
          <w:rFonts w:hint="eastAsia" w:ascii="宋体" w:hAnsi="宋体" w:cs="宋体"/>
          <w:b/>
          <w:bCs/>
          <w:color w:val="000000"/>
          <w:sz w:val="44"/>
          <w:szCs w:val="44"/>
          <w:highlight w:val="none"/>
          <w:u w:val="single"/>
        </w:rPr>
      </w:pPr>
      <w:r>
        <w:rPr>
          <w:rFonts w:hint="eastAsia" w:ascii="宋体" w:hAnsi="宋体" w:cs="宋体"/>
          <w:b/>
          <w:bCs/>
          <w:color w:val="000000"/>
          <w:sz w:val="44"/>
          <w:szCs w:val="44"/>
          <w:highlight w:val="none"/>
        </w:rPr>
        <w:br w:type="page"/>
      </w:r>
      <w:r>
        <w:rPr>
          <w:rFonts w:hint="eastAsia" w:ascii="宋体" w:hAnsi="宋体" w:cs="宋体"/>
          <w:b/>
          <w:color w:val="000000"/>
          <w:sz w:val="44"/>
          <w:szCs w:val="44"/>
          <w:highlight w:val="none"/>
        </w:rPr>
        <w:t>商务技术部分封面</w:t>
      </w:r>
    </w:p>
    <w:p w14:paraId="611C2094">
      <w:pPr>
        <w:shd w:val="clear" w:color="auto" w:fill="auto"/>
        <w:jc w:val="center"/>
        <w:rPr>
          <w:rFonts w:hint="eastAsia" w:ascii="宋体" w:hAnsi="宋体" w:cs="宋体"/>
          <w:b/>
          <w:bCs/>
          <w:color w:val="000000"/>
          <w:sz w:val="44"/>
          <w:szCs w:val="44"/>
          <w:highlight w:val="none"/>
          <w:u w:val="single"/>
        </w:rPr>
      </w:pPr>
    </w:p>
    <w:p w14:paraId="69B0989A">
      <w:pPr>
        <w:shd w:val="clear" w:color="auto" w:fill="auto"/>
        <w:spacing w:line="480" w:lineRule="auto"/>
        <w:jc w:val="center"/>
        <w:rPr>
          <w:rFonts w:hint="eastAsia" w:ascii="宋体" w:hAnsi="宋体" w:eastAsia="宋体" w:cs="宋体"/>
          <w:b/>
          <w:bCs/>
          <w:color w:val="000000"/>
          <w:sz w:val="52"/>
          <w:szCs w:val="52"/>
          <w:highlight w:val="none"/>
          <w:lang w:eastAsia="zh-CN"/>
        </w:rPr>
      </w:pPr>
      <w:r>
        <w:rPr>
          <w:rFonts w:hint="eastAsia" w:ascii="宋体" w:hAnsi="宋体" w:cs="宋体"/>
          <w:b/>
          <w:bCs/>
          <w:color w:val="000000"/>
          <w:sz w:val="52"/>
          <w:szCs w:val="52"/>
          <w:highlight w:val="none"/>
          <w:lang w:eastAsia="zh-CN"/>
        </w:rPr>
        <w:t>宜良县部分耕地园地等种植状况摸排技术服务</w:t>
      </w:r>
    </w:p>
    <w:p w14:paraId="4887B164">
      <w:pPr>
        <w:shd w:val="clear" w:color="auto" w:fill="auto"/>
        <w:jc w:val="center"/>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w:t>
      </w:r>
      <w:r>
        <w:rPr>
          <w:rFonts w:hint="eastAsia" w:ascii="宋体" w:hAnsi="宋体" w:cs="宋体"/>
          <w:b/>
          <w:bCs/>
          <w:color w:val="000000"/>
          <w:sz w:val="44"/>
          <w:szCs w:val="44"/>
          <w:highlight w:val="none"/>
          <w:lang w:val="en-US" w:eastAsia="zh-CN"/>
        </w:rPr>
        <w:t xml:space="preserve">   标段</w:t>
      </w:r>
      <w:r>
        <w:rPr>
          <w:rFonts w:hint="eastAsia" w:ascii="宋体" w:hAnsi="宋体" w:cs="宋体"/>
          <w:b/>
          <w:bCs/>
          <w:color w:val="000000"/>
          <w:sz w:val="44"/>
          <w:szCs w:val="44"/>
          <w:highlight w:val="none"/>
        </w:rPr>
        <w:t>）</w:t>
      </w:r>
    </w:p>
    <w:p w14:paraId="3AA73F2A">
      <w:pPr>
        <w:shd w:val="clear" w:color="auto" w:fill="auto"/>
        <w:jc w:val="center"/>
        <w:rPr>
          <w:rFonts w:hint="eastAsia" w:ascii="宋体" w:hAnsi="宋体" w:cs="宋体"/>
          <w:b/>
          <w:bCs/>
          <w:color w:val="000000"/>
          <w:sz w:val="44"/>
          <w:szCs w:val="44"/>
          <w:highlight w:val="none"/>
        </w:rPr>
      </w:pPr>
    </w:p>
    <w:p w14:paraId="56D2D06D">
      <w:pPr>
        <w:shd w:val="clear" w:color="auto" w:fill="auto"/>
        <w:rPr>
          <w:rFonts w:hint="eastAsia" w:ascii="宋体" w:hAnsi="宋体" w:cs="宋体"/>
          <w:b/>
          <w:bCs/>
          <w:color w:val="000000"/>
          <w:sz w:val="44"/>
          <w:szCs w:val="44"/>
          <w:highlight w:val="none"/>
        </w:rPr>
      </w:pPr>
    </w:p>
    <w:p w14:paraId="12BB7598">
      <w:pPr>
        <w:shd w:val="clear" w:color="auto" w:fill="auto"/>
        <w:rPr>
          <w:rFonts w:hint="eastAsia" w:ascii="宋体" w:hAnsi="宋体" w:cs="宋体"/>
          <w:b/>
          <w:bCs/>
          <w:color w:val="000000"/>
          <w:sz w:val="44"/>
          <w:szCs w:val="44"/>
          <w:highlight w:val="none"/>
        </w:rPr>
      </w:pPr>
    </w:p>
    <w:p w14:paraId="3F5630C7">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6FBD37FD">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11E56659">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05835B8F">
      <w:pPr>
        <w:shd w:val="clear" w:color="auto" w:fill="auto"/>
        <w:jc w:val="center"/>
        <w:rPr>
          <w:rFonts w:hint="eastAsia" w:ascii="宋体" w:hAnsi="宋体" w:cs="宋体"/>
          <w:b/>
          <w:bCs/>
          <w:color w:val="000000"/>
          <w:sz w:val="32"/>
          <w:szCs w:val="32"/>
          <w:highlight w:val="none"/>
        </w:rPr>
      </w:pPr>
      <w:r>
        <w:rPr>
          <w:rFonts w:hint="eastAsia" w:ascii="宋体" w:hAnsi="宋体" w:cs="宋体"/>
          <w:b/>
          <w:bCs/>
          <w:color w:val="000000"/>
          <w:sz w:val="52"/>
          <w:szCs w:val="52"/>
          <w:highlight w:val="none"/>
        </w:rPr>
        <w:t>投 标 文 件</w:t>
      </w:r>
    </w:p>
    <w:p w14:paraId="3706941D">
      <w:pPr>
        <w:shd w:val="clear" w:color="auto" w:fill="auto"/>
        <w:jc w:val="center"/>
        <w:outlineLvl w:val="2"/>
        <w:rPr>
          <w:rFonts w:hint="eastAsia" w:ascii="宋体" w:hAnsi="宋体" w:cs="宋体"/>
          <w:b/>
          <w:bCs/>
          <w:color w:val="000000"/>
          <w:sz w:val="32"/>
          <w:szCs w:val="32"/>
          <w:highlight w:val="none"/>
        </w:rPr>
      </w:pPr>
      <w:bookmarkStart w:id="261" w:name="_Toc24497"/>
      <w:r>
        <w:rPr>
          <w:rFonts w:hint="eastAsia" w:ascii="宋体" w:hAnsi="宋体" w:cs="宋体"/>
          <w:b/>
          <w:bCs/>
          <w:color w:val="000000"/>
          <w:sz w:val="32"/>
          <w:szCs w:val="32"/>
          <w:highlight w:val="none"/>
        </w:rPr>
        <w:t>商务技术部分</w:t>
      </w:r>
      <w:bookmarkEnd w:id="261"/>
    </w:p>
    <w:p w14:paraId="79C37046">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39B3B5D8">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27BBC216">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4143FBD6">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4DB22027">
      <w:pPr>
        <w:shd w:val="clear" w:color="auto" w:fill="auto"/>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 </w:t>
      </w:r>
    </w:p>
    <w:p w14:paraId="1E0EB525">
      <w:pPr>
        <w:shd w:val="clear" w:color="auto" w:fill="auto"/>
        <w:ind w:firstLine="1205" w:firstLineChars="5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投标人：</w:t>
      </w:r>
      <w:r>
        <w:rPr>
          <w:rFonts w:hint="eastAsia" w:ascii="宋体" w:hAnsi="宋体" w:cs="宋体"/>
          <w:b/>
          <w:bCs/>
          <w:color w:val="000000"/>
          <w:sz w:val="24"/>
          <w:szCs w:val="24"/>
          <w:highlight w:val="none"/>
          <w:u w:val="single"/>
        </w:rPr>
        <w:tab/>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w:t>
      </w:r>
    </w:p>
    <w:p w14:paraId="7A90C955">
      <w:pP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p>
    <w:p w14:paraId="4E113B6D">
      <w:pPr>
        <w:shd w:val="clear" w:color="auto" w:fill="auto"/>
        <w:ind w:firstLine="1205" w:firstLineChars="5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法定代表人（单位负责人）：</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（电子签章或电子签名）</w:t>
      </w:r>
    </w:p>
    <w:p w14:paraId="3C96D153">
      <w:pPr>
        <w:shd w:val="clear" w:color="auto" w:fill="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p>
    <w:p w14:paraId="647BB29D">
      <w:pPr>
        <w:shd w:val="clear" w:color="auto" w:fill="auto"/>
        <w:ind w:firstLine="2891" w:firstLineChars="1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日期：</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年 </w:t>
      </w:r>
      <w:r>
        <w:rPr>
          <w:rFonts w:hint="eastAsia" w:ascii="宋体" w:hAnsi="宋体" w:cs="宋体"/>
          <w:b/>
          <w:bCs/>
          <w:color w:val="000000"/>
          <w:sz w:val="24"/>
          <w:szCs w:val="24"/>
          <w:highlight w:val="none"/>
          <w:u w:val="single"/>
        </w:rPr>
        <w:tab/>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 xml:space="preserve">月 </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日</w:t>
      </w:r>
    </w:p>
    <w:p w14:paraId="4A56AEC1">
      <w:pPr>
        <w:shd w:val="clear" w:color="auto" w:fill="auto"/>
        <w:rPr>
          <w:rFonts w:hint="eastAsia" w:ascii="宋体" w:hAnsi="宋体" w:cs="宋体"/>
          <w:color w:val="000000"/>
          <w:sz w:val="28"/>
          <w:szCs w:val="28"/>
          <w:highlight w:val="none"/>
        </w:rPr>
      </w:pPr>
      <w:r>
        <w:rPr>
          <w:rFonts w:hint="eastAsia" w:ascii="宋体" w:hAnsi="宋体" w:cs="宋体"/>
          <w:b/>
          <w:bCs/>
          <w:color w:val="000000"/>
          <w:sz w:val="44"/>
          <w:szCs w:val="44"/>
          <w:highlight w:val="none"/>
        </w:rPr>
        <w:t xml:space="preserve"> </w:t>
      </w:r>
      <w:bookmarkStart w:id="262" w:name="_Toc31298"/>
      <w:bookmarkEnd w:id="262"/>
      <w:bookmarkStart w:id="263" w:name="_Toc10984"/>
      <w:bookmarkEnd w:id="263"/>
      <w:bookmarkStart w:id="264" w:name="_Toc28459"/>
      <w:bookmarkEnd w:id="264"/>
      <w:bookmarkStart w:id="265" w:name="_Toc15981"/>
      <w:bookmarkEnd w:id="265"/>
      <w:bookmarkStart w:id="266" w:name="_Toc29456"/>
    </w:p>
    <w:p w14:paraId="3DCBB46B">
      <w:pPr>
        <w:shd w:val="clear" w:color="auto" w:fill="auto"/>
        <w:spacing w:line="360" w:lineRule="auto"/>
        <w:jc w:val="center"/>
        <w:outlineLvl w:val="2"/>
        <w:rPr>
          <w:rFonts w:hint="eastAsia" w:ascii="宋体" w:hAnsi="宋体" w:cs="宋体"/>
          <w:color w:val="000000"/>
          <w:szCs w:val="28"/>
          <w:highlight w:val="none"/>
        </w:rPr>
      </w:pPr>
      <w:r>
        <w:rPr>
          <w:rFonts w:hint="eastAsia" w:ascii="宋体" w:hAnsi="宋体" w:cs="宋体"/>
          <w:color w:val="000000"/>
          <w:szCs w:val="28"/>
          <w:highlight w:val="none"/>
        </w:rPr>
        <w:br w:type="page"/>
      </w:r>
      <w:bookmarkStart w:id="267" w:name="_Toc9975"/>
      <w:r>
        <w:rPr>
          <w:rFonts w:hint="eastAsia" w:ascii="宋体" w:hAnsi="宋体" w:cs="宋体"/>
          <w:b/>
          <w:bCs/>
          <w:color w:val="000000"/>
          <w:sz w:val="28"/>
          <w:szCs w:val="28"/>
          <w:highlight w:val="none"/>
        </w:rPr>
        <w:t>一、开标一览表</w:t>
      </w:r>
      <w:bookmarkEnd w:id="266"/>
      <w:bookmarkEnd w:id="267"/>
    </w:p>
    <w:p w14:paraId="18E5A8B5">
      <w:pPr>
        <w:shd w:val="clear" w:color="auto" w:fill="auto"/>
        <w:spacing w:line="200" w:lineRule="exact"/>
        <w:rPr>
          <w:rFonts w:hint="eastAsia" w:ascii="宋体" w:hAnsi="宋体" w:cs="宋体"/>
          <w:color w:val="000000"/>
          <w:highlight w:val="none"/>
        </w:rPr>
      </w:pPr>
      <w:r>
        <w:rPr>
          <w:rFonts w:hint="eastAsia" w:ascii="宋体" w:hAnsi="宋体" w:cs="宋体"/>
          <w:color w:val="000000"/>
          <w:highlight w:val="none"/>
        </w:rPr>
        <w:t xml:space="preserve"> </w:t>
      </w:r>
    </w:p>
    <w:p w14:paraId="7B120428">
      <w:pPr>
        <w:shd w:val="clear" w:color="auto" w:fill="auto"/>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项目名称：</w:t>
      </w:r>
      <w:r>
        <w:rPr>
          <w:rFonts w:hint="eastAsia" w:ascii="宋体" w:hAnsi="宋体" w:cs="宋体"/>
          <w:color w:val="000000"/>
          <w:sz w:val="24"/>
          <w:szCs w:val="24"/>
          <w:highlight w:val="none"/>
          <w:lang w:eastAsia="zh-CN"/>
        </w:rPr>
        <w:t>宜良县部分耕地园地等种植状况摸排技术服务</w:t>
      </w: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 xml:space="preserve">   标段</w:t>
      </w:r>
      <w:r>
        <w:rPr>
          <w:rFonts w:hint="eastAsia" w:ascii="宋体" w:hAnsi="宋体" w:cs="宋体"/>
          <w:color w:val="000000"/>
          <w:sz w:val="24"/>
          <w:szCs w:val="24"/>
          <w:highlight w:val="none"/>
        </w:rPr>
        <w:t>）</w:t>
      </w:r>
    </w:p>
    <w:p w14:paraId="175CB978">
      <w:pPr>
        <w:shd w:val="clear" w:color="auto" w:fill="auto"/>
        <w:spacing w:line="480" w:lineRule="exact"/>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rPr>
        <w:t>项目编号：</w:t>
      </w:r>
      <w:r>
        <w:rPr>
          <w:rFonts w:hint="eastAsia" w:ascii="宋体" w:hAnsi="宋体" w:cs="宋体"/>
          <w:color w:val="000000"/>
          <w:sz w:val="24"/>
          <w:szCs w:val="24"/>
          <w:highlight w:val="none"/>
          <w:lang w:eastAsia="zh-CN"/>
        </w:rPr>
        <w:t>TPZB-KMYL-2025-035</w:t>
      </w:r>
      <w:r>
        <w:rPr>
          <w:rFonts w:hint="eastAsia" w:ascii="宋体" w:hAnsi="宋体" w:cs="宋体"/>
          <w:color w:val="000000"/>
          <w:sz w:val="24"/>
          <w:szCs w:val="24"/>
          <w:highlight w:val="none"/>
          <w:u w:val="none"/>
          <w:lang w:val="en-US" w:eastAsia="zh-CN"/>
        </w:rPr>
        <w:t xml:space="preserve">   </w:t>
      </w:r>
      <w:r>
        <w:rPr>
          <w:rFonts w:hint="eastAsia" w:ascii="宋体" w:hAnsi="宋体" w:cs="宋体"/>
          <w:color w:val="000000"/>
          <w:sz w:val="24"/>
          <w:szCs w:val="24"/>
          <w:highlight w:val="none"/>
          <w:u w:val="none"/>
        </w:rPr>
        <w:t xml:space="preserve">   </w:t>
      </w:r>
      <w:r>
        <w:rPr>
          <w:rFonts w:hint="eastAsia" w:ascii="宋体" w:hAnsi="宋体" w:cs="宋体"/>
          <w:color w:val="000000"/>
          <w:sz w:val="24"/>
          <w:szCs w:val="24"/>
          <w:highlight w:val="none"/>
        </w:rPr>
        <w:t xml:space="preserve">                 </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768"/>
      </w:tblGrid>
      <w:tr w14:paraId="3C5F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35EF8DBB">
            <w:pPr>
              <w:pStyle w:val="19"/>
              <w:jc w:val="center"/>
              <w:rPr>
                <w:rFonts w:hint="eastAsia" w:hAnsi="宋体" w:cs="宋体"/>
                <w:color w:val="000000"/>
                <w:sz w:val="24"/>
                <w:szCs w:val="24"/>
                <w:highlight w:val="none"/>
              </w:rPr>
            </w:pPr>
            <w:r>
              <w:rPr>
                <w:rFonts w:hint="eastAsia" w:hAnsi="宋体" w:cs="宋体"/>
                <w:color w:val="auto"/>
                <w:sz w:val="24"/>
                <w:szCs w:val="24"/>
                <w:highlight w:val="none"/>
              </w:rPr>
              <w:t>投标</w:t>
            </w:r>
            <w:r>
              <w:rPr>
                <w:rFonts w:hint="eastAsia" w:hAnsi="宋体" w:cs="宋体"/>
                <w:color w:val="auto"/>
                <w:sz w:val="24"/>
                <w:szCs w:val="24"/>
                <w:highlight w:val="none"/>
                <w:lang w:val="en-US" w:eastAsia="zh-CN"/>
              </w:rPr>
              <w:t>总</w:t>
            </w:r>
            <w:r>
              <w:rPr>
                <w:rFonts w:hint="eastAsia" w:hAnsi="宋体" w:cs="宋体"/>
                <w:color w:val="auto"/>
                <w:sz w:val="24"/>
                <w:szCs w:val="24"/>
                <w:highlight w:val="none"/>
              </w:rPr>
              <w:t>报价</w:t>
            </w:r>
          </w:p>
        </w:tc>
        <w:tc>
          <w:tcPr>
            <w:tcW w:w="6768" w:type="dxa"/>
            <w:tcBorders>
              <w:top w:val="single" w:color="auto" w:sz="4" w:space="0"/>
              <w:left w:val="single" w:color="auto" w:sz="4" w:space="0"/>
              <w:bottom w:val="single" w:color="auto" w:sz="4" w:space="0"/>
              <w:right w:val="single" w:color="auto" w:sz="4" w:space="0"/>
            </w:tcBorders>
            <w:vAlign w:val="center"/>
          </w:tcPr>
          <w:p w14:paraId="5CB39BF8">
            <w:pPr>
              <w:spacing w:line="360" w:lineRule="auto"/>
              <w:rPr>
                <w:rFonts w:hint="default" w:ascii="宋体" w:hAnsi="宋体" w:eastAsia="宋体" w:cs="宋体"/>
                <w:color w:val="000000"/>
                <w:sz w:val="24"/>
                <w:szCs w:val="24"/>
                <w:highlight w:val="none"/>
                <w:u w:val="single"/>
                <w:lang w:val="en-US" w:eastAsia="zh-CN"/>
              </w:rPr>
            </w:pPr>
            <w:r>
              <w:rPr>
                <w:rFonts w:hint="eastAsia" w:ascii="宋体" w:hAnsi="宋体" w:cs="宋体"/>
                <w:color w:val="000000"/>
                <w:sz w:val="24"/>
                <w:szCs w:val="24"/>
                <w:highlight w:val="none"/>
                <w:u w:val="single"/>
                <w:lang w:val="en-US" w:eastAsia="zh-CN"/>
              </w:rPr>
              <w:t xml:space="preserve">               元</w:t>
            </w:r>
            <w:r>
              <w:rPr>
                <w:rFonts w:hint="eastAsia" w:ascii="宋体" w:hAnsi="宋体" w:cs="宋体"/>
                <w:color w:val="000000"/>
                <w:sz w:val="24"/>
                <w:szCs w:val="24"/>
                <w:highlight w:val="none"/>
                <w:u w:val="none"/>
                <w:lang w:val="en-US" w:eastAsia="zh-CN"/>
              </w:rPr>
              <w:t xml:space="preserve">     大写：</w:t>
            </w:r>
            <w:r>
              <w:rPr>
                <w:rFonts w:hint="eastAsia" w:ascii="宋体" w:hAnsi="宋体" w:cs="宋体"/>
                <w:color w:val="000000"/>
                <w:sz w:val="24"/>
                <w:szCs w:val="24"/>
                <w:highlight w:val="none"/>
                <w:u w:val="single"/>
                <w:lang w:val="en-US" w:eastAsia="zh-CN"/>
              </w:rPr>
              <w:t xml:space="preserve">                </w:t>
            </w:r>
          </w:p>
        </w:tc>
      </w:tr>
      <w:tr w14:paraId="3F309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9"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08CDE574">
            <w:pPr>
              <w:shd w:val="clear" w:color="auto" w:fill="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合同履行期限</w:t>
            </w:r>
          </w:p>
        </w:tc>
        <w:tc>
          <w:tcPr>
            <w:tcW w:w="6768" w:type="dxa"/>
            <w:tcBorders>
              <w:top w:val="single" w:color="auto" w:sz="4" w:space="0"/>
              <w:left w:val="single" w:color="auto" w:sz="4" w:space="0"/>
              <w:bottom w:val="single" w:color="auto" w:sz="4" w:space="0"/>
              <w:right w:val="single" w:color="auto" w:sz="4" w:space="0"/>
            </w:tcBorders>
            <w:vAlign w:val="center"/>
          </w:tcPr>
          <w:p w14:paraId="540CED6C">
            <w:pPr>
              <w:shd w:val="clear" w:color="auto" w:fill="auto"/>
              <w:spacing w:line="360" w:lineRule="auto"/>
              <w:rPr>
                <w:rFonts w:hint="eastAsia" w:ascii="宋体" w:hAnsi="宋体" w:cs="宋体"/>
                <w:color w:val="000000"/>
                <w:sz w:val="24"/>
                <w:szCs w:val="24"/>
                <w:highlight w:val="none"/>
              </w:rPr>
            </w:pPr>
          </w:p>
        </w:tc>
      </w:tr>
      <w:tr w14:paraId="1BA5F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193C2B00">
            <w:pPr>
              <w:shd w:val="clear" w:color="auto" w:fill="auto"/>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质量标准</w:t>
            </w:r>
          </w:p>
        </w:tc>
        <w:tc>
          <w:tcPr>
            <w:tcW w:w="6768" w:type="dxa"/>
            <w:tcBorders>
              <w:top w:val="single" w:color="auto" w:sz="4" w:space="0"/>
              <w:left w:val="single" w:color="auto" w:sz="4" w:space="0"/>
              <w:bottom w:val="single" w:color="auto" w:sz="4" w:space="0"/>
              <w:right w:val="single" w:color="auto" w:sz="4" w:space="0"/>
            </w:tcBorders>
            <w:vAlign w:val="center"/>
          </w:tcPr>
          <w:p w14:paraId="4054361F">
            <w:pPr>
              <w:shd w:val="clear" w:color="auto" w:fill="auto"/>
              <w:spacing w:line="360" w:lineRule="auto"/>
              <w:rPr>
                <w:rFonts w:hint="eastAsia" w:ascii="宋体" w:hAnsi="宋体" w:cs="宋体"/>
                <w:color w:val="000000"/>
                <w:sz w:val="24"/>
                <w:szCs w:val="24"/>
                <w:highlight w:val="none"/>
              </w:rPr>
            </w:pPr>
          </w:p>
        </w:tc>
      </w:tr>
      <w:tr w14:paraId="3D31A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A0493B0">
            <w:pPr>
              <w:shd w:val="clear" w:color="auto" w:fill="auto"/>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项目实施地点</w:t>
            </w:r>
          </w:p>
        </w:tc>
        <w:tc>
          <w:tcPr>
            <w:tcW w:w="6768" w:type="dxa"/>
            <w:tcBorders>
              <w:top w:val="single" w:color="auto" w:sz="4" w:space="0"/>
              <w:left w:val="single" w:color="auto" w:sz="4" w:space="0"/>
              <w:bottom w:val="single" w:color="auto" w:sz="4" w:space="0"/>
              <w:right w:val="single" w:color="auto" w:sz="4" w:space="0"/>
            </w:tcBorders>
            <w:vAlign w:val="center"/>
          </w:tcPr>
          <w:p w14:paraId="390DEBD1">
            <w:pPr>
              <w:shd w:val="clear" w:color="auto" w:fill="auto"/>
              <w:spacing w:line="360" w:lineRule="auto"/>
              <w:rPr>
                <w:rFonts w:hint="eastAsia" w:ascii="宋体" w:hAnsi="宋体" w:cs="宋体"/>
                <w:color w:val="000000"/>
                <w:sz w:val="24"/>
                <w:szCs w:val="24"/>
                <w:highlight w:val="none"/>
              </w:rPr>
            </w:pPr>
          </w:p>
        </w:tc>
      </w:tr>
      <w:tr w14:paraId="286C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7" w:hRule="atLeast"/>
          <w:jc w:val="center"/>
        </w:trPr>
        <w:tc>
          <w:tcPr>
            <w:tcW w:w="9236" w:type="dxa"/>
            <w:gridSpan w:val="2"/>
            <w:tcBorders>
              <w:top w:val="single" w:color="auto" w:sz="4" w:space="0"/>
              <w:left w:val="single" w:color="auto" w:sz="4" w:space="0"/>
              <w:bottom w:val="single" w:color="auto" w:sz="4" w:space="0"/>
              <w:right w:val="single" w:color="auto" w:sz="4" w:space="0"/>
            </w:tcBorders>
            <w:vAlign w:val="center"/>
          </w:tcPr>
          <w:p w14:paraId="63D0BAEB">
            <w:pPr>
              <w:shd w:val="clear" w:color="auto" w:fill="auto"/>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备注</w:t>
            </w:r>
          </w:p>
        </w:tc>
      </w:tr>
    </w:tbl>
    <w:p w14:paraId="23BEA98D">
      <w:pPr>
        <w:shd w:val="clear" w:color="auto" w:fill="auto"/>
        <w:spacing w:line="420" w:lineRule="exact"/>
        <w:ind w:right="-309" w:rightChars="-147"/>
        <w:rPr>
          <w:rFonts w:hint="eastAsia" w:ascii="宋体" w:hAnsi="宋体" w:cs="宋体"/>
          <w:b/>
          <w:color w:val="000000"/>
          <w:highlight w:val="none"/>
        </w:rPr>
      </w:pPr>
      <w:r>
        <w:rPr>
          <w:rFonts w:hint="eastAsia" w:ascii="宋体" w:hAnsi="宋体" w:cs="宋体"/>
          <w:color w:val="000000"/>
          <w:sz w:val="28"/>
          <w:szCs w:val="28"/>
          <w:highlight w:val="none"/>
        </w:rPr>
        <w:t xml:space="preserve"> </w:t>
      </w:r>
    </w:p>
    <w:p w14:paraId="5C15BFDE">
      <w:pPr>
        <w:keepNext w:val="0"/>
        <w:keepLines w:val="0"/>
        <w:widowControl/>
        <w:suppressLineNumbers w:val="0"/>
        <w:ind w:firstLine="241" w:firstLineChars="100"/>
        <w:jc w:val="left"/>
        <w:rPr>
          <w:rFonts w:hint="eastAsia" w:ascii="宋体" w:hAnsi="宋体" w:eastAsia="宋体" w:cs="宋体"/>
          <w:sz w:val="24"/>
          <w:szCs w:val="24"/>
        </w:rPr>
      </w:pPr>
      <w:r>
        <w:rPr>
          <w:rFonts w:hint="eastAsia" w:ascii="宋体" w:hAnsi="宋体" w:eastAsia="宋体" w:cs="宋体"/>
          <w:b/>
          <w:bCs/>
          <w:color w:val="000000"/>
          <w:kern w:val="0"/>
          <w:sz w:val="24"/>
          <w:szCs w:val="24"/>
          <w:lang w:val="en-US" w:eastAsia="zh-CN" w:bidi="ar"/>
        </w:rPr>
        <w:t>注：投标人同时投四个标段，须按标段填写此表。</w:t>
      </w:r>
    </w:p>
    <w:p w14:paraId="6BB6B262">
      <w:pPr>
        <w:pStyle w:val="14"/>
        <w:rPr>
          <w:rFonts w:hint="eastAsia" w:ascii="宋体" w:hAnsi="宋体" w:eastAsia="宋体" w:cs="宋体"/>
          <w:sz w:val="24"/>
          <w:szCs w:val="24"/>
        </w:rPr>
      </w:pPr>
    </w:p>
    <w:p w14:paraId="2D5D859B">
      <w:pPr>
        <w:pStyle w:val="14"/>
        <w:shd w:val="clear" w:color="auto" w:fill="auto"/>
        <w:rPr>
          <w:rFonts w:hint="eastAsia" w:ascii="宋体" w:hAnsi="宋体" w:cs="宋体"/>
          <w:color w:val="000000"/>
          <w:highlight w:val="none"/>
        </w:rPr>
      </w:pPr>
    </w:p>
    <w:p w14:paraId="7BD3556E">
      <w:pPr>
        <w:pStyle w:val="17"/>
        <w:rPr>
          <w:rFonts w:hint="eastAsia" w:ascii="宋体" w:hAnsi="宋体" w:cs="宋体"/>
          <w:color w:val="000000"/>
          <w:highlight w:val="none"/>
        </w:rPr>
      </w:pPr>
    </w:p>
    <w:p w14:paraId="1D4AFA9D">
      <w:pPr>
        <w:rPr>
          <w:rFonts w:hint="eastAsia"/>
        </w:rPr>
      </w:pPr>
    </w:p>
    <w:p w14:paraId="5D79F8A7">
      <w:pPr>
        <w:shd w:val="clear" w:color="auto" w:fill="auto"/>
        <w:ind w:firstLine="1687" w:firstLineChars="600"/>
        <w:rPr>
          <w:rFonts w:hint="eastAsia" w:ascii="宋体" w:hAnsi="宋体" w:cs="宋体"/>
          <w:b/>
          <w:color w:val="000000"/>
          <w:sz w:val="28"/>
          <w:szCs w:val="28"/>
          <w:highlight w:val="none"/>
        </w:rPr>
      </w:pPr>
      <w:bookmarkStart w:id="268" w:name="_Toc2521"/>
      <w:r>
        <w:rPr>
          <w:rFonts w:hint="eastAsia" w:ascii="宋体" w:hAnsi="宋体" w:cs="宋体"/>
          <w:b/>
          <w:color w:val="000000"/>
          <w:sz w:val="28"/>
          <w:szCs w:val="28"/>
          <w:highlight w:val="none"/>
        </w:rPr>
        <w:t>投标人：</w:t>
      </w:r>
      <w:r>
        <w:rPr>
          <w:rFonts w:hint="eastAsia" w:ascii="宋体" w:hAnsi="宋体" w:cs="宋体"/>
          <w:b/>
          <w:color w:val="000000"/>
          <w:sz w:val="28"/>
          <w:szCs w:val="28"/>
          <w:highlight w:val="none"/>
          <w:u w:val="single"/>
        </w:rPr>
        <w:tab/>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rPr>
        <w:t>(电子签章）</w:t>
      </w:r>
    </w:p>
    <w:p w14:paraId="6FA007B2">
      <w:pPr>
        <w:shd w:val="clear" w:color="auto" w:fill="auto"/>
        <w:ind w:firstLine="1687" w:firstLineChars="600"/>
        <w:rPr>
          <w:rFonts w:hint="eastAsia" w:ascii="宋体" w:hAnsi="宋体" w:cs="宋体"/>
          <w:b/>
          <w:color w:val="000000"/>
          <w:sz w:val="28"/>
          <w:szCs w:val="28"/>
          <w:highlight w:val="none"/>
        </w:rPr>
      </w:pPr>
      <w:r>
        <w:rPr>
          <w:rFonts w:hint="eastAsia" w:ascii="宋体" w:hAnsi="宋体" w:cs="宋体"/>
          <w:b/>
          <w:color w:val="000000"/>
          <w:sz w:val="28"/>
          <w:szCs w:val="28"/>
          <w:highlight w:val="none"/>
        </w:rPr>
        <w:t>法定代表人(单位负责人）：</w:t>
      </w:r>
      <w:r>
        <w:rPr>
          <w:rFonts w:hint="eastAsia" w:ascii="宋体" w:hAnsi="宋体" w:cs="宋体"/>
          <w:b/>
          <w:color w:val="000000"/>
          <w:sz w:val="28"/>
          <w:szCs w:val="28"/>
          <w:highlight w:val="none"/>
          <w:u w:val="single"/>
        </w:rPr>
        <w:tab/>
      </w:r>
      <w:r>
        <w:rPr>
          <w:rFonts w:hint="eastAsia" w:ascii="宋体" w:hAnsi="宋体" w:cs="宋体"/>
          <w:b/>
          <w:color w:val="000000"/>
          <w:sz w:val="28"/>
          <w:szCs w:val="28"/>
          <w:highlight w:val="none"/>
          <w:u w:val="single"/>
        </w:rPr>
        <w:t xml:space="preserve">      </w:t>
      </w:r>
      <w:r>
        <w:rPr>
          <w:rFonts w:hint="eastAsia" w:ascii="宋体" w:hAnsi="宋体" w:cs="宋体"/>
          <w:b/>
          <w:color w:val="000000"/>
          <w:sz w:val="28"/>
          <w:szCs w:val="28"/>
          <w:highlight w:val="none"/>
        </w:rPr>
        <w:t>(电子签章或电子签名）</w:t>
      </w:r>
    </w:p>
    <w:p w14:paraId="6A745D1C">
      <w:pPr>
        <w:shd w:val="clear" w:color="auto" w:fill="auto"/>
        <w:ind w:firstLine="1687" w:firstLineChars="600"/>
        <w:rPr>
          <w:rFonts w:hint="eastAsia" w:ascii="宋体" w:hAnsi="宋体" w:cs="宋体"/>
          <w:b/>
          <w:color w:val="000000"/>
          <w:sz w:val="28"/>
          <w:szCs w:val="28"/>
          <w:highlight w:val="none"/>
        </w:rPr>
      </w:pPr>
      <w:r>
        <w:rPr>
          <w:rFonts w:hint="eastAsia" w:ascii="宋体" w:hAnsi="宋体" w:cs="宋体"/>
          <w:b/>
          <w:color w:val="000000"/>
          <w:sz w:val="28"/>
          <w:szCs w:val="28"/>
          <w:highlight w:val="none"/>
        </w:rPr>
        <w:t>日期：</w:t>
      </w:r>
      <w:r>
        <w:rPr>
          <w:rFonts w:hint="eastAsia" w:ascii="宋体" w:hAnsi="宋体" w:cs="宋体"/>
          <w:bCs/>
          <w:color w:val="000000"/>
          <w:sz w:val="28"/>
          <w:szCs w:val="28"/>
          <w:highlight w:val="none"/>
          <w:u w:val="single"/>
        </w:rPr>
        <w:t xml:space="preserve">      </w:t>
      </w:r>
      <w:r>
        <w:rPr>
          <w:rFonts w:hint="eastAsia" w:ascii="宋体" w:hAnsi="宋体" w:cs="宋体"/>
          <w:b/>
          <w:color w:val="000000"/>
          <w:sz w:val="28"/>
          <w:szCs w:val="28"/>
          <w:highlight w:val="none"/>
        </w:rPr>
        <w:t>年</w:t>
      </w:r>
      <w:r>
        <w:rPr>
          <w:rFonts w:hint="eastAsia" w:ascii="宋体" w:hAnsi="宋体" w:cs="宋体"/>
          <w:bCs/>
          <w:color w:val="000000"/>
          <w:sz w:val="28"/>
          <w:szCs w:val="28"/>
          <w:highlight w:val="none"/>
          <w:u w:val="single"/>
        </w:rPr>
        <w:t xml:space="preserve">     </w:t>
      </w:r>
      <w:r>
        <w:rPr>
          <w:rFonts w:hint="eastAsia" w:ascii="宋体" w:hAnsi="宋体" w:cs="宋体"/>
          <w:b/>
          <w:color w:val="000000"/>
          <w:sz w:val="28"/>
          <w:szCs w:val="28"/>
          <w:highlight w:val="none"/>
        </w:rPr>
        <w:t>月</w:t>
      </w:r>
      <w:r>
        <w:rPr>
          <w:rFonts w:hint="eastAsia" w:ascii="宋体" w:hAnsi="宋体" w:cs="宋体"/>
          <w:bCs/>
          <w:color w:val="000000"/>
          <w:sz w:val="28"/>
          <w:szCs w:val="28"/>
          <w:highlight w:val="none"/>
          <w:u w:val="single"/>
        </w:rPr>
        <w:t xml:space="preserve">    </w:t>
      </w:r>
      <w:r>
        <w:rPr>
          <w:rFonts w:hint="eastAsia" w:ascii="宋体" w:hAnsi="宋体" w:cs="宋体"/>
          <w:b/>
          <w:color w:val="000000"/>
          <w:sz w:val="28"/>
          <w:szCs w:val="28"/>
          <w:highlight w:val="none"/>
        </w:rPr>
        <w:t>日</w:t>
      </w:r>
    </w:p>
    <w:p w14:paraId="30AEBFAE">
      <w:pPr>
        <w:pStyle w:val="4"/>
        <w:widowControl/>
        <w:shd w:val="clear" w:color="auto" w:fill="auto"/>
        <w:autoSpaceDE w:val="0"/>
        <w:spacing w:before="0" w:after="0" w:line="240" w:lineRule="auto"/>
        <w:rPr>
          <w:rFonts w:hint="eastAsia" w:ascii="宋体" w:hAnsi="宋体" w:cs="宋体"/>
          <w:color w:val="000000"/>
          <w:szCs w:val="28"/>
          <w:highlight w:val="none"/>
        </w:rPr>
      </w:pPr>
      <w:r>
        <w:rPr>
          <w:rFonts w:hint="eastAsia" w:ascii="宋体" w:hAnsi="宋体" w:cs="宋体"/>
          <w:color w:val="000000"/>
          <w:szCs w:val="28"/>
          <w:highlight w:val="none"/>
        </w:rPr>
        <w:br w:type="page"/>
      </w:r>
      <w:bookmarkStart w:id="269" w:name="_Toc29991"/>
      <w:r>
        <w:rPr>
          <w:rFonts w:hint="eastAsia" w:ascii="宋体" w:hAnsi="宋体" w:cs="宋体"/>
          <w:color w:val="000000"/>
          <w:szCs w:val="28"/>
          <w:highlight w:val="none"/>
        </w:rPr>
        <w:t>二、投标函</w:t>
      </w:r>
      <w:bookmarkEnd w:id="268"/>
      <w:bookmarkEnd w:id="269"/>
    </w:p>
    <w:p w14:paraId="38723A1D">
      <w:pPr>
        <w:shd w:val="clear" w:color="auto" w:fill="auto"/>
        <w:spacing w:line="360" w:lineRule="auto"/>
        <w:rPr>
          <w:rFonts w:hint="eastAsia" w:ascii="宋体" w:hAnsi="宋体" w:cs="宋体"/>
          <w:color w:val="000000"/>
          <w:sz w:val="24"/>
          <w:szCs w:val="24"/>
          <w:highlight w:val="none"/>
          <w:u w:val="single"/>
        </w:rPr>
      </w:pPr>
    </w:p>
    <w:p w14:paraId="1DE61D42">
      <w:pPr>
        <w:shd w:val="clear" w:color="auto" w:fill="auto"/>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（采购人名称）：</w:t>
      </w:r>
    </w:p>
    <w:p w14:paraId="71CD80DB">
      <w:pPr>
        <w:shd w:val="clear" w:color="auto" w:fill="auto"/>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我方已仔细研究了</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w:t>
      </w:r>
      <w:r>
        <w:rPr>
          <w:rFonts w:hint="eastAsia" w:ascii="宋体" w:hAnsi="宋体" w:cs="宋体"/>
          <w:color w:val="000000"/>
          <w:sz w:val="24"/>
          <w:szCs w:val="24"/>
          <w:highlight w:val="none"/>
          <w:u w:val="single"/>
          <w:lang w:val="en-US" w:eastAsia="zh-CN"/>
        </w:rPr>
        <w:t xml:space="preserve"> 项目名称及标段号</w:t>
      </w:r>
      <w:r>
        <w:rPr>
          <w:rFonts w:hint="eastAsia" w:ascii="宋体" w:hAnsi="宋体" w:cs="宋体"/>
          <w:color w:val="000000"/>
          <w:sz w:val="24"/>
          <w:szCs w:val="24"/>
          <w:highlight w:val="none"/>
          <w:u w:val="single"/>
        </w:rPr>
        <w:t>）</w:t>
      </w:r>
      <w:r>
        <w:rPr>
          <w:rFonts w:hint="eastAsia" w:ascii="宋体" w:hAnsi="宋体" w:cs="宋体"/>
          <w:color w:val="000000"/>
          <w:sz w:val="24"/>
          <w:szCs w:val="24"/>
          <w:highlight w:val="none"/>
        </w:rPr>
        <w:t>招标文件的全部内容，</w:t>
      </w:r>
      <w:r>
        <w:rPr>
          <w:rFonts w:hint="eastAsia" w:ascii="宋体" w:hAnsi="宋体" w:cs="宋体"/>
          <w:color w:val="000000"/>
          <w:sz w:val="24"/>
          <w:highlight w:val="none"/>
        </w:rPr>
        <w:t>且对招标文件无任何异议，并愿意以“开标一览表”所填写的投标报价，向你方提供招标文件要求的货物</w:t>
      </w:r>
      <w:r>
        <w:rPr>
          <w:rFonts w:hint="eastAsia" w:ascii="宋体" w:hAnsi="宋体" w:cs="宋体"/>
          <w:color w:val="000000"/>
          <w:sz w:val="24"/>
          <w:highlight w:val="none"/>
          <w:lang w:val="en-US" w:eastAsia="zh-CN"/>
        </w:rPr>
        <w:t>及</w:t>
      </w:r>
      <w:r>
        <w:rPr>
          <w:rFonts w:hint="eastAsia" w:ascii="宋体" w:hAnsi="宋体" w:cs="宋体"/>
          <w:color w:val="000000"/>
          <w:sz w:val="24"/>
          <w:highlight w:val="none"/>
        </w:rPr>
        <w:t>服务。</w:t>
      </w:r>
      <w:r>
        <w:rPr>
          <w:rFonts w:hint="eastAsia" w:ascii="宋体" w:hAnsi="宋体" w:cs="宋体"/>
          <w:color w:val="000000"/>
          <w:sz w:val="24"/>
          <w:szCs w:val="24"/>
          <w:highlight w:val="none"/>
        </w:rPr>
        <w:t xml:space="preserve">    </w:t>
      </w:r>
    </w:p>
    <w:p w14:paraId="32C47E49">
      <w:pPr>
        <w:numPr>
          <w:ilvl w:val="0"/>
          <w:numId w:val="4"/>
        </w:numPr>
        <w:shd w:val="clear" w:color="auto" w:fill="auto"/>
        <w:autoSpaceDE w:val="0"/>
        <w:autoSpaceDN w:val="0"/>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我方承诺在投标有效期内不修改或撤销投标文件。否则，你方可不予退还我方的投标保证金。</w:t>
      </w:r>
    </w:p>
    <w:p w14:paraId="37B84F44">
      <w:pPr>
        <w:shd w:val="clear" w:color="auto" w:fill="auto"/>
        <w:autoSpaceDE w:val="0"/>
        <w:autoSpaceDN w:val="0"/>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2.本投标的投标有效期为自投标截止之日起90个日历天。</w:t>
      </w:r>
    </w:p>
    <w:p w14:paraId="5FA0425D">
      <w:pPr>
        <w:pStyle w:val="14"/>
        <w:shd w:val="clear" w:color="auto" w:fill="auto"/>
        <w:ind w:firstLine="480" w:firstLineChars="200"/>
        <w:rPr>
          <w:rFonts w:hint="eastAsia" w:ascii="宋体" w:hAnsi="宋体" w:cs="宋体"/>
          <w:color w:val="000000"/>
          <w:kern w:val="0"/>
          <w:sz w:val="24"/>
          <w:highlight w:val="none"/>
        </w:rPr>
      </w:pPr>
      <w:r>
        <w:rPr>
          <w:rFonts w:hint="eastAsia" w:ascii="宋体" w:hAnsi="宋体" w:cs="宋体"/>
          <w:color w:val="000000"/>
          <w:kern w:val="0"/>
          <w:sz w:val="24"/>
          <w:highlight w:val="none"/>
        </w:rPr>
        <w:t>3.我方承诺所提交的投标文件及有关资料是完整的、真实的、准确的和有效的，否则，我方承担由此造成的任何损失及引起的任何后果。</w:t>
      </w:r>
    </w:p>
    <w:p w14:paraId="19E5291E">
      <w:pPr>
        <w:shd w:val="clear" w:color="auto" w:fill="auto"/>
        <w:autoSpaceDE w:val="0"/>
        <w:autoSpaceDN w:val="0"/>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4．如我方中标：</w:t>
      </w:r>
    </w:p>
    <w:p w14:paraId="7FD1F13B">
      <w:pPr>
        <w:shd w:val="clear" w:color="auto" w:fill="auto"/>
        <w:autoSpaceDE w:val="0"/>
        <w:autoSpaceDN w:val="0"/>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（1）我方承诺在收到中标通知书后，在中标通知书规定的期限内与你方签订合同。</w:t>
      </w:r>
    </w:p>
    <w:p w14:paraId="706590F0">
      <w:pPr>
        <w:shd w:val="clear" w:color="auto" w:fill="auto"/>
        <w:autoSpaceDE w:val="0"/>
        <w:autoSpaceDN w:val="0"/>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（2）我方承诺按照招标文件规定向你方递交履约保证金。</w:t>
      </w:r>
    </w:p>
    <w:p w14:paraId="1DA8861B">
      <w:pPr>
        <w:shd w:val="clear" w:color="auto" w:fill="auto"/>
        <w:autoSpaceDE w:val="0"/>
        <w:autoSpaceDN w:val="0"/>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（3）我方承诺按合同约定的期限和地点，提供符合招标文件要求的全部的招标货物</w:t>
      </w:r>
      <w:r>
        <w:rPr>
          <w:rFonts w:hint="eastAsia" w:ascii="宋体" w:hAnsi="宋体" w:cs="宋体"/>
          <w:color w:val="000000"/>
          <w:sz w:val="24"/>
          <w:highlight w:val="none"/>
          <w:lang w:val="en-US" w:eastAsia="zh-CN"/>
        </w:rPr>
        <w:t>及</w:t>
      </w:r>
      <w:r>
        <w:rPr>
          <w:rFonts w:hint="eastAsia" w:ascii="宋体" w:hAnsi="宋体" w:cs="宋体"/>
          <w:color w:val="000000"/>
          <w:sz w:val="24"/>
          <w:highlight w:val="none"/>
        </w:rPr>
        <w:t>服务。</w:t>
      </w:r>
    </w:p>
    <w:p w14:paraId="10CB4994">
      <w:pPr>
        <w:shd w:val="clear" w:color="auto" w:fill="auto"/>
        <w:autoSpaceDE w:val="0"/>
        <w:autoSpaceDN w:val="0"/>
        <w:adjustRightInd w:val="0"/>
        <w:snapToGrid w:val="0"/>
        <w:spacing w:line="360" w:lineRule="auto"/>
        <w:ind w:firstLine="480" w:firstLineChars="200"/>
        <w:rPr>
          <w:rFonts w:hint="eastAsia" w:ascii="宋体" w:hAnsi="宋体" w:cs="宋体"/>
          <w:color w:val="000000"/>
          <w:highlight w:val="none"/>
        </w:rPr>
      </w:pPr>
      <w:r>
        <w:rPr>
          <w:rFonts w:hint="eastAsia" w:ascii="宋体" w:hAnsi="宋体" w:cs="宋体"/>
          <w:color w:val="000000"/>
          <w:sz w:val="24"/>
          <w:highlight w:val="none"/>
        </w:rPr>
        <w:t>（4）除商务条款偏离表和技术规格偏离表列出的偏差外，我方满足招标文件的全部要求。</w:t>
      </w:r>
    </w:p>
    <w:p w14:paraId="3C4D2964">
      <w:pPr>
        <w:shd w:val="clear" w:color="auto" w:fill="auto"/>
        <w:autoSpaceDE w:val="0"/>
        <w:autoSpaceDN w:val="0"/>
        <w:adjustRightInd w:val="0"/>
        <w:snapToGri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5．</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（其他补充说明）。</w:t>
      </w:r>
    </w:p>
    <w:p w14:paraId="31D35218">
      <w:pPr>
        <w:pStyle w:val="14"/>
        <w:shd w:val="clear" w:color="auto" w:fill="auto"/>
        <w:ind w:firstLine="480" w:firstLineChars="200"/>
        <w:rPr>
          <w:rFonts w:hint="eastAsia" w:ascii="宋体" w:hAnsi="宋体" w:cs="宋体"/>
          <w:color w:val="000000"/>
          <w:kern w:val="0"/>
          <w:sz w:val="24"/>
          <w:highlight w:val="none"/>
        </w:rPr>
      </w:pPr>
    </w:p>
    <w:p w14:paraId="491B1821">
      <w:pPr>
        <w:shd w:val="clear" w:color="auto" w:fill="auto"/>
        <w:spacing w:line="360" w:lineRule="auto"/>
        <w:ind w:firstLine="2891" w:firstLineChars="1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投 标 人：</w:t>
      </w:r>
      <w:r>
        <w:rPr>
          <w:rFonts w:hint="eastAsia" w:ascii="宋体" w:hAnsi="宋体" w:cs="宋体"/>
          <w:b/>
          <w:bCs/>
          <w:color w:val="000000"/>
          <w:sz w:val="24"/>
          <w:szCs w:val="24"/>
          <w:highlight w:val="none"/>
          <w:u w:val="single"/>
        </w:rPr>
        <w:tab/>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w:t>
      </w:r>
    </w:p>
    <w:p w14:paraId="4FBED4F5">
      <w:pPr>
        <w:shd w:val="clear" w:color="auto" w:fill="auto"/>
        <w:spacing w:line="360" w:lineRule="auto"/>
        <w:ind w:left="288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法定代表人（单位负责人）：</w:t>
      </w:r>
      <w:r>
        <w:rPr>
          <w:rFonts w:hint="eastAsia" w:ascii="宋体" w:hAnsi="宋体" w:cs="宋体"/>
          <w:b/>
          <w:bCs/>
          <w:color w:val="000000"/>
          <w:sz w:val="24"/>
          <w:szCs w:val="24"/>
          <w:highlight w:val="none"/>
          <w:u w:val="single"/>
        </w:rPr>
        <w:tab/>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（电子签章或电子签名）</w:t>
      </w:r>
    </w:p>
    <w:p w14:paraId="5F5BF9A4">
      <w:pPr>
        <w:shd w:val="clear" w:color="auto" w:fill="auto"/>
        <w:spacing w:line="360" w:lineRule="auto"/>
        <w:ind w:left="2880"/>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rPr>
        <w:t>地</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t>址：</w:t>
      </w:r>
      <w:r>
        <w:rPr>
          <w:rFonts w:hint="eastAsia" w:ascii="宋体" w:hAnsi="宋体" w:cs="宋体"/>
          <w:b/>
          <w:bCs/>
          <w:color w:val="000000"/>
          <w:sz w:val="24"/>
          <w:szCs w:val="24"/>
          <w:highlight w:val="none"/>
          <w:u w:val="single"/>
        </w:rPr>
        <w:t xml:space="preserve">                                           </w:t>
      </w:r>
    </w:p>
    <w:p w14:paraId="38E2BD97">
      <w:pPr>
        <w:shd w:val="clear" w:color="auto" w:fill="auto"/>
        <w:spacing w:line="360" w:lineRule="auto"/>
        <w:ind w:left="288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电</w:t>
      </w:r>
      <w:r>
        <w:rPr>
          <w:rFonts w:hint="eastAsia" w:ascii="宋体" w:hAnsi="宋体" w:cs="宋体"/>
          <w:b/>
          <w:bCs/>
          <w:color w:val="000000"/>
          <w:sz w:val="24"/>
          <w:szCs w:val="24"/>
          <w:highlight w:val="none"/>
        </w:rPr>
        <w:tab/>
      </w:r>
      <w:r>
        <w:rPr>
          <w:rFonts w:hint="eastAsia" w:ascii="宋体" w:hAnsi="宋体" w:cs="宋体"/>
          <w:b/>
          <w:bCs/>
          <w:color w:val="000000"/>
          <w:sz w:val="24"/>
          <w:szCs w:val="24"/>
          <w:highlight w:val="none"/>
        </w:rPr>
        <w:t>话：</w:t>
      </w:r>
      <w:r>
        <w:rPr>
          <w:rFonts w:hint="eastAsia" w:ascii="宋体" w:hAnsi="宋体" w:cs="宋体"/>
          <w:b/>
          <w:bCs/>
          <w:color w:val="000000"/>
          <w:sz w:val="24"/>
          <w:szCs w:val="24"/>
          <w:highlight w:val="none"/>
          <w:u w:val="single"/>
        </w:rPr>
        <w:t xml:space="preserve">                                           </w:t>
      </w:r>
    </w:p>
    <w:p w14:paraId="555BE0AE">
      <w:pPr>
        <w:shd w:val="clear" w:color="auto" w:fill="auto"/>
        <w:spacing w:line="360" w:lineRule="auto"/>
        <w:ind w:left="288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邮政编码：</w:t>
      </w:r>
      <w:r>
        <w:rPr>
          <w:rFonts w:hint="eastAsia" w:ascii="宋体" w:hAnsi="宋体" w:cs="宋体"/>
          <w:b/>
          <w:bCs/>
          <w:color w:val="000000"/>
          <w:sz w:val="24"/>
          <w:szCs w:val="24"/>
          <w:highlight w:val="none"/>
          <w:u w:val="single"/>
        </w:rPr>
        <w:t xml:space="preserve">                                         </w:t>
      </w:r>
    </w:p>
    <w:p w14:paraId="5B5C5634">
      <w:pPr>
        <w:shd w:val="clear" w:color="auto" w:fill="auto"/>
        <w:spacing w:line="360" w:lineRule="auto"/>
        <w:ind w:left="288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日  期：</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年</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月</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日</w:t>
      </w:r>
    </w:p>
    <w:p w14:paraId="5A41B0AB">
      <w:pPr>
        <w:shd w:val="clear" w:color="auto" w:fill="auto"/>
        <w:spacing w:line="360"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 </w:t>
      </w:r>
    </w:p>
    <w:p w14:paraId="28EDB6BE">
      <w:pPr>
        <w:shd w:val="clear" w:color="auto" w:fill="auto"/>
        <w:spacing w:line="240" w:lineRule="exact"/>
        <w:rPr>
          <w:rFonts w:hint="eastAsia" w:ascii="宋体" w:hAnsi="宋体" w:cs="宋体"/>
          <w:b/>
          <w:bCs/>
          <w:color w:val="000000"/>
          <w:sz w:val="44"/>
          <w:szCs w:val="44"/>
          <w:highlight w:val="none"/>
        </w:rPr>
      </w:pPr>
    </w:p>
    <w:p w14:paraId="182CEF84">
      <w:pPr>
        <w:widowControl/>
        <w:numPr>
          <w:ilvl w:val="0"/>
          <w:numId w:val="0"/>
        </w:numPr>
        <w:shd w:val="clear" w:color="auto" w:fill="auto"/>
        <w:autoSpaceDE w:val="0"/>
        <w:spacing w:before="0" w:after="0" w:line="360" w:lineRule="auto"/>
        <w:jc w:val="both"/>
        <w:outlineLvl w:val="9"/>
        <w:rPr>
          <w:rFonts w:hint="eastAsia" w:ascii="宋体" w:hAnsi="宋体" w:cs="宋体"/>
          <w:color w:val="000000"/>
          <w:sz w:val="24"/>
          <w:szCs w:val="24"/>
          <w:highlight w:val="yellow"/>
          <w:lang w:bidi="ar"/>
        </w:rPr>
      </w:pPr>
      <w:bookmarkStart w:id="270" w:name="_Toc17119"/>
      <w:bookmarkEnd w:id="270"/>
      <w:bookmarkStart w:id="271" w:name="_Toc13197"/>
    </w:p>
    <w:p w14:paraId="158143A6">
      <w:pPr>
        <w:pStyle w:val="14"/>
        <w:shd w:val="clear" w:color="auto" w:fill="auto"/>
        <w:rPr>
          <w:rFonts w:hint="eastAsia"/>
          <w:color w:val="000000"/>
          <w:highlight w:val="yellow"/>
        </w:rPr>
        <w:sectPr>
          <w:headerReference r:id="rId6" w:type="default"/>
          <w:footerReference r:id="rId7" w:type="default"/>
          <w:pgSz w:w="11906" w:h="16838"/>
          <w:pgMar w:top="1043" w:right="1026" w:bottom="1043" w:left="1026" w:header="720" w:footer="720" w:gutter="0"/>
          <w:pgBorders w:offsetFrom="page">
            <w:top w:val="none" w:sz="0" w:space="0"/>
            <w:left w:val="none" w:sz="0" w:space="0"/>
            <w:bottom w:val="none" w:sz="0" w:space="0"/>
            <w:right w:val="none" w:sz="0" w:space="0"/>
          </w:pgBorders>
          <w:pgNumType w:fmt="numberInDash" w:start="1"/>
          <w:cols w:space="708" w:num="1"/>
          <w:docGrid w:type="lines" w:linePitch="317" w:charSpace="0"/>
        </w:sectPr>
      </w:pPr>
    </w:p>
    <w:p w14:paraId="5E3E8B69">
      <w:pPr>
        <w:shd w:val="clear" w:color="auto" w:fill="auto"/>
        <w:jc w:val="center"/>
        <w:outlineLvl w:val="2"/>
        <w:rPr>
          <w:rFonts w:hint="eastAsia" w:ascii="宋体" w:hAnsi="宋体" w:cs="宋体"/>
          <w:color w:val="000000"/>
          <w:szCs w:val="28"/>
          <w:highlight w:val="none"/>
        </w:rPr>
      </w:pPr>
      <w:bookmarkStart w:id="272" w:name="_Toc39738920"/>
      <w:bookmarkStart w:id="273" w:name="_Toc57820050"/>
      <w:bookmarkStart w:id="274" w:name="_Toc1504"/>
      <w:bookmarkStart w:id="275" w:name="_Toc493600033"/>
      <w:bookmarkStart w:id="276" w:name="_Toc529275993"/>
      <w:bookmarkStart w:id="277" w:name="_Toc77166757"/>
      <w:bookmarkStart w:id="278" w:name="_Toc496521001"/>
      <w:bookmarkStart w:id="279" w:name="_Toc69912427"/>
      <w:bookmarkStart w:id="280" w:name="_Toc5186"/>
      <w:r>
        <w:rPr>
          <w:rFonts w:hint="eastAsia" w:ascii="宋体" w:hAnsi="宋体" w:cs="宋体"/>
          <w:b/>
          <w:bCs/>
          <w:color w:val="000000"/>
          <w:sz w:val="28"/>
          <w:szCs w:val="28"/>
          <w:highlight w:val="none"/>
          <w:lang w:val="en-US" w:eastAsia="zh-CN"/>
        </w:rPr>
        <w:t>三</w:t>
      </w:r>
      <w:r>
        <w:rPr>
          <w:rFonts w:hint="eastAsia" w:ascii="宋体" w:hAnsi="宋体" w:cs="宋体"/>
          <w:b/>
          <w:bCs/>
          <w:color w:val="000000"/>
          <w:sz w:val="28"/>
          <w:szCs w:val="28"/>
          <w:highlight w:val="none"/>
        </w:rPr>
        <w:t>、</w:t>
      </w:r>
      <w:bookmarkEnd w:id="272"/>
      <w:bookmarkEnd w:id="273"/>
      <w:bookmarkEnd w:id="274"/>
      <w:bookmarkEnd w:id="275"/>
      <w:bookmarkEnd w:id="276"/>
      <w:bookmarkEnd w:id="277"/>
      <w:bookmarkEnd w:id="278"/>
      <w:bookmarkEnd w:id="279"/>
      <w:r>
        <w:rPr>
          <w:rFonts w:hint="eastAsia" w:ascii="宋体" w:hAnsi="宋体" w:cs="宋体"/>
          <w:b/>
          <w:bCs/>
          <w:color w:val="000000"/>
          <w:sz w:val="28"/>
          <w:szCs w:val="28"/>
          <w:highlight w:val="none"/>
        </w:rPr>
        <w:t>法定代表人（单位负责人）身份证明</w:t>
      </w:r>
      <w:bookmarkEnd w:id="271"/>
      <w:r>
        <w:rPr>
          <w:rFonts w:hint="eastAsia" w:ascii="宋体" w:hAnsi="宋体" w:cs="宋体"/>
          <w:b/>
          <w:bCs/>
          <w:color w:val="000000"/>
          <w:sz w:val="28"/>
          <w:szCs w:val="28"/>
          <w:highlight w:val="none"/>
        </w:rPr>
        <w:t>书</w:t>
      </w:r>
      <w:bookmarkEnd w:id="280"/>
    </w:p>
    <w:p w14:paraId="2F04E908">
      <w:pPr>
        <w:shd w:val="clear" w:color="auto" w:fill="auto"/>
        <w:spacing w:line="200" w:lineRule="exact"/>
        <w:rPr>
          <w:rFonts w:hint="eastAsia" w:ascii="宋体" w:hAnsi="宋体" w:cs="宋体"/>
          <w:color w:val="000000"/>
          <w:highlight w:val="none"/>
        </w:rPr>
      </w:pPr>
      <w:r>
        <w:rPr>
          <w:rFonts w:hint="eastAsia" w:ascii="宋体" w:hAnsi="宋体" w:cs="宋体"/>
          <w:color w:val="000000"/>
          <w:highlight w:val="none"/>
        </w:rPr>
        <w:t xml:space="preserve"> </w:t>
      </w:r>
    </w:p>
    <w:p w14:paraId="13644349">
      <w:pPr>
        <w:shd w:val="clear" w:color="auto" w:fill="auto"/>
        <w:spacing w:line="200" w:lineRule="exact"/>
        <w:rPr>
          <w:rFonts w:hint="eastAsia" w:ascii="宋体" w:hAnsi="宋体" w:cs="宋体"/>
          <w:color w:val="000000"/>
          <w:highlight w:val="none"/>
        </w:rPr>
      </w:pPr>
      <w:r>
        <w:rPr>
          <w:rFonts w:hint="eastAsia" w:ascii="宋体" w:hAnsi="宋体" w:cs="宋体"/>
          <w:color w:val="000000"/>
          <w:highlight w:val="none"/>
        </w:rPr>
        <w:t xml:space="preserve"> </w:t>
      </w:r>
    </w:p>
    <w:p w14:paraId="4F52CDCA">
      <w:pPr>
        <w:shd w:val="clear" w:color="auto" w:fill="auto"/>
        <w:spacing w:line="200" w:lineRule="exact"/>
        <w:rPr>
          <w:rFonts w:hint="eastAsia" w:ascii="宋体" w:hAnsi="宋体" w:cs="宋体"/>
          <w:color w:val="000000"/>
          <w:highlight w:val="none"/>
        </w:rPr>
      </w:pPr>
      <w:r>
        <w:rPr>
          <w:rFonts w:hint="eastAsia" w:ascii="宋体" w:hAnsi="宋体" w:cs="宋体"/>
          <w:color w:val="000000"/>
          <w:highlight w:val="none"/>
        </w:rPr>
        <w:t xml:space="preserve"> </w:t>
      </w:r>
    </w:p>
    <w:p w14:paraId="13EE3C6A">
      <w:pPr>
        <w:shd w:val="clear" w:color="auto" w:fill="auto"/>
        <w:autoSpaceDE w:val="0"/>
        <w:autoSpaceDN w:val="0"/>
        <w:adjustRightIn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投标人名称：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73A8058B">
      <w:pPr>
        <w:shd w:val="clear" w:color="auto" w:fill="auto"/>
        <w:autoSpaceDE w:val="0"/>
        <w:autoSpaceDN w:val="0"/>
        <w:adjustRightIn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单位性质：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w:t>
      </w:r>
    </w:p>
    <w:p w14:paraId="3F38420C">
      <w:pPr>
        <w:shd w:val="clear" w:color="auto" w:fill="auto"/>
        <w:autoSpaceDE w:val="0"/>
        <w:autoSpaceDN w:val="0"/>
        <w:adjustRightIn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地    址：</w:t>
      </w:r>
      <w:r>
        <w:rPr>
          <w:rFonts w:hint="eastAsia" w:ascii="宋体" w:hAnsi="宋体" w:cs="宋体"/>
          <w:color w:val="000000"/>
          <w:sz w:val="24"/>
          <w:highlight w:val="none"/>
          <w:u w:val="single"/>
        </w:rPr>
        <w:t xml:space="preserve">                        </w:t>
      </w:r>
    </w:p>
    <w:p w14:paraId="59DF725E">
      <w:pPr>
        <w:shd w:val="clear" w:color="auto" w:fill="auto"/>
        <w:autoSpaceDE w:val="0"/>
        <w:autoSpaceDN w:val="0"/>
        <w:adjustRightIn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成立时间：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p w14:paraId="0AB112A6">
      <w:pPr>
        <w:shd w:val="clear" w:color="auto" w:fill="auto"/>
        <w:autoSpaceDE w:val="0"/>
        <w:autoSpaceDN w:val="0"/>
        <w:adjustRightInd w:val="0"/>
        <w:spacing w:line="360" w:lineRule="auto"/>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经营期限：</w:t>
      </w:r>
      <w:r>
        <w:rPr>
          <w:rFonts w:hint="eastAsia" w:ascii="宋体" w:hAnsi="宋体" w:cs="宋体"/>
          <w:color w:val="000000"/>
          <w:sz w:val="24"/>
          <w:highlight w:val="none"/>
          <w:u w:val="single"/>
        </w:rPr>
        <w:t xml:space="preserve">                         </w:t>
      </w:r>
    </w:p>
    <w:p w14:paraId="1784B740">
      <w:pPr>
        <w:shd w:val="clear" w:color="auto" w:fill="auto"/>
        <w:spacing w:line="360" w:lineRule="auto"/>
        <w:ind w:firstLine="480" w:firstLineChars="200"/>
        <w:rPr>
          <w:rFonts w:hint="eastAsia" w:ascii="宋体" w:hAnsi="宋体" w:cs="宋体"/>
          <w:color w:val="000000"/>
          <w:sz w:val="24"/>
          <w:szCs w:val="24"/>
          <w:highlight w:val="none"/>
        </w:rPr>
      </w:pPr>
    </w:p>
    <w:p w14:paraId="443A9E13">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姓名：</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性别：</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年龄：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职务：</w:t>
      </w:r>
      <w:r>
        <w:rPr>
          <w:rFonts w:hint="eastAsia" w:ascii="宋体" w:hAnsi="宋体" w:cs="宋体"/>
          <w:color w:val="000000"/>
          <w:sz w:val="24"/>
          <w:szCs w:val="24"/>
          <w:highlight w:val="none"/>
          <w:u w:val="single"/>
        </w:rPr>
        <w:t xml:space="preserve">          </w:t>
      </w:r>
    </w:p>
    <w:p w14:paraId="20C9B22C">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系</w:t>
      </w:r>
      <w:r>
        <w:rPr>
          <w:rFonts w:hint="eastAsia" w:ascii="宋体" w:hAnsi="宋体" w:cs="宋体"/>
          <w:color w:val="000000"/>
          <w:sz w:val="24"/>
          <w:szCs w:val="24"/>
          <w:highlight w:val="none"/>
          <w:u w:val="single"/>
        </w:rPr>
        <w:tab/>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（投标人名称）的法定代表人（单位负责人）。</w:t>
      </w:r>
    </w:p>
    <w:p w14:paraId="404158A6">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特此证明。</w:t>
      </w:r>
    </w:p>
    <w:p w14:paraId="3CF34F5F">
      <w:pPr>
        <w:shd w:val="clear" w:color="auto" w:fill="auto"/>
        <w:spacing w:line="48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p>
    <w:p w14:paraId="3B0342CC">
      <w:pPr>
        <w:shd w:val="clear" w:color="auto" w:fill="auto"/>
        <w:spacing w:line="48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附：法定代表人（单位负责人）身份证扫描件。</w:t>
      </w:r>
    </w:p>
    <w:p w14:paraId="7462AAD8">
      <w:pPr>
        <w:shd w:val="clear" w:color="auto" w:fill="auto"/>
        <w:spacing w:line="360" w:lineRule="auto"/>
        <w:ind w:left="4480"/>
        <w:jc w:val="both"/>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p>
    <w:p w14:paraId="386B0AFA">
      <w:pPr>
        <w:shd w:val="clear" w:color="auto" w:fill="auto"/>
        <w:spacing w:line="360" w:lineRule="auto"/>
        <w:ind w:left="4480"/>
        <w:jc w:val="both"/>
        <w:rPr>
          <w:rFonts w:hint="eastAsia" w:ascii="宋体" w:hAnsi="宋体" w:cs="宋体"/>
          <w:b/>
          <w:color w:val="000000"/>
          <w:sz w:val="24"/>
          <w:szCs w:val="24"/>
          <w:highlight w:val="none"/>
        </w:rPr>
      </w:pPr>
      <w:r>
        <w:rPr>
          <w:rFonts w:hint="eastAsia" w:ascii="宋体" w:hAnsi="宋体" w:cs="宋体"/>
          <w:b/>
          <w:color w:val="000000"/>
          <w:sz w:val="24"/>
          <w:szCs w:val="24"/>
          <w:highlight w:val="none"/>
        </w:rPr>
        <w:t>投标人：</w:t>
      </w:r>
      <w:r>
        <w:rPr>
          <w:rFonts w:hint="eastAsia" w:ascii="宋体" w:hAnsi="宋体" w:cs="宋体"/>
          <w:b/>
          <w:color w:val="000000"/>
          <w:sz w:val="24"/>
          <w:szCs w:val="24"/>
          <w:highlight w:val="none"/>
          <w:u w:val="single"/>
        </w:rPr>
        <w:tab/>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（电子签章）</w:t>
      </w:r>
    </w:p>
    <w:p w14:paraId="445DB455">
      <w:pPr>
        <w:shd w:val="clear" w:color="auto" w:fill="auto"/>
        <w:spacing w:line="2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p>
    <w:p w14:paraId="0E2BFF71">
      <w:pPr>
        <w:shd w:val="clear" w:color="auto" w:fill="auto"/>
        <w:spacing w:line="2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p>
    <w:p w14:paraId="0E9F4F23">
      <w:pPr>
        <w:shd w:val="clear" w:color="auto" w:fill="auto"/>
        <w:spacing w:line="2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p>
    <w:p w14:paraId="3FA484EB">
      <w:pPr>
        <w:shd w:val="clear" w:color="auto" w:fill="auto"/>
        <w:wordWrap w:val="0"/>
        <w:ind w:right="480"/>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w:t>
      </w:r>
    </w:p>
    <w:p w14:paraId="54AB1C34">
      <w:pPr>
        <w:shd w:val="clear" w:color="auto" w:fill="auto"/>
        <w:wordWrap w:val="0"/>
        <w:ind w:right="480"/>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                       日  期：</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日</w:t>
      </w:r>
    </w:p>
    <w:p w14:paraId="20E3C55B">
      <w:pPr>
        <w:shd w:val="clear" w:color="auto" w:fill="auto"/>
        <w:spacing w:line="360" w:lineRule="auto"/>
        <w:ind w:firstLine="5760" w:firstLineChars="240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p>
    <w:p w14:paraId="34A8CFF6">
      <w:pPr>
        <w:shd w:val="clear" w:color="auto" w:fill="auto"/>
        <w:spacing w:line="20" w:lineRule="exact"/>
        <w:rPr>
          <w:rFonts w:hint="eastAsia" w:ascii="宋体" w:hAnsi="宋体" w:cs="宋体"/>
          <w:b/>
          <w:bCs/>
          <w:color w:val="000000"/>
          <w:sz w:val="44"/>
          <w:szCs w:val="44"/>
          <w:highlight w:val="none"/>
        </w:rPr>
      </w:pPr>
      <w:r>
        <w:rPr>
          <w:rFonts w:hint="eastAsia" w:ascii="宋体" w:hAnsi="宋体" w:cs="宋体"/>
          <w:color w:val="000000"/>
          <w:highlight w:val="none"/>
        </w:rPr>
        <w:t xml:space="preserve"> </w:t>
      </w: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15D0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766988B0">
            <w:pPr>
              <w:widowControl w:val="0"/>
              <w:shd w:val="clear" w:color="auto" w:fill="auto"/>
              <w:spacing w:before="317" w:beforeLines="100" w:after="317" w:afterLines="100" w:line="600" w:lineRule="exact"/>
              <w:jc w:val="center"/>
              <w:rPr>
                <w:rFonts w:hint="eastAsia" w:ascii="宋体" w:hAnsi="宋体" w:cs="宋体"/>
                <w:color w:val="000000"/>
                <w:highlight w:val="none"/>
              </w:rPr>
            </w:pPr>
            <w:bookmarkStart w:id="281" w:name="_Toc31847"/>
            <w:bookmarkEnd w:id="281"/>
            <w:bookmarkStart w:id="282" w:name="_Toc15398"/>
            <w:bookmarkEnd w:id="282"/>
            <w:bookmarkStart w:id="283" w:name="_Toc23744"/>
            <w:r>
              <w:rPr>
                <w:rFonts w:hint="eastAsia" w:ascii="宋体" w:hAnsi="宋体" w:cs="宋体"/>
                <w:color w:val="000000"/>
                <w:sz w:val="24"/>
                <w:szCs w:val="24"/>
                <w:highlight w:val="none"/>
              </w:rPr>
              <w:t>法定代表人（单位负责人）身份证正面</w:t>
            </w:r>
          </w:p>
        </w:tc>
        <w:tc>
          <w:tcPr>
            <w:tcW w:w="4814" w:type="dxa"/>
            <w:vAlign w:val="center"/>
          </w:tcPr>
          <w:p w14:paraId="3FCD0CFC">
            <w:pPr>
              <w:widowControl w:val="0"/>
              <w:shd w:val="clear" w:color="auto" w:fill="auto"/>
              <w:spacing w:before="317" w:beforeLines="100" w:after="317" w:afterLines="100" w:line="600" w:lineRule="exact"/>
              <w:jc w:val="center"/>
              <w:rPr>
                <w:rFonts w:hint="eastAsia" w:ascii="宋体" w:hAnsi="宋体" w:cs="宋体"/>
                <w:color w:val="000000"/>
                <w:highlight w:val="none"/>
              </w:rPr>
            </w:pPr>
            <w:r>
              <w:rPr>
                <w:rFonts w:hint="eastAsia" w:ascii="宋体" w:hAnsi="宋体" w:cs="宋体"/>
                <w:color w:val="000000"/>
                <w:sz w:val="24"/>
                <w:szCs w:val="24"/>
                <w:highlight w:val="none"/>
              </w:rPr>
              <w:t>法定代表人（单位负责人）身份证反面</w:t>
            </w:r>
          </w:p>
        </w:tc>
      </w:tr>
    </w:tbl>
    <w:p w14:paraId="11411543">
      <w:pPr>
        <w:pStyle w:val="4"/>
        <w:widowControl/>
        <w:shd w:val="clear" w:color="auto" w:fill="auto"/>
        <w:autoSpaceDE w:val="0"/>
        <w:spacing w:before="0" w:after="0" w:line="360" w:lineRule="auto"/>
        <w:ind w:firstLine="562" w:firstLineChars="200"/>
        <w:rPr>
          <w:rFonts w:hint="eastAsia" w:ascii="宋体" w:hAnsi="宋体" w:cs="宋体"/>
          <w:color w:val="000000"/>
          <w:szCs w:val="28"/>
          <w:highlight w:val="none"/>
        </w:rPr>
      </w:pPr>
      <w:r>
        <w:rPr>
          <w:rFonts w:hint="eastAsia" w:ascii="宋体" w:hAnsi="宋体" w:cs="宋体"/>
          <w:color w:val="000000"/>
          <w:szCs w:val="28"/>
          <w:highlight w:val="none"/>
        </w:rPr>
        <w:br w:type="page"/>
      </w:r>
      <w:bookmarkStart w:id="284" w:name="_Toc30944"/>
      <w:r>
        <w:rPr>
          <w:rFonts w:hint="eastAsia" w:ascii="宋体" w:hAnsi="宋体" w:cs="宋体"/>
          <w:color w:val="000000"/>
          <w:szCs w:val="28"/>
          <w:highlight w:val="none"/>
          <w:lang w:val="en-US" w:eastAsia="zh-CN"/>
        </w:rPr>
        <w:t>四</w:t>
      </w:r>
      <w:r>
        <w:rPr>
          <w:rFonts w:hint="eastAsia" w:ascii="宋体" w:hAnsi="宋体" w:cs="宋体"/>
          <w:color w:val="000000"/>
          <w:szCs w:val="28"/>
          <w:highlight w:val="none"/>
        </w:rPr>
        <w:t>、授权委托书</w:t>
      </w:r>
      <w:bookmarkEnd w:id="283"/>
      <w:bookmarkEnd w:id="284"/>
    </w:p>
    <w:p w14:paraId="45808A25">
      <w:pPr>
        <w:shd w:val="clear" w:color="auto" w:fill="auto"/>
        <w:spacing w:line="200" w:lineRule="exact"/>
        <w:rPr>
          <w:rFonts w:hint="eastAsia" w:ascii="宋体" w:hAnsi="宋体" w:cs="宋体"/>
          <w:color w:val="000000"/>
          <w:highlight w:val="none"/>
        </w:rPr>
      </w:pPr>
      <w:r>
        <w:rPr>
          <w:rFonts w:hint="eastAsia" w:ascii="宋体" w:hAnsi="宋体" w:cs="宋体"/>
          <w:color w:val="000000"/>
          <w:highlight w:val="none"/>
        </w:rPr>
        <w:t xml:space="preserve"> </w:t>
      </w:r>
    </w:p>
    <w:p w14:paraId="488B1282">
      <w:pPr>
        <w:shd w:val="clear" w:color="auto" w:fill="auto"/>
        <w:spacing w:line="200" w:lineRule="exact"/>
        <w:rPr>
          <w:rFonts w:hint="eastAsia" w:ascii="宋体" w:hAnsi="宋体" w:cs="宋体"/>
          <w:color w:val="000000"/>
          <w:highlight w:val="none"/>
        </w:rPr>
      </w:pPr>
      <w:r>
        <w:rPr>
          <w:rFonts w:hint="eastAsia" w:ascii="宋体" w:hAnsi="宋体" w:cs="宋体"/>
          <w:color w:val="000000"/>
          <w:highlight w:val="none"/>
        </w:rPr>
        <w:t xml:space="preserve"> </w:t>
      </w:r>
    </w:p>
    <w:p w14:paraId="12CE2D95">
      <w:pPr>
        <w:shd w:val="clear" w:color="auto" w:fill="auto"/>
        <w:spacing w:line="48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本人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（姓名）系</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（投标人名称）的法定代表人（单位负责人），现委托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（姓名）为我方代理人。代理人根据授权，以我方名义签署、澄清、说明、补正、递交、撤回、修改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（项目名称</w:t>
      </w:r>
      <w:r>
        <w:rPr>
          <w:rFonts w:hint="eastAsia" w:ascii="宋体" w:hAnsi="宋体" w:cs="宋体"/>
          <w:color w:val="000000"/>
          <w:sz w:val="24"/>
          <w:szCs w:val="24"/>
          <w:highlight w:val="none"/>
          <w:lang w:val="en-US" w:eastAsia="zh-CN"/>
        </w:rPr>
        <w:t>及标段号</w:t>
      </w:r>
      <w:r>
        <w:rPr>
          <w:rFonts w:hint="eastAsia" w:ascii="宋体" w:hAnsi="宋体" w:cs="宋体"/>
          <w:color w:val="000000"/>
          <w:sz w:val="24"/>
          <w:szCs w:val="24"/>
          <w:highlight w:val="none"/>
        </w:rPr>
        <w:t>）投标文件、签订合同和处理有关事宜，其法律后果由我方承担。</w:t>
      </w:r>
    </w:p>
    <w:p w14:paraId="6271C3A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代理人无转委托权。</w:t>
      </w:r>
    </w:p>
    <w:p w14:paraId="1F73E7A1">
      <w:pPr>
        <w:shd w:val="clear" w:color="auto" w:fill="auto"/>
        <w:spacing w:line="360" w:lineRule="auto"/>
        <w:ind w:firstLine="480" w:firstLineChars="200"/>
        <w:rPr>
          <w:rFonts w:hint="eastAsia" w:ascii="宋体" w:hAnsi="宋体" w:cs="宋体"/>
          <w:color w:val="000000"/>
          <w:sz w:val="24"/>
          <w:szCs w:val="24"/>
          <w:highlight w:val="none"/>
        </w:rPr>
      </w:pPr>
    </w:p>
    <w:p w14:paraId="526912EC">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附：委托代理人身份证扫描件</w:t>
      </w:r>
    </w:p>
    <w:p w14:paraId="24D2BB7E">
      <w:pPr>
        <w:shd w:val="clear" w:color="auto" w:fill="auto"/>
        <w:spacing w:before="468" w:line="360" w:lineRule="auto"/>
        <w:ind w:firstLine="3373" w:firstLineChars="1400"/>
        <w:rPr>
          <w:rFonts w:hint="eastAsia" w:ascii="宋体" w:hAnsi="宋体" w:cs="宋体"/>
          <w:b/>
          <w:color w:val="000000"/>
          <w:sz w:val="24"/>
          <w:szCs w:val="24"/>
          <w:highlight w:val="none"/>
        </w:rPr>
      </w:pPr>
      <w:r>
        <w:rPr>
          <w:rFonts w:hint="eastAsia" w:ascii="宋体" w:hAnsi="宋体" w:cs="宋体"/>
          <w:b/>
          <w:color w:val="000000"/>
          <w:sz w:val="24"/>
          <w:szCs w:val="24"/>
          <w:highlight w:val="none"/>
        </w:rPr>
        <w:t>投 标 人：</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（电子签章）</w:t>
      </w:r>
    </w:p>
    <w:p w14:paraId="350968EC">
      <w:pPr>
        <w:shd w:val="clear" w:color="auto" w:fill="auto"/>
        <w:spacing w:before="468" w:line="360" w:lineRule="auto"/>
        <w:ind w:firstLine="3373" w:firstLineChars="1400"/>
        <w:rPr>
          <w:rFonts w:hint="eastAsia" w:ascii="宋体" w:hAnsi="宋体" w:cs="宋体"/>
          <w:b/>
          <w:color w:val="000000"/>
          <w:sz w:val="24"/>
          <w:szCs w:val="24"/>
          <w:highlight w:val="none"/>
        </w:rPr>
      </w:pPr>
      <w:r>
        <w:rPr>
          <w:rFonts w:hint="eastAsia" w:ascii="宋体" w:hAnsi="宋体" w:cs="宋体"/>
          <w:b/>
          <w:color w:val="000000"/>
          <w:sz w:val="24"/>
          <w:szCs w:val="24"/>
          <w:highlight w:val="none"/>
        </w:rPr>
        <w:t>法定代表人（单位负责人）：</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（电子签章或电子签名）</w:t>
      </w:r>
    </w:p>
    <w:p w14:paraId="35EAA657">
      <w:pPr>
        <w:shd w:val="clear" w:color="auto" w:fill="auto"/>
        <w:autoSpaceDE w:val="0"/>
        <w:autoSpaceDN w:val="0"/>
        <w:adjustRightInd w:val="0"/>
        <w:spacing w:line="360" w:lineRule="auto"/>
        <w:ind w:firstLine="3373" w:firstLineChars="1400"/>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rPr>
        <w:t>身份证号码：</w:t>
      </w:r>
      <w:r>
        <w:rPr>
          <w:rFonts w:hint="eastAsia" w:ascii="宋体" w:hAnsi="宋体" w:cs="宋体"/>
          <w:b/>
          <w:bCs/>
          <w:color w:val="000000"/>
          <w:sz w:val="24"/>
          <w:szCs w:val="24"/>
          <w:highlight w:val="none"/>
          <w:u w:val="single"/>
        </w:rPr>
        <w:t xml:space="preserve">                            </w:t>
      </w:r>
    </w:p>
    <w:p w14:paraId="08792521">
      <w:pPr>
        <w:shd w:val="clear" w:color="auto" w:fill="auto"/>
        <w:spacing w:before="468" w:line="360" w:lineRule="auto"/>
        <w:ind w:firstLine="3373" w:firstLineChars="1400"/>
        <w:rPr>
          <w:rFonts w:hint="eastAsia" w:ascii="宋体" w:hAnsi="宋体" w:cs="宋体"/>
          <w:b/>
          <w:color w:val="000000"/>
          <w:sz w:val="24"/>
          <w:szCs w:val="24"/>
          <w:highlight w:val="none"/>
        </w:rPr>
      </w:pPr>
      <w:r>
        <w:rPr>
          <w:rFonts w:hint="eastAsia" w:ascii="宋体" w:hAnsi="宋体" w:cs="宋体"/>
          <w:b/>
          <w:color w:val="000000"/>
          <w:sz w:val="24"/>
          <w:szCs w:val="24"/>
          <w:highlight w:val="none"/>
        </w:rPr>
        <w:t>委托代理人（姓名）：</w:t>
      </w:r>
      <w:r>
        <w:rPr>
          <w:rFonts w:hint="eastAsia" w:ascii="宋体" w:hAnsi="宋体" w:cs="宋体"/>
          <w:b/>
          <w:color w:val="000000"/>
          <w:sz w:val="24"/>
          <w:szCs w:val="24"/>
          <w:highlight w:val="none"/>
          <w:u w:val="single"/>
        </w:rPr>
        <w:t xml:space="preserve">                       </w:t>
      </w:r>
    </w:p>
    <w:p w14:paraId="148D783A">
      <w:pPr>
        <w:shd w:val="clear" w:color="auto" w:fill="auto"/>
        <w:autoSpaceDE w:val="0"/>
        <w:autoSpaceDN w:val="0"/>
        <w:adjustRightInd w:val="0"/>
        <w:spacing w:line="360" w:lineRule="auto"/>
        <w:ind w:firstLine="3373" w:firstLineChars="1400"/>
        <w:rPr>
          <w:rFonts w:hint="eastAsia" w:ascii="宋体" w:hAnsi="宋体" w:cs="宋体"/>
          <w:color w:val="000000"/>
          <w:highlight w:val="none"/>
        </w:rPr>
      </w:pPr>
      <w:r>
        <w:rPr>
          <w:rFonts w:hint="eastAsia" w:ascii="宋体" w:hAnsi="宋体" w:cs="宋体"/>
          <w:b/>
          <w:bCs/>
          <w:color w:val="000000"/>
          <w:sz w:val="24"/>
          <w:highlight w:val="none"/>
        </w:rPr>
        <w:t>身份证号码：</w:t>
      </w:r>
      <w:r>
        <w:rPr>
          <w:rFonts w:hint="eastAsia" w:ascii="宋体" w:hAnsi="宋体" w:cs="宋体"/>
          <w:b/>
          <w:bCs/>
          <w:color w:val="000000"/>
          <w:sz w:val="24"/>
          <w:highlight w:val="none"/>
          <w:u w:val="single"/>
        </w:rPr>
        <w:t xml:space="preserve">                            </w:t>
      </w:r>
    </w:p>
    <w:p w14:paraId="34EFB102">
      <w:pPr>
        <w:shd w:val="clear" w:color="auto" w:fill="auto"/>
        <w:spacing w:before="468" w:line="360" w:lineRule="auto"/>
        <w:ind w:firstLine="3373" w:firstLineChars="1400"/>
        <w:rPr>
          <w:rFonts w:hint="eastAsia" w:ascii="宋体" w:hAnsi="宋体" w:cs="宋体"/>
          <w:b/>
          <w:color w:val="000000"/>
          <w:sz w:val="24"/>
          <w:szCs w:val="24"/>
          <w:highlight w:val="none"/>
        </w:rPr>
      </w:pPr>
      <w:r>
        <w:rPr>
          <w:rFonts w:hint="eastAsia" w:ascii="宋体" w:hAnsi="宋体" w:cs="宋体"/>
          <w:b/>
          <w:color w:val="000000"/>
          <w:sz w:val="24"/>
          <w:szCs w:val="24"/>
          <w:highlight w:val="none"/>
        </w:rPr>
        <w:t>日期：</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年</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月</w:t>
      </w:r>
      <w:r>
        <w:rPr>
          <w:rFonts w:hint="eastAsia" w:ascii="宋体" w:hAnsi="宋体" w:cs="宋体"/>
          <w:b/>
          <w:color w:val="000000"/>
          <w:sz w:val="24"/>
          <w:szCs w:val="24"/>
          <w:highlight w:val="none"/>
          <w:u w:val="single"/>
        </w:rPr>
        <w:t xml:space="preserve">    </w:t>
      </w:r>
      <w:r>
        <w:rPr>
          <w:rFonts w:hint="eastAsia" w:ascii="宋体" w:hAnsi="宋体" w:cs="宋体"/>
          <w:b/>
          <w:color w:val="000000"/>
          <w:sz w:val="24"/>
          <w:szCs w:val="24"/>
          <w:highlight w:val="none"/>
        </w:rPr>
        <w:t>日</w:t>
      </w:r>
    </w:p>
    <w:p w14:paraId="393A1988">
      <w:pPr>
        <w:shd w:val="clear" w:color="auto" w:fill="auto"/>
        <w:ind w:right="480"/>
        <w:rPr>
          <w:rFonts w:hint="eastAsia" w:ascii="宋体" w:hAnsi="宋体" w:cs="宋体"/>
          <w:color w:val="000000"/>
          <w:sz w:val="24"/>
          <w:szCs w:val="24"/>
          <w:highlight w:val="none"/>
        </w:rPr>
      </w:pPr>
    </w:p>
    <w:tbl>
      <w:tblPr>
        <w:tblStyle w:val="3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3"/>
        <w:gridCol w:w="4814"/>
      </w:tblGrid>
      <w:tr w14:paraId="70590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6" w:hRule="atLeast"/>
        </w:trPr>
        <w:tc>
          <w:tcPr>
            <w:tcW w:w="4813" w:type="dxa"/>
            <w:vAlign w:val="center"/>
          </w:tcPr>
          <w:p w14:paraId="4E7A6ECF">
            <w:pPr>
              <w:widowControl w:val="0"/>
              <w:shd w:val="clear" w:color="auto" w:fill="auto"/>
              <w:spacing w:before="317" w:beforeLines="100" w:after="317" w:afterLines="100" w:line="600" w:lineRule="exact"/>
              <w:jc w:val="center"/>
              <w:rPr>
                <w:rFonts w:hint="eastAsia" w:ascii="宋体" w:hAnsi="宋体" w:cs="宋体"/>
                <w:color w:val="000000"/>
                <w:highlight w:val="none"/>
              </w:rPr>
            </w:pPr>
            <w:r>
              <w:rPr>
                <w:rFonts w:hint="eastAsia" w:ascii="宋体" w:hAnsi="宋体" w:cs="宋体"/>
                <w:color w:val="000000"/>
                <w:sz w:val="24"/>
                <w:szCs w:val="24"/>
                <w:highlight w:val="none"/>
              </w:rPr>
              <w:t>代理人身份证正面</w:t>
            </w:r>
          </w:p>
        </w:tc>
        <w:tc>
          <w:tcPr>
            <w:tcW w:w="4814" w:type="dxa"/>
            <w:vAlign w:val="center"/>
          </w:tcPr>
          <w:p w14:paraId="5D80DDFF">
            <w:pPr>
              <w:widowControl w:val="0"/>
              <w:shd w:val="clear" w:color="auto" w:fill="auto"/>
              <w:spacing w:before="317" w:beforeLines="100" w:after="317" w:afterLines="100" w:line="600" w:lineRule="exact"/>
              <w:jc w:val="center"/>
              <w:rPr>
                <w:rFonts w:hint="eastAsia" w:ascii="宋体" w:hAnsi="宋体" w:cs="宋体"/>
                <w:color w:val="000000"/>
                <w:highlight w:val="none"/>
              </w:rPr>
            </w:pPr>
            <w:r>
              <w:rPr>
                <w:rFonts w:hint="eastAsia" w:ascii="宋体" w:hAnsi="宋体" w:cs="宋体"/>
                <w:color w:val="000000"/>
                <w:sz w:val="24"/>
                <w:szCs w:val="24"/>
                <w:highlight w:val="none"/>
              </w:rPr>
              <w:t>代理人身份证反面</w:t>
            </w:r>
          </w:p>
        </w:tc>
      </w:tr>
    </w:tbl>
    <w:p w14:paraId="1EBB4A3E">
      <w:pPr>
        <w:shd w:val="clear" w:color="auto" w:fill="auto"/>
        <w:spacing w:line="240" w:lineRule="exact"/>
        <w:rPr>
          <w:rFonts w:hint="eastAsia" w:ascii="宋体" w:hAnsi="宋体" w:cs="宋体"/>
          <w:b/>
          <w:bCs/>
          <w:color w:val="000000"/>
          <w:sz w:val="44"/>
          <w:szCs w:val="44"/>
          <w:highlight w:val="none"/>
        </w:rPr>
      </w:pPr>
    </w:p>
    <w:p w14:paraId="05ED5845">
      <w:pPr>
        <w:shd w:val="clear" w:color="auto" w:fill="auto"/>
        <w:spacing w:line="240" w:lineRule="exact"/>
        <w:rPr>
          <w:rFonts w:hint="eastAsia" w:ascii="宋体" w:hAnsi="宋体" w:cs="宋体"/>
          <w:b/>
          <w:bCs/>
          <w:color w:val="000000"/>
          <w:sz w:val="44"/>
          <w:szCs w:val="44"/>
          <w:highlight w:val="none"/>
        </w:rPr>
      </w:pPr>
    </w:p>
    <w:p w14:paraId="2882B0FD">
      <w:pPr>
        <w:shd w:val="clear" w:color="auto" w:fill="auto"/>
        <w:spacing w:line="240" w:lineRule="exact"/>
        <w:rPr>
          <w:rFonts w:hint="eastAsia" w:ascii="宋体" w:hAnsi="宋体" w:cs="宋体"/>
          <w:b/>
          <w:bCs/>
          <w:color w:val="000000"/>
          <w:sz w:val="44"/>
          <w:szCs w:val="44"/>
          <w:highlight w:val="none"/>
        </w:rPr>
      </w:pPr>
    </w:p>
    <w:p w14:paraId="1D6EC723">
      <w:pPr>
        <w:shd w:val="clear" w:color="auto" w:fill="auto"/>
        <w:spacing w:line="240" w:lineRule="exact"/>
        <w:rPr>
          <w:rFonts w:hint="eastAsia" w:ascii="宋体" w:hAnsi="宋体" w:cs="宋体"/>
          <w:b/>
          <w:bCs/>
          <w:color w:val="000000"/>
          <w:sz w:val="44"/>
          <w:szCs w:val="44"/>
          <w:highlight w:val="none"/>
        </w:rPr>
      </w:pPr>
    </w:p>
    <w:p w14:paraId="00FCF1A5">
      <w:pPr>
        <w:shd w:val="clear" w:color="auto" w:fill="auto"/>
        <w:autoSpaceDE w:val="0"/>
        <w:spacing w:line="360" w:lineRule="auto"/>
        <w:rPr>
          <w:rFonts w:hint="eastAsia" w:ascii="宋体" w:hAnsi="宋体" w:cs="宋体"/>
          <w:color w:val="000000"/>
          <w:sz w:val="24"/>
          <w:szCs w:val="24"/>
          <w:highlight w:val="none"/>
        </w:rPr>
      </w:pPr>
      <w:bookmarkStart w:id="285" w:name="_Toc26620"/>
      <w:bookmarkEnd w:id="285"/>
      <w:bookmarkStart w:id="286" w:name="_Toc10343"/>
      <w:bookmarkStart w:id="287" w:name="_Toc19510"/>
      <w:r>
        <w:rPr>
          <w:rFonts w:hint="eastAsia" w:ascii="宋体" w:hAnsi="宋体" w:cs="宋体"/>
          <w:color w:val="000000"/>
          <w:szCs w:val="28"/>
          <w:highlight w:val="none"/>
          <w:lang w:val="en-US" w:eastAsia="zh-CN"/>
        </w:rPr>
        <w:t>五</w:t>
      </w:r>
      <w:r>
        <w:rPr>
          <w:rFonts w:hint="eastAsia" w:ascii="宋体" w:hAnsi="宋体" w:cs="宋体"/>
          <w:color w:val="000000"/>
          <w:szCs w:val="28"/>
          <w:highlight w:val="none"/>
        </w:rPr>
        <w:t>、</w:t>
      </w:r>
      <w:bookmarkEnd w:id="286"/>
      <w:bookmarkEnd w:id="287"/>
      <w:bookmarkStart w:id="288" w:name="_Toc25271"/>
      <w:bookmarkEnd w:id="288"/>
    </w:p>
    <w:p w14:paraId="5C03DF73">
      <w:pPr>
        <w:shd w:val="clear" w:color="auto" w:fill="auto"/>
        <w:autoSpaceDE w:val="0"/>
        <w:spacing w:line="360" w:lineRule="auto"/>
        <w:rPr>
          <w:rFonts w:ascii="宋体" w:hAnsi="宋体" w:cs="宋体"/>
          <w:color w:val="000000"/>
          <w:sz w:val="24"/>
          <w:szCs w:val="24"/>
          <w:highlight w:val="none"/>
        </w:rPr>
      </w:pPr>
      <w:bookmarkStart w:id="289" w:name="_Toc23543"/>
      <w:bookmarkEnd w:id="289"/>
    </w:p>
    <w:p w14:paraId="7E70E2C8">
      <w:pPr>
        <w:shd w:val="clear" w:color="auto" w:fill="auto"/>
        <w:autoSpaceDE w:val="0"/>
        <w:spacing w:line="360" w:lineRule="auto"/>
        <w:jc w:val="center"/>
        <w:outlineLvl w:val="2"/>
        <w:rPr>
          <w:rFonts w:hint="eastAsia" w:ascii="宋体" w:hAnsi="宋体" w:cs="宋体"/>
          <w:color w:val="000000"/>
          <w:sz w:val="24"/>
          <w:szCs w:val="24"/>
          <w:highlight w:val="none"/>
        </w:rPr>
      </w:pPr>
      <w:bookmarkStart w:id="290" w:name="_Toc15277"/>
      <w:bookmarkEnd w:id="290"/>
      <w:bookmarkStart w:id="291" w:name="_Toc10610"/>
      <w:bookmarkEnd w:id="291"/>
      <w:bookmarkStart w:id="292" w:name="_Toc14236"/>
      <w:bookmarkEnd w:id="292"/>
      <w:bookmarkStart w:id="293" w:name="_Toc19159"/>
      <w:bookmarkStart w:id="294" w:name="_Toc5488"/>
      <w:r>
        <w:rPr>
          <w:rFonts w:hint="eastAsia" w:ascii="宋体" w:hAnsi="宋体" w:cs="宋体"/>
          <w:b/>
          <w:bCs/>
          <w:color w:val="000000"/>
          <w:sz w:val="28"/>
          <w:szCs w:val="28"/>
          <w:highlight w:val="none"/>
          <w:lang w:val="en-US" w:eastAsia="zh-CN" w:bidi="ar-SA"/>
        </w:rPr>
        <w:t>五</w:t>
      </w:r>
      <w:r>
        <w:rPr>
          <w:rFonts w:hint="eastAsia" w:ascii="宋体" w:hAnsi="宋体" w:eastAsia="宋体" w:cs="宋体"/>
          <w:b/>
          <w:bCs/>
          <w:color w:val="000000"/>
          <w:sz w:val="28"/>
          <w:szCs w:val="28"/>
          <w:highlight w:val="none"/>
          <w:lang w:val="en-US" w:eastAsia="zh-CN" w:bidi="ar-SA"/>
        </w:rPr>
        <w:t>、</w:t>
      </w:r>
      <w:bookmarkEnd w:id="293"/>
      <w:r>
        <w:rPr>
          <w:rFonts w:hint="eastAsia" w:ascii="宋体" w:hAnsi="宋体" w:eastAsia="宋体" w:cs="宋体"/>
          <w:b/>
          <w:bCs/>
          <w:color w:val="000000"/>
          <w:sz w:val="28"/>
          <w:szCs w:val="28"/>
          <w:highlight w:val="none"/>
          <w:lang w:val="en-US" w:eastAsia="zh-CN" w:bidi="ar-SA"/>
        </w:rPr>
        <w:t>项目实施方案</w:t>
      </w:r>
    </w:p>
    <w:p w14:paraId="61F59BFE">
      <w:pPr>
        <w:keepNext/>
        <w:keepLines/>
        <w:shd w:val="clear" w:color="auto" w:fill="auto"/>
        <w:autoSpaceDE w:val="0"/>
        <w:spacing w:line="360" w:lineRule="auto"/>
        <w:ind w:firstLine="480" w:firstLineChars="200"/>
        <w:jc w:val="center"/>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根据评标办法的要求提供，</w:t>
      </w:r>
      <w:r>
        <w:rPr>
          <w:rFonts w:hint="eastAsia" w:ascii="宋体" w:hAnsi="宋体" w:cs="宋体"/>
          <w:color w:val="000000"/>
          <w:sz w:val="24"/>
          <w:szCs w:val="24"/>
          <w:highlight w:val="none"/>
        </w:rPr>
        <w:t>格式自拟）</w:t>
      </w:r>
    </w:p>
    <w:p w14:paraId="5C6AF179">
      <w:pPr>
        <w:keepNext w:val="0"/>
        <w:keepLines w:val="0"/>
        <w:pageBreakBefore w:val="0"/>
        <w:widowControl/>
        <w:kinsoku/>
        <w:wordWrap/>
        <w:overflowPunct/>
        <w:topLinePunct w:val="0"/>
        <w:autoSpaceDE/>
        <w:autoSpaceDN/>
        <w:bidi w:val="0"/>
        <w:adjustRightInd/>
        <w:snapToGrid/>
        <w:jc w:val="center"/>
        <w:textAlignment w:val="auto"/>
        <w:outlineLvl w:val="2"/>
        <w:rPr>
          <w:rFonts w:hint="eastAsia" w:ascii="宋体" w:hAnsi="宋体" w:eastAsia="宋体" w:cs="宋体"/>
          <w:b/>
          <w:color w:val="000000"/>
          <w:sz w:val="28"/>
          <w:szCs w:val="28"/>
          <w:highlight w:val="none"/>
          <w:lang w:val="en-US" w:eastAsia="zh-CN"/>
        </w:rPr>
      </w:pPr>
      <w:bookmarkStart w:id="295" w:name="_Toc30472"/>
      <w:r>
        <w:rPr>
          <w:rFonts w:hint="eastAsia" w:ascii="宋体" w:hAnsi="宋体" w:cs="宋体"/>
          <w:b/>
          <w:bCs/>
          <w:color w:val="000000"/>
          <w:sz w:val="28"/>
          <w:szCs w:val="28"/>
          <w:highlight w:val="none"/>
          <w:lang w:val="en-US" w:eastAsia="zh-CN" w:bidi="ar-SA"/>
        </w:rPr>
        <w:t>六</w:t>
      </w:r>
      <w:r>
        <w:rPr>
          <w:rFonts w:hint="eastAsia" w:ascii="宋体" w:hAnsi="宋体" w:eastAsia="宋体" w:cs="宋体"/>
          <w:b/>
          <w:bCs/>
          <w:color w:val="000000"/>
          <w:sz w:val="28"/>
          <w:szCs w:val="28"/>
          <w:highlight w:val="none"/>
          <w:lang w:val="en-US" w:eastAsia="zh-CN" w:bidi="ar-SA"/>
        </w:rPr>
        <w:t>、</w:t>
      </w:r>
      <w:bookmarkEnd w:id="295"/>
      <w:r>
        <w:rPr>
          <w:rFonts w:hint="eastAsia" w:ascii="宋体" w:hAnsi="宋体" w:cs="宋体"/>
          <w:b/>
          <w:bCs/>
          <w:color w:val="000000"/>
          <w:sz w:val="28"/>
          <w:szCs w:val="28"/>
          <w:highlight w:val="none"/>
          <w:lang w:val="en-US" w:eastAsia="zh-CN" w:bidi="ar-SA"/>
        </w:rPr>
        <w:t>质量承诺</w:t>
      </w:r>
      <w:r>
        <w:rPr>
          <w:rFonts w:hint="eastAsia" w:ascii="宋体" w:hAnsi="宋体" w:eastAsia="宋体" w:cs="宋体"/>
          <w:b/>
          <w:bCs/>
          <w:color w:val="000000"/>
          <w:sz w:val="28"/>
          <w:szCs w:val="28"/>
          <w:highlight w:val="none"/>
          <w:lang w:val="en-US" w:eastAsia="zh-CN" w:bidi="ar-SA"/>
        </w:rPr>
        <w:t>及措施</w:t>
      </w:r>
    </w:p>
    <w:p w14:paraId="4DC8FC4B">
      <w:pPr>
        <w:keepNext/>
        <w:keepLines/>
        <w:shd w:val="clear" w:color="auto" w:fill="auto"/>
        <w:autoSpaceDE w:val="0"/>
        <w:spacing w:line="360" w:lineRule="auto"/>
        <w:ind w:firstLine="480" w:firstLineChars="200"/>
        <w:jc w:val="center"/>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根据评标办法的要求提供，</w:t>
      </w:r>
      <w:r>
        <w:rPr>
          <w:rFonts w:hint="eastAsia" w:ascii="宋体" w:hAnsi="宋体" w:cs="宋体"/>
          <w:color w:val="000000"/>
          <w:sz w:val="24"/>
          <w:szCs w:val="24"/>
          <w:highlight w:val="none"/>
        </w:rPr>
        <w:t>格式自拟）</w:t>
      </w:r>
    </w:p>
    <w:p w14:paraId="078758D0">
      <w:pPr>
        <w:shd w:val="clear" w:color="auto" w:fill="auto"/>
        <w:autoSpaceDE w:val="0"/>
        <w:spacing w:line="360" w:lineRule="auto"/>
        <w:jc w:val="center"/>
        <w:outlineLvl w:val="2"/>
        <w:rPr>
          <w:rFonts w:hint="eastAsia" w:ascii="宋体" w:hAnsi="宋体" w:eastAsia="宋体" w:cs="宋体"/>
          <w:b/>
          <w:color w:val="000000"/>
          <w:sz w:val="28"/>
          <w:szCs w:val="28"/>
          <w:highlight w:val="none"/>
          <w:lang w:val="en-US" w:eastAsia="zh-CN"/>
        </w:rPr>
      </w:pPr>
      <w:bookmarkStart w:id="296" w:name="_Toc1916"/>
      <w:r>
        <w:rPr>
          <w:rFonts w:hint="eastAsia" w:ascii="宋体" w:hAnsi="宋体" w:cs="宋体"/>
          <w:b/>
          <w:bCs/>
          <w:color w:val="000000"/>
          <w:sz w:val="28"/>
          <w:szCs w:val="28"/>
          <w:highlight w:val="none"/>
          <w:lang w:val="en-US" w:eastAsia="zh-CN" w:bidi="ar-SA"/>
        </w:rPr>
        <w:t>七</w:t>
      </w:r>
      <w:r>
        <w:rPr>
          <w:rFonts w:hint="eastAsia" w:ascii="宋体" w:hAnsi="宋体" w:eastAsia="宋体" w:cs="宋体"/>
          <w:b/>
          <w:bCs/>
          <w:color w:val="000000"/>
          <w:sz w:val="28"/>
          <w:szCs w:val="28"/>
          <w:highlight w:val="none"/>
          <w:lang w:val="en-US" w:eastAsia="zh-CN" w:bidi="ar-SA"/>
        </w:rPr>
        <w:t>、</w:t>
      </w:r>
      <w:bookmarkEnd w:id="296"/>
      <w:r>
        <w:rPr>
          <w:rFonts w:hint="eastAsia" w:ascii="宋体" w:hAnsi="宋体" w:eastAsia="宋体" w:cs="宋体"/>
          <w:b/>
          <w:bCs/>
          <w:color w:val="000000" w:themeColor="text1"/>
          <w:kern w:val="0"/>
          <w:sz w:val="28"/>
          <w:szCs w:val="28"/>
          <w:highlight w:val="none"/>
          <w:shd w:val="clear" w:color="auto" w:fill="auto"/>
          <w:lang w:val="en-US" w:eastAsia="zh-CN" w:bidi="ar-SA"/>
          <w14:textFill>
            <w14:solidFill>
              <w14:schemeClr w14:val="tx1"/>
            </w14:solidFill>
          </w14:textFill>
        </w:rPr>
        <w:t>服务工期承诺及保证措施</w:t>
      </w:r>
    </w:p>
    <w:p w14:paraId="528DA958">
      <w:pPr>
        <w:keepNext/>
        <w:keepLines/>
        <w:shd w:val="clear" w:color="auto" w:fill="auto"/>
        <w:autoSpaceDE w:val="0"/>
        <w:spacing w:line="360" w:lineRule="auto"/>
        <w:ind w:firstLine="480" w:firstLineChars="200"/>
        <w:jc w:val="center"/>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根据评标办法的要求提供，</w:t>
      </w:r>
      <w:r>
        <w:rPr>
          <w:rFonts w:hint="eastAsia" w:ascii="宋体" w:hAnsi="宋体" w:cs="宋体"/>
          <w:color w:val="000000"/>
          <w:sz w:val="24"/>
          <w:szCs w:val="24"/>
          <w:highlight w:val="none"/>
        </w:rPr>
        <w:t>格式自拟）</w:t>
      </w:r>
    </w:p>
    <w:p w14:paraId="524DFE3E">
      <w:pPr>
        <w:pStyle w:val="4"/>
        <w:shd w:val="clear" w:color="auto" w:fill="auto"/>
        <w:autoSpaceDE w:val="0"/>
        <w:spacing w:before="0" w:after="0" w:line="360" w:lineRule="auto"/>
        <w:jc w:val="center"/>
        <w:outlineLvl w:val="2"/>
        <w:rPr>
          <w:rFonts w:hint="eastAsia" w:ascii="宋体" w:hAnsi="宋体" w:cs="宋体"/>
          <w:b/>
          <w:bCs/>
          <w:color w:val="000000"/>
          <w:sz w:val="28"/>
          <w:szCs w:val="28"/>
          <w:highlight w:val="none"/>
        </w:rPr>
      </w:pPr>
      <w:r>
        <w:rPr>
          <w:rFonts w:hint="eastAsia"/>
          <w:color w:val="000000"/>
          <w:highlight w:val="none"/>
        </w:rPr>
        <w:br w:type="page"/>
      </w:r>
      <w:bookmarkStart w:id="297" w:name="_Toc28792"/>
      <w:r>
        <w:rPr>
          <w:rFonts w:hint="eastAsia"/>
          <w:color w:val="000000"/>
          <w:highlight w:val="none"/>
          <w:lang w:val="en-US" w:eastAsia="zh-CN"/>
        </w:rPr>
        <w:t>八</w:t>
      </w:r>
      <w:r>
        <w:rPr>
          <w:rFonts w:hint="eastAsia" w:ascii="宋体" w:hAnsi="宋体" w:eastAsia="宋体" w:cs="宋体"/>
          <w:b/>
          <w:bCs/>
          <w:color w:val="000000"/>
          <w:sz w:val="28"/>
          <w:szCs w:val="28"/>
          <w:highlight w:val="none"/>
          <w:lang w:val="en-US" w:eastAsia="zh-CN" w:bidi="ar-SA"/>
        </w:rPr>
        <w:t>、</w:t>
      </w:r>
      <w:bookmarkEnd w:id="297"/>
      <w:r>
        <w:rPr>
          <w:rFonts w:hint="eastAsia" w:ascii="宋体" w:hAnsi="宋体" w:eastAsia="宋体" w:cs="宋体"/>
          <w:color w:val="000000" w:themeColor="text1"/>
          <w:sz w:val="28"/>
          <w:szCs w:val="28"/>
          <w14:textFill>
            <w14:solidFill>
              <w14:schemeClr w14:val="tx1"/>
            </w14:solidFill>
          </w14:textFill>
        </w:rPr>
        <w:t>项目组织机构和团队人员配备情况</w:t>
      </w:r>
    </w:p>
    <w:bookmarkEnd w:id="294"/>
    <w:tbl>
      <w:tblPr>
        <w:tblStyle w:val="34"/>
        <w:tblW w:w="91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048"/>
        <w:gridCol w:w="868"/>
        <w:gridCol w:w="739"/>
        <w:gridCol w:w="1863"/>
        <w:gridCol w:w="1017"/>
        <w:gridCol w:w="1440"/>
        <w:gridCol w:w="1439"/>
      </w:tblGrid>
      <w:tr w14:paraId="31AC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trPr>
        <w:tc>
          <w:tcPr>
            <w:tcW w:w="693" w:type="dxa"/>
            <w:noWrap w:val="0"/>
            <w:vAlign w:val="center"/>
          </w:tcPr>
          <w:p w14:paraId="10677C95">
            <w:pPr>
              <w:jc w:val="center"/>
              <w:rPr>
                <w:rFonts w:ascii="宋体" w:hAnsi="宋体"/>
                <w:color w:val="000000"/>
                <w:sz w:val="21"/>
                <w:szCs w:val="21"/>
              </w:rPr>
            </w:pPr>
            <w:r>
              <w:rPr>
                <w:rFonts w:hint="eastAsia" w:ascii="宋体" w:hAnsi="宋体"/>
                <w:color w:val="000000"/>
                <w:sz w:val="21"/>
                <w:szCs w:val="21"/>
              </w:rPr>
              <w:t>序号</w:t>
            </w:r>
          </w:p>
        </w:tc>
        <w:tc>
          <w:tcPr>
            <w:tcW w:w="1048" w:type="dxa"/>
            <w:noWrap w:val="0"/>
            <w:vAlign w:val="center"/>
          </w:tcPr>
          <w:p w14:paraId="21926E1D">
            <w:pPr>
              <w:jc w:val="center"/>
              <w:rPr>
                <w:rFonts w:ascii="宋体" w:hAnsi="宋体"/>
                <w:color w:val="000000"/>
                <w:sz w:val="21"/>
                <w:szCs w:val="21"/>
              </w:rPr>
            </w:pPr>
            <w:r>
              <w:rPr>
                <w:rFonts w:hint="eastAsia" w:ascii="宋体" w:hAnsi="宋体"/>
                <w:color w:val="000000"/>
                <w:sz w:val="21"/>
                <w:szCs w:val="21"/>
              </w:rPr>
              <w:t>姓名</w:t>
            </w:r>
          </w:p>
        </w:tc>
        <w:tc>
          <w:tcPr>
            <w:tcW w:w="868" w:type="dxa"/>
            <w:noWrap w:val="0"/>
            <w:vAlign w:val="center"/>
          </w:tcPr>
          <w:p w14:paraId="1821D5A7">
            <w:pPr>
              <w:jc w:val="center"/>
              <w:rPr>
                <w:rFonts w:ascii="宋体" w:hAnsi="宋体"/>
                <w:color w:val="000000"/>
                <w:sz w:val="21"/>
                <w:szCs w:val="21"/>
              </w:rPr>
            </w:pPr>
            <w:r>
              <w:rPr>
                <w:rFonts w:hint="eastAsia" w:ascii="宋体" w:hAnsi="宋体"/>
                <w:color w:val="000000"/>
                <w:sz w:val="21"/>
                <w:szCs w:val="21"/>
              </w:rPr>
              <w:t>性别</w:t>
            </w:r>
          </w:p>
        </w:tc>
        <w:tc>
          <w:tcPr>
            <w:tcW w:w="739" w:type="dxa"/>
            <w:noWrap w:val="0"/>
            <w:vAlign w:val="center"/>
          </w:tcPr>
          <w:p w14:paraId="6307470D">
            <w:pPr>
              <w:jc w:val="center"/>
              <w:rPr>
                <w:rFonts w:ascii="宋体" w:hAnsi="宋体"/>
                <w:color w:val="000000"/>
                <w:sz w:val="21"/>
                <w:szCs w:val="21"/>
              </w:rPr>
            </w:pPr>
            <w:r>
              <w:rPr>
                <w:rFonts w:hint="eastAsia" w:ascii="宋体" w:hAnsi="宋体"/>
                <w:color w:val="000000"/>
                <w:sz w:val="21"/>
                <w:szCs w:val="21"/>
              </w:rPr>
              <w:t>年龄</w:t>
            </w:r>
          </w:p>
        </w:tc>
        <w:tc>
          <w:tcPr>
            <w:tcW w:w="1863" w:type="dxa"/>
            <w:noWrap w:val="0"/>
            <w:vAlign w:val="center"/>
          </w:tcPr>
          <w:p w14:paraId="39CF83FE">
            <w:pPr>
              <w:jc w:val="center"/>
              <w:rPr>
                <w:rFonts w:ascii="宋体" w:hAnsi="宋体"/>
                <w:color w:val="000000"/>
                <w:sz w:val="21"/>
                <w:szCs w:val="21"/>
              </w:rPr>
            </w:pPr>
            <w:r>
              <w:rPr>
                <w:rFonts w:hint="eastAsia" w:ascii="宋体" w:hAnsi="宋体"/>
                <w:color w:val="000000"/>
                <w:sz w:val="21"/>
                <w:szCs w:val="21"/>
              </w:rPr>
              <w:t>执业资格证书</w:t>
            </w:r>
          </w:p>
        </w:tc>
        <w:tc>
          <w:tcPr>
            <w:tcW w:w="1017" w:type="dxa"/>
            <w:noWrap w:val="0"/>
            <w:vAlign w:val="center"/>
          </w:tcPr>
          <w:p w14:paraId="5095F998">
            <w:pPr>
              <w:jc w:val="center"/>
              <w:rPr>
                <w:rFonts w:ascii="宋体" w:hAnsi="宋体"/>
                <w:color w:val="000000"/>
                <w:sz w:val="21"/>
                <w:szCs w:val="21"/>
              </w:rPr>
            </w:pPr>
            <w:r>
              <w:rPr>
                <w:rFonts w:hint="eastAsia" w:ascii="宋体" w:hAnsi="宋体"/>
                <w:color w:val="000000"/>
                <w:sz w:val="21"/>
                <w:szCs w:val="21"/>
              </w:rPr>
              <w:t>专业</w:t>
            </w:r>
          </w:p>
        </w:tc>
        <w:tc>
          <w:tcPr>
            <w:tcW w:w="1440" w:type="dxa"/>
            <w:noWrap w:val="0"/>
            <w:vAlign w:val="center"/>
          </w:tcPr>
          <w:p w14:paraId="7F8CCC48">
            <w:pPr>
              <w:jc w:val="center"/>
              <w:rPr>
                <w:rFonts w:ascii="宋体" w:hAnsi="宋体"/>
                <w:color w:val="000000"/>
                <w:sz w:val="21"/>
                <w:szCs w:val="21"/>
              </w:rPr>
            </w:pPr>
            <w:r>
              <w:rPr>
                <w:rFonts w:hint="eastAsia" w:ascii="宋体" w:hAnsi="宋体"/>
                <w:color w:val="000000"/>
                <w:sz w:val="21"/>
                <w:szCs w:val="21"/>
              </w:rPr>
              <w:t>技术职称</w:t>
            </w:r>
          </w:p>
        </w:tc>
        <w:tc>
          <w:tcPr>
            <w:tcW w:w="1439" w:type="dxa"/>
            <w:noWrap w:val="0"/>
            <w:vAlign w:val="center"/>
          </w:tcPr>
          <w:p w14:paraId="1089A342">
            <w:pPr>
              <w:jc w:val="center"/>
              <w:rPr>
                <w:rFonts w:ascii="宋体" w:hAnsi="宋体"/>
                <w:color w:val="000000"/>
                <w:sz w:val="21"/>
                <w:szCs w:val="21"/>
              </w:rPr>
            </w:pPr>
            <w:r>
              <w:rPr>
                <w:rFonts w:hint="eastAsia" w:ascii="宋体" w:hAnsi="宋体"/>
                <w:color w:val="000000"/>
                <w:sz w:val="21"/>
                <w:szCs w:val="21"/>
              </w:rPr>
              <w:t>在本项目拟任职务</w:t>
            </w:r>
          </w:p>
        </w:tc>
      </w:tr>
      <w:tr w14:paraId="06AD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93" w:type="dxa"/>
            <w:noWrap w:val="0"/>
            <w:vAlign w:val="top"/>
          </w:tcPr>
          <w:p w14:paraId="65377F84">
            <w:pPr>
              <w:spacing w:line="360" w:lineRule="auto"/>
              <w:rPr>
                <w:rFonts w:ascii="宋体" w:hAnsi="宋体"/>
                <w:color w:val="000000"/>
                <w:sz w:val="21"/>
                <w:szCs w:val="21"/>
              </w:rPr>
            </w:pPr>
          </w:p>
        </w:tc>
        <w:tc>
          <w:tcPr>
            <w:tcW w:w="1048" w:type="dxa"/>
            <w:noWrap w:val="0"/>
            <w:vAlign w:val="top"/>
          </w:tcPr>
          <w:p w14:paraId="66F92ABA">
            <w:pPr>
              <w:spacing w:line="360" w:lineRule="auto"/>
              <w:rPr>
                <w:rFonts w:ascii="宋体" w:hAnsi="宋体"/>
                <w:color w:val="000000"/>
                <w:sz w:val="21"/>
                <w:szCs w:val="21"/>
              </w:rPr>
            </w:pPr>
          </w:p>
        </w:tc>
        <w:tc>
          <w:tcPr>
            <w:tcW w:w="868" w:type="dxa"/>
            <w:noWrap w:val="0"/>
            <w:vAlign w:val="top"/>
          </w:tcPr>
          <w:p w14:paraId="79F7A8C9">
            <w:pPr>
              <w:spacing w:line="360" w:lineRule="auto"/>
              <w:rPr>
                <w:rFonts w:ascii="宋体" w:hAnsi="宋体"/>
                <w:color w:val="000000"/>
                <w:sz w:val="21"/>
                <w:szCs w:val="21"/>
              </w:rPr>
            </w:pPr>
          </w:p>
        </w:tc>
        <w:tc>
          <w:tcPr>
            <w:tcW w:w="739" w:type="dxa"/>
            <w:noWrap w:val="0"/>
            <w:vAlign w:val="top"/>
          </w:tcPr>
          <w:p w14:paraId="432F2938">
            <w:pPr>
              <w:spacing w:line="360" w:lineRule="auto"/>
              <w:rPr>
                <w:rFonts w:ascii="宋体" w:hAnsi="宋体"/>
                <w:color w:val="000000"/>
                <w:sz w:val="21"/>
                <w:szCs w:val="21"/>
              </w:rPr>
            </w:pPr>
          </w:p>
        </w:tc>
        <w:tc>
          <w:tcPr>
            <w:tcW w:w="1863" w:type="dxa"/>
            <w:noWrap w:val="0"/>
            <w:vAlign w:val="top"/>
          </w:tcPr>
          <w:p w14:paraId="6FC0A423">
            <w:pPr>
              <w:spacing w:line="360" w:lineRule="auto"/>
              <w:rPr>
                <w:rFonts w:ascii="宋体" w:hAnsi="宋体"/>
                <w:color w:val="000000"/>
                <w:sz w:val="21"/>
                <w:szCs w:val="21"/>
              </w:rPr>
            </w:pPr>
          </w:p>
        </w:tc>
        <w:tc>
          <w:tcPr>
            <w:tcW w:w="1017" w:type="dxa"/>
            <w:noWrap w:val="0"/>
            <w:vAlign w:val="top"/>
          </w:tcPr>
          <w:p w14:paraId="59D8B778">
            <w:pPr>
              <w:spacing w:line="360" w:lineRule="auto"/>
              <w:rPr>
                <w:rFonts w:ascii="宋体" w:hAnsi="宋体"/>
                <w:color w:val="000000"/>
                <w:sz w:val="21"/>
                <w:szCs w:val="21"/>
              </w:rPr>
            </w:pPr>
          </w:p>
        </w:tc>
        <w:tc>
          <w:tcPr>
            <w:tcW w:w="1440" w:type="dxa"/>
            <w:noWrap w:val="0"/>
            <w:vAlign w:val="top"/>
          </w:tcPr>
          <w:p w14:paraId="261DA842">
            <w:pPr>
              <w:spacing w:line="360" w:lineRule="auto"/>
              <w:rPr>
                <w:rFonts w:ascii="宋体" w:hAnsi="宋体"/>
                <w:color w:val="000000"/>
                <w:sz w:val="21"/>
                <w:szCs w:val="21"/>
              </w:rPr>
            </w:pPr>
          </w:p>
        </w:tc>
        <w:tc>
          <w:tcPr>
            <w:tcW w:w="1439" w:type="dxa"/>
            <w:noWrap w:val="0"/>
            <w:vAlign w:val="top"/>
          </w:tcPr>
          <w:p w14:paraId="4FE4536D">
            <w:pPr>
              <w:spacing w:line="360" w:lineRule="auto"/>
              <w:rPr>
                <w:rFonts w:ascii="宋体" w:hAnsi="宋体"/>
                <w:color w:val="000000"/>
                <w:sz w:val="21"/>
                <w:szCs w:val="21"/>
              </w:rPr>
            </w:pPr>
          </w:p>
        </w:tc>
      </w:tr>
      <w:tr w14:paraId="3D51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693" w:type="dxa"/>
            <w:noWrap w:val="0"/>
            <w:vAlign w:val="top"/>
          </w:tcPr>
          <w:p w14:paraId="18784492">
            <w:pPr>
              <w:spacing w:line="360" w:lineRule="auto"/>
              <w:rPr>
                <w:rFonts w:ascii="宋体" w:hAnsi="宋体"/>
                <w:color w:val="000000"/>
                <w:sz w:val="21"/>
                <w:szCs w:val="21"/>
              </w:rPr>
            </w:pPr>
          </w:p>
        </w:tc>
        <w:tc>
          <w:tcPr>
            <w:tcW w:w="1048" w:type="dxa"/>
            <w:noWrap w:val="0"/>
            <w:vAlign w:val="top"/>
          </w:tcPr>
          <w:p w14:paraId="24098D27">
            <w:pPr>
              <w:spacing w:line="360" w:lineRule="auto"/>
              <w:rPr>
                <w:rFonts w:ascii="宋体" w:hAnsi="宋体"/>
                <w:color w:val="000000"/>
                <w:sz w:val="21"/>
                <w:szCs w:val="21"/>
              </w:rPr>
            </w:pPr>
          </w:p>
        </w:tc>
        <w:tc>
          <w:tcPr>
            <w:tcW w:w="868" w:type="dxa"/>
            <w:noWrap w:val="0"/>
            <w:vAlign w:val="top"/>
          </w:tcPr>
          <w:p w14:paraId="14DE349E">
            <w:pPr>
              <w:spacing w:line="360" w:lineRule="auto"/>
              <w:rPr>
                <w:rFonts w:ascii="宋体" w:hAnsi="宋体"/>
                <w:color w:val="000000"/>
                <w:sz w:val="21"/>
                <w:szCs w:val="21"/>
              </w:rPr>
            </w:pPr>
          </w:p>
        </w:tc>
        <w:tc>
          <w:tcPr>
            <w:tcW w:w="739" w:type="dxa"/>
            <w:noWrap w:val="0"/>
            <w:vAlign w:val="top"/>
          </w:tcPr>
          <w:p w14:paraId="3CE7198B">
            <w:pPr>
              <w:spacing w:line="360" w:lineRule="auto"/>
              <w:rPr>
                <w:rFonts w:ascii="宋体" w:hAnsi="宋体"/>
                <w:color w:val="000000"/>
                <w:sz w:val="21"/>
                <w:szCs w:val="21"/>
              </w:rPr>
            </w:pPr>
          </w:p>
        </w:tc>
        <w:tc>
          <w:tcPr>
            <w:tcW w:w="1863" w:type="dxa"/>
            <w:noWrap w:val="0"/>
            <w:vAlign w:val="top"/>
          </w:tcPr>
          <w:p w14:paraId="36F4C1E0">
            <w:pPr>
              <w:spacing w:line="360" w:lineRule="auto"/>
              <w:rPr>
                <w:rFonts w:ascii="宋体" w:hAnsi="宋体"/>
                <w:color w:val="000000"/>
                <w:sz w:val="21"/>
                <w:szCs w:val="21"/>
              </w:rPr>
            </w:pPr>
          </w:p>
        </w:tc>
        <w:tc>
          <w:tcPr>
            <w:tcW w:w="1017" w:type="dxa"/>
            <w:noWrap w:val="0"/>
            <w:vAlign w:val="top"/>
          </w:tcPr>
          <w:p w14:paraId="4E17CCAF">
            <w:pPr>
              <w:spacing w:line="360" w:lineRule="auto"/>
              <w:rPr>
                <w:rFonts w:ascii="宋体" w:hAnsi="宋体"/>
                <w:color w:val="000000"/>
                <w:sz w:val="21"/>
                <w:szCs w:val="21"/>
              </w:rPr>
            </w:pPr>
          </w:p>
        </w:tc>
        <w:tc>
          <w:tcPr>
            <w:tcW w:w="1440" w:type="dxa"/>
            <w:noWrap w:val="0"/>
            <w:vAlign w:val="top"/>
          </w:tcPr>
          <w:p w14:paraId="1A852811">
            <w:pPr>
              <w:spacing w:line="360" w:lineRule="auto"/>
              <w:rPr>
                <w:rFonts w:ascii="宋体" w:hAnsi="宋体"/>
                <w:color w:val="000000"/>
                <w:sz w:val="21"/>
                <w:szCs w:val="21"/>
              </w:rPr>
            </w:pPr>
          </w:p>
        </w:tc>
        <w:tc>
          <w:tcPr>
            <w:tcW w:w="1439" w:type="dxa"/>
            <w:noWrap w:val="0"/>
            <w:vAlign w:val="top"/>
          </w:tcPr>
          <w:p w14:paraId="3D2820B7">
            <w:pPr>
              <w:spacing w:line="360" w:lineRule="auto"/>
              <w:rPr>
                <w:rFonts w:ascii="宋体" w:hAnsi="宋体"/>
                <w:color w:val="000000"/>
                <w:sz w:val="21"/>
                <w:szCs w:val="21"/>
              </w:rPr>
            </w:pPr>
          </w:p>
        </w:tc>
      </w:tr>
      <w:tr w14:paraId="3914E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693" w:type="dxa"/>
            <w:noWrap w:val="0"/>
            <w:vAlign w:val="top"/>
          </w:tcPr>
          <w:p w14:paraId="50C7541F">
            <w:pPr>
              <w:spacing w:line="360" w:lineRule="auto"/>
              <w:rPr>
                <w:rFonts w:ascii="宋体" w:hAnsi="宋体"/>
                <w:color w:val="000000"/>
                <w:sz w:val="21"/>
                <w:szCs w:val="21"/>
              </w:rPr>
            </w:pPr>
          </w:p>
        </w:tc>
        <w:tc>
          <w:tcPr>
            <w:tcW w:w="1048" w:type="dxa"/>
            <w:noWrap w:val="0"/>
            <w:vAlign w:val="top"/>
          </w:tcPr>
          <w:p w14:paraId="0A6632BD">
            <w:pPr>
              <w:spacing w:line="360" w:lineRule="auto"/>
              <w:rPr>
                <w:rFonts w:ascii="宋体" w:hAnsi="宋体"/>
                <w:color w:val="000000"/>
                <w:sz w:val="21"/>
                <w:szCs w:val="21"/>
              </w:rPr>
            </w:pPr>
          </w:p>
        </w:tc>
        <w:tc>
          <w:tcPr>
            <w:tcW w:w="868" w:type="dxa"/>
            <w:noWrap w:val="0"/>
            <w:vAlign w:val="top"/>
          </w:tcPr>
          <w:p w14:paraId="2C55A998">
            <w:pPr>
              <w:spacing w:line="360" w:lineRule="auto"/>
              <w:rPr>
                <w:rFonts w:ascii="宋体" w:hAnsi="宋体"/>
                <w:color w:val="000000"/>
                <w:sz w:val="21"/>
                <w:szCs w:val="21"/>
              </w:rPr>
            </w:pPr>
          </w:p>
        </w:tc>
        <w:tc>
          <w:tcPr>
            <w:tcW w:w="739" w:type="dxa"/>
            <w:noWrap w:val="0"/>
            <w:vAlign w:val="top"/>
          </w:tcPr>
          <w:p w14:paraId="2283B8A1">
            <w:pPr>
              <w:spacing w:line="360" w:lineRule="auto"/>
              <w:rPr>
                <w:rFonts w:ascii="宋体" w:hAnsi="宋体"/>
                <w:color w:val="000000"/>
                <w:sz w:val="21"/>
                <w:szCs w:val="21"/>
              </w:rPr>
            </w:pPr>
          </w:p>
        </w:tc>
        <w:tc>
          <w:tcPr>
            <w:tcW w:w="1863" w:type="dxa"/>
            <w:noWrap w:val="0"/>
            <w:vAlign w:val="top"/>
          </w:tcPr>
          <w:p w14:paraId="593DE090">
            <w:pPr>
              <w:spacing w:line="360" w:lineRule="auto"/>
              <w:rPr>
                <w:rFonts w:ascii="宋体" w:hAnsi="宋体"/>
                <w:color w:val="000000"/>
                <w:sz w:val="21"/>
                <w:szCs w:val="21"/>
              </w:rPr>
            </w:pPr>
          </w:p>
        </w:tc>
        <w:tc>
          <w:tcPr>
            <w:tcW w:w="1017" w:type="dxa"/>
            <w:noWrap w:val="0"/>
            <w:vAlign w:val="top"/>
          </w:tcPr>
          <w:p w14:paraId="5071A925">
            <w:pPr>
              <w:spacing w:line="360" w:lineRule="auto"/>
              <w:rPr>
                <w:rFonts w:ascii="宋体" w:hAnsi="宋体"/>
                <w:color w:val="000000"/>
                <w:sz w:val="21"/>
                <w:szCs w:val="21"/>
              </w:rPr>
            </w:pPr>
          </w:p>
        </w:tc>
        <w:tc>
          <w:tcPr>
            <w:tcW w:w="1440" w:type="dxa"/>
            <w:noWrap w:val="0"/>
            <w:vAlign w:val="top"/>
          </w:tcPr>
          <w:p w14:paraId="7FF9DEC0">
            <w:pPr>
              <w:spacing w:line="360" w:lineRule="auto"/>
              <w:rPr>
                <w:rFonts w:ascii="宋体" w:hAnsi="宋体"/>
                <w:color w:val="000000"/>
                <w:sz w:val="21"/>
                <w:szCs w:val="21"/>
              </w:rPr>
            </w:pPr>
          </w:p>
        </w:tc>
        <w:tc>
          <w:tcPr>
            <w:tcW w:w="1439" w:type="dxa"/>
            <w:noWrap w:val="0"/>
            <w:vAlign w:val="top"/>
          </w:tcPr>
          <w:p w14:paraId="09B1C043">
            <w:pPr>
              <w:spacing w:line="360" w:lineRule="auto"/>
              <w:rPr>
                <w:rFonts w:ascii="宋体" w:hAnsi="宋体"/>
                <w:color w:val="000000"/>
                <w:sz w:val="21"/>
                <w:szCs w:val="21"/>
              </w:rPr>
            </w:pPr>
          </w:p>
        </w:tc>
      </w:tr>
      <w:tr w14:paraId="6FFD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693" w:type="dxa"/>
            <w:noWrap w:val="0"/>
            <w:vAlign w:val="top"/>
          </w:tcPr>
          <w:p w14:paraId="511C664E">
            <w:pPr>
              <w:spacing w:line="360" w:lineRule="auto"/>
              <w:rPr>
                <w:rFonts w:ascii="宋体" w:hAnsi="宋体"/>
                <w:color w:val="000000"/>
                <w:sz w:val="21"/>
                <w:szCs w:val="21"/>
              </w:rPr>
            </w:pPr>
          </w:p>
        </w:tc>
        <w:tc>
          <w:tcPr>
            <w:tcW w:w="1048" w:type="dxa"/>
            <w:noWrap w:val="0"/>
            <w:vAlign w:val="top"/>
          </w:tcPr>
          <w:p w14:paraId="24821D23">
            <w:pPr>
              <w:spacing w:line="360" w:lineRule="auto"/>
              <w:rPr>
                <w:rFonts w:ascii="宋体" w:hAnsi="宋体"/>
                <w:color w:val="000000"/>
                <w:sz w:val="21"/>
                <w:szCs w:val="21"/>
              </w:rPr>
            </w:pPr>
          </w:p>
        </w:tc>
        <w:tc>
          <w:tcPr>
            <w:tcW w:w="868" w:type="dxa"/>
            <w:noWrap w:val="0"/>
            <w:vAlign w:val="top"/>
          </w:tcPr>
          <w:p w14:paraId="6ACF104E">
            <w:pPr>
              <w:spacing w:line="360" w:lineRule="auto"/>
              <w:rPr>
                <w:rFonts w:ascii="宋体" w:hAnsi="宋体"/>
                <w:color w:val="000000"/>
                <w:sz w:val="21"/>
                <w:szCs w:val="21"/>
              </w:rPr>
            </w:pPr>
          </w:p>
        </w:tc>
        <w:tc>
          <w:tcPr>
            <w:tcW w:w="739" w:type="dxa"/>
            <w:noWrap w:val="0"/>
            <w:vAlign w:val="top"/>
          </w:tcPr>
          <w:p w14:paraId="7B131A09">
            <w:pPr>
              <w:spacing w:line="360" w:lineRule="auto"/>
              <w:rPr>
                <w:rFonts w:ascii="宋体" w:hAnsi="宋体"/>
                <w:color w:val="000000"/>
                <w:sz w:val="21"/>
                <w:szCs w:val="21"/>
              </w:rPr>
            </w:pPr>
          </w:p>
        </w:tc>
        <w:tc>
          <w:tcPr>
            <w:tcW w:w="1863" w:type="dxa"/>
            <w:noWrap w:val="0"/>
            <w:vAlign w:val="top"/>
          </w:tcPr>
          <w:p w14:paraId="3A8570DC">
            <w:pPr>
              <w:spacing w:line="360" w:lineRule="auto"/>
              <w:rPr>
                <w:rFonts w:ascii="宋体" w:hAnsi="宋体"/>
                <w:color w:val="000000"/>
                <w:sz w:val="21"/>
                <w:szCs w:val="21"/>
              </w:rPr>
            </w:pPr>
          </w:p>
        </w:tc>
        <w:tc>
          <w:tcPr>
            <w:tcW w:w="1017" w:type="dxa"/>
            <w:noWrap w:val="0"/>
            <w:vAlign w:val="top"/>
          </w:tcPr>
          <w:p w14:paraId="616B0510">
            <w:pPr>
              <w:spacing w:line="360" w:lineRule="auto"/>
              <w:rPr>
                <w:rFonts w:ascii="宋体" w:hAnsi="宋体"/>
                <w:color w:val="000000"/>
                <w:sz w:val="21"/>
                <w:szCs w:val="21"/>
              </w:rPr>
            </w:pPr>
          </w:p>
        </w:tc>
        <w:tc>
          <w:tcPr>
            <w:tcW w:w="1440" w:type="dxa"/>
            <w:noWrap w:val="0"/>
            <w:vAlign w:val="top"/>
          </w:tcPr>
          <w:p w14:paraId="7B16078D">
            <w:pPr>
              <w:spacing w:line="360" w:lineRule="auto"/>
              <w:rPr>
                <w:rFonts w:ascii="宋体" w:hAnsi="宋体"/>
                <w:color w:val="000000"/>
                <w:sz w:val="21"/>
                <w:szCs w:val="21"/>
              </w:rPr>
            </w:pPr>
          </w:p>
        </w:tc>
        <w:tc>
          <w:tcPr>
            <w:tcW w:w="1439" w:type="dxa"/>
            <w:noWrap w:val="0"/>
            <w:vAlign w:val="top"/>
          </w:tcPr>
          <w:p w14:paraId="381AA4B5">
            <w:pPr>
              <w:spacing w:line="360" w:lineRule="auto"/>
              <w:rPr>
                <w:rFonts w:ascii="宋体" w:hAnsi="宋体"/>
                <w:color w:val="000000"/>
                <w:sz w:val="21"/>
                <w:szCs w:val="21"/>
              </w:rPr>
            </w:pPr>
          </w:p>
        </w:tc>
      </w:tr>
      <w:tr w14:paraId="44C15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93" w:type="dxa"/>
            <w:noWrap w:val="0"/>
            <w:vAlign w:val="top"/>
          </w:tcPr>
          <w:p w14:paraId="1EAA0507">
            <w:pPr>
              <w:spacing w:line="360" w:lineRule="auto"/>
              <w:rPr>
                <w:rFonts w:ascii="宋体" w:hAnsi="宋体"/>
                <w:color w:val="000000"/>
                <w:sz w:val="21"/>
                <w:szCs w:val="21"/>
              </w:rPr>
            </w:pPr>
          </w:p>
        </w:tc>
        <w:tc>
          <w:tcPr>
            <w:tcW w:w="1048" w:type="dxa"/>
            <w:noWrap w:val="0"/>
            <w:vAlign w:val="top"/>
          </w:tcPr>
          <w:p w14:paraId="50F9034A">
            <w:pPr>
              <w:spacing w:line="360" w:lineRule="auto"/>
              <w:rPr>
                <w:rFonts w:ascii="宋体" w:hAnsi="宋体"/>
                <w:color w:val="000000"/>
                <w:sz w:val="21"/>
                <w:szCs w:val="21"/>
              </w:rPr>
            </w:pPr>
          </w:p>
        </w:tc>
        <w:tc>
          <w:tcPr>
            <w:tcW w:w="868" w:type="dxa"/>
            <w:noWrap w:val="0"/>
            <w:vAlign w:val="top"/>
          </w:tcPr>
          <w:p w14:paraId="56F1D7EE">
            <w:pPr>
              <w:spacing w:line="360" w:lineRule="auto"/>
              <w:rPr>
                <w:rFonts w:ascii="宋体" w:hAnsi="宋体"/>
                <w:color w:val="000000"/>
                <w:sz w:val="21"/>
                <w:szCs w:val="21"/>
              </w:rPr>
            </w:pPr>
          </w:p>
        </w:tc>
        <w:tc>
          <w:tcPr>
            <w:tcW w:w="739" w:type="dxa"/>
            <w:noWrap w:val="0"/>
            <w:vAlign w:val="top"/>
          </w:tcPr>
          <w:p w14:paraId="194ECBBD">
            <w:pPr>
              <w:spacing w:line="360" w:lineRule="auto"/>
              <w:rPr>
                <w:rFonts w:ascii="宋体" w:hAnsi="宋体"/>
                <w:color w:val="000000"/>
                <w:sz w:val="21"/>
                <w:szCs w:val="21"/>
              </w:rPr>
            </w:pPr>
          </w:p>
        </w:tc>
        <w:tc>
          <w:tcPr>
            <w:tcW w:w="1863" w:type="dxa"/>
            <w:noWrap w:val="0"/>
            <w:vAlign w:val="top"/>
          </w:tcPr>
          <w:p w14:paraId="7973B1D3">
            <w:pPr>
              <w:spacing w:line="360" w:lineRule="auto"/>
              <w:rPr>
                <w:rFonts w:ascii="宋体" w:hAnsi="宋体"/>
                <w:color w:val="000000"/>
                <w:sz w:val="21"/>
                <w:szCs w:val="21"/>
              </w:rPr>
            </w:pPr>
          </w:p>
        </w:tc>
        <w:tc>
          <w:tcPr>
            <w:tcW w:w="1017" w:type="dxa"/>
            <w:noWrap w:val="0"/>
            <w:vAlign w:val="top"/>
          </w:tcPr>
          <w:p w14:paraId="5A3AD169">
            <w:pPr>
              <w:spacing w:line="360" w:lineRule="auto"/>
              <w:rPr>
                <w:rFonts w:ascii="宋体" w:hAnsi="宋体"/>
                <w:color w:val="000000"/>
                <w:sz w:val="21"/>
                <w:szCs w:val="21"/>
              </w:rPr>
            </w:pPr>
          </w:p>
        </w:tc>
        <w:tc>
          <w:tcPr>
            <w:tcW w:w="1440" w:type="dxa"/>
            <w:noWrap w:val="0"/>
            <w:vAlign w:val="top"/>
          </w:tcPr>
          <w:p w14:paraId="693E8445">
            <w:pPr>
              <w:spacing w:line="360" w:lineRule="auto"/>
              <w:rPr>
                <w:rFonts w:ascii="宋体" w:hAnsi="宋体"/>
                <w:color w:val="000000"/>
                <w:sz w:val="21"/>
                <w:szCs w:val="21"/>
              </w:rPr>
            </w:pPr>
          </w:p>
        </w:tc>
        <w:tc>
          <w:tcPr>
            <w:tcW w:w="1439" w:type="dxa"/>
            <w:noWrap w:val="0"/>
            <w:vAlign w:val="top"/>
          </w:tcPr>
          <w:p w14:paraId="021C0CD0">
            <w:pPr>
              <w:spacing w:line="360" w:lineRule="auto"/>
              <w:rPr>
                <w:rFonts w:ascii="宋体" w:hAnsi="宋体"/>
                <w:color w:val="000000"/>
                <w:sz w:val="21"/>
                <w:szCs w:val="21"/>
              </w:rPr>
            </w:pPr>
          </w:p>
        </w:tc>
      </w:tr>
      <w:tr w14:paraId="7C8BD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693" w:type="dxa"/>
            <w:noWrap w:val="0"/>
            <w:vAlign w:val="top"/>
          </w:tcPr>
          <w:p w14:paraId="48F7FE21">
            <w:pPr>
              <w:spacing w:line="360" w:lineRule="auto"/>
              <w:rPr>
                <w:rFonts w:ascii="宋体" w:hAnsi="宋体"/>
                <w:color w:val="000000"/>
                <w:sz w:val="21"/>
                <w:szCs w:val="21"/>
              </w:rPr>
            </w:pPr>
          </w:p>
        </w:tc>
        <w:tc>
          <w:tcPr>
            <w:tcW w:w="1048" w:type="dxa"/>
            <w:noWrap w:val="0"/>
            <w:vAlign w:val="top"/>
          </w:tcPr>
          <w:p w14:paraId="1C272C28">
            <w:pPr>
              <w:spacing w:line="360" w:lineRule="auto"/>
              <w:rPr>
                <w:rFonts w:ascii="宋体" w:hAnsi="宋体"/>
                <w:color w:val="000000"/>
                <w:sz w:val="21"/>
                <w:szCs w:val="21"/>
              </w:rPr>
            </w:pPr>
          </w:p>
        </w:tc>
        <w:tc>
          <w:tcPr>
            <w:tcW w:w="868" w:type="dxa"/>
            <w:noWrap w:val="0"/>
            <w:vAlign w:val="top"/>
          </w:tcPr>
          <w:p w14:paraId="36987458">
            <w:pPr>
              <w:spacing w:line="360" w:lineRule="auto"/>
              <w:rPr>
                <w:rFonts w:ascii="宋体" w:hAnsi="宋体"/>
                <w:color w:val="000000"/>
                <w:sz w:val="21"/>
                <w:szCs w:val="21"/>
              </w:rPr>
            </w:pPr>
          </w:p>
        </w:tc>
        <w:tc>
          <w:tcPr>
            <w:tcW w:w="739" w:type="dxa"/>
            <w:noWrap w:val="0"/>
            <w:vAlign w:val="top"/>
          </w:tcPr>
          <w:p w14:paraId="15678EC8">
            <w:pPr>
              <w:spacing w:line="360" w:lineRule="auto"/>
              <w:rPr>
                <w:rFonts w:ascii="宋体" w:hAnsi="宋体"/>
                <w:color w:val="000000"/>
                <w:sz w:val="21"/>
                <w:szCs w:val="21"/>
              </w:rPr>
            </w:pPr>
          </w:p>
        </w:tc>
        <w:tc>
          <w:tcPr>
            <w:tcW w:w="1863" w:type="dxa"/>
            <w:noWrap w:val="0"/>
            <w:vAlign w:val="top"/>
          </w:tcPr>
          <w:p w14:paraId="49A90C7A">
            <w:pPr>
              <w:spacing w:line="360" w:lineRule="auto"/>
              <w:rPr>
                <w:rFonts w:ascii="宋体" w:hAnsi="宋体"/>
                <w:color w:val="000000"/>
                <w:sz w:val="21"/>
                <w:szCs w:val="21"/>
              </w:rPr>
            </w:pPr>
          </w:p>
        </w:tc>
        <w:tc>
          <w:tcPr>
            <w:tcW w:w="1017" w:type="dxa"/>
            <w:noWrap w:val="0"/>
            <w:vAlign w:val="top"/>
          </w:tcPr>
          <w:p w14:paraId="2C2FCB5D">
            <w:pPr>
              <w:spacing w:line="360" w:lineRule="auto"/>
              <w:rPr>
                <w:rFonts w:ascii="宋体" w:hAnsi="宋体"/>
                <w:color w:val="000000"/>
                <w:sz w:val="21"/>
                <w:szCs w:val="21"/>
              </w:rPr>
            </w:pPr>
          </w:p>
        </w:tc>
        <w:tc>
          <w:tcPr>
            <w:tcW w:w="1440" w:type="dxa"/>
            <w:noWrap w:val="0"/>
            <w:vAlign w:val="top"/>
          </w:tcPr>
          <w:p w14:paraId="0263DAE5">
            <w:pPr>
              <w:spacing w:line="360" w:lineRule="auto"/>
              <w:rPr>
                <w:rFonts w:ascii="宋体" w:hAnsi="宋体"/>
                <w:color w:val="000000"/>
                <w:sz w:val="21"/>
                <w:szCs w:val="21"/>
              </w:rPr>
            </w:pPr>
          </w:p>
        </w:tc>
        <w:tc>
          <w:tcPr>
            <w:tcW w:w="1439" w:type="dxa"/>
            <w:noWrap w:val="0"/>
            <w:vAlign w:val="top"/>
          </w:tcPr>
          <w:p w14:paraId="315CE136">
            <w:pPr>
              <w:spacing w:line="360" w:lineRule="auto"/>
              <w:rPr>
                <w:rFonts w:ascii="宋体" w:hAnsi="宋体"/>
                <w:color w:val="000000"/>
                <w:sz w:val="21"/>
                <w:szCs w:val="21"/>
              </w:rPr>
            </w:pPr>
          </w:p>
        </w:tc>
      </w:tr>
      <w:tr w14:paraId="4E68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693" w:type="dxa"/>
            <w:noWrap w:val="0"/>
            <w:vAlign w:val="top"/>
          </w:tcPr>
          <w:p w14:paraId="55EE58B6">
            <w:pPr>
              <w:spacing w:line="360" w:lineRule="auto"/>
              <w:rPr>
                <w:rFonts w:ascii="宋体" w:hAnsi="宋体"/>
                <w:color w:val="000000"/>
                <w:sz w:val="21"/>
                <w:szCs w:val="21"/>
              </w:rPr>
            </w:pPr>
          </w:p>
        </w:tc>
        <w:tc>
          <w:tcPr>
            <w:tcW w:w="1048" w:type="dxa"/>
            <w:noWrap w:val="0"/>
            <w:vAlign w:val="top"/>
          </w:tcPr>
          <w:p w14:paraId="12D9B472">
            <w:pPr>
              <w:spacing w:line="360" w:lineRule="auto"/>
              <w:rPr>
                <w:rFonts w:ascii="宋体" w:hAnsi="宋体"/>
                <w:color w:val="000000"/>
                <w:sz w:val="21"/>
                <w:szCs w:val="21"/>
              </w:rPr>
            </w:pPr>
          </w:p>
        </w:tc>
        <w:tc>
          <w:tcPr>
            <w:tcW w:w="868" w:type="dxa"/>
            <w:noWrap w:val="0"/>
            <w:vAlign w:val="top"/>
          </w:tcPr>
          <w:p w14:paraId="6D270A30">
            <w:pPr>
              <w:spacing w:line="360" w:lineRule="auto"/>
              <w:rPr>
                <w:rFonts w:ascii="宋体" w:hAnsi="宋体"/>
                <w:color w:val="000000"/>
                <w:sz w:val="21"/>
                <w:szCs w:val="21"/>
              </w:rPr>
            </w:pPr>
          </w:p>
        </w:tc>
        <w:tc>
          <w:tcPr>
            <w:tcW w:w="739" w:type="dxa"/>
            <w:noWrap w:val="0"/>
            <w:vAlign w:val="top"/>
          </w:tcPr>
          <w:p w14:paraId="3DE1B975">
            <w:pPr>
              <w:spacing w:line="360" w:lineRule="auto"/>
              <w:rPr>
                <w:rFonts w:ascii="宋体" w:hAnsi="宋体"/>
                <w:color w:val="000000"/>
                <w:sz w:val="21"/>
                <w:szCs w:val="21"/>
              </w:rPr>
            </w:pPr>
          </w:p>
        </w:tc>
        <w:tc>
          <w:tcPr>
            <w:tcW w:w="1863" w:type="dxa"/>
            <w:noWrap w:val="0"/>
            <w:vAlign w:val="top"/>
          </w:tcPr>
          <w:p w14:paraId="2D10109C">
            <w:pPr>
              <w:spacing w:line="360" w:lineRule="auto"/>
              <w:rPr>
                <w:rFonts w:ascii="宋体" w:hAnsi="宋体"/>
                <w:color w:val="000000"/>
                <w:sz w:val="21"/>
                <w:szCs w:val="21"/>
              </w:rPr>
            </w:pPr>
          </w:p>
        </w:tc>
        <w:tc>
          <w:tcPr>
            <w:tcW w:w="1017" w:type="dxa"/>
            <w:noWrap w:val="0"/>
            <w:vAlign w:val="top"/>
          </w:tcPr>
          <w:p w14:paraId="6DA40521">
            <w:pPr>
              <w:spacing w:line="360" w:lineRule="auto"/>
              <w:rPr>
                <w:rFonts w:ascii="宋体" w:hAnsi="宋体"/>
                <w:color w:val="000000"/>
                <w:sz w:val="21"/>
                <w:szCs w:val="21"/>
              </w:rPr>
            </w:pPr>
          </w:p>
        </w:tc>
        <w:tc>
          <w:tcPr>
            <w:tcW w:w="1440" w:type="dxa"/>
            <w:noWrap w:val="0"/>
            <w:vAlign w:val="top"/>
          </w:tcPr>
          <w:p w14:paraId="16A9A8D4">
            <w:pPr>
              <w:spacing w:line="360" w:lineRule="auto"/>
              <w:rPr>
                <w:rFonts w:ascii="宋体" w:hAnsi="宋体"/>
                <w:color w:val="000000"/>
                <w:sz w:val="21"/>
                <w:szCs w:val="21"/>
              </w:rPr>
            </w:pPr>
          </w:p>
        </w:tc>
        <w:tc>
          <w:tcPr>
            <w:tcW w:w="1439" w:type="dxa"/>
            <w:noWrap w:val="0"/>
            <w:vAlign w:val="top"/>
          </w:tcPr>
          <w:p w14:paraId="16882453">
            <w:pPr>
              <w:spacing w:line="360" w:lineRule="auto"/>
              <w:rPr>
                <w:rFonts w:ascii="宋体" w:hAnsi="宋体"/>
                <w:color w:val="000000"/>
                <w:sz w:val="21"/>
                <w:szCs w:val="21"/>
              </w:rPr>
            </w:pPr>
          </w:p>
        </w:tc>
      </w:tr>
      <w:tr w14:paraId="60960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693" w:type="dxa"/>
            <w:noWrap w:val="0"/>
            <w:vAlign w:val="top"/>
          </w:tcPr>
          <w:p w14:paraId="6DAA259E">
            <w:pPr>
              <w:spacing w:line="360" w:lineRule="auto"/>
              <w:rPr>
                <w:rFonts w:ascii="宋体" w:hAnsi="宋体"/>
                <w:color w:val="000000"/>
                <w:sz w:val="21"/>
                <w:szCs w:val="21"/>
              </w:rPr>
            </w:pPr>
          </w:p>
        </w:tc>
        <w:tc>
          <w:tcPr>
            <w:tcW w:w="1048" w:type="dxa"/>
            <w:noWrap w:val="0"/>
            <w:vAlign w:val="top"/>
          </w:tcPr>
          <w:p w14:paraId="678057FD">
            <w:pPr>
              <w:spacing w:line="360" w:lineRule="auto"/>
              <w:rPr>
                <w:rFonts w:ascii="宋体" w:hAnsi="宋体"/>
                <w:color w:val="000000"/>
                <w:sz w:val="21"/>
                <w:szCs w:val="21"/>
              </w:rPr>
            </w:pPr>
          </w:p>
        </w:tc>
        <w:tc>
          <w:tcPr>
            <w:tcW w:w="868" w:type="dxa"/>
            <w:noWrap w:val="0"/>
            <w:vAlign w:val="top"/>
          </w:tcPr>
          <w:p w14:paraId="6A0FA2CC">
            <w:pPr>
              <w:spacing w:line="360" w:lineRule="auto"/>
              <w:rPr>
                <w:rFonts w:ascii="宋体" w:hAnsi="宋体"/>
                <w:color w:val="000000"/>
                <w:sz w:val="21"/>
                <w:szCs w:val="21"/>
              </w:rPr>
            </w:pPr>
          </w:p>
        </w:tc>
        <w:tc>
          <w:tcPr>
            <w:tcW w:w="739" w:type="dxa"/>
            <w:noWrap w:val="0"/>
            <w:vAlign w:val="top"/>
          </w:tcPr>
          <w:p w14:paraId="42B41A48">
            <w:pPr>
              <w:spacing w:line="360" w:lineRule="auto"/>
              <w:rPr>
                <w:rFonts w:ascii="宋体" w:hAnsi="宋体"/>
                <w:color w:val="000000"/>
                <w:sz w:val="21"/>
                <w:szCs w:val="21"/>
              </w:rPr>
            </w:pPr>
          </w:p>
        </w:tc>
        <w:tc>
          <w:tcPr>
            <w:tcW w:w="1863" w:type="dxa"/>
            <w:noWrap w:val="0"/>
            <w:vAlign w:val="top"/>
          </w:tcPr>
          <w:p w14:paraId="26227190">
            <w:pPr>
              <w:spacing w:line="360" w:lineRule="auto"/>
              <w:rPr>
                <w:rFonts w:ascii="宋体" w:hAnsi="宋体"/>
                <w:color w:val="000000"/>
                <w:sz w:val="21"/>
                <w:szCs w:val="21"/>
              </w:rPr>
            </w:pPr>
          </w:p>
        </w:tc>
        <w:tc>
          <w:tcPr>
            <w:tcW w:w="1017" w:type="dxa"/>
            <w:noWrap w:val="0"/>
            <w:vAlign w:val="top"/>
          </w:tcPr>
          <w:p w14:paraId="48ABFAB6">
            <w:pPr>
              <w:spacing w:line="360" w:lineRule="auto"/>
              <w:rPr>
                <w:rFonts w:ascii="宋体" w:hAnsi="宋体"/>
                <w:color w:val="000000"/>
                <w:sz w:val="21"/>
                <w:szCs w:val="21"/>
              </w:rPr>
            </w:pPr>
          </w:p>
        </w:tc>
        <w:tc>
          <w:tcPr>
            <w:tcW w:w="1440" w:type="dxa"/>
            <w:noWrap w:val="0"/>
            <w:vAlign w:val="top"/>
          </w:tcPr>
          <w:p w14:paraId="481433DB">
            <w:pPr>
              <w:spacing w:line="360" w:lineRule="auto"/>
              <w:rPr>
                <w:rFonts w:ascii="宋体" w:hAnsi="宋体"/>
                <w:color w:val="000000"/>
                <w:sz w:val="21"/>
                <w:szCs w:val="21"/>
              </w:rPr>
            </w:pPr>
          </w:p>
        </w:tc>
        <w:tc>
          <w:tcPr>
            <w:tcW w:w="1439" w:type="dxa"/>
            <w:noWrap w:val="0"/>
            <w:vAlign w:val="top"/>
          </w:tcPr>
          <w:p w14:paraId="4E62BACF">
            <w:pPr>
              <w:spacing w:line="360" w:lineRule="auto"/>
              <w:rPr>
                <w:rFonts w:ascii="宋体" w:hAnsi="宋体"/>
                <w:color w:val="000000"/>
                <w:sz w:val="21"/>
                <w:szCs w:val="21"/>
              </w:rPr>
            </w:pPr>
          </w:p>
        </w:tc>
      </w:tr>
    </w:tbl>
    <w:p w14:paraId="210DB421">
      <w:pPr>
        <w:spacing w:line="360" w:lineRule="auto"/>
        <w:jc w:val="left"/>
        <w:rPr>
          <w:rFonts w:hint="eastAsia" w:ascii="宋体" w:hAnsi="宋体"/>
          <w:b/>
          <w:color w:val="000000"/>
          <w:sz w:val="21"/>
          <w:szCs w:val="21"/>
        </w:rPr>
      </w:pPr>
      <w:r>
        <w:rPr>
          <w:rFonts w:hint="eastAsia" w:ascii="宋体" w:hAnsi="宋体"/>
          <w:b/>
          <w:color w:val="000000"/>
          <w:sz w:val="21"/>
          <w:szCs w:val="21"/>
        </w:rPr>
        <w:t>注：后附相关人员资格证书</w:t>
      </w:r>
      <w:r>
        <w:rPr>
          <w:rFonts w:hint="eastAsia" w:ascii="宋体" w:hAnsi="宋体"/>
          <w:b/>
          <w:color w:val="000000"/>
          <w:sz w:val="21"/>
          <w:szCs w:val="21"/>
          <w:lang w:eastAsia="zh-CN"/>
        </w:rPr>
        <w:t>（</w:t>
      </w:r>
      <w:r>
        <w:rPr>
          <w:rFonts w:hint="eastAsia" w:ascii="宋体" w:hAnsi="宋体"/>
          <w:b/>
          <w:color w:val="000000"/>
          <w:sz w:val="21"/>
          <w:szCs w:val="21"/>
          <w:lang w:val="en-US" w:eastAsia="zh-CN"/>
        </w:rPr>
        <w:t>如有</w:t>
      </w:r>
      <w:r>
        <w:rPr>
          <w:rFonts w:hint="eastAsia" w:ascii="宋体" w:hAnsi="宋体"/>
          <w:b/>
          <w:color w:val="000000"/>
          <w:sz w:val="21"/>
          <w:szCs w:val="21"/>
          <w:lang w:eastAsia="zh-CN"/>
        </w:rPr>
        <w:t>）</w:t>
      </w:r>
      <w:r>
        <w:rPr>
          <w:rFonts w:hint="eastAsia" w:ascii="宋体" w:hAnsi="宋体"/>
          <w:b/>
          <w:color w:val="000000"/>
          <w:sz w:val="21"/>
          <w:szCs w:val="21"/>
        </w:rPr>
        <w:t>、身份证</w:t>
      </w:r>
      <w:r>
        <w:rPr>
          <w:rFonts w:hint="eastAsia"/>
          <w:b/>
          <w:color w:val="000000"/>
          <w:sz w:val="21"/>
          <w:szCs w:val="21"/>
          <w:lang w:eastAsia="zh-CN"/>
        </w:rPr>
        <w:t>、社保</w:t>
      </w:r>
      <w:r>
        <w:rPr>
          <w:rFonts w:hint="eastAsia"/>
          <w:b/>
          <w:color w:val="000000"/>
          <w:sz w:val="21"/>
          <w:szCs w:val="21"/>
          <w:lang w:val="en-US" w:eastAsia="zh-CN"/>
        </w:rPr>
        <w:t>证明材料</w:t>
      </w:r>
      <w:r>
        <w:rPr>
          <w:rFonts w:hint="eastAsia"/>
          <w:b/>
          <w:color w:val="000000"/>
          <w:sz w:val="21"/>
          <w:szCs w:val="21"/>
          <w:lang w:eastAsia="zh-CN"/>
        </w:rPr>
        <w:t>（</w:t>
      </w:r>
      <w:r>
        <w:rPr>
          <w:rFonts w:hint="eastAsia"/>
          <w:b/>
          <w:color w:val="000000"/>
          <w:sz w:val="21"/>
          <w:szCs w:val="21"/>
          <w:lang w:val="en-US" w:eastAsia="zh-CN"/>
        </w:rPr>
        <w:t>或</w:t>
      </w:r>
      <w:r>
        <w:rPr>
          <w:rFonts w:hint="eastAsia"/>
          <w:b/>
          <w:color w:val="000000"/>
          <w:sz w:val="21"/>
          <w:szCs w:val="21"/>
          <w:lang w:eastAsia="zh-CN"/>
        </w:rPr>
        <w:t>单位在职证明）</w:t>
      </w:r>
      <w:r>
        <w:rPr>
          <w:rFonts w:hint="eastAsia" w:ascii="宋体" w:hAnsi="宋体"/>
          <w:b/>
          <w:color w:val="000000"/>
          <w:sz w:val="21"/>
          <w:szCs w:val="21"/>
        </w:rPr>
        <w:t>等</w:t>
      </w:r>
      <w:r>
        <w:rPr>
          <w:rFonts w:hint="eastAsia" w:ascii="宋体" w:hAnsi="宋体"/>
          <w:b/>
          <w:color w:val="000000"/>
          <w:kern w:val="0"/>
          <w:sz w:val="21"/>
          <w:szCs w:val="21"/>
        </w:rPr>
        <w:t>扫描件</w:t>
      </w:r>
      <w:r>
        <w:rPr>
          <w:rFonts w:hint="eastAsia" w:ascii="宋体" w:hAnsi="宋体"/>
          <w:b/>
          <w:color w:val="000000"/>
          <w:sz w:val="21"/>
          <w:szCs w:val="21"/>
        </w:rPr>
        <w:t>。</w:t>
      </w:r>
    </w:p>
    <w:p w14:paraId="42658B14">
      <w:pPr>
        <w:widowControl w:val="0"/>
        <w:numPr>
          <w:ilvl w:val="0"/>
          <w:numId w:val="0"/>
        </w:numPr>
        <w:autoSpaceDE w:val="0"/>
        <w:autoSpaceDN w:val="0"/>
        <w:spacing w:after="200" w:line="276" w:lineRule="auto"/>
        <w:rPr>
          <w:rFonts w:hint="default"/>
          <w:b/>
          <w:color w:val="000000"/>
          <w:sz w:val="21"/>
          <w:szCs w:val="21"/>
          <w:lang w:val="en-US" w:eastAsia="zh-CN"/>
        </w:rPr>
      </w:pPr>
    </w:p>
    <w:p w14:paraId="684E792B">
      <w:pPr>
        <w:widowControl w:val="0"/>
        <w:numPr>
          <w:ilvl w:val="0"/>
          <w:numId w:val="0"/>
        </w:numPr>
        <w:autoSpaceDE w:val="0"/>
        <w:autoSpaceDN w:val="0"/>
        <w:spacing w:after="200" w:line="276" w:lineRule="auto"/>
        <w:rPr>
          <w:rFonts w:hint="default"/>
          <w:b/>
          <w:color w:val="000000"/>
          <w:sz w:val="21"/>
          <w:szCs w:val="21"/>
          <w:lang w:val="en-US" w:eastAsia="zh-CN"/>
        </w:rPr>
      </w:pPr>
    </w:p>
    <w:p w14:paraId="3D316134">
      <w:pPr>
        <w:widowControl w:val="0"/>
        <w:numPr>
          <w:ilvl w:val="0"/>
          <w:numId w:val="0"/>
        </w:numPr>
        <w:autoSpaceDE w:val="0"/>
        <w:autoSpaceDN w:val="0"/>
        <w:spacing w:after="200" w:line="276" w:lineRule="auto"/>
        <w:rPr>
          <w:rFonts w:hint="default"/>
          <w:b/>
          <w:color w:val="000000"/>
          <w:sz w:val="21"/>
          <w:szCs w:val="21"/>
          <w:lang w:val="en-US" w:eastAsia="zh-CN"/>
        </w:rPr>
      </w:pPr>
    </w:p>
    <w:p w14:paraId="6745A224">
      <w:pPr>
        <w:pStyle w:val="31"/>
        <w:shd w:val="clear" w:color="auto" w:fill="auto"/>
        <w:spacing w:line="4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投标人：</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w:t>
      </w:r>
    </w:p>
    <w:p w14:paraId="69AFBA3B">
      <w:pPr>
        <w:widowControl w:val="0"/>
        <w:numPr>
          <w:ilvl w:val="0"/>
          <w:numId w:val="0"/>
        </w:numPr>
        <w:autoSpaceDE w:val="0"/>
        <w:autoSpaceDN w:val="0"/>
        <w:spacing w:after="200" w:line="276" w:lineRule="auto"/>
        <w:rPr>
          <w:rFonts w:hint="default"/>
          <w:b/>
          <w:color w:val="000000"/>
          <w:sz w:val="30"/>
          <w:szCs w:val="30"/>
          <w:lang w:val="en-US" w:eastAsia="zh-CN"/>
        </w:rPr>
      </w:pPr>
      <w:r>
        <w:rPr>
          <w:rFonts w:hint="eastAsia" w:ascii="宋体" w:hAnsi="宋体" w:cs="宋体"/>
          <w:b/>
          <w:bCs/>
          <w:color w:val="000000"/>
          <w:sz w:val="24"/>
          <w:szCs w:val="24"/>
          <w:highlight w:val="none"/>
        </w:rPr>
        <w:t>日  期：</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年</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月</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日</w:t>
      </w:r>
    </w:p>
    <w:p w14:paraId="004108F0">
      <w:pPr>
        <w:widowControl w:val="0"/>
        <w:numPr>
          <w:ilvl w:val="0"/>
          <w:numId w:val="0"/>
        </w:numPr>
        <w:autoSpaceDE w:val="0"/>
        <w:autoSpaceDN w:val="0"/>
        <w:spacing w:after="200" w:line="276" w:lineRule="auto"/>
        <w:rPr>
          <w:rFonts w:hint="default"/>
          <w:b/>
          <w:color w:val="000000"/>
          <w:sz w:val="30"/>
          <w:szCs w:val="30"/>
          <w:lang w:val="en-US" w:eastAsia="zh-CN"/>
        </w:rPr>
      </w:pPr>
    </w:p>
    <w:p w14:paraId="0B3D7EF3">
      <w:pPr>
        <w:widowControl w:val="0"/>
        <w:numPr>
          <w:ilvl w:val="0"/>
          <w:numId w:val="0"/>
        </w:numPr>
        <w:autoSpaceDE w:val="0"/>
        <w:autoSpaceDN w:val="0"/>
        <w:spacing w:after="200" w:line="276" w:lineRule="auto"/>
        <w:rPr>
          <w:rFonts w:hint="default"/>
          <w:b/>
          <w:color w:val="000000"/>
          <w:sz w:val="30"/>
          <w:szCs w:val="30"/>
          <w:lang w:val="en-US" w:eastAsia="zh-CN"/>
        </w:rPr>
      </w:pPr>
    </w:p>
    <w:p w14:paraId="3313A248">
      <w:pPr>
        <w:widowControl w:val="0"/>
        <w:numPr>
          <w:ilvl w:val="0"/>
          <w:numId w:val="0"/>
        </w:numPr>
        <w:autoSpaceDE w:val="0"/>
        <w:autoSpaceDN w:val="0"/>
        <w:spacing w:after="200" w:line="276" w:lineRule="auto"/>
        <w:rPr>
          <w:rFonts w:hint="default"/>
          <w:b/>
          <w:color w:val="000000"/>
          <w:sz w:val="30"/>
          <w:szCs w:val="30"/>
          <w:lang w:val="en-US" w:eastAsia="zh-CN"/>
        </w:rPr>
      </w:pPr>
    </w:p>
    <w:p w14:paraId="54AFC83C">
      <w:pPr>
        <w:widowControl w:val="0"/>
        <w:numPr>
          <w:ilvl w:val="0"/>
          <w:numId w:val="0"/>
        </w:numPr>
        <w:autoSpaceDE w:val="0"/>
        <w:autoSpaceDN w:val="0"/>
        <w:spacing w:after="200" w:line="276" w:lineRule="auto"/>
        <w:rPr>
          <w:rFonts w:hint="default"/>
          <w:b/>
          <w:color w:val="000000"/>
          <w:sz w:val="30"/>
          <w:szCs w:val="30"/>
          <w:lang w:val="en-US" w:eastAsia="zh-CN"/>
        </w:rPr>
      </w:pPr>
    </w:p>
    <w:p w14:paraId="0A9AB089">
      <w:pPr>
        <w:widowControl w:val="0"/>
        <w:numPr>
          <w:ilvl w:val="0"/>
          <w:numId w:val="0"/>
        </w:numPr>
        <w:autoSpaceDE w:val="0"/>
        <w:autoSpaceDN w:val="0"/>
        <w:spacing w:after="200" w:line="276" w:lineRule="auto"/>
        <w:rPr>
          <w:rFonts w:hint="default"/>
          <w:b/>
          <w:color w:val="000000"/>
          <w:sz w:val="30"/>
          <w:szCs w:val="30"/>
          <w:lang w:val="en-US" w:eastAsia="zh-CN"/>
        </w:rPr>
      </w:pPr>
    </w:p>
    <w:p w14:paraId="7BF7FE8B">
      <w:pPr>
        <w:widowControl w:val="0"/>
        <w:numPr>
          <w:ilvl w:val="0"/>
          <w:numId w:val="0"/>
        </w:numPr>
        <w:autoSpaceDE w:val="0"/>
        <w:autoSpaceDN w:val="0"/>
        <w:spacing w:after="200" w:line="276" w:lineRule="auto"/>
        <w:rPr>
          <w:rFonts w:hint="default"/>
          <w:b/>
          <w:color w:val="000000"/>
          <w:sz w:val="30"/>
          <w:szCs w:val="30"/>
          <w:lang w:val="en-US" w:eastAsia="zh-CN"/>
        </w:rPr>
      </w:pPr>
    </w:p>
    <w:p w14:paraId="339B8842">
      <w:pPr>
        <w:widowControl w:val="0"/>
        <w:numPr>
          <w:ilvl w:val="0"/>
          <w:numId w:val="0"/>
        </w:numPr>
        <w:autoSpaceDE w:val="0"/>
        <w:autoSpaceDN w:val="0"/>
        <w:spacing w:after="200" w:line="276" w:lineRule="auto"/>
        <w:rPr>
          <w:rFonts w:hint="default"/>
          <w:b/>
          <w:color w:val="000000"/>
          <w:sz w:val="30"/>
          <w:szCs w:val="30"/>
          <w:lang w:val="en-US" w:eastAsia="zh-CN"/>
        </w:rPr>
      </w:pPr>
    </w:p>
    <w:p w14:paraId="1131A5D4">
      <w:pPr>
        <w:widowControl w:val="0"/>
        <w:numPr>
          <w:ilvl w:val="0"/>
          <w:numId w:val="0"/>
        </w:numPr>
        <w:autoSpaceDE w:val="0"/>
        <w:autoSpaceDN w:val="0"/>
        <w:spacing w:after="200" w:line="276" w:lineRule="auto"/>
        <w:rPr>
          <w:rFonts w:hint="default"/>
          <w:b/>
          <w:color w:val="000000"/>
          <w:sz w:val="30"/>
          <w:szCs w:val="30"/>
          <w:lang w:val="en-US" w:eastAsia="zh-CN"/>
        </w:rPr>
      </w:pPr>
    </w:p>
    <w:p w14:paraId="7BCDB994">
      <w:pPr>
        <w:widowControl w:val="0"/>
        <w:numPr>
          <w:ilvl w:val="0"/>
          <w:numId w:val="0"/>
        </w:numPr>
        <w:autoSpaceDE w:val="0"/>
        <w:autoSpaceDN w:val="0"/>
        <w:spacing w:after="200" w:line="276" w:lineRule="auto"/>
        <w:rPr>
          <w:rFonts w:hint="default"/>
          <w:b/>
          <w:color w:val="000000"/>
          <w:sz w:val="30"/>
          <w:szCs w:val="30"/>
          <w:lang w:val="en-US" w:eastAsia="zh-CN"/>
        </w:rPr>
      </w:pPr>
    </w:p>
    <w:p w14:paraId="28DD728F">
      <w:pPr>
        <w:widowControl w:val="0"/>
        <w:numPr>
          <w:ilvl w:val="0"/>
          <w:numId w:val="0"/>
        </w:numPr>
        <w:autoSpaceDE w:val="0"/>
        <w:autoSpaceDN w:val="0"/>
        <w:spacing w:after="200" w:line="276" w:lineRule="auto"/>
        <w:rPr>
          <w:rFonts w:hint="default"/>
          <w:b/>
          <w:color w:val="000000"/>
          <w:sz w:val="30"/>
          <w:szCs w:val="30"/>
          <w:lang w:val="en-US" w:eastAsia="zh-CN"/>
        </w:rPr>
      </w:pPr>
    </w:p>
    <w:p w14:paraId="36930749">
      <w:pPr>
        <w:spacing w:line="360" w:lineRule="auto"/>
        <w:jc w:val="center"/>
        <w:rPr>
          <w:rFonts w:ascii="宋体" w:hAnsi="宋体"/>
          <w:color w:val="000000"/>
          <w:sz w:val="24"/>
        </w:rPr>
      </w:pPr>
      <w:r>
        <w:rPr>
          <w:rFonts w:hint="eastAsia"/>
          <w:b/>
          <w:color w:val="000000"/>
          <w:sz w:val="28"/>
          <w:szCs w:val="28"/>
          <w:lang w:val="en-US" w:eastAsia="zh-CN"/>
        </w:rPr>
        <w:t>九、设备、仪器配置及投入计划</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26"/>
        <w:gridCol w:w="1339"/>
        <w:gridCol w:w="2012"/>
        <w:gridCol w:w="4481"/>
      </w:tblGrid>
      <w:tr w14:paraId="5DC71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03638E88">
            <w:pPr>
              <w:spacing w:before="0" w:after="0" w:line="400" w:lineRule="exact"/>
              <w:jc w:val="center"/>
              <w:rPr>
                <w:rFonts w:ascii="宋体" w:hAnsi="宋体"/>
                <w:color w:val="000000"/>
                <w:sz w:val="21"/>
                <w:szCs w:val="21"/>
              </w:rPr>
            </w:pPr>
            <w:r>
              <w:rPr>
                <w:rFonts w:hint="eastAsia" w:ascii="宋体" w:hAnsi="宋体"/>
                <w:color w:val="000000"/>
                <w:sz w:val="21"/>
                <w:szCs w:val="21"/>
              </w:rPr>
              <w:t>设备名称</w:t>
            </w:r>
          </w:p>
        </w:tc>
        <w:tc>
          <w:tcPr>
            <w:tcW w:w="679" w:type="pct"/>
            <w:noWrap w:val="0"/>
            <w:vAlign w:val="center"/>
          </w:tcPr>
          <w:p w14:paraId="01D6B6C2">
            <w:pPr>
              <w:spacing w:before="0" w:after="0" w:line="400" w:lineRule="exact"/>
              <w:jc w:val="center"/>
              <w:rPr>
                <w:rFonts w:ascii="宋体" w:hAnsi="宋体"/>
                <w:color w:val="000000"/>
                <w:sz w:val="21"/>
                <w:szCs w:val="21"/>
              </w:rPr>
            </w:pPr>
            <w:r>
              <w:rPr>
                <w:rFonts w:hint="eastAsia" w:ascii="宋体" w:hAnsi="宋体"/>
                <w:color w:val="000000"/>
                <w:sz w:val="21"/>
                <w:szCs w:val="21"/>
              </w:rPr>
              <w:t>型号</w:t>
            </w:r>
          </w:p>
        </w:tc>
        <w:tc>
          <w:tcPr>
            <w:tcW w:w="1020" w:type="pct"/>
            <w:noWrap w:val="0"/>
            <w:vAlign w:val="center"/>
          </w:tcPr>
          <w:p w14:paraId="64147512">
            <w:pPr>
              <w:spacing w:before="0" w:after="0" w:line="400" w:lineRule="exact"/>
              <w:jc w:val="center"/>
              <w:rPr>
                <w:rFonts w:ascii="宋体" w:hAnsi="宋体"/>
                <w:color w:val="000000"/>
                <w:sz w:val="21"/>
                <w:szCs w:val="21"/>
              </w:rPr>
            </w:pPr>
            <w:r>
              <w:rPr>
                <w:rFonts w:hint="eastAsia" w:ascii="宋体" w:hAnsi="宋体"/>
                <w:color w:val="000000"/>
                <w:sz w:val="21"/>
                <w:szCs w:val="21"/>
              </w:rPr>
              <w:t>台数</w:t>
            </w:r>
          </w:p>
        </w:tc>
        <w:tc>
          <w:tcPr>
            <w:tcW w:w="2272" w:type="pct"/>
            <w:noWrap w:val="0"/>
            <w:vAlign w:val="center"/>
          </w:tcPr>
          <w:p w14:paraId="012BC342">
            <w:pPr>
              <w:spacing w:before="0" w:after="0" w:line="400" w:lineRule="exact"/>
              <w:jc w:val="center"/>
              <w:rPr>
                <w:rFonts w:ascii="宋体" w:hAnsi="宋体"/>
                <w:color w:val="000000"/>
                <w:sz w:val="21"/>
                <w:szCs w:val="21"/>
              </w:rPr>
            </w:pPr>
            <w:r>
              <w:rPr>
                <w:rFonts w:hint="eastAsia" w:ascii="宋体" w:hAnsi="宋体"/>
                <w:color w:val="000000"/>
                <w:sz w:val="21"/>
                <w:szCs w:val="21"/>
              </w:rPr>
              <w:t>用途</w:t>
            </w:r>
          </w:p>
        </w:tc>
      </w:tr>
      <w:tr w14:paraId="46C3F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6BA38342">
            <w:pPr>
              <w:spacing w:before="0" w:after="0" w:line="400" w:lineRule="exact"/>
              <w:jc w:val="center"/>
              <w:rPr>
                <w:rFonts w:ascii="仿宋" w:hAnsi="仿宋" w:eastAsia="仿宋"/>
                <w:color w:val="000000"/>
                <w:sz w:val="21"/>
                <w:szCs w:val="21"/>
              </w:rPr>
            </w:pPr>
          </w:p>
        </w:tc>
        <w:tc>
          <w:tcPr>
            <w:tcW w:w="679" w:type="pct"/>
            <w:noWrap w:val="0"/>
            <w:vAlign w:val="center"/>
          </w:tcPr>
          <w:p w14:paraId="25D42FE6">
            <w:pPr>
              <w:spacing w:before="0" w:after="0" w:line="400" w:lineRule="exact"/>
              <w:jc w:val="center"/>
              <w:rPr>
                <w:rFonts w:ascii="仿宋" w:hAnsi="仿宋" w:eastAsia="仿宋"/>
                <w:color w:val="000000"/>
                <w:sz w:val="21"/>
                <w:szCs w:val="21"/>
              </w:rPr>
            </w:pPr>
          </w:p>
        </w:tc>
        <w:tc>
          <w:tcPr>
            <w:tcW w:w="1020" w:type="pct"/>
            <w:noWrap w:val="0"/>
            <w:vAlign w:val="center"/>
          </w:tcPr>
          <w:p w14:paraId="6640AA37">
            <w:pPr>
              <w:spacing w:before="0" w:after="0" w:line="400" w:lineRule="exact"/>
              <w:jc w:val="center"/>
              <w:rPr>
                <w:rFonts w:ascii="仿宋" w:hAnsi="仿宋" w:eastAsia="仿宋"/>
                <w:color w:val="000000"/>
                <w:sz w:val="21"/>
                <w:szCs w:val="21"/>
              </w:rPr>
            </w:pPr>
          </w:p>
        </w:tc>
        <w:tc>
          <w:tcPr>
            <w:tcW w:w="2272" w:type="pct"/>
            <w:noWrap w:val="0"/>
            <w:vAlign w:val="center"/>
          </w:tcPr>
          <w:p w14:paraId="5C952471">
            <w:pPr>
              <w:spacing w:before="0" w:after="0" w:line="400" w:lineRule="exact"/>
              <w:jc w:val="center"/>
              <w:rPr>
                <w:rFonts w:ascii="仿宋" w:hAnsi="仿宋" w:eastAsia="仿宋"/>
                <w:color w:val="000000"/>
                <w:sz w:val="21"/>
                <w:szCs w:val="21"/>
              </w:rPr>
            </w:pPr>
          </w:p>
        </w:tc>
      </w:tr>
      <w:tr w14:paraId="5846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5DC5AA6D">
            <w:pPr>
              <w:spacing w:before="0" w:after="0" w:line="400" w:lineRule="exact"/>
              <w:jc w:val="center"/>
              <w:rPr>
                <w:rFonts w:ascii="仿宋" w:hAnsi="仿宋" w:eastAsia="仿宋"/>
                <w:color w:val="000000"/>
                <w:sz w:val="21"/>
                <w:szCs w:val="21"/>
              </w:rPr>
            </w:pPr>
          </w:p>
        </w:tc>
        <w:tc>
          <w:tcPr>
            <w:tcW w:w="679" w:type="pct"/>
            <w:noWrap w:val="0"/>
            <w:vAlign w:val="center"/>
          </w:tcPr>
          <w:p w14:paraId="4D5517BB">
            <w:pPr>
              <w:spacing w:before="0" w:after="0" w:line="400" w:lineRule="exact"/>
              <w:jc w:val="center"/>
              <w:rPr>
                <w:rFonts w:ascii="仿宋" w:hAnsi="仿宋" w:eastAsia="仿宋"/>
                <w:color w:val="000000"/>
                <w:sz w:val="21"/>
                <w:szCs w:val="21"/>
              </w:rPr>
            </w:pPr>
          </w:p>
        </w:tc>
        <w:tc>
          <w:tcPr>
            <w:tcW w:w="1020" w:type="pct"/>
            <w:noWrap w:val="0"/>
            <w:vAlign w:val="center"/>
          </w:tcPr>
          <w:p w14:paraId="656EF565">
            <w:pPr>
              <w:spacing w:before="0" w:after="0" w:line="400" w:lineRule="exact"/>
              <w:jc w:val="center"/>
              <w:rPr>
                <w:rFonts w:ascii="仿宋" w:hAnsi="仿宋" w:eastAsia="仿宋"/>
                <w:color w:val="000000"/>
                <w:sz w:val="21"/>
                <w:szCs w:val="21"/>
              </w:rPr>
            </w:pPr>
          </w:p>
        </w:tc>
        <w:tc>
          <w:tcPr>
            <w:tcW w:w="2272" w:type="pct"/>
            <w:noWrap w:val="0"/>
            <w:vAlign w:val="center"/>
          </w:tcPr>
          <w:p w14:paraId="1E163A34">
            <w:pPr>
              <w:spacing w:before="0" w:after="0" w:line="400" w:lineRule="exact"/>
              <w:jc w:val="center"/>
              <w:rPr>
                <w:rFonts w:ascii="仿宋" w:hAnsi="仿宋" w:eastAsia="仿宋"/>
                <w:color w:val="000000"/>
                <w:sz w:val="21"/>
                <w:szCs w:val="21"/>
              </w:rPr>
            </w:pPr>
          </w:p>
        </w:tc>
      </w:tr>
      <w:tr w14:paraId="6C191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39D0FC4B">
            <w:pPr>
              <w:spacing w:before="0" w:after="0" w:line="400" w:lineRule="exact"/>
              <w:jc w:val="center"/>
              <w:rPr>
                <w:rFonts w:ascii="仿宋" w:hAnsi="仿宋" w:eastAsia="仿宋"/>
                <w:color w:val="000000"/>
                <w:sz w:val="21"/>
                <w:szCs w:val="21"/>
              </w:rPr>
            </w:pPr>
          </w:p>
        </w:tc>
        <w:tc>
          <w:tcPr>
            <w:tcW w:w="679" w:type="pct"/>
            <w:noWrap w:val="0"/>
            <w:vAlign w:val="center"/>
          </w:tcPr>
          <w:p w14:paraId="5555E044">
            <w:pPr>
              <w:spacing w:before="0" w:after="0" w:line="400" w:lineRule="exact"/>
              <w:jc w:val="center"/>
              <w:rPr>
                <w:rFonts w:ascii="仿宋" w:hAnsi="仿宋" w:eastAsia="仿宋"/>
                <w:color w:val="000000"/>
                <w:sz w:val="21"/>
                <w:szCs w:val="21"/>
              </w:rPr>
            </w:pPr>
          </w:p>
        </w:tc>
        <w:tc>
          <w:tcPr>
            <w:tcW w:w="1020" w:type="pct"/>
            <w:noWrap w:val="0"/>
            <w:vAlign w:val="center"/>
          </w:tcPr>
          <w:p w14:paraId="27713C09">
            <w:pPr>
              <w:spacing w:before="0" w:after="0" w:line="400" w:lineRule="exact"/>
              <w:jc w:val="center"/>
              <w:rPr>
                <w:rFonts w:ascii="仿宋" w:hAnsi="仿宋" w:eastAsia="仿宋"/>
                <w:color w:val="000000"/>
                <w:sz w:val="21"/>
                <w:szCs w:val="21"/>
              </w:rPr>
            </w:pPr>
          </w:p>
        </w:tc>
        <w:tc>
          <w:tcPr>
            <w:tcW w:w="2272" w:type="pct"/>
            <w:noWrap w:val="0"/>
            <w:vAlign w:val="center"/>
          </w:tcPr>
          <w:p w14:paraId="3C93F848">
            <w:pPr>
              <w:spacing w:before="0" w:after="0" w:line="400" w:lineRule="exact"/>
              <w:jc w:val="center"/>
              <w:rPr>
                <w:rFonts w:ascii="仿宋" w:hAnsi="仿宋" w:eastAsia="仿宋"/>
                <w:color w:val="000000"/>
                <w:sz w:val="21"/>
                <w:szCs w:val="21"/>
              </w:rPr>
            </w:pPr>
          </w:p>
        </w:tc>
      </w:tr>
      <w:tr w14:paraId="13348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724CE84B">
            <w:pPr>
              <w:spacing w:before="0" w:after="0" w:line="400" w:lineRule="exact"/>
              <w:jc w:val="center"/>
              <w:rPr>
                <w:rFonts w:ascii="仿宋" w:hAnsi="仿宋" w:eastAsia="仿宋"/>
                <w:color w:val="000000"/>
                <w:sz w:val="21"/>
                <w:szCs w:val="21"/>
              </w:rPr>
            </w:pPr>
          </w:p>
        </w:tc>
        <w:tc>
          <w:tcPr>
            <w:tcW w:w="679" w:type="pct"/>
            <w:noWrap w:val="0"/>
            <w:vAlign w:val="center"/>
          </w:tcPr>
          <w:p w14:paraId="4F260844">
            <w:pPr>
              <w:spacing w:before="0" w:after="0" w:line="400" w:lineRule="exact"/>
              <w:jc w:val="center"/>
              <w:rPr>
                <w:rFonts w:ascii="仿宋" w:hAnsi="仿宋" w:eastAsia="仿宋"/>
                <w:color w:val="000000"/>
                <w:sz w:val="21"/>
                <w:szCs w:val="21"/>
              </w:rPr>
            </w:pPr>
          </w:p>
        </w:tc>
        <w:tc>
          <w:tcPr>
            <w:tcW w:w="1020" w:type="pct"/>
            <w:noWrap w:val="0"/>
            <w:vAlign w:val="center"/>
          </w:tcPr>
          <w:p w14:paraId="65897ACD">
            <w:pPr>
              <w:spacing w:before="0" w:after="0" w:line="400" w:lineRule="exact"/>
              <w:jc w:val="center"/>
              <w:rPr>
                <w:rFonts w:ascii="仿宋" w:hAnsi="仿宋" w:eastAsia="仿宋"/>
                <w:color w:val="000000"/>
                <w:sz w:val="21"/>
                <w:szCs w:val="21"/>
              </w:rPr>
            </w:pPr>
          </w:p>
        </w:tc>
        <w:tc>
          <w:tcPr>
            <w:tcW w:w="2272" w:type="pct"/>
            <w:noWrap w:val="0"/>
            <w:vAlign w:val="center"/>
          </w:tcPr>
          <w:p w14:paraId="4633C703">
            <w:pPr>
              <w:spacing w:before="0" w:after="0" w:line="400" w:lineRule="exact"/>
              <w:jc w:val="center"/>
              <w:rPr>
                <w:rFonts w:ascii="仿宋" w:hAnsi="仿宋" w:eastAsia="仿宋"/>
                <w:color w:val="000000"/>
                <w:sz w:val="21"/>
                <w:szCs w:val="21"/>
              </w:rPr>
            </w:pPr>
          </w:p>
        </w:tc>
      </w:tr>
      <w:tr w14:paraId="655E4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69308DB7">
            <w:pPr>
              <w:spacing w:before="0" w:after="0" w:line="400" w:lineRule="exact"/>
              <w:jc w:val="center"/>
              <w:rPr>
                <w:rFonts w:ascii="仿宋" w:hAnsi="仿宋" w:eastAsia="仿宋"/>
                <w:color w:val="000000"/>
                <w:sz w:val="21"/>
                <w:szCs w:val="21"/>
              </w:rPr>
            </w:pPr>
          </w:p>
        </w:tc>
        <w:tc>
          <w:tcPr>
            <w:tcW w:w="679" w:type="pct"/>
            <w:noWrap w:val="0"/>
            <w:vAlign w:val="center"/>
          </w:tcPr>
          <w:p w14:paraId="6DAA617D">
            <w:pPr>
              <w:spacing w:before="0" w:after="0" w:line="400" w:lineRule="exact"/>
              <w:jc w:val="center"/>
              <w:rPr>
                <w:rFonts w:ascii="仿宋" w:hAnsi="仿宋" w:eastAsia="仿宋"/>
                <w:color w:val="000000"/>
                <w:sz w:val="21"/>
                <w:szCs w:val="21"/>
              </w:rPr>
            </w:pPr>
          </w:p>
        </w:tc>
        <w:tc>
          <w:tcPr>
            <w:tcW w:w="1020" w:type="pct"/>
            <w:noWrap w:val="0"/>
            <w:vAlign w:val="center"/>
          </w:tcPr>
          <w:p w14:paraId="39ABA61A">
            <w:pPr>
              <w:spacing w:before="0" w:after="0" w:line="400" w:lineRule="exact"/>
              <w:jc w:val="center"/>
              <w:rPr>
                <w:rFonts w:ascii="仿宋" w:hAnsi="仿宋" w:eastAsia="仿宋"/>
                <w:color w:val="000000"/>
                <w:sz w:val="21"/>
                <w:szCs w:val="21"/>
              </w:rPr>
            </w:pPr>
          </w:p>
        </w:tc>
        <w:tc>
          <w:tcPr>
            <w:tcW w:w="2272" w:type="pct"/>
            <w:noWrap w:val="0"/>
            <w:vAlign w:val="center"/>
          </w:tcPr>
          <w:p w14:paraId="7F8AA3FF">
            <w:pPr>
              <w:spacing w:before="0" w:after="0" w:line="400" w:lineRule="exact"/>
              <w:jc w:val="center"/>
              <w:rPr>
                <w:rFonts w:ascii="仿宋" w:hAnsi="仿宋" w:eastAsia="仿宋"/>
                <w:color w:val="000000"/>
                <w:sz w:val="21"/>
                <w:szCs w:val="21"/>
              </w:rPr>
            </w:pPr>
          </w:p>
        </w:tc>
      </w:tr>
      <w:tr w14:paraId="04125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651A9D54">
            <w:pPr>
              <w:spacing w:before="0" w:after="0" w:line="400" w:lineRule="exact"/>
              <w:jc w:val="center"/>
              <w:rPr>
                <w:rFonts w:ascii="仿宋" w:hAnsi="仿宋" w:eastAsia="仿宋"/>
                <w:color w:val="000000"/>
                <w:sz w:val="21"/>
                <w:szCs w:val="21"/>
              </w:rPr>
            </w:pPr>
          </w:p>
        </w:tc>
        <w:tc>
          <w:tcPr>
            <w:tcW w:w="679" w:type="pct"/>
            <w:noWrap w:val="0"/>
            <w:vAlign w:val="center"/>
          </w:tcPr>
          <w:p w14:paraId="78005AE7">
            <w:pPr>
              <w:spacing w:before="0" w:after="0" w:line="400" w:lineRule="exact"/>
              <w:jc w:val="center"/>
              <w:rPr>
                <w:rFonts w:ascii="仿宋" w:hAnsi="仿宋" w:eastAsia="仿宋"/>
                <w:color w:val="000000"/>
                <w:sz w:val="21"/>
                <w:szCs w:val="21"/>
              </w:rPr>
            </w:pPr>
          </w:p>
        </w:tc>
        <w:tc>
          <w:tcPr>
            <w:tcW w:w="1020" w:type="pct"/>
            <w:noWrap w:val="0"/>
            <w:vAlign w:val="center"/>
          </w:tcPr>
          <w:p w14:paraId="7CFD4930">
            <w:pPr>
              <w:spacing w:before="0" w:after="0" w:line="400" w:lineRule="exact"/>
              <w:jc w:val="center"/>
              <w:rPr>
                <w:rFonts w:ascii="仿宋" w:hAnsi="仿宋" w:eastAsia="仿宋"/>
                <w:color w:val="000000"/>
                <w:sz w:val="21"/>
                <w:szCs w:val="21"/>
              </w:rPr>
            </w:pPr>
          </w:p>
        </w:tc>
        <w:tc>
          <w:tcPr>
            <w:tcW w:w="2272" w:type="pct"/>
            <w:noWrap w:val="0"/>
            <w:vAlign w:val="center"/>
          </w:tcPr>
          <w:p w14:paraId="106B6556">
            <w:pPr>
              <w:spacing w:before="0" w:after="0" w:line="400" w:lineRule="exact"/>
              <w:jc w:val="center"/>
              <w:rPr>
                <w:rFonts w:ascii="仿宋" w:hAnsi="仿宋" w:eastAsia="仿宋"/>
                <w:color w:val="000000"/>
                <w:sz w:val="21"/>
                <w:szCs w:val="21"/>
              </w:rPr>
            </w:pPr>
          </w:p>
        </w:tc>
      </w:tr>
      <w:tr w14:paraId="28C10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45E74CC4">
            <w:pPr>
              <w:spacing w:before="0" w:after="0" w:line="400" w:lineRule="exact"/>
              <w:jc w:val="center"/>
              <w:rPr>
                <w:rFonts w:ascii="仿宋" w:hAnsi="仿宋" w:eastAsia="仿宋"/>
                <w:color w:val="000000"/>
                <w:sz w:val="21"/>
                <w:szCs w:val="21"/>
              </w:rPr>
            </w:pPr>
          </w:p>
        </w:tc>
        <w:tc>
          <w:tcPr>
            <w:tcW w:w="679" w:type="pct"/>
            <w:noWrap w:val="0"/>
            <w:vAlign w:val="center"/>
          </w:tcPr>
          <w:p w14:paraId="6F95C82E">
            <w:pPr>
              <w:spacing w:before="0" w:after="0" w:line="400" w:lineRule="exact"/>
              <w:jc w:val="center"/>
              <w:rPr>
                <w:rFonts w:ascii="仿宋" w:hAnsi="仿宋" w:eastAsia="仿宋"/>
                <w:color w:val="000000"/>
                <w:sz w:val="21"/>
                <w:szCs w:val="21"/>
              </w:rPr>
            </w:pPr>
          </w:p>
        </w:tc>
        <w:tc>
          <w:tcPr>
            <w:tcW w:w="1020" w:type="pct"/>
            <w:noWrap w:val="0"/>
            <w:vAlign w:val="center"/>
          </w:tcPr>
          <w:p w14:paraId="6263154B">
            <w:pPr>
              <w:spacing w:before="0" w:after="0" w:line="400" w:lineRule="exact"/>
              <w:jc w:val="center"/>
              <w:rPr>
                <w:rFonts w:ascii="仿宋" w:hAnsi="仿宋" w:eastAsia="仿宋"/>
                <w:color w:val="000000"/>
                <w:sz w:val="21"/>
                <w:szCs w:val="21"/>
              </w:rPr>
            </w:pPr>
          </w:p>
        </w:tc>
        <w:tc>
          <w:tcPr>
            <w:tcW w:w="2272" w:type="pct"/>
            <w:noWrap w:val="0"/>
            <w:vAlign w:val="center"/>
          </w:tcPr>
          <w:p w14:paraId="4D99C427">
            <w:pPr>
              <w:spacing w:before="0" w:after="0" w:line="400" w:lineRule="exact"/>
              <w:jc w:val="center"/>
              <w:rPr>
                <w:rFonts w:ascii="仿宋" w:hAnsi="仿宋" w:eastAsia="仿宋"/>
                <w:color w:val="000000"/>
                <w:sz w:val="21"/>
                <w:szCs w:val="21"/>
              </w:rPr>
            </w:pPr>
          </w:p>
        </w:tc>
      </w:tr>
      <w:tr w14:paraId="53876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6CEB3E4C">
            <w:pPr>
              <w:spacing w:before="0" w:after="0" w:line="400" w:lineRule="exact"/>
              <w:jc w:val="center"/>
              <w:rPr>
                <w:rFonts w:ascii="仿宋" w:hAnsi="仿宋" w:eastAsia="仿宋"/>
                <w:color w:val="000000"/>
                <w:sz w:val="21"/>
                <w:szCs w:val="21"/>
              </w:rPr>
            </w:pPr>
          </w:p>
        </w:tc>
        <w:tc>
          <w:tcPr>
            <w:tcW w:w="679" w:type="pct"/>
            <w:noWrap w:val="0"/>
            <w:vAlign w:val="center"/>
          </w:tcPr>
          <w:p w14:paraId="5B600EB1">
            <w:pPr>
              <w:spacing w:before="0" w:after="0" w:line="400" w:lineRule="exact"/>
              <w:jc w:val="center"/>
              <w:rPr>
                <w:rFonts w:ascii="仿宋" w:hAnsi="仿宋" w:eastAsia="仿宋"/>
                <w:color w:val="000000"/>
                <w:sz w:val="21"/>
                <w:szCs w:val="21"/>
              </w:rPr>
            </w:pPr>
          </w:p>
        </w:tc>
        <w:tc>
          <w:tcPr>
            <w:tcW w:w="1020" w:type="pct"/>
            <w:noWrap w:val="0"/>
            <w:vAlign w:val="center"/>
          </w:tcPr>
          <w:p w14:paraId="5D7DC9D8">
            <w:pPr>
              <w:spacing w:before="0" w:after="0" w:line="400" w:lineRule="exact"/>
              <w:jc w:val="center"/>
              <w:rPr>
                <w:rFonts w:ascii="仿宋" w:hAnsi="仿宋" w:eastAsia="仿宋"/>
                <w:color w:val="000000"/>
                <w:sz w:val="21"/>
                <w:szCs w:val="21"/>
              </w:rPr>
            </w:pPr>
          </w:p>
        </w:tc>
        <w:tc>
          <w:tcPr>
            <w:tcW w:w="2272" w:type="pct"/>
            <w:noWrap w:val="0"/>
            <w:vAlign w:val="center"/>
          </w:tcPr>
          <w:p w14:paraId="3B189CCE">
            <w:pPr>
              <w:spacing w:before="0" w:after="0" w:line="400" w:lineRule="exact"/>
              <w:jc w:val="center"/>
              <w:rPr>
                <w:rFonts w:ascii="仿宋" w:hAnsi="仿宋" w:eastAsia="仿宋"/>
                <w:color w:val="000000"/>
                <w:sz w:val="21"/>
                <w:szCs w:val="21"/>
              </w:rPr>
            </w:pPr>
          </w:p>
        </w:tc>
      </w:tr>
      <w:tr w14:paraId="20036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7F8D90C2">
            <w:pPr>
              <w:spacing w:before="0" w:after="0" w:line="400" w:lineRule="exact"/>
              <w:jc w:val="center"/>
              <w:rPr>
                <w:rFonts w:ascii="仿宋" w:hAnsi="仿宋" w:eastAsia="仿宋"/>
                <w:color w:val="000000"/>
                <w:sz w:val="21"/>
                <w:szCs w:val="21"/>
              </w:rPr>
            </w:pPr>
          </w:p>
        </w:tc>
        <w:tc>
          <w:tcPr>
            <w:tcW w:w="679" w:type="pct"/>
            <w:noWrap w:val="0"/>
            <w:vAlign w:val="center"/>
          </w:tcPr>
          <w:p w14:paraId="42DF897E">
            <w:pPr>
              <w:spacing w:before="0" w:after="0" w:line="400" w:lineRule="exact"/>
              <w:jc w:val="center"/>
              <w:rPr>
                <w:rFonts w:ascii="仿宋" w:hAnsi="仿宋" w:eastAsia="仿宋"/>
                <w:color w:val="000000"/>
                <w:sz w:val="21"/>
                <w:szCs w:val="21"/>
              </w:rPr>
            </w:pPr>
          </w:p>
        </w:tc>
        <w:tc>
          <w:tcPr>
            <w:tcW w:w="1020" w:type="pct"/>
            <w:noWrap w:val="0"/>
            <w:vAlign w:val="center"/>
          </w:tcPr>
          <w:p w14:paraId="55B0178F">
            <w:pPr>
              <w:spacing w:before="0" w:after="0" w:line="400" w:lineRule="exact"/>
              <w:jc w:val="center"/>
              <w:rPr>
                <w:rFonts w:ascii="仿宋" w:hAnsi="仿宋" w:eastAsia="仿宋"/>
                <w:color w:val="000000"/>
                <w:sz w:val="21"/>
                <w:szCs w:val="21"/>
              </w:rPr>
            </w:pPr>
          </w:p>
        </w:tc>
        <w:tc>
          <w:tcPr>
            <w:tcW w:w="2272" w:type="pct"/>
            <w:noWrap w:val="0"/>
            <w:vAlign w:val="center"/>
          </w:tcPr>
          <w:p w14:paraId="34424F0C">
            <w:pPr>
              <w:spacing w:before="0" w:after="0" w:line="400" w:lineRule="exact"/>
              <w:jc w:val="center"/>
              <w:rPr>
                <w:rFonts w:ascii="仿宋" w:hAnsi="仿宋" w:eastAsia="仿宋"/>
                <w:color w:val="000000"/>
                <w:sz w:val="21"/>
                <w:szCs w:val="21"/>
              </w:rPr>
            </w:pPr>
          </w:p>
        </w:tc>
      </w:tr>
      <w:tr w14:paraId="7A32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jc w:val="center"/>
        </w:trPr>
        <w:tc>
          <w:tcPr>
            <w:tcW w:w="1027" w:type="pct"/>
            <w:noWrap w:val="0"/>
            <w:vAlign w:val="center"/>
          </w:tcPr>
          <w:p w14:paraId="4FF68A5B">
            <w:pPr>
              <w:spacing w:before="0" w:after="0" w:line="400" w:lineRule="exact"/>
              <w:jc w:val="center"/>
              <w:rPr>
                <w:rFonts w:ascii="仿宋" w:hAnsi="仿宋" w:eastAsia="仿宋"/>
                <w:color w:val="000000"/>
                <w:sz w:val="21"/>
                <w:szCs w:val="21"/>
              </w:rPr>
            </w:pPr>
          </w:p>
        </w:tc>
        <w:tc>
          <w:tcPr>
            <w:tcW w:w="679" w:type="pct"/>
            <w:noWrap w:val="0"/>
            <w:vAlign w:val="center"/>
          </w:tcPr>
          <w:p w14:paraId="4603A2AD">
            <w:pPr>
              <w:spacing w:before="0" w:after="0" w:line="400" w:lineRule="exact"/>
              <w:jc w:val="center"/>
              <w:rPr>
                <w:rFonts w:ascii="仿宋" w:hAnsi="仿宋" w:eastAsia="仿宋"/>
                <w:color w:val="000000"/>
                <w:sz w:val="21"/>
                <w:szCs w:val="21"/>
              </w:rPr>
            </w:pPr>
          </w:p>
        </w:tc>
        <w:tc>
          <w:tcPr>
            <w:tcW w:w="1020" w:type="pct"/>
            <w:noWrap w:val="0"/>
            <w:vAlign w:val="center"/>
          </w:tcPr>
          <w:p w14:paraId="2AF4795F">
            <w:pPr>
              <w:spacing w:before="0" w:after="0" w:line="400" w:lineRule="exact"/>
              <w:jc w:val="center"/>
              <w:rPr>
                <w:rFonts w:ascii="仿宋" w:hAnsi="仿宋" w:eastAsia="仿宋"/>
                <w:color w:val="000000"/>
                <w:sz w:val="21"/>
                <w:szCs w:val="21"/>
              </w:rPr>
            </w:pPr>
          </w:p>
        </w:tc>
        <w:tc>
          <w:tcPr>
            <w:tcW w:w="2272" w:type="pct"/>
            <w:noWrap w:val="0"/>
            <w:vAlign w:val="center"/>
          </w:tcPr>
          <w:p w14:paraId="70246107">
            <w:pPr>
              <w:spacing w:before="0" w:after="0" w:line="400" w:lineRule="exact"/>
              <w:jc w:val="center"/>
              <w:rPr>
                <w:rFonts w:ascii="仿宋" w:hAnsi="仿宋" w:eastAsia="仿宋"/>
                <w:color w:val="000000"/>
                <w:sz w:val="21"/>
                <w:szCs w:val="21"/>
              </w:rPr>
            </w:pPr>
          </w:p>
        </w:tc>
      </w:tr>
    </w:tbl>
    <w:p w14:paraId="49D78441">
      <w:pPr>
        <w:spacing w:line="360" w:lineRule="auto"/>
        <w:jc w:val="center"/>
        <w:rPr>
          <w:rFonts w:ascii="宋体" w:hAnsi="宋体"/>
          <w:color w:val="000000"/>
          <w:sz w:val="24"/>
        </w:rPr>
      </w:pPr>
    </w:p>
    <w:p w14:paraId="42C941F2">
      <w:pPr>
        <w:widowControl w:val="0"/>
        <w:numPr>
          <w:ilvl w:val="0"/>
          <w:numId w:val="0"/>
        </w:numPr>
        <w:autoSpaceDE w:val="0"/>
        <w:autoSpaceDN w:val="0"/>
        <w:spacing w:after="200" w:line="276" w:lineRule="auto"/>
        <w:rPr>
          <w:rFonts w:hint="default"/>
          <w:b/>
          <w:color w:val="000000"/>
          <w:sz w:val="30"/>
          <w:szCs w:val="30"/>
          <w:lang w:val="en-US" w:eastAsia="zh-CN"/>
        </w:rPr>
      </w:pPr>
    </w:p>
    <w:p w14:paraId="6168AD12">
      <w:pPr>
        <w:pStyle w:val="31"/>
        <w:shd w:val="clear" w:color="auto" w:fill="auto"/>
        <w:spacing w:line="4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投标人：</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w:t>
      </w:r>
    </w:p>
    <w:p w14:paraId="0955DBCC">
      <w:pPr>
        <w:rPr>
          <w:rFonts w:hint="default"/>
          <w:sz w:val="24"/>
          <w:szCs w:val="24"/>
          <w:lang w:val="en-US" w:eastAsia="zh-CN"/>
        </w:rPr>
      </w:pPr>
      <w:r>
        <w:rPr>
          <w:rFonts w:hint="eastAsia" w:ascii="宋体" w:hAnsi="宋体" w:cs="宋体"/>
          <w:b/>
          <w:bCs/>
          <w:color w:val="000000"/>
          <w:sz w:val="24"/>
          <w:szCs w:val="24"/>
          <w:highlight w:val="none"/>
        </w:rPr>
        <w:t>日  期：</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年</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月</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日</w:t>
      </w:r>
      <w:r>
        <w:rPr>
          <w:rFonts w:hint="eastAsia" w:ascii="宋体" w:hAnsi="宋体" w:eastAsia="宋体" w:cs="宋体"/>
          <w:bCs w:val="0"/>
          <w:color w:val="000000"/>
          <w:sz w:val="24"/>
          <w:szCs w:val="24"/>
          <w:highlight w:val="none"/>
          <w:lang w:val="en-US" w:eastAsia="zh-CN"/>
        </w:rPr>
        <w:br w:type="page"/>
      </w:r>
    </w:p>
    <w:p w14:paraId="092B3D19">
      <w:pPr>
        <w:keepNext/>
        <w:keepLines/>
        <w:pageBreakBefore w:val="0"/>
        <w:widowControl w:val="0"/>
        <w:numPr>
          <w:ilvl w:val="0"/>
          <w:numId w:val="5"/>
        </w:numPr>
        <w:kinsoku/>
        <w:wordWrap/>
        <w:overflowPunct/>
        <w:topLinePunct w:val="0"/>
        <w:autoSpaceDE/>
        <w:autoSpaceDN/>
        <w:bidi w:val="0"/>
        <w:adjustRightInd/>
        <w:snapToGrid/>
        <w:jc w:val="center"/>
        <w:textAlignment w:val="auto"/>
        <w:outlineLvl w:val="2"/>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后续服务承诺及保证措施</w:t>
      </w:r>
    </w:p>
    <w:p w14:paraId="039E3FC7">
      <w:pPr>
        <w:keepNext/>
        <w:keepLines/>
        <w:shd w:val="clear" w:color="auto" w:fill="auto"/>
        <w:autoSpaceDE w:val="0"/>
        <w:spacing w:line="360" w:lineRule="auto"/>
        <w:ind w:firstLine="480" w:firstLineChars="200"/>
        <w:jc w:val="center"/>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根据评标办法的要求提供，</w:t>
      </w:r>
      <w:r>
        <w:rPr>
          <w:rFonts w:hint="eastAsia" w:ascii="宋体" w:hAnsi="宋体" w:cs="宋体"/>
          <w:color w:val="000000"/>
          <w:sz w:val="24"/>
          <w:szCs w:val="24"/>
          <w:highlight w:val="none"/>
        </w:rPr>
        <w:t>格式自拟）</w:t>
      </w:r>
    </w:p>
    <w:p w14:paraId="0D5DB18E">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079663D9">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0ADE84C1">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13D58E54">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250F27D0">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4790330E">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0FCDDF3B">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613E0EBF">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3A85B4D3">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63B0BC34">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3D28287E">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783E1448">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6148963C">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57240ADC">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78BF9617">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15623470">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4AFFD407">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5122A71C">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478F0CB9">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34248744">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788F2919">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49588D7F">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7A31262F">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63CE6C35">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4C947DA7">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064A8710">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7E5A9E96">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2667916B">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6B93BE0E">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38C07F4B">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7D278426">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0AA875BF">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5241DD93">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07CBA7B8">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5C70DFF4">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3A1B9DAD">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68A1E6B4">
      <w:pPr>
        <w:keepNext/>
        <w:keepLines/>
        <w:pageBreakBefore w:val="0"/>
        <w:widowControl w:val="0"/>
        <w:numPr>
          <w:ilvl w:val="0"/>
          <w:numId w:val="0"/>
        </w:numPr>
        <w:kinsoku/>
        <w:wordWrap/>
        <w:overflowPunct/>
        <w:topLinePunct w:val="0"/>
        <w:autoSpaceDE/>
        <w:autoSpaceDN/>
        <w:bidi w:val="0"/>
        <w:adjustRightInd/>
        <w:snapToGrid/>
        <w:jc w:val="both"/>
        <w:textAlignment w:val="auto"/>
        <w:outlineLvl w:val="2"/>
        <w:rPr>
          <w:rFonts w:hint="eastAsia" w:ascii="宋体" w:hAnsi="宋体" w:eastAsia="宋体" w:cs="宋体"/>
          <w:b/>
          <w:bCs/>
          <w:color w:val="000000"/>
          <w:sz w:val="28"/>
          <w:szCs w:val="28"/>
          <w:highlight w:val="none"/>
          <w:lang w:val="en-US" w:eastAsia="zh-CN" w:bidi="ar-SA"/>
        </w:rPr>
      </w:pPr>
    </w:p>
    <w:p w14:paraId="4F237BB7">
      <w:pPr>
        <w:keepNext/>
        <w:keepLines/>
        <w:pageBreakBefore w:val="0"/>
        <w:widowControl w:val="0"/>
        <w:numPr>
          <w:ilvl w:val="0"/>
          <w:numId w:val="0"/>
        </w:numPr>
        <w:kinsoku/>
        <w:wordWrap/>
        <w:overflowPunct/>
        <w:topLinePunct w:val="0"/>
        <w:autoSpaceDE/>
        <w:autoSpaceDN/>
        <w:bidi w:val="0"/>
        <w:adjustRightInd/>
        <w:snapToGrid/>
        <w:jc w:val="center"/>
        <w:textAlignment w:val="auto"/>
        <w:outlineLvl w:val="2"/>
        <w:rPr>
          <w:rFonts w:hint="eastAsia" w:ascii="宋体" w:hAnsi="宋体" w:eastAsia="宋体" w:cs="宋体"/>
          <w:b/>
          <w:color w:val="000000"/>
          <w:spacing w:val="0"/>
          <w:kern w:val="2"/>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十一、业绩列表</w:t>
      </w:r>
    </w:p>
    <w:p w14:paraId="77D5CC85">
      <w:pPr>
        <w:rPr>
          <w:rFonts w:hint="eastAsia" w:ascii="宋体" w:hAnsi="宋体" w:eastAsia="宋体" w:cs="宋体"/>
          <w:color w:val="000000"/>
          <w:highlight w:val="none"/>
        </w:rPr>
      </w:pPr>
      <w:r>
        <w:rPr>
          <w:rFonts w:hint="eastAsia" w:ascii="宋体" w:hAnsi="宋体" w:eastAsia="宋体" w:cs="宋体"/>
          <w:b/>
          <w:bCs/>
          <w:color w:val="000000"/>
          <w:kern w:val="0"/>
          <w:sz w:val="21"/>
          <w:szCs w:val="21"/>
          <w:highlight w:val="none"/>
          <w:lang w:val="en-US" w:eastAsia="zh-CN"/>
        </w:rPr>
        <w:t xml:space="preserve">                           </w:t>
      </w:r>
    </w:p>
    <w:tbl>
      <w:tblPr>
        <w:tblStyle w:val="3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2680"/>
        <w:gridCol w:w="1392"/>
        <w:gridCol w:w="1286"/>
        <w:gridCol w:w="1203"/>
        <w:gridCol w:w="1581"/>
        <w:gridCol w:w="963"/>
      </w:tblGrid>
      <w:tr w14:paraId="78A77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28" w:type="dxa"/>
            <w:vAlign w:val="center"/>
          </w:tcPr>
          <w:p w14:paraId="3E6B24D4">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序号</w:t>
            </w:r>
          </w:p>
        </w:tc>
        <w:tc>
          <w:tcPr>
            <w:tcW w:w="2603" w:type="dxa"/>
            <w:vAlign w:val="center"/>
          </w:tcPr>
          <w:p w14:paraId="36958E82">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项目名称</w:t>
            </w:r>
          </w:p>
        </w:tc>
        <w:tc>
          <w:tcPr>
            <w:tcW w:w="1352" w:type="dxa"/>
            <w:vAlign w:val="center"/>
          </w:tcPr>
          <w:p w14:paraId="61BCB547">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采购人</w:t>
            </w:r>
          </w:p>
        </w:tc>
        <w:tc>
          <w:tcPr>
            <w:tcW w:w="1249" w:type="dxa"/>
            <w:vAlign w:val="center"/>
          </w:tcPr>
          <w:p w14:paraId="53B0A39C">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合同金额</w:t>
            </w:r>
          </w:p>
          <w:p w14:paraId="5DC20DA8">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（元）</w:t>
            </w:r>
          </w:p>
        </w:tc>
        <w:tc>
          <w:tcPr>
            <w:tcW w:w="1169" w:type="dxa"/>
            <w:vAlign w:val="center"/>
          </w:tcPr>
          <w:p w14:paraId="11199262">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服务内容</w:t>
            </w:r>
          </w:p>
        </w:tc>
        <w:tc>
          <w:tcPr>
            <w:tcW w:w="1536" w:type="dxa"/>
            <w:vAlign w:val="center"/>
          </w:tcPr>
          <w:p w14:paraId="3286880D">
            <w:pPr>
              <w:spacing w:line="360" w:lineRule="auto"/>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合同履行期限</w:t>
            </w:r>
          </w:p>
        </w:tc>
        <w:tc>
          <w:tcPr>
            <w:tcW w:w="935" w:type="dxa"/>
            <w:vAlign w:val="center"/>
          </w:tcPr>
          <w:p w14:paraId="39DF3203">
            <w:pPr>
              <w:spacing w:line="360" w:lineRule="auto"/>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备注</w:t>
            </w:r>
          </w:p>
        </w:tc>
      </w:tr>
      <w:tr w14:paraId="12070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28" w:type="dxa"/>
          </w:tcPr>
          <w:p w14:paraId="4B70AE27">
            <w:pPr>
              <w:spacing w:line="360" w:lineRule="auto"/>
              <w:rPr>
                <w:rFonts w:hint="eastAsia" w:ascii="宋体" w:hAnsi="宋体" w:eastAsia="宋体" w:cs="宋体"/>
                <w:color w:val="000000"/>
                <w:szCs w:val="21"/>
                <w:highlight w:val="none"/>
              </w:rPr>
            </w:pPr>
          </w:p>
        </w:tc>
        <w:tc>
          <w:tcPr>
            <w:tcW w:w="2603" w:type="dxa"/>
          </w:tcPr>
          <w:p w14:paraId="6A4D0EC7">
            <w:pPr>
              <w:spacing w:line="360" w:lineRule="auto"/>
              <w:rPr>
                <w:rFonts w:hint="eastAsia" w:ascii="宋体" w:hAnsi="宋体" w:eastAsia="宋体" w:cs="宋体"/>
                <w:color w:val="000000"/>
                <w:szCs w:val="21"/>
                <w:highlight w:val="none"/>
              </w:rPr>
            </w:pPr>
          </w:p>
        </w:tc>
        <w:tc>
          <w:tcPr>
            <w:tcW w:w="1352" w:type="dxa"/>
          </w:tcPr>
          <w:p w14:paraId="63A75EAA">
            <w:pPr>
              <w:spacing w:line="360" w:lineRule="auto"/>
              <w:rPr>
                <w:rFonts w:hint="eastAsia" w:ascii="宋体" w:hAnsi="宋体" w:eastAsia="宋体" w:cs="宋体"/>
                <w:color w:val="000000"/>
                <w:szCs w:val="21"/>
                <w:highlight w:val="none"/>
              </w:rPr>
            </w:pPr>
          </w:p>
        </w:tc>
        <w:tc>
          <w:tcPr>
            <w:tcW w:w="1249" w:type="dxa"/>
          </w:tcPr>
          <w:p w14:paraId="6DE1B87D">
            <w:pPr>
              <w:spacing w:line="360" w:lineRule="auto"/>
              <w:rPr>
                <w:rFonts w:hint="eastAsia" w:ascii="宋体" w:hAnsi="宋体" w:eastAsia="宋体" w:cs="宋体"/>
                <w:color w:val="000000"/>
                <w:szCs w:val="21"/>
                <w:highlight w:val="none"/>
              </w:rPr>
            </w:pPr>
          </w:p>
        </w:tc>
        <w:tc>
          <w:tcPr>
            <w:tcW w:w="1169" w:type="dxa"/>
          </w:tcPr>
          <w:p w14:paraId="3A5E38AA">
            <w:pPr>
              <w:spacing w:line="360" w:lineRule="auto"/>
              <w:rPr>
                <w:rFonts w:hint="eastAsia" w:ascii="宋体" w:hAnsi="宋体" w:eastAsia="宋体" w:cs="宋体"/>
                <w:color w:val="000000"/>
                <w:szCs w:val="21"/>
                <w:highlight w:val="none"/>
              </w:rPr>
            </w:pPr>
          </w:p>
        </w:tc>
        <w:tc>
          <w:tcPr>
            <w:tcW w:w="1536" w:type="dxa"/>
          </w:tcPr>
          <w:p w14:paraId="006E53C7">
            <w:pPr>
              <w:spacing w:line="360" w:lineRule="auto"/>
              <w:rPr>
                <w:rFonts w:hint="eastAsia" w:ascii="宋体" w:hAnsi="宋体" w:eastAsia="宋体" w:cs="宋体"/>
                <w:color w:val="000000"/>
                <w:szCs w:val="21"/>
                <w:highlight w:val="none"/>
              </w:rPr>
            </w:pPr>
          </w:p>
        </w:tc>
        <w:tc>
          <w:tcPr>
            <w:tcW w:w="935" w:type="dxa"/>
          </w:tcPr>
          <w:p w14:paraId="64FB2E83">
            <w:pPr>
              <w:spacing w:line="360" w:lineRule="auto"/>
              <w:rPr>
                <w:rFonts w:hint="eastAsia" w:ascii="宋体" w:hAnsi="宋体" w:eastAsia="宋体" w:cs="宋体"/>
                <w:color w:val="000000"/>
                <w:szCs w:val="21"/>
                <w:highlight w:val="none"/>
              </w:rPr>
            </w:pPr>
          </w:p>
        </w:tc>
      </w:tr>
      <w:tr w14:paraId="4C8CA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28" w:type="dxa"/>
          </w:tcPr>
          <w:p w14:paraId="7AE07D4E">
            <w:pPr>
              <w:spacing w:line="360" w:lineRule="auto"/>
              <w:rPr>
                <w:rFonts w:hint="eastAsia" w:ascii="宋体" w:hAnsi="宋体" w:eastAsia="宋体" w:cs="宋体"/>
                <w:color w:val="000000"/>
                <w:szCs w:val="21"/>
                <w:highlight w:val="none"/>
              </w:rPr>
            </w:pPr>
          </w:p>
        </w:tc>
        <w:tc>
          <w:tcPr>
            <w:tcW w:w="2603" w:type="dxa"/>
          </w:tcPr>
          <w:p w14:paraId="7761AA4B">
            <w:pPr>
              <w:spacing w:line="360" w:lineRule="auto"/>
              <w:rPr>
                <w:rFonts w:hint="eastAsia" w:ascii="宋体" w:hAnsi="宋体" w:eastAsia="宋体" w:cs="宋体"/>
                <w:color w:val="000000"/>
                <w:szCs w:val="21"/>
                <w:highlight w:val="none"/>
              </w:rPr>
            </w:pPr>
          </w:p>
        </w:tc>
        <w:tc>
          <w:tcPr>
            <w:tcW w:w="1352" w:type="dxa"/>
          </w:tcPr>
          <w:p w14:paraId="6A4E6820">
            <w:pPr>
              <w:spacing w:line="360" w:lineRule="auto"/>
              <w:rPr>
                <w:rFonts w:hint="eastAsia" w:ascii="宋体" w:hAnsi="宋体" w:eastAsia="宋体" w:cs="宋体"/>
                <w:color w:val="000000"/>
                <w:szCs w:val="21"/>
                <w:highlight w:val="none"/>
              </w:rPr>
            </w:pPr>
          </w:p>
        </w:tc>
        <w:tc>
          <w:tcPr>
            <w:tcW w:w="1249" w:type="dxa"/>
          </w:tcPr>
          <w:p w14:paraId="35D70616">
            <w:pPr>
              <w:spacing w:line="360" w:lineRule="auto"/>
              <w:rPr>
                <w:rFonts w:hint="eastAsia" w:ascii="宋体" w:hAnsi="宋体" w:eastAsia="宋体" w:cs="宋体"/>
                <w:color w:val="000000"/>
                <w:szCs w:val="21"/>
                <w:highlight w:val="none"/>
              </w:rPr>
            </w:pPr>
          </w:p>
        </w:tc>
        <w:tc>
          <w:tcPr>
            <w:tcW w:w="1169" w:type="dxa"/>
          </w:tcPr>
          <w:p w14:paraId="36B93718">
            <w:pPr>
              <w:spacing w:line="360" w:lineRule="auto"/>
              <w:rPr>
                <w:rFonts w:hint="eastAsia" w:ascii="宋体" w:hAnsi="宋体" w:eastAsia="宋体" w:cs="宋体"/>
                <w:color w:val="000000"/>
                <w:szCs w:val="21"/>
                <w:highlight w:val="none"/>
              </w:rPr>
            </w:pPr>
          </w:p>
        </w:tc>
        <w:tc>
          <w:tcPr>
            <w:tcW w:w="1536" w:type="dxa"/>
          </w:tcPr>
          <w:p w14:paraId="70D58C82">
            <w:pPr>
              <w:spacing w:line="360" w:lineRule="auto"/>
              <w:rPr>
                <w:rFonts w:hint="eastAsia" w:ascii="宋体" w:hAnsi="宋体" w:eastAsia="宋体" w:cs="宋体"/>
                <w:color w:val="000000"/>
                <w:szCs w:val="21"/>
                <w:highlight w:val="none"/>
              </w:rPr>
            </w:pPr>
          </w:p>
        </w:tc>
        <w:tc>
          <w:tcPr>
            <w:tcW w:w="935" w:type="dxa"/>
          </w:tcPr>
          <w:p w14:paraId="78D78181">
            <w:pPr>
              <w:spacing w:line="360" w:lineRule="auto"/>
              <w:rPr>
                <w:rFonts w:hint="eastAsia" w:ascii="宋体" w:hAnsi="宋体" w:eastAsia="宋体" w:cs="宋体"/>
                <w:color w:val="000000"/>
                <w:szCs w:val="21"/>
                <w:highlight w:val="none"/>
              </w:rPr>
            </w:pPr>
          </w:p>
        </w:tc>
      </w:tr>
      <w:tr w14:paraId="559EA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28" w:type="dxa"/>
          </w:tcPr>
          <w:p w14:paraId="1E27DD75">
            <w:pPr>
              <w:spacing w:line="360" w:lineRule="auto"/>
              <w:rPr>
                <w:rFonts w:hint="eastAsia" w:ascii="宋体" w:hAnsi="宋体" w:eastAsia="宋体" w:cs="宋体"/>
                <w:color w:val="000000"/>
                <w:szCs w:val="21"/>
                <w:highlight w:val="none"/>
              </w:rPr>
            </w:pPr>
          </w:p>
        </w:tc>
        <w:tc>
          <w:tcPr>
            <w:tcW w:w="2603" w:type="dxa"/>
          </w:tcPr>
          <w:p w14:paraId="72FD9F40">
            <w:pPr>
              <w:spacing w:line="360" w:lineRule="auto"/>
              <w:rPr>
                <w:rFonts w:hint="eastAsia" w:ascii="宋体" w:hAnsi="宋体" w:eastAsia="宋体" w:cs="宋体"/>
                <w:color w:val="000000"/>
                <w:szCs w:val="21"/>
                <w:highlight w:val="none"/>
              </w:rPr>
            </w:pPr>
          </w:p>
        </w:tc>
        <w:tc>
          <w:tcPr>
            <w:tcW w:w="1352" w:type="dxa"/>
          </w:tcPr>
          <w:p w14:paraId="18A43F33">
            <w:pPr>
              <w:spacing w:line="360" w:lineRule="auto"/>
              <w:rPr>
                <w:rFonts w:hint="eastAsia" w:ascii="宋体" w:hAnsi="宋体" w:eastAsia="宋体" w:cs="宋体"/>
                <w:color w:val="000000"/>
                <w:szCs w:val="21"/>
                <w:highlight w:val="none"/>
              </w:rPr>
            </w:pPr>
          </w:p>
        </w:tc>
        <w:tc>
          <w:tcPr>
            <w:tcW w:w="1249" w:type="dxa"/>
          </w:tcPr>
          <w:p w14:paraId="476A40A7">
            <w:pPr>
              <w:spacing w:line="360" w:lineRule="auto"/>
              <w:rPr>
                <w:rFonts w:hint="eastAsia" w:ascii="宋体" w:hAnsi="宋体" w:eastAsia="宋体" w:cs="宋体"/>
                <w:color w:val="000000"/>
                <w:szCs w:val="21"/>
                <w:highlight w:val="none"/>
              </w:rPr>
            </w:pPr>
          </w:p>
        </w:tc>
        <w:tc>
          <w:tcPr>
            <w:tcW w:w="1169" w:type="dxa"/>
          </w:tcPr>
          <w:p w14:paraId="475318EA">
            <w:pPr>
              <w:spacing w:line="360" w:lineRule="auto"/>
              <w:rPr>
                <w:rFonts w:hint="eastAsia" w:ascii="宋体" w:hAnsi="宋体" w:eastAsia="宋体" w:cs="宋体"/>
                <w:color w:val="000000"/>
                <w:szCs w:val="21"/>
                <w:highlight w:val="none"/>
              </w:rPr>
            </w:pPr>
          </w:p>
        </w:tc>
        <w:tc>
          <w:tcPr>
            <w:tcW w:w="1536" w:type="dxa"/>
          </w:tcPr>
          <w:p w14:paraId="54E21AFD">
            <w:pPr>
              <w:spacing w:line="360" w:lineRule="auto"/>
              <w:rPr>
                <w:rFonts w:hint="eastAsia" w:ascii="宋体" w:hAnsi="宋体" w:eastAsia="宋体" w:cs="宋体"/>
                <w:color w:val="000000"/>
                <w:szCs w:val="21"/>
                <w:highlight w:val="none"/>
              </w:rPr>
            </w:pPr>
          </w:p>
        </w:tc>
        <w:tc>
          <w:tcPr>
            <w:tcW w:w="935" w:type="dxa"/>
          </w:tcPr>
          <w:p w14:paraId="2E8484EF">
            <w:pPr>
              <w:spacing w:line="360" w:lineRule="auto"/>
              <w:rPr>
                <w:rFonts w:hint="eastAsia" w:ascii="宋体" w:hAnsi="宋体" w:eastAsia="宋体" w:cs="宋体"/>
                <w:color w:val="000000"/>
                <w:szCs w:val="21"/>
                <w:highlight w:val="none"/>
              </w:rPr>
            </w:pPr>
          </w:p>
        </w:tc>
      </w:tr>
    </w:tbl>
    <w:p w14:paraId="13F6C41A">
      <w:pPr>
        <w:pStyle w:val="19"/>
        <w:rPr>
          <w:rFonts w:hint="eastAsia" w:ascii="宋体" w:hAnsi="宋体" w:eastAsia="宋体" w:cs="宋体"/>
          <w:color w:val="000000"/>
          <w:szCs w:val="21"/>
          <w:highlight w:val="none"/>
        </w:rPr>
      </w:pPr>
    </w:p>
    <w:p w14:paraId="79D3F7F3">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注：</w:t>
      </w:r>
    </w:p>
    <w:p w14:paraId="256BF3B4">
      <w:pPr>
        <w:numPr>
          <w:ilvl w:val="0"/>
          <w:numId w:val="6"/>
        </w:numPr>
        <w:spacing w:line="360" w:lineRule="auto"/>
        <w:rPr>
          <w:rFonts w:ascii="宋体" w:hAnsi="宋体" w:cs="宋体"/>
          <w:color w:val="000000"/>
          <w:sz w:val="24"/>
          <w:szCs w:val="24"/>
          <w:highlight w:val="none"/>
        </w:rPr>
      </w:pPr>
      <w:r>
        <w:rPr>
          <w:rFonts w:hint="eastAsia" w:ascii="宋体" w:hAnsi="宋体" w:eastAsia="宋体" w:cs="宋体"/>
          <w:color w:val="000000"/>
          <w:szCs w:val="21"/>
          <w:highlight w:val="none"/>
        </w:rPr>
        <w:t>投标文件中须提供业绩列表及相对应的业绩证明材料，投标人须在投标文件中提供合同（合同首页、标的及金额所在页及合同签字盖章页）</w:t>
      </w:r>
      <w:r>
        <w:rPr>
          <w:rFonts w:hint="eastAsia" w:ascii="宋体" w:hAnsi="宋体" w:eastAsia="宋体" w:cs="宋体"/>
          <w:color w:val="000000"/>
          <w:szCs w:val="21"/>
          <w:highlight w:val="none"/>
          <w:lang w:eastAsia="zh-CN"/>
        </w:rPr>
        <w:t>或</w:t>
      </w:r>
      <w:r>
        <w:rPr>
          <w:rFonts w:hint="eastAsia" w:ascii="宋体" w:hAnsi="宋体" w:eastAsia="宋体" w:cs="宋体"/>
          <w:color w:val="000000"/>
          <w:szCs w:val="21"/>
          <w:highlight w:val="none"/>
        </w:rPr>
        <w:t>中标（成交）通知书</w:t>
      </w:r>
      <w:r>
        <w:rPr>
          <w:rFonts w:hint="eastAsia" w:ascii="宋体" w:hAnsi="宋体" w:eastAsia="宋体" w:cs="宋体"/>
          <w:color w:val="000000"/>
          <w:szCs w:val="21"/>
          <w:highlight w:val="none"/>
          <w:lang w:val="en-US" w:eastAsia="zh-CN"/>
        </w:rPr>
        <w:t>或</w:t>
      </w:r>
      <w:r>
        <w:rPr>
          <w:rFonts w:hint="eastAsia" w:ascii="宋体" w:hAnsi="宋体" w:eastAsia="宋体" w:cs="宋体"/>
          <w:color w:val="000000"/>
          <w:sz w:val="21"/>
          <w:szCs w:val="21"/>
          <w:highlight w:val="none"/>
          <w:lang w:val="en-US" w:eastAsia="zh-CN"/>
        </w:rPr>
        <w:t>供货对账单及发票</w:t>
      </w:r>
      <w:r>
        <w:rPr>
          <w:rFonts w:hint="eastAsia" w:ascii="宋体" w:hAnsi="宋体" w:eastAsia="宋体" w:cs="宋体"/>
          <w:color w:val="000000"/>
          <w:szCs w:val="21"/>
          <w:highlight w:val="none"/>
        </w:rPr>
        <w:t>的扫描件</w:t>
      </w:r>
      <w:r>
        <w:rPr>
          <w:rFonts w:hint="eastAsia" w:ascii="宋体" w:hAnsi="宋体" w:eastAsia="宋体" w:cs="宋体"/>
          <w:color w:val="000000"/>
          <w:szCs w:val="21"/>
          <w:highlight w:val="none"/>
          <w:lang w:eastAsia="zh-CN"/>
        </w:rPr>
        <w:t>并投标人加盖公章</w:t>
      </w:r>
      <w:r>
        <w:rPr>
          <w:rFonts w:hint="eastAsia" w:ascii="宋体" w:hAnsi="宋体" w:eastAsia="宋体" w:cs="宋体"/>
          <w:color w:val="000000"/>
          <w:szCs w:val="21"/>
          <w:highlight w:val="none"/>
        </w:rPr>
        <w:t>，若不符合上述要求的，业绩不予认可。★一旦发现提供的业绩证明材料存在虚假的，其投标文件将按无效处理。</w:t>
      </w:r>
    </w:p>
    <w:p w14:paraId="1A853E92">
      <w:pPr>
        <w:numPr>
          <w:ilvl w:val="0"/>
          <w:numId w:val="0"/>
        </w:numPr>
        <w:spacing w:line="360" w:lineRule="auto"/>
        <w:rPr>
          <w:rFonts w:ascii="宋体" w:hAnsi="宋体" w:cs="宋体"/>
          <w:color w:val="000000"/>
          <w:sz w:val="24"/>
          <w:szCs w:val="24"/>
          <w:highlight w:val="none"/>
        </w:rPr>
      </w:pPr>
      <w:r>
        <w:rPr>
          <w:rFonts w:hint="eastAsia" w:ascii="宋体" w:hAnsi="宋体" w:eastAsia="宋体" w:cs="宋体"/>
          <w:bCs/>
          <w:color w:val="000000"/>
          <w:szCs w:val="21"/>
          <w:highlight w:val="none"/>
        </w:rPr>
        <w:t>2、投标人可根据实际情况拓展本表。</w:t>
      </w:r>
    </w:p>
    <w:p w14:paraId="09C11D36">
      <w:pPr>
        <w:ind w:right="0"/>
        <w:jc w:val="both"/>
        <w:rPr>
          <w:rFonts w:hint="eastAsia" w:ascii="宋体" w:hAnsi="宋体" w:cs="宋体"/>
          <w:b/>
          <w:bCs/>
          <w:color w:val="000000"/>
          <w:sz w:val="24"/>
          <w:szCs w:val="24"/>
          <w:highlight w:val="none"/>
        </w:rPr>
      </w:pPr>
    </w:p>
    <w:p w14:paraId="184061B3">
      <w:pPr>
        <w:ind w:right="0"/>
        <w:jc w:val="both"/>
        <w:rPr>
          <w:rFonts w:hint="eastAsia" w:ascii="宋体" w:hAnsi="宋体" w:cs="宋体"/>
          <w:b/>
          <w:bCs/>
          <w:color w:val="000000"/>
          <w:sz w:val="24"/>
          <w:szCs w:val="24"/>
          <w:highlight w:val="none"/>
        </w:rPr>
      </w:pPr>
    </w:p>
    <w:p w14:paraId="4712D149">
      <w:pPr>
        <w:pStyle w:val="31"/>
        <w:shd w:val="clear" w:color="auto" w:fill="auto"/>
        <w:spacing w:line="432" w:lineRule="auto"/>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投标人：</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（电子签章）</w:t>
      </w:r>
    </w:p>
    <w:p w14:paraId="64149A8C">
      <w:pPr>
        <w:pStyle w:val="4"/>
        <w:shd w:val="clear" w:color="auto" w:fill="auto"/>
        <w:autoSpaceDE w:val="0"/>
        <w:spacing w:before="0" w:after="0" w:line="360" w:lineRule="auto"/>
        <w:jc w:val="both"/>
        <w:outlineLvl w:val="2"/>
        <w:rPr>
          <w:rFonts w:hint="eastAsia" w:ascii="宋体" w:hAnsi="宋体" w:cs="宋体"/>
          <w:color w:val="000000"/>
          <w:szCs w:val="28"/>
          <w:highlight w:val="none"/>
        </w:rPr>
      </w:pPr>
      <w:r>
        <w:rPr>
          <w:rFonts w:hint="eastAsia" w:ascii="宋体" w:hAnsi="宋体" w:cs="宋体"/>
          <w:b/>
          <w:bCs/>
          <w:color w:val="000000"/>
          <w:sz w:val="24"/>
          <w:szCs w:val="24"/>
          <w:highlight w:val="none"/>
        </w:rPr>
        <w:t>日  期：</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年</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月</w:t>
      </w:r>
      <w:r>
        <w:rPr>
          <w:rFonts w:hint="eastAsia" w:ascii="宋体" w:hAnsi="宋体" w:cs="宋体"/>
          <w:b/>
          <w:bCs/>
          <w:color w:val="000000"/>
          <w:sz w:val="24"/>
          <w:szCs w:val="24"/>
          <w:highlight w:val="none"/>
          <w:u w:val="single"/>
        </w:rPr>
        <w:t xml:space="preserve">   </w:t>
      </w:r>
      <w:r>
        <w:rPr>
          <w:rFonts w:hint="eastAsia" w:ascii="宋体" w:hAnsi="宋体" w:cs="宋体"/>
          <w:b/>
          <w:bCs/>
          <w:color w:val="000000"/>
          <w:sz w:val="24"/>
          <w:szCs w:val="24"/>
          <w:highlight w:val="none"/>
        </w:rPr>
        <w:t>日　</w:t>
      </w:r>
    </w:p>
    <w:p w14:paraId="037084A5">
      <w:pPr>
        <w:spacing w:line="360" w:lineRule="auto"/>
        <w:jc w:val="center"/>
        <w:outlineLvl w:val="2"/>
        <w:rPr>
          <w:rFonts w:hint="eastAsia" w:ascii="宋体" w:hAnsi="宋体" w:eastAsia="宋体" w:cs="宋体"/>
          <w:b/>
          <w:bCs/>
          <w:color w:val="000000"/>
          <w:sz w:val="28"/>
          <w:szCs w:val="28"/>
          <w:highlight w:val="none"/>
          <w:lang w:val="en-US" w:eastAsia="zh-CN" w:bidi="ar-SA"/>
        </w:rPr>
      </w:pPr>
      <w:bookmarkStart w:id="298" w:name="_Toc4728"/>
    </w:p>
    <w:p w14:paraId="5362C09A">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0ECC8E08">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70D9C426">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774ED6D8">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17F43C3C">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6234A977">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5D4DE09D">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57D2B3F3">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166F6CC3">
      <w:pPr>
        <w:spacing w:line="360" w:lineRule="auto"/>
        <w:jc w:val="center"/>
        <w:outlineLvl w:val="2"/>
        <w:rPr>
          <w:rFonts w:hint="eastAsia" w:ascii="宋体" w:hAnsi="宋体" w:eastAsia="宋体" w:cs="宋体"/>
          <w:b/>
          <w:bCs/>
          <w:color w:val="000000"/>
          <w:sz w:val="28"/>
          <w:szCs w:val="28"/>
          <w:highlight w:val="none"/>
          <w:lang w:val="en-US" w:eastAsia="zh-CN" w:bidi="ar-SA"/>
        </w:rPr>
      </w:pPr>
    </w:p>
    <w:p w14:paraId="268E8887">
      <w:pPr>
        <w:spacing w:line="360" w:lineRule="auto"/>
        <w:jc w:val="center"/>
        <w:outlineLvl w:val="2"/>
        <w:rPr>
          <w:rFonts w:hint="eastAsia" w:ascii="宋体" w:hAnsi="宋体" w:eastAsia="宋体" w:cs="Times New Roman"/>
          <w:b/>
          <w:color w:val="000000"/>
          <w:sz w:val="30"/>
          <w:szCs w:val="30"/>
          <w:lang w:val="en-US" w:eastAsia="zh-CN"/>
        </w:rPr>
      </w:pPr>
      <w:r>
        <w:rPr>
          <w:rFonts w:hint="eastAsia" w:ascii="宋体" w:hAnsi="宋体" w:eastAsia="宋体" w:cs="宋体"/>
          <w:b/>
          <w:bCs/>
          <w:color w:val="000000"/>
          <w:sz w:val="28"/>
          <w:szCs w:val="28"/>
          <w:highlight w:val="none"/>
          <w:lang w:val="en-US" w:eastAsia="zh-CN" w:bidi="ar-SA"/>
        </w:rPr>
        <w:t>十</w:t>
      </w:r>
      <w:r>
        <w:rPr>
          <w:rFonts w:hint="eastAsia" w:ascii="宋体" w:hAnsi="宋体" w:cs="宋体"/>
          <w:b/>
          <w:bCs/>
          <w:color w:val="000000"/>
          <w:sz w:val="28"/>
          <w:szCs w:val="28"/>
          <w:highlight w:val="none"/>
          <w:lang w:val="en-US" w:eastAsia="zh-CN" w:bidi="ar-SA"/>
        </w:rPr>
        <w:t>二</w:t>
      </w:r>
      <w:r>
        <w:rPr>
          <w:rFonts w:hint="eastAsia" w:ascii="宋体" w:hAnsi="宋体" w:eastAsia="宋体" w:cs="宋体"/>
          <w:b/>
          <w:bCs/>
          <w:color w:val="000000"/>
          <w:sz w:val="28"/>
          <w:szCs w:val="28"/>
          <w:highlight w:val="none"/>
          <w:lang w:val="en-US" w:eastAsia="zh-CN" w:bidi="ar-SA"/>
        </w:rPr>
        <w:t>、</w:t>
      </w:r>
      <w:bookmarkEnd w:id="298"/>
      <w:r>
        <w:rPr>
          <w:rFonts w:hint="eastAsia" w:ascii="宋体" w:hAnsi="宋体" w:eastAsia="宋体" w:cs="Times New Roman"/>
          <w:b/>
          <w:color w:val="000000"/>
          <w:sz w:val="30"/>
          <w:szCs w:val="30"/>
          <w:lang w:val="en-US" w:eastAsia="zh-CN"/>
        </w:rPr>
        <w:t>《中小企业声明函》</w:t>
      </w:r>
      <w:r>
        <w:rPr>
          <w:rFonts w:hint="eastAsia"/>
          <w:b/>
          <w:bCs/>
          <w:color w:val="auto"/>
          <w:sz w:val="28"/>
          <w:szCs w:val="24"/>
          <w:highlight w:val="none"/>
          <w:lang w:eastAsia="zh-CN"/>
        </w:rPr>
        <w:t>（</w:t>
      </w:r>
      <w:r>
        <w:rPr>
          <w:rFonts w:hint="eastAsia"/>
          <w:b/>
          <w:bCs/>
          <w:color w:val="auto"/>
          <w:sz w:val="28"/>
          <w:szCs w:val="24"/>
          <w:highlight w:val="none"/>
          <w:lang w:val="en-US" w:eastAsia="zh-CN"/>
        </w:rPr>
        <w:t>服务</w:t>
      </w:r>
      <w:r>
        <w:rPr>
          <w:rFonts w:hint="eastAsia"/>
          <w:b/>
          <w:bCs/>
          <w:color w:val="auto"/>
          <w:sz w:val="28"/>
          <w:szCs w:val="24"/>
          <w:highlight w:val="none"/>
          <w:lang w:eastAsia="zh-CN"/>
        </w:rPr>
        <w:t>）</w:t>
      </w:r>
    </w:p>
    <w:p w14:paraId="6EE40729">
      <w:pPr>
        <w:pStyle w:val="14"/>
        <w:spacing w:line="360" w:lineRule="auto"/>
        <w:rPr>
          <w:b/>
          <w:color w:val="000000"/>
          <w:sz w:val="20"/>
          <w:lang w:eastAsia="zh-CN"/>
        </w:rPr>
      </w:pPr>
    </w:p>
    <w:p w14:paraId="3671A24E">
      <w:pPr>
        <w:spacing w:line="360" w:lineRule="auto"/>
        <w:ind w:firstLine="480" w:firstLineChars="20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本公司（联合体）郑重声明，根据《政府采购促进中小 企业发展管理办法》（财库﹝2020﹞46 号）的规定，本公司 （联合体）参加（单位名称）的（项目名称）采购活动，服务全部由符合政策要求的中小企业承接。相关企业（含联合体中的中小企业、签订分包意向协议的中小企业）的具体情 况如下： </w:t>
      </w:r>
    </w:p>
    <w:p w14:paraId="52C3D8B3">
      <w:pPr>
        <w:numPr>
          <w:ilvl w:val="0"/>
          <w:numId w:val="7"/>
        </w:numPr>
        <w:spacing w:line="360" w:lineRule="auto"/>
        <w:ind w:firstLine="480" w:firstLineChars="20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u w:val="single"/>
          <w:lang w:eastAsia="zh-CN"/>
        </w:rPr>
        <w:t>（标的名称）</w:t>
      </w:r>
      <w:r>
        <w:rPr>
          <w:rFonts w:hint="eastAsia" w:cs="Times New Roman"/>
          <w:color w:val="000000"/>
          <w:sz w:val="24"/>
          <w:szCs w:val="24"/>
          <w:u w:val="single"/>
          <w:lang w:eastAsia="zh-CN"/>
        </w:rPr>
        <w:t>（</w:t>
      </w:r>
      <w:r>
        <w:rPr>
          <w:rFonts w:hint="eastAsia" w:cs="Times New Roman"/>
          <w:color w:val="000000"/>
          <w:sz w:val="24"/>
          <w:szCs w:val="24"/>
          <w:u w:val="single"/>
          <w:lang w:val="en-US" w:eastAsia="zh-CN"/>
        </w:rPr>
        <w:t>标段号</w:t>
      </w:r>
      <w:r>
        <w:rPr>
          <w:rFonts w:hint="eastAsia" w:cs="Times New Roman"/>
          <w:color w:val="000000"/>
          <w:sz w:val="24"/>
          <w:szCs w:val="24"/>
          <w:u w:val="single"/>
          <w:lang w:eastAsia="zh-CN"/>
        </w:rPr>
        <w:t>）</w:t>
      </w:r>
      <w:r>
        <w:rPr>
          <w:rFonts w:hint="eastAsia" w:ascii="Times New Roman" w:hAnsi="Times New Roman" w:eastAsia="宋体" w:cs="Times New Roman"/>
          <w:color w:val="000000"/>
          <w:sz w:val="24"/>
          <w:szCs w:val="24"/>
          <w:u w:val="single"/>
          <w:lang w:eastAsia="zh-CN"/>
        </w:rPr>
        <w:t xml:space="preserve"> </w:t>
      </w:r>
      <w:r>
        <w:rPr>
          <w:rFonts w:hint="eastAsia" w:ascii="Times New Roman" w:hAnsi="Times New Roman" w:eastAsia="宋体" w:cs="Times New Roman"/>
          <w:color w:val="000000"/>
          <w:sz w:val="24"/>
          <w:szCs w:val="24"/>
          <w:lang w:eastAsia="zh-CN"/>
        </w:rPr>
        <w:t>，属于</w:t>
      </w:r>
      <w:r>
        <w:rPr>
          <w:rFonts w:hint="eastAsia" w:ascii="Times New Roman" w:hAnsi="Times New Roman" w:eastAsia="宋体" w:cs="Times New Roman"/>
          <w:color w:val="000000"/>
          <w:sz w:val="24"/>
          <w:szCs w:val="24"/>
          <w:u w:val="single"/>
          <w:lang w:eastAsia="zh-CN"/>
        </w:rPr>
        <w:t>（</w:t>
      </w:r>
      <w:r>
        <w:rPr>
          <w:rFonts w:hint="eastAsia" w:cs="Times New Roman"/>
          <w:color w:val="000000"/>
          <w:sz w:val="24"/>
          <w:szCs w:val="24"/>
          <w:u w:val="single"/>
          <w:lang w:val="en-US" w:eastAsia="zh-CN"/>
        </w:rPr>
        <w:t>其他未列明行业</w:t>
      </w:r>
      <w:r>
        <w:rPr>
          <w:rFonts w:hint="eastAsia" w:ascii="Times New Roman" w:hAnsi="Times New Roman" w:eastAsia="宋体" w:cs="Times New Roman"/>
          <w:color w:val="000000"/>
          <w:sz w:val="24"/>
          <w:szCs w:val="24"/>
          <w:u w:val="single"/>
          <w:lang w:eastAsia="zh-CN"/>
        </w:rPr>
        <w:t>）</w:t>
      </w:r>
      <w:r>
        <w:rPr>
          <w:rFonts w:hint="eastAsia" w:ascii="Times New Roman" w:hAnsi="Times New Roman" w:eastAsia="宋体" w:cs="Times New Roman"/>
          <w:color w:val="000000"/>
          <w:sz w:val="24"/>
          <w:szCs w:val="24"/>
          <w:lang w:eastAsia="zh-CN"/>
        </w:rPr>
        <w:t>； 承接企业为</w:t>
      </w:r>
      <w:r>
        <w:rPr>
          <w:rFonts w:hint="eastAsia" w:ascii="Times New Roman" w:hAnsi="Times New Roman" w:eastAsia="宋体" w:cs="Times New Roman"/>
          <w:color w:val="000000"/>
          <w:sz w:val="24"/>
          <w:szCs w:val="24"/>
          <w:u w:val="single"/>
          <w:lang w:eastAsia="zh-CN"/>
        </w:rPr>
        <w:t>（企业名称）</w:t>
      </w:r>
      <w:r>
        <w:rPr>
          <w:rFonts w:hint="eastAsia" w:ascii="Times New Roman" w:hAnsi="Times New Roman" w:eastAsia="宋体" w:cs="Times New Roman"/>
          <w:color w:val="000000"/>
          <w:sz w:val="24"/>
          <w:szCs w:val="24"/>
          <w:lang w:eastAsia="zh-CN"/>
        </w:rPr>
        <w:t>，从业人员</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lang w:eastAsia="zh-CN"/>
        </w:rPr>
        <w:t>人，营业收入为</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lang w:eastAsia="zh-CN"/>
        </w:rPr>
        <w:t>万元，资产总额为</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lang w:eastAsia="zh-CN"/>
        </w:rPr>
        <w:t>万元 ，属于</w:t>
      </w:r>
      <w:r>
        <w:rPr>
          <w:rFonts w:hint="eastAsia" w:ascii="Times New Roman" w:hAnsi="Times New Roman" w:eastAsia="宋体" w:cs="Times New Roman"/>
          <w:color w:val="000000"/>
          <w:sz w:val="24"/>
          <w:szCs w:val="24"/>
          <w:u w:val="single"/>
          <w:lang w:eastAsia="zh-CN"/>
        </w:rPr>
        <w:t>（中型企业、 小型企业、微型企业）</w:t>
      </w:r>
      <w:r>
        <w:rPr>
          <w:rFonts w:hint="eastAsia" w:ascii="Times New Roman" w:hAnsi="Times New Roman" w:eastAsia="宋体" w:cs="Times New Roman"/>
          <w:color w:val="000000"/>
          <w:sz w:val="24"/>
          <w:szCs w:val="24"/>
          <w:lang w:eastAsia="zh-CN"/>
        </w:rPr>
        <w:t>；</w:t>
      </w:r>
    </w:p>
    <w:p w14:paraId="2BCA30BD">
      <w:pPr>
        <w:numPr>
          <w:ilvl w:val="0"/>
          <w:numId w:val="7"/>
        </w:numPr>
        <w:spacing w:line="360" w:lineRule="auto"/>
        <w:ind w:left="0" w:leftChars="0" w:firstLine="480" w:firstLineChars="20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u w:val="single"/>
          <w:lang w:eastAsia="zh-CN"/>
        </w:rPr>
        <w:t>（标的名称）</w:t>
      </w:r>
      <w:r>
        <w:rPr>
          <w:rFonts w:hint="eastAsia" w:cs="Times New Roman"/>
          <w:color w:val="000000"/>
          <w:sz w:val="24"/>
          <w:szCs w:val="24"/>
          <w:u w:val="single"/>
          <w:lang w:eastAsia="zh-CN"/>
        </w:rPr>
        <w:t>（</w:t>
      </w:r>
      <w:r>
        <w:rPr>
          <w:rFonts w:hint="eastAsia" w:cs="Times New Roman"/>
          <w:color w:val="000000"/>
          <w:sz w:val="24"/>
          <w:szCs w:val="24"/>
          <w:u w:val="single"/>
          <w:lang w:val="en-US" w:eastAsia="zh-CN"/>
        </w:rPr>
        <w:t>标段号</w:t>
      </w:r>
      <w:r>
        <w:rPr>
          <w:rFonts w:hint="eastAsia" w:cs="Times New Roman"/>
          <w:color w:val="000000"/>
          <w:sz w:val="24"/>
          <w:szCs w:val="24"/>
          <w:u w:val="single"/>
          <w:lang w:eastAsia="zh-CN"/>
        </w:rPr>
        <w:t>）</w:t>
      </w:r>
      <w:r>
        <w:rPr>
          <w:rFonts w:hint="eastAsia" w:ascii="Times New Roman" w:hAnsi="Times New Roman" w:eastAsia="宋体" w:cs="Times New Roman"/>
          <w:color w:val="000000"/>
          <w:sz w:val="24"/>
          <w:szCs w:val="24"/>
          <w:u w:val="single"/>
          <w:lang w:eastAsia="zh-CN"/>
        </w:rPr>
        <w:t xml:space="preserve"> </w:t>
      </w:r>
      <w:r>
        <w:rPr>
          <w:rFonts w:hint="eastAsia" w:ascii="Times New Roman" w:hAnsi="Times New Roman" w:eastAsia="宋体" w:cs="Times New Roman"/>
          <w:color w:val="000000"/>
          <w:sz w:val="24"/>
          <w:szCs w:val="24"/>
          <w:lang w:eastAsia="zh-CN"/>
        </w:rPr>
        <w:t>，属于</w:t>
      </w:r>
      <w:r>
        <w:rPr>
          <w:rFonts w:hint="eastAsia" w:ascii="Times New Roman" w:hAnsi="Times New Roman" w:eastAsia="宋体" w:cs="Times New Roman"/>
          <w:color w:val="000000"/>
          <w:sz w:val="24"/>
          <w:szCs w:val="24"/>
          <w:u w:val="single"/>
          <w:lang w:eastAsia="zh-CN"/>
        </w:rPr>
        <w:t>（采购文件中明确的所属行业）</w:t>
      </w:r>
      <w:r>
        <w:rPr>
          <w:rFonts w:hint="eastAsia" w:ascii="Times New Roman" w:hAnsi="Times New Roman" w:eastAsia="宋体" w:cs="Times New Roman"/>
          <w:color w:val="000000"/>
          <w:sz w:val="24"/>
          <w:szCs w:val="24"/>
          <w:lang w:eastAsia="zh-CN"/>
        </w:rPr>
        <w:t>； 承接企业为</w:t>
      </w:r>
      <w:r>
        <w:rPr>
          <w:rFonts w:hint="eastAsia" w:ascii="Times New Roman" w:hAnsi="Times New Roman" w:eastAsia="宋体" w:cs="Times New Roman"/>
          <w:color w:val="000000"/>
          <w:sz w:val="24"/>
          <w:szCs w:val="24"/>
          <w:u w:val="single"/>
          <w:lang w:eastAsia="zh-CN"/>
        </w:rPr>
        <w:t>（企业名称）</w:t>
      </w:r>
      <w:r>
        <w:rPr>
          <w:rFonts w:hint="eastAsia" w:ascii="Times New Roman" w:hAnsi="Times New Roman" w:eastAsia="宋体" w:cs="Times New Roman"/>
          <w:color w:val="000000"/>
          <w:sz w:val="24"/>
          <w:szCs w:val="24"/>
          <w:lang w:eastAsia="zh-CN"/>
        </w:rPr>
        <w:t>，从业人员</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lang w:eastAsia="zh-CN"/>
        </w:rPr>
        <w:t>人，营业收入为</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lang w:eastAsia="zh-CN"/>
        </w:rPr>
        <w:t>万元，资产总额为</w:t>
      </w:r>
      <w:r>
        <w:rPr>
          <w:rFonts w:hint="eastAsia" w:ascii="Times New Roman" w:hAnsi="Times New Roman" w:eastAsia="宋体" w:cs="Times New Roman"/>
          <w:color w:val="000000"/>
          <w:sz w:val="24"/>
          <w:szCs w:val="24"/>
          <w:u w:val="single"/>
          <w:lang w:val="en-US" w:eastAsia="zh-CN"/>
        </w:rPr>
        <w:t xml:space="preserve">    </w:t>
      </w:r>
      <w:r>
        <w:rPr>
          <w:rFonts w:hint="eastAsia" w:ascii="Times New Roman" w:hAnsi="Times New Roman" w:eastAsia="宋体" w:cs="Times New Roman"/>
          <w:color w:val="000000"/>
          <w:sz w:val="24"/>
          <w:szCs w:val="24"/>
          <w:lang w:eastAsia="zh-CN"/>
        </w:rPr>
        <w:t>万元，属于</w:t>
      </w:r>
      <w:r>
        <w:rPr>
          <w:rFonts w:hint="eastAsia" w:ascii="Times New Roman" w:hAnsi="Times New Roman" w:eastAsia="宋体" w:cs="Times New Roman"/>
          <w:color w:val="000000"/>
          <w:sz w:val="24"/>
          <w:szCs w:val="24"/>
          <w:u w:val="single"/>
          <w:lang w:eastAsia="zh-CN"/>
        </w:rPr>
        <w:t>（中型企业、 小型企业、微型企业）</w:t>
      </w:r>
      <w:r>
        <w:rPr>
          <w:rFonts w:hint="eastAsia" w:ascii="Times New Roman" w:hAnsi="Times New Roman" w:eastAsia="宋体" w:cs="Times New Roman"/>
          <w:color w:val="000000"/>
          <w:sz w:val="24"/>
          <w:szCs w:val="24"/>
          <w:lang w:eastAsia="zh-CN"/>
        </w:rPr>
        <w:t xml:space="preserve">； </w:t>
      </w:r>
    </w:p>
    <w:p w14:paraId="459EEFCB">
      <w:pPr>
        <w:numPr>
          <w:ilvl w:val="0"/>
          <w:numId w:val="0"/>
        </w:numPr>
        <w:spacing w:line="360" w:lineRule="auto"/>
        <w:ind w:leftChars="20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w:t>
      </w:r>
    </w:p>
    <w:p w14:paraId="02317558">
      <w:pPr>
        <w:numPr>
          <w:ilvl w:val="0"/>
          <w:numId w:val="0"/>
        </w:numPr>
        <w:spacing w:line="360" w:lineRule="auto"/>
        <w:ind w:firstLine="480" w:firstLineChars="200"/>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eastAsia="zh-CN"/>
        </w:rPr>
        <w:t xml:space="preserve">以上企业，不属于大企业的分支机构，不存在控股股东 为大企业的情形，也不存在与大企业的负责人为同一人的情形。 </w:t>
      </w:r>
    </w:p>
    <w:p w14:paraId="231B6CBF">
      <w:pPr>
        <w:numPr>
          <w:ilvl w:val="0"/>
          <w:numId w:val="0"/>
        </w:numPr>
        <w:spacing w:line="360" w:lineRule="auto"/>
        <w:ind w:leftChars="200"/>
        <w:rPr>
          <w:color w:val="000000"/>
          <w:sz w:val="24"/>
          <w:szCs w:val="24"/>
          <w:lang w:eastAsia="zh-CN"/>
        </w:rPr>
      </w:pPr>
      <w:r>
        <w:rPr>
          <w:rFonts w:hint="eastAsia" w:ascii="Times New Roman" w:hAnsi="Times New Roman" w:eastAsia="宋体" w:cs="Times New Roman"/>
          <w:color w:val="000000"/>
          <w:sz w:val="24"/>
          <w:szCs w:val="24"/>
          <w:lang w:eastAsia="zh-CN"/>
        </w:rPr>
        <w:t>本企业对上述声明内容的真实性负责。如有虚假，将依 法承担相应责任。</w:t>
      </w:r>
      <w:r>
        <w:rPr>
          <w:rFonts w:hint="eastAsia"/>
          <w:color w:val="000000"/>
          <w:sz w:val="24"/>
          <w:szCs w:val="24"/>
          <w:lang w:eastAsia="zh-CN"/>
        </w:rPr>
        <w:t xml:space="preserve">                       </w:t>
      </w:r>
    </w:p>
    <w:p w14:paraId="2643F070">
      <w:pPr>
        <w:spacing w:line="360" w:lineRule="auto"/>
        <w:rPr>
          <w:color w:val="000000"/>
          <w:sz w:val="24"/>
          <w:szCs w:val="24"/>
          <w:lang w:eastAsia="zh-CN"/>
        </w:rPr>
      </w:pPr>
    </w:p>
    <w:p w14:paraId="1A550EFE">
      <w:pPr>
        <w:spacing w:line="360" w:lineRule="auto"/>
        <w:rPr>
          <w:rFonts w:hint="eastAsia"/>
          <w:color w:val="000000"/>
          <w:sz w:val="24"/>
          <w:szCs w:val="24"/>
          <w:lang w:eastAsia="zh-CN"/>
        </w:rPr>
      </w:pPr>
      <w:r>
        <w:rPr>
          <w:rFonts w:hint="eastAsia"/>
          <w:color w:val="000000"/>
          <w:sz w:val="24"/>
          <w:szCs w:val="24"/>
          <w:lang w:eastAsia="zh-CN"/>
        </w:rPr>
        <w:t>注：1. 从业人员、营业收入、资产总额填报上--年度数据，无上一年度数据的新成立企业可不填报。</w:t>
      </w:r>
    </w:p>
    <w:p w14:paraId="375F4073">
      <w:pPr>
        <w:pStyle w:val="14"/>
        <w:rPr>
          <w:rFonts w:hint="eastAsia"/>
          <w:color w:val="000000"/>
          <w:sz w:val="24"/>
          <w:szCs w:val="24"/>
          <w:lang w:eastAsia="zh-CN"/>
        </w:rPr>
      </w:pPr>
    </w:p>
    <w:p w14:paraId="4493184C">
      <w:pPr>
        <w:pStyle w:val="31"/>
        <w:shd w:val="clear" w:color="auto" w:fill="auto"/>
        <w:spacing w:line="432" w:lineRule="auto"/>
        <w:rPr>
          <w:rFonts w:hint="eastAsia" w:ascii="宋体" w:hAnsi="宋体" w:cs="宋体"/>
          <w:b/>
          <w:bCs/>
          <w:color w:val="000000"/>
          <w:highlight w:val="none"/>
        </w:rPr>
      </w:pPr>
      <w:r>
        <w:rPr>
          <w:rFonts w:hint="eastAsia" w:ascii="宋体" w:hAnsi="宋体" w:cs="宋体"/>
          <w:b/>
          <w:bCs/>
          <w:color w:val="000000"/>
          <w:highlight w:val="none"/>
        </w:rPr>
        <w:t>投标人：</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（电子签章）</w:t>
      </w:r>
    </w:p>
    <w:p w14:paraId="7748CD75">
      <w:pPr>
        <w:pStyle w:val="31"/>
        <w:shd w:val="clear" w:color="auto" w:fill="auto"/>
        <w:spacing w:line="432" w:lineRule="auto"/>
        <w:ind w:firstLine="405"/>
        <w:rPr>
          <w:rFonts w:hint="eastAsia" w:ascii="宋体" w:hAnsi="宋体" w:cs="宋体"/>
          <w:b/>
          <w:bCs/>
          <w:color w:val="000000"/>
          <w:highlight w:val="none"/>
        </w:rPr>
      </w:pPr>
      <w:r>
        <w:rPr>
          <w:rFonts w:hint="eastAsia" w:ascii="宋体" w:hAnsi="宋体" w:cs="宋体"/>
          <w:b/>
          <w:bCs/>
          <w:color w:val="000000"/>
          <w:highlight w:val="none"/>
        </w:rPr>
        <w:t>日  期：</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年</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月</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日　</w:t>
      </w:r>
    </w:p>
    <w:p w14:paraId="3E024F80">
      <w:pPr>
        <w:pStyle w:val="17"/>
        <w:rPr>
          <w:lang w:eastAsia="zh-CN"/>
        </w:rPr>
        <w:sectPr>
          <w:headerReference r:id="rId8" w:type="default"/>
          <w:footerReference r:id="rId9" w:type="default"/>
          <w:pgSz w:w="11910" w:h="16840"/>
          <w:pgMar w:top="1134" w:right="1134" w:bottom="1134" w:left="1134" w:header="921" w:footer="738" w:gutter="0"/>
          <w:pgNumType w:fmt="numberInDash"/>
          <w:cols w:space="720" w:num="1"/>
        </w:sectPr>
      </w:pPr>
    </w:p>
    <w:p w14:paraId="36FED5AE">
      <w:pPr>
        <w:keepNext w:val="0"/>
        <w:keepLines w:val="0"/>
        <w:pageBreakBefore w:val="0"/>
        <w:widowControl/>
        <w:shd w:val="clear" w:color="auto" w:fill="auto"/>
        <w:kinsoku/>
        <w:wordWrap/>
        <w:overflowPunct/>
        <w:topLinePunct w:val="0"/>
        <w:autoSpaceDE/>
        <w:autoSpaceDN/>
        <w:bidi w:val="0"/>
        <w:adjustRightInd/>
        <w:snapToGrid/>
        <w:jc w:val="center"/>
        <w:textAlignment w:val="auto"/>
        <w:outlineLvl w:val="2"/>
        <w:rPr>
          <w:rFonts w:hint="eastAsia" w:ascii="宋体" w:hAnsi="宋体" w:cs="宋体"/>
          <w:b/>
          <w:color w:val="000000"/>
          <w:sz w:val="28"/>
          <w:szCs w:val="28"/>
          <w:highlight w:val="none"/>
        </w:rPr>
      </w:pPr>
      <w:bookmarkStart w:id="299" w:name="_Toc15265"/>
      <w:bookmarkStart w:id="300" w:name="_Toc32444"/>
      <w:r>
        <w:rPr>
          <w:rFonts w:hint="eastAsia" w:ascii="宋体" w:hAnsi="宋体" w:cs="宋体"/>
          <w:b/>
          <w:bCs/>
          <w:color w:val="000000"/>
          <w:sz w:val="28"/>
          <w:szCs w:val="28"/>
          <w:highlight w:val="none"/>
        </w:rPr>
        <w:t>十</w:t>
      </w:r>
      <w:r>
        <w:rPr>
          <w:rFonts w:hint="eastAsia" w:ascii="宋体" w:hAnsi="宋体" w:cs="宋体"/>
          <w:b/>
          <w:bCs/>
          <w:color w:val="000000"/>
          <w:sz w:val="28"/>
          <w:szCs w:val="28"/>
          <w:highlight w:val="none"/>
          <w:lang w:val="en-US" w:eastAsia="zh-CN"/>
        </w:rPr>
        <w:t>三</w:t>
      </w:r>
      <w:r>
        <w:rPr>
          <w:rFonts w:hint="eastAsia" w:ascii="宋体" w:hAnsi="宋体" w:cs="宋体"/>
          <w:b/>
          <w:bCs/>
          <w:color w:val="000000"/>
          <w:sz w:val="28"/>
          <w:szCs w:val="28"/>
          <w:highlight w:val="none"/>
        </w:rPr>
        <w:t>、残疾人福利性单位声明函</w:t>
      </w:r>
      <w:bookmarkEnd w:id="299"/>
      <w:bookmarkEnd w:id="300"/>
    </w:p>
    <w:p w14:paraId="2958400D">
      <w:pPr>
        <w:shd w:val="clear" w:color="auto" w:fill="auto"/>
        <w:rPr>
          <w:rFonts w:hint="eastAsia" w:ascii="宋体" w:hAnsi="宋体" w:cs="宋体"/>
          <w:b/>
          <w:color w:val="000000"/>
          <w:sz w:val="28"/>
          <w:szCs w:val="28"/>
          <w:highlight w:val="none"/>
        </w:rPr>
      </w:pPr>
    </w:p>
    <w:p w14:paraId="1CC6FA16">
      <w:pPr>
        <w:keepNext/>
        <w:keepLines/>
        <w:widowControl w:val="0"/>
        <w:shd w:val="clear" w:color="auto" w:fill="auto"/>
        <w:ind w:left="425"/>
        <w:jc w:val="center"/>
        <w:rPr>
          <w:rFonts w:hint="eastAsia" w:ascii="宋体" w:hAnsi="宋体" w:cs="宋体"/>
          <w:b/>
          <w:bCs/>
          <w:color w:val="000000"/>
          <w:kern w:val="2"/>
          <w:sz w:val="28"/>
          <w:szCs w:val="28"/>
          <w:highlight w:val="none"/>
        </w:rPr>
      </w:pPr>
      <w:r>
        <w:rPr>
          <w:rFonts w:hint="eastAsia" w:ascii="宋体" w:hAnsi="宋体" w:cs="宋体"/>
          <w:b/>
          <w:bCs/>
          <w:color w:val="000000"/>
          <w:kern w:val="2"/>
          <w:sz w:val="24"/>
          <w:szCs w:val="24"/>
          <w:highlight w:val="none"/>
        </w:rPr>
        <w:t>《</w:t>
      </w:r>
      <w:r>
        <w:rPr>
          <w:rFonts w:hint="eastAsia" w:ascii="宋体" w:hAnsi="宋体" w:cs="宋体"/>
          <w:b/>
          <w:bCs/>
          <w:color w:val="000000"/>
          <w:kern w:val="2"/>
          <w:sz w:val="28"/>
          <w:szCs w:val="28"/>
          <w:highlight w:val="none"/>
        </w:rPr>
        <w:t>残疾人福利性单位声明函》（符合《三部门联合发布关于促进残疾人就业政府采购政策的通知》（财库〔2017〕141号）价格扣减条件的投标人须提交）</w:t>
      </w:r>
    </w:p>
    <w:p w14:paraId="38913C0C">
      <w:pPr>
        <w:shd w:val="clear" w:color="auto" w:fill="auto"/>
        <w:rPr>
          <w:rFonts w:hint="eastAsia" w:ascii="宋体" w:hAnsi="宋体" w:cs="宋体"/>
          <w:color w:val="000000"/>
          <w:highlight w:val="none"/>
        </w:rPr>
      </w:pPr>
    </w:p>
    <w:p w14:paraId="0C2F32D0">
      <w:pPr>
        <w:keepNext/>
        <w:keepLines/>
        <w:widowControl w:val="0"/>
        <w:shd w:val="clear" w:color="auto" w:fill="auto"/>
        <w:spacing w:line="360" w:lineRule="auto"/>
        <w:jc w:val="center"/>
        <w:rPr>
          <w:rFonts w:hint="eastAsia" w:ascii="宋体" w:hAnsi="宋体" w:cs="宋体"/>
          <w:b/>
          <w:bCs/>
          <w:color w:val="000000"/>
          <w:kern w:val="2"/>
          <w:sz w:val="32"/>
          <w:szCs w:val="32"/>
          <w:highlight w:val="none"/>
        </w:rPr>
      </w:pPr>
      <w:bookmarkStart w:id="301" w:name="_Toc518289520"/>
      <w:r>
        <w:rPr>
          <w:rFonts w:hint="eastAsia" w:ascii="宋体" w:hAnsi="宋体" w:cs="宋体"/>
          <w:b/>
          <w:bCs/>
          <w:color w:val="000000"/>
          <w:kern w:val="2"/>
          <w:sz w:val="32"/>
          <w:szCs w:val="32"/>
          <w:highlight w:val="none"/>
        </w:rPr>
        <w:t>残疾人福利性单位声明函</w:t>
      </w:r>
      <w:bookmarkEnd w:id="301"/>
    </w:p>
    <w:p w14:paraId="4B393B3C">
      <w:pPr>
        <w:shd w:val="clear" w:color="auto" w:fill="auto"/>
        <w:spacing w:line="588" w:lineRule="exact"/>
        <w:ind w:firstLine="504" w:firstLineChars="200"/>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本单位郑重声明，根据《财政部民政部中国残疾人联合会关于促进残疾人就业政府采购政策的通知》（财库</w:t>
      </w:r>
      <w:r>
        <w:rPr>
          <w:rFonts w:hint="eastAsia" w:ascii="宋体" w:hAnsi="宋体" w:cs="宋体"/>
          <w:color w:val="000000"/>
          <w:sz w:val="24"/>
          <w:szCs w:val="24"/>
          <w:highlight w:val="none"/>
        </w:rPr>
        <w:t>〔2017〕141</w:t>
      </w:r>
      <w:r>
        <w:rPr>
          <w:rFonts w:hint="eastAsia" w:ascii="宋体" w:hAnsi="宋体" w:cs="宋体"/>
          <w:color w:val="000000"/>
          <w:spacing w:val="6"/>
          <w:sz w:val="24"/>
          <w:szCs w:val="24"/>
          <w:highlight w:val="none"/>
        </w:rPr>
        <w:t>号）的规定，本单位为符合条件的残疾人福利性单位，且本单位参加______单位的______项目</w:t>
      </w:r>
      <w:r>
        <w:rPr>
          <w:rFonts w:hint="eastAsia" w:ascii="宋体" w:hAnsi="宋体" w:cs="宋体"/>
          <w:color w:val="000000"/>
          <w:spacing w:val="6"/>
          <w:sz w:val="24"/>
          <w:szCs w:val="24"/>
          <w:highlight w:val="none"/>
          <w:u w:val="single"/>
          <w:lang w:val="en-US" w:eastAsia="zh-CN"/>
        </w:rPr>
        <w:t xml:space="preserve">   标段号</w:t>
      </w:r>
      <w:r>
        <w:rPr>
          <w:rFonts w:hint="eastAsia" w:ascii="宋体" w:hAnsi="宋体" w:cs="宋体"/>
          <w:color w:val="000000"/>
          <w:spacing w:val="6"/>
          <w:sz w:val="24"/>
          <w:szCs w:val="24"/>
          <w:highlight w:val="none"/>
        </w:rPr>
        <w:t>采购活动提供本单位</w:t>
      </w:r>
      <w:r>
        <w:rPr>
          <w:rFonts w:hint="eastAsia" w:ascii="宋体" w:hAnsi="宋体" w:cs="宋体"/>
          <w:color w:val="000000"/>
          <w:spacing w:val="6"/>
          <w:sz w:val="24"/>
          <w:szCs w:val="24"/>
          <w:highlight w:val="none"/>
          <w:lang w:eastAsia="zh-CN"/>
        </w:rPr>
        <w:t>的</w:t>
      </w:r>
      <w:r>
        <w:rPr>
          <w:rFonts w:hint="eastAsia" w:ascii="宋体" w:hAnsi="宋体" w:cs="宋体"/>
          <w:color w:val="000000"/>
          <w:spacing w:val="6"/>
          <w:sz w:val="24"/>
          <w:szCs w:val="24"/>
          <w:highlight w:val="none"/>
          <w:lang w:val="en-US" w:eastAsia="zh-CN"/>
        </w:rPr>
        <w:t>服务</w:t>
      </w:r>
      <w:r>
        <w:rPr>
          <w:rFonts w:hint="eastAsia" w:ascii="宋体" w:hAnsi="宋体" w:cs="宋体"/>
          <w:color w:val="000000"/>
          <w:spacing w:val="6"/>
          <w:sz w:val="24"/>
          <w:szCs w:val="24"/>
          <w:highlight w:val="none"/>
        </w:rPr>
        <w:t>（由本单位承担工程/提供服务），或者提供其他残疾人福利性单位</w:t>
      </w:r>
      <w:r>
        <w:rPr>
          <w:rFonts w:hint="eastAsia" w:ascii="宋体" w:hAnsi="宋体" w:cs="宋体"/>
          <w:color w:val="000000"/>
          <w:spacing w:val="6"/>
          <w:sz w:val="24"/>
          <w:szCs w:val="24"/>
          <w:highlight w:val="none"/>
          <w:lang w:eastAsia="zh-CN"/>
        </w:rPr>
        <w:t>的</w:t>
      </w:r>
      <w:r>
        <w:rPr>
          <w:rFonts w:hint="eastAsia" w:ascii="宋体" w:hAnsi="宋体" w:cs="宋体"/>
          <w:color w:val="000000"/>
          <w:spacing w:val="6"/>
          <w:sz w:val="24"/>
          <w:szCs w:val="24"/>
          <w:highlight w:val="none"/>
          <w:lang w:val="en-US" w:eastAsia="zh-CN"/>
        </w:rPr>
        <w:t>服务</w:t>
      </w:r>
      <w:r>
        <w:rPr>
          <w:rFonts w:hint="eastAsia" w:ascii="宋体" w:hAnsi="宋体" w:cs="宋体"/>
          <w:color w:val="000000"/>
          <w:spacing w:val="6"/>
          <w:sz w:val="24"/>
          <w:szCs w:val="24"/>
          <w:highlight w:val="none"/>
        </w:rPr>
        <w:t>（不包括使用非残疾人福利性单位注册商标的货物）。</w:t>
      </w:r>
    </w:p>
    <w:p w14:paraId="16D722AF">
      <w:pPr>
        <w:shd w:val="clear" w:color="auto" w:fill="auto"/>
        <w:spacing w:line="588" w:lineRule="exact"/>
        <w:ind w:firstLine="504" w:firstLineChars="200"/>
        <w:rPr>
          <w:rFonts w:hint="eastAsia" w:ascii="宋体" w:hAnsi="宋体" w:cs="宋体"/>
          <w:color w:val="000000"/>
          <w:spacing w:val="6"/>
          <w:sz w:val="24"/>
          <w:szCs w:val="24"/>
          <w:highlight w:val="none"/>
        </w:rPr>
      </w:pPr>
      <w:r>
        <w:rPr>
          <w:rFonts w:hint="eastAsia" w:ascii="宋体" w:hAnsi="宋体" w:cs="宋体"/>
          <w:color w:val="000000"/>
          <w:spacing w:val="6"/>
          <w:sz w:val="24"/>
          <w:szCs w:val="24"/>
          <w:highlight w:val="none"/>
        </w:rPr>
        <w:t>本单位对上述声明的真实性负责。如有虚假，将依法承担相应责任。</w:t>
      </w:r>
    </w:p>
    <w:p w14:paraId="1F225C2C">
      <w:pPr>
        <w:shd w:val="clear" w:color="auto" w:fill="auto"/>
        <w:spacing w:line="588" w:lineRule="exact"/>
        <w:ind w:firstLine="504" w:firstLineChars="200"/>
        <w:rPr>
          <w:rFonts w:hint="eastAsia" w:ascii="宋体" w:hAnsi="宋体" w:cs="宋体"/>
          <w:color w:val="000000"/>
          <w:spacing w:val="6"/>
          <w:sz w:val="24"/>
          <w:szCs w:val="24"/>
          <w:highlight w:val="none"/>
        </w:rPr>
      </w:pPr>
    </w:p>
    <w:p w14:paraId="433225F2">
      <w:pPr>
        <w:shd w:val="clear" w:color="auto" w:fill="auto"/>
        <w:spacing w:line="588" w:lineRule="exact"/>
        <w:ind w:firstLine="504" w:firstLineChars="200"/>
        <w:rPr>
          <w:rFonts w:hint="eastAsia" w:ascii="宋体" w:hAnsi="宋体" w:cs="宋体"/>
          <w:color w:val="000000"/>
          <w:spacing w:val="6"/>
          <w:sz w:val="24"/>
          <w:szCs w:val="24"/>
          <w:highlight w:val="none"/>
        </w:rPr>
      </w:pPr>
    </w:p>
    <w:p w14:paraId="1E19B261">
      <w:pPr>
        <w:pStyle w:val="31"/>
        <w:shd w:val="clear" w:color="auto" w:fill="auto"/>
        <w:spacing w:line="432" w:lineRule="auto"/>
        <w:ind w:firstLine="405"/>
        <w:rPr>
          <w:rFonts w:hint="eastAsia" w:ascii="宋体" w:hAnsi="宋体" w:cs="宋体"/>
          <w:b/>
          <w:bCs/>
          <w:color w:val="000000"/>
          <w:highlight w:val="none"/>
        </w:rPr>
      </w:pPr>
      <w:r>
        <w:rPr>
          <w:rFonts w:hint="eastAsia" w:ascii="宋体" w:hAnsi="宋体" w:cs="宋体"/>
          <w:b/>
          <w:bCs/>
          <w:color w:val="000000"/>
          <w:highlight w:val="none"/>
        </w:rPr>
        <w:t>投标人：</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（电子签章）</w:t>
      </w:r>
    </w:p>
    <w:p w14:paraId="6CFB6FC0">
      <w:pPr>
        <w:pStyle w:val="31"/>
        <w:shd w:val="clear" w:color="auto" w:fill="auto"/>
        <w:spacing w:line="432" w:lineRule="auto"/>
        <w:ind w:firstLine="405"/>
        <w:rPr>
          <w:rFonts w:hint="eastAsia" w:ascii="宋体" w:hAnsi="宋体" w:cs="宋体"/>
          <w:b/>
          <w:bCs/>
          <w:color w:val="000000"/>
          <w:highlight w:val="none"/>
        </w:rPr>
      </w:pPr>
      <w:r>
        <w:rPr>
          <w:rFonts w:hint="eastAsia" w:ascii="宋体" w:hAnsi="宋体" w:cs="宋体"/>
          <w:b/>
          <w:bCs/>
          <w:color w:val="000000"/>
          <w:highlight w:val="none"/>
        </w:rPr>
        <w:t>日  期：</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年</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月</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日　</w:t>
      </w:r>
    </w:p>
    <w:p w14:paraId="657F4D51">
      <w:pPr>
        <w:shd w:val="clear" w:color="auto" w:fill="auto"/>
        <w:rPr>
          <w:rFonts w:hint="eastAsia" w:ascii="宋体" w:hAnsi="宋体" w:cs="宋体"/>
          <w:b/>
          <w:color w:val="000000"/>
          <w:sz w:val="24"/>
          <w:szCs w:val="24"/>
          <w:highlight w:val="none"/>
        </w:rPr>
      </w:pPr>
    </w:p>
    <w:p w14:paraId="587BAE09">
      <w:pPr>
        <w:shd w:val="clear" w:color="auto" w:fill="auto"/>
        <w:rPr>
          <w:rFonts w:hint="eastAsia" w:ascii="宋体" w:hAnsi="宋体" w:cs="宋体"/>
          <w:b/>
          <w:color w:val="000000"/>
          <w:sz w:val="24"/>
          <w:szCs w:val="24"/>
          <w:highlight w:val="none"/>
        </w:rPr>
      </w:pPr>
    </w:p>
    <w:p w14:paraId="238C9FE1">
      <w:pPr>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注：符合条件的残疾人福利性单位在参加政府采购活动时，应当按《三部门联合发布关于促进残疾人就业政府采购政策的通知》（财库〔2017〕141号）提供规定的《残疾人福利性单位声明函》，并对声明的真实性负责。</w:t>
      </w:r>
    </w:p>
    <w:p w14:paraId="68127A0B">
      <w:pPr>
        <w:shd w:val="clear" w:color="auto" w:fill="auto"/>
        <w:jc w:val="center"/>
        <w:outlineLvl w:val="2"/>
        <w:rPr>
          <w:rFonts w:hint="eastAsia" w:ascii="宋体" w:hAnsi="宋体" w:cs="宋体"/>
          <w:b/>
          <w:color w:val="000000"/>
          <w:sz w:val="28"/>
          <w:szCs w:val="28"/>
          <w:highlight w:val="none"/>
        </w:rPr>
      </w:pPr>
      <w:r>
        <w:rPr>
          <w:rFonts w:hint="eastAsia" w:ascii="宋体" w:hAnsi="宋体" w:cs="宋体"/>
          <w:b/>
          <w:color w:val="000000"/>
          <w:highlight w:val="none"/>
        </w:rPr>
        <w:br w:type="page"/>
      </w:r>
      <w:bookmarkStart w:id="302" w:name="_Toc20010"/>
      <w:bookmarkStart w:id="303" w:name="_Toc4953"/>
      <w:bookmarkStart w:id="304" w:name="_Toc507412336"/>
      <w:bookmarkStart w:id="305" w:name="_Toc507409073"/>
      <w:r>
        <w:rPr>
          <w:rFonts w:hint="eastAsia" w:ascii="宋体" w:hAnsi="宋体" w:cs="宋体"/>
          <w:b/>
          <w:bCs/>
          <w:color w:val="000000"/>
          <w:sz w:val="28"/>
          <w:szCs w:val="28"/>
          <w:highlight w:val="none"/>
        </w:rPr>
        <w:t>十</w:t>
      </w:r>
      <w:r>
        <w:rPr>
          <w:rFonts w:hint="eastAsia" w:ascii="宋体" w:hAnsi="宋体" w:cs="宋体"/>
          <w:b/>
          <w:bCs/>
          <w:color w:val="000000"/>
          <w:sz w:val="28"/>
          <w:szCs w:val="28"/>
          <w:highlight w:val="none"/>
          <w:lang w:val="en-US" w:eastAsia="zh-CN"/>
        </w:rPr>
        <w:t>四</w:t>
      </w:r>
      <w:r>
        <w:rPr>
          <w:rFonts w:hint="eastAsia" w:ascii="宋体" w:hAnsi="宋体" w:cs="宋体"/>
          <w:b/>
          <w:bCs/>
          <w:color w:val="000000"/>
          <w:sz w:val="28"/>
          <w:szCs w:val="28"/>
          <w:highlight w:val="none"/>
        </w:rPr>
        <w:t>、监狱企业证明文件</w:t>
      </w:r>
      <w:bookmarkEnd w:id="302"/>
      <w:bookmarkEnd w:id="303"/>
    </w:p>
    <w:p w14:paraId="7A576796">
      <w:pPr>
        <w:shd w:val="clear" w:color="auto" w:fill="auto"/>
        <w:rPr>
          <w:rFonts w:hint="eastAsia" w:ascii="宋体" w:hAnsi="宋体" w:cs="宋体"/>
          <w:b/>
          <w:color w:val="000000"/>
          <w:sz w:val="28"/>
          <w:szCs w:val="28"/>
          <w:highlight w:val="none"/>
        </w:rPr>
      </w:pPr>
    </w:p>
    <w:p w14:paraId="1C6E964E">
      <w:pPr>
        <w:shd w:val="clear" w:color="auto" w:fill="auto"/>
        <w:tabs>
          <w:tab w:val="left" w:pos="5580"/>
        </w:tabs>
        <w:spacing w:line="240" w:lineRule="atLeast"/>
        <w:jc w:val="center"/>
        <w:rPr>
          <w:rFonts w:hint="eastAsia" w:ascii="宋体" w:hAnsi="宋体" w:cs="宋体"/>
          <w:b/>
          <w:color w:val="000000"/>
          <w:sz w:val="28"/>
          <w:szCs w:val="22"/>
          <w:highlight w:val="none"/>
        </w:rPr>
      </w:pPr>
      <w:bookmarkStart w:id="306" w:name="_Toc14772"/>
      <w:r>
        <w:rPr>
          <w:rFonts w:hint="eastAsia" w:ascii="宋体" w:hAnsi="宋体" w:cs="宋体"/>
          <w:b/>
          <w:color w:val="000000"/>
          <w:sz w:val="28"/>
          <w:szCs w:val="22"/>
          <w:highlight w:val="none"/>
        </w:rPr>
        <w:t>《监狱企业证明文件》（符合《财政部司法部关于政府采购支持监狱企业发展有关问题的通知》（财库[2014]68号）价格扣减条件</w:t>
      </w:r>
    </w:p>
    <w:p w14:paraId="2B56950F">
      <w:pPr>
        <w:shd w:val="clear" w:color="auto" w:fill="auto"/>
        <w:tabs>
          <w:tab w:val="left" w:pos="5580"/>
        </w:tabs>
        <w:spacing w:line="240" w:lineRule="atLeast"/>
        <w:jc w:val="center"/>
        <w:rPr>
          <w:rFonts w:hint="eastAsia" w:ascii="宋体" w:hAnsi="宋体" w:cs="宋体"/>
          <w:b/>
          <w:color w:val="000000"/>
          <w:sz w:val="28"/>
          <w:szCs w:val="22"/>
          <w:highlight w:val="none"/>
        </w:rPr>
      </w:pPr>
      <w:r>
        <w:rPr>
          <w:rFonts w:hint="eastAsia" w:ascii="宋体" w:hAnsi="宋体" w:cs="宋体"/>
          <w:b/>
          <w:color w:val="000000"/>
          <w:sz w:val="28"/>
          <w:szCs w:val="22"/>
          <w:highlight w:val="none"/>
        </w:rPr>
        <w:t>的投标人须提交）</w:t>
      </w:r>
      <w:bookmarkEnd w:id="306"/>
    </w:p>
    <w:p w14:paraId="353EB3B7">
      <w:pPr>
        <w:shd w:val="clear" w:color="auto" w:fill="auto"/>
        <w:tabs>
          <w:tab w:val="left" w:pos="5580"/>
        </w:tabs>
        <w:spacing w:line="240" w:lineRule="atLeast"/>
        <w:jc w:val="center"/>
        <w:rPr>
          <w:rFonts w:hint="eastAsia" w:ascii="宋体" w:hAnsi="宋体" w:cs="宋体"/>
          <w:b/>
          <w:color w:val="000000"/>
          <w:sz w:val="28"/>
          <w:szCs w:val="22"/>
          <w:highlight w:val="none"/>
        </w:rPr>
      </w:pPr>
    </w:p>
    <w:p w14:paraId="0F4A54DF">
      <w:pPr>
        <w:keepNext/>
        <w:keepLines/>
        <w:widowControl w:val="0"/>
        <w:shd w:val="clear" w:color="auto" w:fill="auto"/>
        <w:spacing w:line="360" w:lineRule="auto"/>
        <w:jc w:val="center"/>
        <w:rPr>
          <w:rFonts w:hint="eastAsia" w:ascii="宋体" w:hAnsi="宋体" w:cs="宋体"/>
          <w:b/>
          <w:bCs/>
          <w:color w:val="000000"/>
          <w:kern w:val="2"/>
          <w:sz w:val="32"/>
          <w:szCs w:val="32"/>
          <w:highlight w:val="none"/>
        </w:rPr>
      </w:pPr>
      <w:r>
        <w:rPr>
          <w:rFonts w:hint="eastAsia" w:ascii="宋体" w:hAnsi="宋体" w:cs="宋体"/>
          <w:b/>
          <w:bCs/>
          <w:color w:val="000000"/>
          <w:kern w:val="2"/>
          <w:sz w:val="32"/>
          <w:szCs w:val="32"/>
          <w:highlight w:val="none"/>
        </w:rPr>
        <w:t>监狱企业证明文件</w:t>
      </w:r>
      <w:bookmarkEnd w:id="304"/>
      <w:bookmarkEnd w:id="305"/>
    </w:p>
    <w:p w14:paraId="0A93DB44">
      <w:pPr>
        <w:shd w:val="clear" w:color="auto" w:fill="auto"/>
        <w:spacing w:line="360" w:lineRule="auto"/>
        <w:ind w:firstLine="480" w:firstLineChars="200"/>
        <w:rPr>
          <w:rFonts w:hint="eastAsia" w:ascii="宋体" w:hAnsi="宋体" w:cs="宋体"/>
          <w:color w:val="000000"/>
          <w:sz w:val="24"/>
          <w:szCs w:val="24"/>
          <w:highlight w:val="none"/>
        </w:rPr>
      </w:pPr>
    </w:p>
    <w:p w14:paraId="4230BA8A">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6380CA9">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监狱企业参加政府采购活动时，应当提供由省级以上监狱管理局、戒毒管理局（含新疆生产建设兵团）出具的属于监狱企业的证明文件。</w:t>
      </w:r>
    </w:p>
    <w:p w14:paraId="31CAB3E5">
      <w:pPr>
        <w:shd w:val="clear" w:color="auto" w:fill="auto"/>
        <w:rPr>
          <w:rFonts w:hint="eastAsia" w:ascii="宋体" w:hAnsi="宋体" w:cs="宋体"/>
          <w:b/>
          <w:color w:val="000000"/>
          <w:sz w:val="24"/>
          <w:szCs w:val="24"/>
          <w:highlight w:val="none"/>
        </w:rPr>
      </w:pPr>
    </w:p>
    <w:p w14:paraId="55EA6669">
      <w:pPr>
        <w:pStyle w:val="79"/>
        <w:shd w:val="clear" w:color="auto" w:fill="auto"/>
        <w:rPr>
          <w:rFonts w:hint="eastAsia" w:hAnsi="宋体"/>
          <w:b/>
          <w:color w:val="000000"/>
          <w:highlight w:val="none"/>
        </w:rPr>
      </w:pPr>
    </w:p>
    <w:p w14:paraId="4DD5E9A5">
      <w:pPr>
        <w:pStyle w:val="31"/>
        <w:shd w:val="clear" w:color="auto" w:fill="auto"/>
        <w:spacing w:line="432" w:lineRule="auto"/>
        <w:ind w:firstLine="405"/>
        <w:rPr>
          <w:rFonts w:hint="eastAsia" w:ascii="宋体" w:hAnsi="宋体" w:cs="宋体"/>
          <w:b/>
          <w:bCs/>
          <w:color w:val="000000"/>
          <w:highlight w:val="none"/>
        </w:rPr>
      </w:pPr>
      <w:r>
        <w:rPr>
          <w:rFonts w:hint="eastAsia" w:ascii="宋体" w:hAnsi="宋体" w:cs="宋体"/>
          <w:b/>
          <w:bCs/>
          <w:color w:val="000000"/>
          <w:highlight w:val="none"/>
        </w:rPr>
        <w:t>投标人：</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（电子签章）</w:t>
      </w:r>
    </w:p>
    <w:p w14:paraId="19D03D85">
      <w:pPr>
        <w:pStyle w:val="31"/>
        <w:shd w:val="clear" w:color="auto" w:fill="auto"/>
        <w:spacing w:line="432" w:lineRule="auto"/>
        <w:ind w:firstLine="405"/>
        <w:rPr>
          <w:rFonts w:hint="eastAsia" w:ascii="宋体" w:hAnsi="宋体" w:cs="宋体"/>
          <w:b/>
          <w:bCs/>
          <w:color w:val="000000"/>
          <w:highlight w:val="none"/>
        </w:rPr>
      </w:pPr>
      <w:r>
        <w:rPr>
          <w:rFonts w:hint="eastAsia" w:ascii="宋体" w:hAnsi="宋体" w:cs="宋体"/>
          <w:b/>
          <w:bCs/>
          <w:color w:val="000000"/>
          <w:highlight w:val="none"/>
        </w:rPr>
        <w:t>日  期：</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年</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月</w:t>
      </w:r>
      <w:r>
        <w:rPr>
          <w:rFonts w:hint="eastAsia" w:ascii="宋体" w:hAnsi="宋体" w:cs="宋体"/>
          <w:b/>
          <w:bCs/>
          <w:color w:val="000000"/>
          <w:highlight w:val="none"/>
          <w:u w:val="single"/>
        </w:rPr>
        <w:t xml:space="preserve">   </w:t>
      </w:r>
      <w:r>
        <w:rPr>
          <w:rFonts w:hint="eastAsia" w:ascii="宋体" w:hAnsi="宋体" w:cs="宋体"/>
          <w:b/>
          <w:bCs/>
          <w:color w:val="000000"/>
          <w:highlight w:val="none"/>
        </w:rPr>
        <w:t>日</w:t>
      </w:r>
    </w:p>
    <w:p w14:paraId="3320DDDD">
      <w:pPr>
        <w:pStyle w:val="79"/>
        <w:shd w:val="clear" w:color="auto" w:fill="auto"/>
        <w:rPr>
          <w:rFonts w:hint="eastAsia" w:hAnsi="宋体"/>
          <w:b/>
          <w:bCs/>
          <w:color w:val="000000"/>
          <w:highlight w:val="none"/>
        </w:rPr>
      </w:pPr>
    </w:p>
    <w:p w14:paraId="41318361">
      <w:pPr>
        <w:shd w:val="clear" w:color="auto" w:fill="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注：符合条件的监狱企业在参加政府采购活动时，应当按《财政部司法部关于政府采购支持监狱企业发展有关问题的通知》（财库[2014]68号）提供规定的《监狱企业证明文件》，并对声明的真实性负责。</w:t>
      </w:r>
    </w:p>
    <w:p w14:paraId="3CE96685">
      <w:pPr>
        <w:pStyle w:val="4"/>
        <w:widowControl/>
        <w:shd w:val="clear" w:color="auto" w:fill="auto"/>
        <w:autoSpaceDE w:val="0"/>
        <w:spacing w:before="0" w:after="0" w:line="240" w:lineRule="auto"/>
        <w:ind w:firstLine="562" w:firstLineChars="200"/>
        <w:rPr>
          <w:rFonts w:hint="eastAsia" w:ascii="宋体" w:hAnsi="宋体" w:cs="宋体"/>
          <w:color w:val="000000"/>
          <w:sz w:val="24"/>
          <w:szCs w:val="24"/>
          <w:highlight w:val="none"/>
        </w:rPr>
      </w:pPr>
      <w:r>
        <w:rPr>
          <w:rFonts w:hint="eastAsia" w:ascii="宋体" w:hAnsi="宋体" w:cs="宋体"/>
          <w:color w:val="000000"/>
          <w:szCs w:val="28"/>
          <w:highlight w:val="none"/>
        </w:rPr>
        <w:br w:type="page"/>
      </w:r>
      <w:bookmarkStart w:id="307" w:name="_Toc4116"/>
      <w:r>
        <w:rPr>
          <w:rFonts w:hint="eastAsia" w:ascii="宋体" w:hAnsi="宋体" w:cs="宋体"/>
          <w:color w:val="000000"/>
          <w:szCs w:val="28"/>
          <w:highlight w:val="none"/>
          <w:lang w:val="en-US" w:eastAsia="zh-CN"/>
        </w:rPr>
        <w:t>十五</w:t>
      </w:r>
      <w:r>
        <w:rPr>
          <w:rFonts w:hint="eastAsia" w:ascii="宋体" w:hAnsi="宋体" w:cs="宋体"/>
          <w:color w:val="000000"/>
          <w:szCs w:val="28"/>
          <w:highlight w:val="none"/>
        </w:rPr>
        <w:t>、其他资料</w:t>
      </w:r>
      <w:bookmarkEnd w:id="307"/>
    </w:p>
    <w:p w14:paraId="5CDDD128">
      <w:pPr>
        <w:shd w:val="clear" w:color="auto" w:fill="auto"/>
        <w:spacing w:before="158" w:beforeLines="50" w:line="360" w:lineRule="auto"/>
        <w:ind w:firstLine="720" w:firstLineChars="300"/>
        <w:rPr>
          <w:rFonts w:hint="eastAsia" w:ascii="宋体" w:hAnsi="宋体" w:cs="宋体"/>
          <w:color w:val="000000"/>
          <w:sz w:val="24"/>
          <w:szCs w:val="24"/>
          <w:highlight w:val="none"/>
        </w:rPr>
      </w:pPr>
      <w:r>
        <w:rPr>
          <w:rFonts w:hint="eastAsia" w:ascii="宋体" w:hAnsi="宋体" w:cs="宋体"/>
          <w:color w:val="000000"/>
          <w:sz w:val="24"/>
          <w:szCs w:val="24"/>
          <w:highlight w:val="none"/>
        </w:rPr>
        <w:t>1.招标文件要求提交的其他资料；</w:t>
      </w:r>
    </w:p>
    <w:p w14:paraId="7193D165">
      <w:pPr>
        <w:shd w:val="clear" w:color="auto" w:fill="auto"/>
        <w:spacing w:before="158" w:beforeLines="50" w:line="360" w:lineRule="auto"/>
        <w:ind w:firstLine="720" w:firstLineChars="300"/>
        <w:rPr>
          <w:rFonts w:hint="eastAsia" w:ascii="宋体" w:hAnsi="宋体" w:cs="宋体"/>
          <w:color w:val="000000"/>
          <w:highlight w:val="none"/>
        </w:rPr>
      </w:pPr>
      <w:r>
        <w:rPr>
          <w:rFonts w:hint="eastAsia" w:ascii="宋体" w:hAnsi="宋体" w:cs="宋体"/>
          <w:color w:val="000000"/>
          <w:sz w:val="24"/>
          <w:szCs w:val="24"/>
          <w:highlight w:val="none"/>
        </w:rPr>
        <w:t>2.投标人认为需要提交的其他资料。</w:t>
      </w:r>
    </w:p>
    <w:p w14:paraId="3E82EF51">
      <w:pPr>
        <w:shd w:val="clear" w:color="auto" w:fill="auto"/>
        <w:spacing w:before="158" w:beforeLines="50" w:line="360" w:lineRule="auto"/>
        <w:ind w:firstLine="720" w:firstLineChars="300"/>
        <w:rPr>
          <w:rFonts w:hint="eastAsia" w:ascii="宋体" w:hAnsi="宋体" w:cs="宋体"/>
          <w:color w:val="000000"/>
          <w:sz w:val="24"/>
          <w:szCs w:val="24"/>
          <w:highlight w:val="none"/>
        </w:rPr>
      </w:pPr>
    </w:p>
    <w:p w14:paraId="35638FBC">
      <w:pPr>
        <w:pStyle w:val="2"/>
        <w:shd w:val="clear" w:color="auto" w:fill="auto"/>
        <w:spacing w:before="0" w:after="0" w:line="360" w:lineRule="auto"/>
        <w:jc w:val="center"/>
        <w:rPr>
          <w:rFonts w:hint="eastAsia" w:ascii="宋体" w:hAnsi="宋体" w:eastAsia="宋体"/>
          <w:b/>
          <w:bCs/>
          <w:szCs w:val="21"/>
          <w:lang w:val="en-US" w:eastAsia="zh-CN"/>
        </w:rPr>
      </w:pPr>
      <w:bookmarkStart w:id="308" w:name="_Toc8577"/>
      <w:r>
        <w:rPr>
          <w:rFonts w:hint="eastAsia" w:ascii="宋体" w:hAnsi="宋体" w:cs="宋体"/>
          <w:color w:val="000000"/>
          <w:highlight w:val="none"/>
        </w:rPr>
        <w:br w:type="page"/>
      </w:r>
      <w:bookmarkStart w:id="309" w:name="_Toc3383"/>
      <w:r>
        <w:rPr>
          <w:rFonts w:hint="eastAsia" w:ascii="宋体" w:hAnsi="宋体" w:cs="宋体"/>
          <w:color w:val="000000"/>
          <w:sz w:val="44"/>
          <w:szCs w:val="44"/>
          <w:highlight w:val="none"/>
        </w:rPr>
        <w:t xml:space="preserve">第五章 </w:t>
      </w:r>
      <w:bookmarkEnd w:id="308"/>
      <w:bookmarkEnd w:id="309"/>
      <w:r>
        <w:rPr>
          <w:rFonts w:hint="eastAsia" w:ascii="宋体" w:hAnsi="宋体" w:cs="宋体"/>
          <w:color w:val="000000"/>
          <w:sz w:val="44"/>
          <w:szCs w:val="44"/>
          <w:highlight w:val="none"/>
          <w:lang w:eastAsia="zh-CN"/>
        </w:rPr>
        <w:t>采购</w:t>
      </w:r>
      <w:r>
        <w:rPr>
          <w:rFonts w:hint="eastAsia" w:ascii="宋体" w:hAnsi="宋体" w:cs="宋体"/>
          <w:color w:val="000000"/>
          <w:sz w:val="44"/>
          <w:szCs w:val="44"/>
          <w:highlight w:val="none"/>
          <w:lang w:val="en-US" w:eastAsia="zh-CN"/>
        </w:rPr>
        <w:t>需求</w:t>
      </w:r>
    </w:p>
    <w:p w14:paraId="33426D4C">
      <w:pPr>
        <w:spacing w:line="360" w:lineRule="auto"/>
        <w:ind w:firstLine="482" w:firstLineChars="200"/>
        <w:rPr>
          <w:rFonts w:hint="eastAsia" w:ascii="宋体" w:hAnsi="宋体" w:eastAsia="宋体" w:cs="宋体"/>
          <w:b/>
          <w:bCs/>
          <w:color w:val="000000"/>
          <w:sz w:val="24"/>
          <w:szCs w:val="24"/>
          <w:lang w:val="en-US" w:eastAsia="zh-CN"/>
        </w:rPr>
      </w:pPr>
      <w:bookmarkStart w:id="310" w:name="_Toc32052"/>
      <w:bookmarkStart w:id="311" w:name="_Toc32477"/>
    </w:p>
    <w:p w14:paraId="424DB1F7">
      <w:pPr>
        <w:spacing w:line="360" w:lineRule="auto"/>
        <w:ind w:firstLine="480" w:firstLineChars="200"/>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1.项目</w:t>
      </w:r>
      <w:r>
        <w:rPr>
          <w:rFonts w:hint="eastAsia" w:ascii="宋体" w:hAnsi="宋体" w:eastAsia="宋体" w:cs="宋体"/>
          <w:b w:val="0"/>
          <w:bCs w:val="0"/>
          <w:color w:val="auto"/>
          <w:sz w:val="24"/>
          <w:szCs w:val="24"/>
        </w:rPr>
        <w:t>编号：</w:t>
      </w:r>
      <w:r>
        <w:rPr>
          <w:rFonts w:hint="eastAsia" w:ascii="宋体" w:hAnsi="宋体" w:eastAsia="宋体" w:cs="宋体"/>
          <w:b w:val="0"/>
          <w:bCs w:val="0"/>
          <w:color w:val="auto"/>
          <w:sz w:val="24"/>
          <w:szCs w:val="24"/>
          <w:lang w:eastAsia="zh-CN"/>
        </w:rPr>
        <w:t>TPZB-KMYL-2025-035</w:t>
      </w:r>
    </w:p>
    <w:p w14:paraId="6A8898F0">
      <w:pPr>
        <w:spacing w:line="360" w:lineRule="auto"/>
        <w:ind w:firstLine="480" w:firstLineChars="200"/>
        <w:rPr>
          <w:rFonts w:hint="eastAsia" w:ascii="宋体" w:hAnsi="宋体" w:eastAsia="宋体" w:cs="宋体"/>
          <w:b w:val="0"/>
          <w:bCs w:val="0"/>
          <w:color w:val="auto"/>
          <w:spacing w:val="-2"/>
          <w:sz w:val="24"/>
          <w:szCs w:val="24"/>
        </w:rPr>
      </w:pPr>
      <w:r>
        <w:rPr>
          <w:rFonts w:hint="eastAsia" w:ascii="宋体" w:hAnsi="宋体" w:eastAsia="宋体" w:cs="宋体"/>
          <w:b w:val="0"/>
          <w:bCs w:val="0"/>
          <w:color w:val="auto"/>
          <w:sz w:val="24"/>
          <w:szCs w:val="24"/>
          <w:lang w:val="en-US" w:eastAsia="zh-CN"/>
        </w:rPr>
        <w:t>2.</w:t>
      </w:r>
      <w:r>
        <w:rPr>
          <w:rFonts w:hint="eastAsia" w:ascii="宋体" w:hAnsi="宋体" w:eastAsia="宋体" w:cs="宋体"/>
          <w:b w:val="0"/>
          <w:bCs w:val="0"/>
          <w:color w:val="auto"/>
          <w:sz w:val="24"/>
          <w:szCs w:val="24"/>
        </w:rPr>
        <w:t>项目名称：</w:t>
      </w:r>
      <w:r>
        <w:rPr>
          <w:rFonts w:hint="eastAsia" w:ascii="宋体" w:hAnsi="宋体" w:cs="宋体"/>
          <w:b w:val="0"/>
          <w:bCs w:val="0"/>
          <w:color w:val="auto"/>
          <w:sz w:val="24"/>
          <w:szCs w:val="24"/>
          <w:lang w:eastAsia="zh-CN"/>
        </w:rPr>
        <w:t>宜良县部分耕地园地等种植状况摸排技术服务</w:t>
      </w:r>
    </w:p>
    <w:p w14:paraId="26538C4D">
      <w:pPr>
        <w:spacing w:line="360" w:lineRule="auto"/>
        <w:ind w:firstLine="480" w:firstLineChars="200"/>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3.</w:t>
      </w:r>
      <w:r>
        <w:rPr>
          <w:rFonts w:hint="eastAsia" w:ascii="宋体" w:hAnsi="宋体" w:eastAsia="宋体" w:cs="宋体"/>
          <w:b w:val="0"/>
          <w:bCs w:val="0"/>
          <w:color w:val="auto"/>
          <w:sz w:val="24"/>
          <w:szCs w:val="24"/>
        </w:rPr>
        <w:t>采购方式：</w:t>
      </w:r>
      <w:r>
        <w:rPr>
          <w:rFonts w:hint="eastAsia" w:ascii="宋体" w:hAnsi="宋体" w:eastAsia="宋体" w:cs="宋体"/>
          <w:b w:val="0"/>
          <w:bCs w:val="0"/>
          <w:color w:val="auto"/>
          <w:sz w:val="24"/>
          <w:szCs w:val="24"/>
          <w:lang w:val="en-US" w:eastAsia="zh-CN"/>
        </w:rPr>
        <w:t>公开招标</w:t>
      </w:r>
    </w:p>
    <w:p w14:paraId="2DA5D860">
      <w:pPr>
        <w:pStyle w:val="14"/>
        <w:shd w:val="clear" w:color="auto" w:fill="auto"/>
        <w:ind w:firstLine="480" w:firstLineChars="200"/>
        <w:rPr>
          <w:rFonts w:hint="default"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4.</w:t>
      </w:r>
      <w:r>
        <w:rPr>
          <w:rFonts w:hint="eastAsia" w:ascii="宋体" w:hAnsi="宋体" w:eastAsia="宋体" w:cs="宋体"/>
          <w:b w:val="0"/>
          <w:bCs w:val="0"/>
          <w:color w:val="auto"/>
          <w:sz w:val="24"/>
          <w:szCs w:val="24"/>
        </w:rPr>
        <w:t>预算金额</w:t>
      </w:r>
      <w:r>
        <w:rPr>
          <w:rFonts w:hint="eastAsia" w:ascii="宋体" w:hAnsi="宋体" w:eastAsia="宋体" w:cs="宋体"/>
          <w:b w:val="0"/>
          <w:bCs w:val="0"/>
          <w:color w:val="auto"/>
          <w:sz w:val="24"/>
          <w:szCs w:val="24"/>
          <w:lang w:val="en-US" w:eastAsia="zh-CN"/>
        </w:rPr>
        <w:t>及最高限价</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highlight w:val="none"/>
          <w:lang w:val="en-US" w:eastAsia="zh-CN"/>
        </w:rPr>
        <w:t>300万元，一标段90万元，二标段80万元，三标段70万元，四标段60万元</w:t>
      </w:r>
      <w:r>
        <w:rPr>
          <w:rFonts w:hint="eastAsia" w:ascii="宋体" w:hAnsi="宋体" w:eastAsia="宋体" w:cs="宋体"/>
          <w:b w:val="0"/>
          <w:bCs w:val="0"/>
          <w:color w:val="auto"/>
          <w:sz w:val="24"/>
          <w:szCs w:val="24"/>
          <w:lang w:val="en-US" w:eastAsia="zh-CN"/>
        </w:rPr>
        <w:t>。</w:t>
      </w:r>
    </w:p>
    <w:p w14:paraId="6ACF06FC">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lang w:val="en-US" w:eastAsia="zh-CN"/>
        </w:rPr>
        <w:t>5.</w:t>
      </w:r>
      <w:r>
        <w:rPr>
          <w:rFonts w:hint="eastAsia" w:ascii="宋体" w:hAnsi="宋体" w:eastAsia="宋体" w:cs="宋体"/>
          <w:b w:val="0"/>
          <w:bCs w:val="0"/>
          <w:color w:val="auto"/>
          <w:sz w:val="24"/>
          <w:szCs w:val="24"/>
        </w:rPr>
        <w:t>采购需求：</w:t>
      </w:r>
      <w:r>
        <w:rPr>
          <w:rFonts w:hint="eastAsia" w:ascii="宋体" w:hAnsi="宋体" w:eastAsia="宋体" w:cs="宋体"/>
          <w:b w:val="0"/>
          <w:bCs w:val="0"/>
          <w:color w:val="auto"/>
          <w:sz w:val="24"/>
          <w:szCs w:val="24"/>
          <w:highlight w:val="none"/>
        </w:rPr>
        <w:t>宜良县部分耕地园地</w:t>
      </w:r>
      <w:r>
        <w:rPr>
          <w:rFonts w:hint="eastAsia" w:ascii="宋体" w:hAnsi="宋体" w:eastAsia="宋体" w:cs="宋体"/>
          <w:color w:val="auto"/>
          <w:sz w:val="24"/>
          <w:szCs w:val="24"/>
          <w:highlight w:val="none"/>
        </w:rPr>
        <w:t>设施农用地等种植情况摸排工作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本项目划分为四个标段，具体内容为：</w:t>
      </w:r>
    </w:p>
    <w:p w14:paraId="0C545E01">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一</w:t>
      </w:r>
      <w:r>
        <w:rPr>
          <w:rFonts w:hint="eastAsia" w:ascii="宋体" w:hAnsi="宋体" w:eastAsia="宋体" w:cs="宋体"/>
          <w:color w:val="auto"/>
          <w:sz w:val="24"/>
          <w:szCs w:val="24"/>
          <w:highlight w:val="none"/>
          <w:lang w:val="en-US" w:eastAsia="zh-CN"/>
        </w:rPr>
        <w:t>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负责狗街镇、竹山镇外业举证培训、县级增补图斑提取、部分增补图斑外业举证、县级内业审核、排查成果汇总分析、配合完成置换方案制定工作，图斑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174EE112">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负责匡远街道、南羊街道外业举证培训、县级增补图斑提取、部分增补图斑外业举证、县级内业审核、排查成果汇总分析、配合完成置换方案制定工作，图斑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bookmarkStart w:id="318" w:name="_GoBack"/>
      <w:bookmarkEnd w:id="318"/>
    </w:p>
    <w:p w14:paraId="3FBE8711">
      <w:pPr>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负责北古城镇、马街镇外业举证培训、县级增补图斑提取、部分增补图斑外业举证、县级内业审核、排查成果汇总分析、配合完成置换方案制定工作，图斑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000个</w:t>
      </w:r>
      <w:r>
        <w:rPr>
          <w:rFonts w:hint="eastAsia" w:ascii="宋体" w:hAnsi="宋体" w:cs="宋体"/>
          <w:color w:val="auto"/>
          <w:sz w:val="24"/>
          <w:szCs w:val="24"/>
          <w:highlight w:val="none"/>
          <w:lang w:val="en-US" w:eastAsia="zh-CN"/>
        </w:rPr>
        <w:t>。</w:t>
      </w:r>
    </w:p>
    <w:p w14:paraId="00C8BC11">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四标段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负责耿家营乡、九乡乡外业举证培训、县级增补图斑提取、部分增补图斑外业举证、县级内业审核、排查成果汇总分析、配合完成置换方案制定工作，图斑</w:t>
      </w:r>
      <w:r>
        <w:rPr>
          <w:rFonts w:hint="eastAsia" w:ascii="宋体" w:hAnsi="宋体" w:cs="宋体"/>
          <w:color w:val="auto"/>
          <w:sz w:val="24"/>
          <w:szCs w:val="24"/>
          <w:highlight w:val="none"/>
          <w:lang w:val="en-US" w:eastAsia="zh-CN"/>
        </w:rPr>
        <w:t>量约</w:t>
      </w: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000个。</w:t>
      </w:r>
    </w:p>
    <w:p w14:paraId="1E3AD86E">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rPr>
        <w:t>按照采购人要求的时间节点完成</w:t>
      </w:r>
      <w:r>
        <w:rPr>
          <w:rFonts w:hint="eastAsia" w:ascii="宋体" w:hAnsi="宋体" w:eastAsia="宋体" w:cs="宋体"/>
          <w:color w:val="auto"/>
          <w:sz w:val="24"/>
          <w:szCs w:val="24"/>
          <w:lang w:eastAsia="zh-CN"/>
        </w:rPr>
        <w:t>。</w:t>
      </w:r>
    </w:p>
    <w:p w14:paraId="05EA866D">
      <w:pPr>
        <w:shd w:val="clear" w:color="auto" w:fill="auto"/>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lang w:eastAsia="zh-CN"/>
        </w:rPr>
        <w:t>项目实施地点</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宜良县境内</w:t>
      </w:r>
      <w:r>
        <w:rPr>
          <w:rFonts w:hint="eastAsia" w:ascii="宋体" w:hAnsi="宋体" w:cs="宋体"/>
          <w:color w:val="auto"/>
          <w:sz w:val="24"/>
          <w:szCs w:val="24"/>
          <w:highlight w:val="none"/>
          <w:lang w:eastAsia="zh-CN"/>
        </w:rPr>
        <w:t>。</w:t>
      </w:r>
    </w:p>
    <w:p w14:paraId="16B6E3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8.质量标准：</w:t>
      </w:r>
      <w:r>
        <w:rPr>
          <w:rFonts w:hint="eastAsia" w:ascii="宋体" w:hAnsi="宋体" w:cs="宋体"/>
          <w:color w:val="auto"/>
          <w:sz w:val="24"/>
          <w:szCs w:val="24"/>
          <w:highlight w:val="none"/>
          <w:lang w:val="en-US" w:eastAsia="zh-CN"/>
        </w:rPr>
        <w:t>符合现行国家及行业相关标准和规范要求。</w:t>
      </w:r>
    </w:p>
    <w:p w14:paraId="63FBB84A">
      <w:pPr>
        <w:spacing w:line="360" w:lineRule="auto"/>
        <w:ind w:firstLine="480" w:firstLineChars="200"/>
        <w:rPr>
          <w:rFonts w:hint="eastAsia" w:ascii="宋体" w:hAnsi="宋体" w:eastAsia="宋体" w:cs="宋体"/>
          <w:color w:val="FF0000"/>
          <w:sz w:val="24"/>
          <w:szCs w:val="24"/>
        </w:rPr>
      </w:pPr>
    </w:p>
    <w:p w14:paraId="47D2D38B">
      <w:pPr>
        <w:rPr>
          <w:rFonts w:hint="eastAsia" w:ascii="宋体" w:hAnsi="宋体" w:eastAsia="宋体" w:cs="宋体"/>
          <w:b/>
          <w:bCs/>
          <w:color w:val="000000"/>
          <w:kern w:val="44"/>
          <w:sz w:val="24"/>
          <w:szCs w:val="24"/>
          <w:highlight w:val="none"/>
        </w:rPr>
      </w:pPr>
    </w:p>
    <w:p w14:paraId="2C574092">
      <w:pPr>
        <w:rPr>
          <w:rFonts w:hint="eastAsia" w:ascii="宋体" w:hAnsi="宋体" w:cs="宋体"/>
          <w:b/>
          <w:bCs/>
          <w:color w:val="000000"/>
          <w:kern w:val="44"/>
          <w:sz w:val="44"/>
          <w:szCs w:val="32"/>
          <w:highlight w:val="none"/>
        </w:rPr>
      </w:pPr>
    </w:p>
    <w:p w14:paraId="6110E643">
      <w:pPr>
        <w:shd w:val="clear" w:color="auto" w:fill="auto"/>
        <w:spacing w:line="360" w:lineRule="auto"/>
        <w:jc w:val="both"/>
        <w:outlineLvl w:val="0"/>
        <w:rPr>
          <w:rFonts w:hint="eastAsia" w:ascii="宋体" w:hAnsi="宋体" w:cs="宋体"/>
          <w:b/>
          <w:bCs/>
          <w:color w:val="000000"/>
          <w:kern w:val="44"/>
          <w:sz w:val="44"/>
          <w:szCs w:val="32"/>
          <w:highlight w:val="none"/>
        </w:rPr>
      </w:pPr>
    </w:p>
    <w:p w14:paraId="16CDCD2D">
      <w:pPr>
        <w:shd w:val="clear" w:color="auto" w:fill="auto"/>
        <w:spacing w:line="360" w:lineRule="auto"/>
        <w:jc w:val="center"/>
        <w:outlineLvl w:val="0"/>
        <w:rPr>
          <w:rFonts w:hint="eastAsia" w:ascii="宋体" w:hAnsi="宋体" w:cs="宋体"/>
          <w:color w:val="000000"/>
          <w:highlight w:val="none"/>
        </w:rPr>
      </w:pPr>
      <w:r>
        <w:rPr>
          <w:rFonts w:hint="eastAsia" w:ascii="宋体" w:hAnsi="宋体" w:cs="宋体"/>
          <w:b/>
          <w:bCs/>
          <w:color w:val="000000"/>
          <w:kern w:val="44"/>
          <w:sz w:val="44"/>
          <w:szCs w:val="32"/>
          <w:highlight w:val="none"/>
        </w:rPr>
        <w:t>第六章 资格审查</w:t>
      </w:r>
      <w:bookmarkEnd w:id="310"/>
      <w:bookmarkEnd w:id="311"/>
    </w:p>
    <w:p w14:paraId="256512BF">
      <w:pPr>
        <w:pStyle w:val="31"/>
        <w:shd w:val="clear" w:color="auto" w:fill="auto"/>
        <w:spacing w:before="0" w:beforeAutospacing="0" w:after="0" w:afterAutospacing="0" w:line="360" w:lineRule="auto"/>
        <w:ind w:firstLine="480" w:firstLineChars="200"/>
        <w:jc w:val="both"/>
        <w:rPr>
          <w:rFonts w:hint="eastAsia" w:ascii="宋体" w:hAnsi="宋体" w:cs="宋体"/>
          <w:color w:val="000000"/>
          <w:highlight w:val="none"/>
        </w:rPr>
      </w:pPr>
      <w:r>
        <w:rPr>
          <w:rFonts w:hint="eastAsia" w:ascii="宋体" w:hAnsi="宋体" w:cs="宋体"/>
          <w:color w:val="000000"/>
          <w:highlight w:val="none"/>
        </w:rPr>
        <w:t>公开招标采购项目开标结束后，采购人或采购代理机构依法对投标人的资格进行审查。合格投标人不足3家的，不得评标。</w:t>
      </w:r>
    </w:p>
    <w:p w14:paraId="70C78CE8">
      <w:pPr>
        <w:shd w:val="clear" w:color="auto" w:fill="auto"/>
        <w:spacing w:line="360" w:lineRule="auto"/>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资格审查：</w:t>
      </w:r>
    </w:p>
    <w:p w14:paraId="534BA303">
      <w:pPr>
        <w:pStyle w:val="15"/>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采购人依据法律法规和招标文件的规定，对投标文件中“证明投标人的资格文件”进行审查，以确定投标人是否具备投标资格。只有通过资格审查的投标文件才能进入评标。</w:t>
      </w:r>
    </w:p>
    <w:p w14:paraId="1272CAE8">
      <w:pPr>
        <w:shd w:val="clear" w:color="auto" w:fill="auto"/>
        <w:wordWrap w:val="0"/>
        <w:spacing w:line="360" w:lineRule="auto"/>
        <w:ind w:firstLine="480" w:firstLineChars="200"/>
        <w:rPr>
          <w:rFonts w:hint="eastAsia" w:ascii="宋体" w:hAnsi="宋体" w:cs="宋体"/>
          <w:color w:val="000000"/>
          <w:sz w:val="24"/>
          <w:szCs w:val="24"/>
          <w:highlight w:val="none"/>
        </w:rPr>
      </w:pPr>
      <w:bookmarkStart w:id="312" w:name="_Toc5266"/>
      <w:r>
        <w:rPr>
          <w:rFonts w:hint="eastAsia" w:ascii="宋体" w:hAnsi="宋体" w:cs="宋体"/>
          <w:color w:val="000000"/>
          <w:sz w:val="24"/>
          <w:szCs w:val="24"/>
          <w:highlight w:val="none"/>
        </w:rPr>
        <w:t>1满足《中华人民共和国政府采购法》第二十二条规定；</w:t>
      </w:r>
    </w:p>
    <w:p w14:paraId="5E0538A4">
      <w:pPr>
        <w:shd w:val="clear" w:color="auto" w:fill="auto"/>
        <w:wordWrap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1.1</w:t>
      </w:r>
      <w:r>
        <w:rPr>
          <w:rFonts w:hint="eastAsia" w:ascii="宋体" w:hAnsi="宋体" w:cs="宋体"/>
          <w:color w:val="000000"/>
          <w:sz w:val="24"/>
          <w:szCs w:val="24"/>
          <w:highlight w:val="none"/>
          <w:lang w:eastAsia="zh-CN"/>
        </w:rPr>
        <w:t>具有独立承担民事责任的能力：投标供应商须提供法人或者其他组织的营业执照等证明文件，自然人提供身份证明</w:t>
      </w:r>
      <w:r>
        <w:rPr>
          <w:rFonts w:hint="eastAsia" w:ascii="宋体" w:hAnsi="宋体" w:cs="宋体"/>
          <w:color w:val="000000"/>
          <w:sz w:val="24"/>
          <w:szCs w:val="24"/>
          <w:highlight w:val="none"/>
        </w:rPr>
        <w:t>。</w:t>
      </w:r>
    </w:p>
    <w:p w14:paraId="0D50701A">
      <w:pPr>
        <w:shd w:val="clear" w:color="auto" w:fill="auto"/>
        <w:wordWrap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1.2具有良好的商业信誉和健全的财务会计制度：</w:t>
      </w:r>
      <w:r>
        <w:rPr>
          <w:rFonts w:hint="eastAsia" w:ascii="宋体" w:hAnsi="宋体" w:cs="宋体"/>
          <w:color w:val="000000"/>
          <w:sz w:val="24"/>
          <w:szCs w:val="24"/>
          <w:highlight w:val="none"/>
          <w:lang w:eastAsia="zh-CN"/>
        </w:rPr>
        <w:t>根据投标人性质提供下列任意材料</w:t>
      </w:r>
      <w:r>
        <w:rPr>
          <w:rFonts w:hint="eastAsia" w:ascii="宋体" w:hAnsi="宋体" w:cs="宋体"/>
          <w:color w:val="000000"/>
          <w:sz w:val="24"/>
          <w:szCs w:val="24"/>
          <w:highlight w:val="none"/>
        </w:rPr>
        <w:t>：①</w:t>
      </w:r>
      <w:r>
        <w:rPr>
          <w:rFonts w:hint="eastAsia" w:ascii="宋体" w:hAnsi="宋体" w:cs="宋体"/>
          <w:color w:val="000000"/>
          <w:sz w:val="24"/>
          <w:szCs w:val="24"/>
          <w:highlight w:val="none"/>
          <w:lang w:eastAsia="zh-CN"/>
        </w:rPr>
        <w:t>提供2022年至今任意一年经第三方审计</w:t>
      </w:r>
      <w:r>
        <w:rPr>
          <w:rFonts w:hint="eastAsia" w:ascii="宋体" w:hAnsi="宋体" w:cs="宋体"/>
          <w:color w:val="000000"/>
          <w:sz w:val="24"/>
          <w:szCs w:val="24"/>
          <w:highlight w:val="none"/>
        </w:rPr>
        <w:t>的审计报告及财务报表(包括资产负债表、利润表、现金流量表），成立不满1年的，提供自成立至今财务报表(包括资产负债表、利润表、现金流量表）。②也可提供距文件递交截止日一年内</w:t>
      </w:r>
      <w:r>
        <w:rPr>
          <w:rFonts w:hint="eastAsia" w:ascii="宋体" w:hAnsi="宋体" w:cs="宋体"/>
          <w:color w:val="000000"/>
          <w:sz w:val="24"/>
          <w:szCs w:val="24"/>
          <w:highlight w:val="none"/>
          <w:lang w:eastAsia="zh-CN"/>
        </w:rPr>
        <w:t>银行开户行出具的资信证明</w:t>
      </w:r>
      <w:r>
        <w:rPr>
          <w:rFonts w:hint="eastAsia" w:ascii="宋体" w:hAnsi="宋体" w:cs="宋体"/>
          <w:color w:val="000000"/>
          <w:sz w:val="24"/>
          <w:szCs w:val="24"/>
          <w:highlight w:val="none"/>
        </w:rPr>
        <w:t>；③非营利性单位或者社会团体或者其他机关事业单位也可提供以符合财务会计制度为准或者提供承诺函；④投标人为自然人的也可提供承诺函（格式自拟）。</w:t>
      </w:r>
    </w:p>
    <w:p w14:paraId="7DCA337F">
      <w:pPr>
        <w:shd w:val="clear" w:color="auto" w:fill="auto"/>
        <w:wordWrap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1.3具有履行合同所必须的设备和专业技术能力，提供相关证明材料</w:t>
      </w:r>
      <w:r>
        <w:rPr>
          <w:rFonts w:hint="eastAsia" w:ascii="宋体" w:hAnsi="宋体" w:cs="宋体"/>
          <w:color w:val="000000"/>
          <w:sz w:val="24"/>
          <w:szCs w:val="24"/>
          <w:highlight w:val="none"/>
          <w:lang w:val="en-US" w:eastAsia="zh-CN"/>
        </w:rPr>
        <w:t>或声明函</w:t>
      </w:r>
      <w:r>
        <w:rPr>
          <w:rFonts w:hint="eastAsia" w:ascii="宋体" w:hAnsi="宋体" w:cs="宋体"/>
          <w:color w:val="000000"/>
          <w:sz w:val="24"/>
          <w:szCs w:val="24"/>
          <w:highlight w:val="none"/>
        </w:rPr>
        <w:t>。</w:t>
      </w:r>
    </w:p>
    <w:p w14:paraId="2349059B">
      <w:pPr>
        <w:shd w:val="clear" w:color="auto" w:fill="auto"/>
        <w:wordWrap w:val="0"/>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1.4具有依法缴纳税收和社会保障资金的良好记录，提供2024年01月至今任意1个月的税务局税收通用缴款书复印件或银行电子缴税（费）凭证或税务局出具纳税情况的相关证明，依法免税的，应提供依法免税的相关证明文件（新成立未产生税务缴纳的单位提供情况说明）；提供2024年01月至今任意1个月的社会保险费缴款书或银行电子缴税（费）凭证或相关部门出具的有效的缴款证明，依法免缴的，应提供依法免缴的相关证明文件；属于个体工商户或自然人的只需提供个体工商户经营者或自然人本人的社会保障金缴纳记录证明材料。无需缴纳社会保障资金的需提供相应证明文件（新成立尚未缴纳社保的单位提供情况说明）。</w:t>
      </w:r>
    </w:p>
    <w:p w14:paraId="3560AE94">
      <w:pPr>
        <w:shd w:val="clear" w:color="auto" w:fill="auto"/>
        <w:wordWrap w:val="0"/>
        <w:spacing w:line="360" w:lineRule="auto"/>
        <w:ind w:firstLine="480" w:firstLineChars="200"/>
        <w:rPr>
          <w:rFonts w:hint="eastAsia" w:ascii="宋体" w:hAnsi="宋体" w:cs="宋体"/>
          <w:color w:val="000000"/>
          <w:sz w:val="24"/>
          <w:szCs w:val="24"/>
          <w:highlight w:val="none"/>
        </w:rPr>
      </w:pPr>
    </w:p>
    <w:p w14:paraId="60E83420">
      <w:pPr>
        <w:shd w:val="clear" w:color="auto" w:fill="auto"/>
        <w:wordWrap w:val="0"/>
        <w:spacing w:line="360" w:lineRule="auto"/>
        <w:ind w:firstLine="480" w:firstLineChars="20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1.5</w:t>
      </w:r>
      <w:r>
        <w:rPr>
          <w:rFonts w:hint="eastAsia" w:ascii="宋体" w:hAnsi="宋体" w:cs="宋体"/>
          <w:color w:val="000000"/>
          <w:sz w:val="24"/>
          <w:szCs w:val="24"/>
          <w:highlight w:val="none"/>
        </w:rPr>
        <w:t>参加政府采购活动前三年内，在经营活动中没有重大违法记录。提供书面声明参加</w:t>
      </w:r>
      <w:r>
        <w:rPr>
          <w:rFonts w:hint="eastAsia" w:ascii="宋体" w:hAnsi="宋体" w:cs="宋体"/>
          <w:color w:val="000000"/>
          <w:sz w:val="24"/>
          <w:szCs w:val="24"/>
          <w:highlight w:val="none"/>
          <w:lang w:eastAsia="zh-CN"/>
        </w:rPr>
        <w:t>采购</w:t>
      </w:r>
      <w:r>
        <w:rPr>
          <w:rFonts w:hint="eastAsia" w:ascii="宋体" w:hAnsi="宋体" w:cs="宋体"/>
          <w:color w:val="000000"/>
          <w:sz w:val="24"/>
          <w:szCs w:val="24"/>
          <w:highlight w:val="none"/>
        </w:rPr>
        <w:t>活动前三年内无因违法经营受到刑事处罚或者责令停产停业吊销许可证或者执照，较大数额罚款等行政处罚等违法记录</w:t>
      </w:r>
      <w:r>
        <w:rPr>
          <w:rFonts w:hint="eastAsia" w:ascii="宋体" w:hAnsi="宋体" w:cs="宋体"/>
          <w:color w:val="000000"/>
          <w:sz w:val="24"/>
          <w:szCs w:val="24"/>
          <w:highlight w:val="none"/>
          <w:lang w:eastAsia="zh-CN"/>
        </w:rPr>
        <w:t>；</w:t>
      </w:r>
    </w:p>
    <w:p w14:paraId="739F46AC">
      <w:pPr>
        <w:shd w:val="clear" w:color="auto" w:fill="auto"/>
        <w:wordWrap w:val="0"/>
        <w:spacing w:line="360" w:lineRule="auto"/>
        <w:ind w:firstLine="480" w:firstLineChars="200"/>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1.6法律、行政法规规定的其他条件。供应商在“中国执行信息公开网”网站未被列为失信被执行人名单，在“信用中国”网站未被列为政府采购严重违法失信行为记录名单、重大税收违法失信主体，在“中国政府采购网”未被列入政府采购严重违法失信行为记录(以开标当天由代理机构查询结果为准。</w:t>
      </w:r>
    </w:p>
    <w:p w14:paraId="5B1D95C6">
      <w:pPr>
        <w:shd w:val="clear" w:color="auto" w:fill="auto"/>
        <w:wordWrap w:val="0"/>
        <w:spacing w:line="360" w:lineRule="auto"/>
        <w:ind w:firstLine="480" w:firstLineChars="20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落实政府采购政策需满足的资格要求：本项目为非专门面向中小企业采购</w:t>
      </w:r>
      <w:r>
        <w:rPr>
          <w:rFonts w:hint="eastAsia" w:ascii="宋体" w:hAnsi="宋体" w:cs="宋体"/>
          <w:color w:val="000000"/>
          <w:sz w:val="24"/>
          <w:szCs w:val="24"/>
          <w:highlight w:val="none"/>
          <w:lang w:eastAsia="zh-CN"/>
        </w:rPr>
        <w:t>，但本项目针对小型和微型企业产品或残疾人福利性单位的价格给予10%的扣除，用扣除后的价格参与评审</w:t>
      </w:r>
      <w:r>
        <w:rPr>
          <w:rFonts w:hint="eastAsia" w:ascii="宋体" w:hAnsi="宋体" w:cs="宋体"/>
          <w:sz w:val="24"/>
        </w:rPr>
        <w:t>。</w:t>
      </w:r>
    </w:p>
    <w:p w14:paraId="62C9821C">
      <w:pPr>
        <w:widowControl/>
        <w:spacing w:line="360" w:lineRule="auto"/>
        <w:ind w:firstLine="480" w:firstLineChars="200"/>
        <w:rPr>
          <w:rFonts w:hint="eastAsia" w:eastAsia="宋体"/>
          <w:lang w:val="en-US" w:eastAsia="zh-CN"/>
        </w:rPr>
      </w:pP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本项目的特定资格要求：</w:t>
      </w:r>
      <w:r>
        <w:rPr>
          <w:rFonts w:hint="eastAsia" w:ascii="宋体" w:hAnsi="宋体" w:cs="宋体"/>
          <w:color w:val="000000"/>
          <w:sz w:val="24"/>
          <w:szCs w:val="24"/>
          <w:highlight w:val="none"/>
          <w:lang w:eastAsia="zh-CN"/>
        </w:rPr>
        <w:t>（</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lang w:eastAsia="zh-CN"/>
        </w:rPr>
        <w:t>）具备国家测绘主管部门颁发的乙级（含乙级）及以上测绘资质，并在有效期内</w:t>
      </w:r>
      <w:r>
        <w:rPr>
          <w:rFonts w:hint="eastAsia" w:ascii="宋体" w:hAnsi="宋体" w:cs="宋体"/>
          <w:color w:val="000000"/>
          <w:sz w:val="24"/>
          <w:szCs w:val="24"/>
          <w:highlight w:val="none"/>
        </w:rPr>
        <w:t>。</w:t>
      </w:r>
      <w:r>
        <w:rPr>
          <w:rFonts w:hint="eastAsia" w:ascii="宋体" w:hAnsi="宋体"/>
          <w:sz w:val="24"/>
          <w:szCs w:val="24"/>
          <w:highlight w:val="none"/>
        </w:rPr>
        <w:t>（</w:t>
      </w:r>
      <w:r>
        <w:rPr>
          <w:rFonts w:hint="eastAsia" w:ascii="宋体" w:hAnsi="宋体"/>
          <w:sz w:val="24"/>
          <w:szCs w:val="24"/>
          <w:highlight w:val="none"/>
          <w:lang w:val="en-US" w:eastAsia="zh-CN"/>
        </w:rPr>
        <w:t>2</w:t>
      </w:r>
      <w:r>
        <w:rPr>
          <w:rFonts w:hint="eastAsia" w:ascii="宋体" w:hAnsi="宋体"/>
          <w:sz w:val="24"/>
          <w:szCs w:val="24"/>
          <w:highlight w:val="none"/>
        </w:rPr>
        <w:t>）项目负责人：</w:t>
      </w:r>
      <w:r>
        <w:rPr>
          <w:rFonts w:hint="eastAsia" w:ascii="宋体" w:hAnsi="宋体"/>
          <w:sz w:val="24"/>
          <w:szCs w:val="24"/>
          <w:highlight w:val="none"/>
          <w:lang w:eastAsia="zh-CN"/>
        </w:rPr>
        <w:t>项目负责人应具备测绘和地理信息相关专业中级及以上职称。拟派项目负责人不得更换（提供不更换承诺）</w:t>
      </w:r>
      <w:r>
        <w:rPr>
          <w:rFonts w:hint="eastAsia" w:ascii="宋体" w:hAnsi="宋体"/>
          <w:sz w:val="24"/>
          <w:szCs w:val="24"/>
          <w:highlight w:val="none"/>
        </w:rPr>
        <w:t>。</w:t>
      </w:r>
    </w:p>
    <w:p w14:paraId="16C2F9BC">
      <w:pPr>
        <w:numPr>
          <w:ilvl w:val="0"/>
          <w:numId w:val="0"/>
        </w:numPr>
        <w:shd w:val="clear" w:color="auto" w:fill="auto"/>
        <w:tabs>
          <w:tab w:val="left" w:pos="433"/>
        </w:tabs>
        <w:wordWrap w:val="0"/>
        <w:spacing w:line="360" w:lineRule="auto"/>
        <w:ind w:firstLine="480" w:firstLineChars="200"/>
        <w:rPr>
          <w:rFonts w:hint="eastAsia" w:ascii="宋体" w:hAnsi="宋体" w:eastAsia="宋体" w:cs="宋体"/>
          <w:sz w:val="24"/>
          <w:szCs w:val="24"/>
          <w:highlight w:val="none"/>
        </w:rPr>
      </w:pPr>
    </w:p>
    <w:p w14:paraId="73BE6BCE">
      <w:pPr>
        <w:shd w:val="clear" w:color="auto" w:fill="auto"/>
        <w:wordWrap w:val="0"/>
        <w:spacing w:line="360" w:lineRule="auto"/>
        <w:ind w:firstLine="480" w:firstLineChars="200"/>
        <w:rPr>
          <w:rFonts w:ascii="宋体" w:hAnsi="宋体" w:cs="宋体"/>
          <w:color w:val="000000"/>
          <w:sz w:val="24"/>
          <w:szCs w:val="24"/>
          <w:highlight w:val="none"/>
        </w:rPr>
      </w:pPr>
    </w:p>
    <w:p w14:paraId="5CD8DA11">
      <w:pPr>
        <w:shd w:val="clear" w:color="auto" w:fill="auto"/>
        <w:wordWrap w:val="0"/>
        <w:spacing w:line="360" w:lineRule="auto"/>
        <w:ind w:firstLine="480" w:firstLineChars="200"/>
        <w:rPr>
          <w:rFonts w:ascii="宋体" w:hAnsi="宋体" w:cs="宋体"/>
          <w:color w:val="000000"/>
          <w:sz w:val="24"/>
          <w:szCs w:val="24"/>
          <w:highlight w:val="none"/>
        </w:rPr>
      </w:pPr>
    </w:p>
    <w:p w14:paraId="5E6908DB">
      <w:pPr>
        <w:shd w:val="clear" w:color="auto" w:fill="auto"/>
        <w:wordWrap w:val="0"/>
        <w:spacing w:line="360" w:lineRule="auto"/>
        <w:ind w:firstLine="480" w:firstLineChars="200"/>
        <w:rPr>
          <w:rFonts w:ascii="宋体" w:hAnsi="宋体" w:cs="宋体"/>
          <w:color w:val="000000"/>
          <w:sz w:val="24"/>
          <w:szCs w:val="24"/>
          <w:highlight w:val="none"/>
        </w:rPr>
      </w:pPr>
    </w:p>
    <w:p w14:paraId="72820613">
      <w:pPr>
        <w:shd w:val="clear" w:color="auto" w:fill="auto"/>
        <w:wordWrap w:val="0"/>
        <w:spacing w:line="360" w:lineRule="auto"/>
        <w:ind w:firstLine="480" w:firstLineChars="200"/>
        <w:rPr>
          <w:rFonts w:hint="eastAsia" w:ascii="宋体" w:hAnsi="宋体" w:cs="宋体"/>
          <w:color w:val="000000"/>
          <w:sz w:val="24"/>
          <w:szCs w:val="24"/>
          <w:highlight w:val="none"/>
        </w:rPr>
      </w:pPr>
    </w:p>
    <w:p w14:paraId="3D981924">
      <w:pPr>
        <w:pStyle w:val="2"/>
        <w:shd w:val="clear" w:color="auto" w:fill="auto"/>
        <w:spacing w:before="0" w:after="0" w:line="360" w:lineRule="auto"/>
        <w:jc w:val="center"/>
        <w:rPr>
          <w:rFonts w:hint="eastAsia" w:ascii="宋体" w:hAnsi="宋体" w:cs="宋体"/>
          <w:color w:val="000000"/>
          <w:highlight w:val="none"/>
        </w:rPr>
      </w:pPr>
      <w:r>
        <w:rPr>
          <w:rFonts w:hint="eastAsia" w:ascii="宋体" w:hAnsi="宋体" w:cs="宋体"/>
          <w:color w:val="000000"/>
          <w:highlight w:val="none"/>
        </w:rPr>
        <w:br w:type="page"/>
      </w:r>
      <w:bookmarkStart w:id="313" w:name="_Toc6576"/>
      <w:r>
        <w:rPr>
          <w:rFonts w:hint="eastAsia" w:ascii="宋体" w:hAnsi="宋体" w:cs="宋体"/>
          <w:color w:val="000000"/>
          <w:highlight w:val="none"/>
        </w:rPr>
        <w:t>第七章 评标办法（综合评分法</w:t>
      </w:r>
      <w:bookmarkEnd w:id="312"/>
      <w:r>
        <w:rPr>
          <w:rFonts w:hint="eastAsia" w:ascii="宋体" w:hAnsi="宋体" w:cs="宋体"/>
          <w:color w:val="000000"/>
          <w:highlight w:val="none"/>
        </w:rPr>
        <w:t>）</w:t>
      </w:r>
      <w:bookmarkEnd w:id="313"/>
    </w:p>
    <w:p w14:paraId="64835CB8">
      <w:pPr>
        <w:shd w:val="clear" w:color="auto" w:fill="auto"/>
        <w:spacing w:line="500" w:lineRule="exact"/>
        <w:ind w:firstLine="482" w:firstLineChars="200"/>
        <w:jc w:val="both"/>
        <w:rPr>
          <w:rFonts w:ascii="宋体" w:hAnsi="宋体" w:cs="宋体"/>
          <w:b/>
          <w:bCs/>
          <w:color w:val="000000"/>
          <w:sz w:val="24"/>
          <w:szCs w:val="24"/>
          <w:highlight w:val="none"/>
        </w:rPr>
      </w:pPr>
      <w:r>
        <w:rPr>
          <w:rFonts w:hint="eastAsia" w:ascii="宋体" w:hAnsi="宋体" w:cs="宋体"/>
          <w:b/>
          <w:bCs/>
          <w:color w:val="000000"/>
          <w:sz w:val="24"/>
          <w:szCs w:val="24"/>
          <w:highlight w:val="none"/>
        </w:rPr>
        <w:t>一、评标委员会的组成</w:t>
      </w:r>
    </w:p>
    <w:p w14:paraId="5871A61B">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评标委员会的组成见投标人须知前附表7.1.1。</w:t>
      </w:r>
    </w:p>
    <w:p w14:paraId="4AE9B63D">
      <w:pPr>
        <w:shd w:val="clear" w:color="auto" w:fill="auto"/>
        <w:spacing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二、采购人或者采购代理机构职责</w:t>
      </w:r>
    </w:p>
    <w:p w14:paraId="28999463">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采购人或者采购代理机构负责组织评标工作，并履行下列职责：</w:t>
      </w:r>
    </w:p>
    <w:p w14:paraId="215448AC">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（一）核对评审专家身份和采购人代表授权函，对评审专家在政府采购活动中的职责履行情况予以记录，并及时将有关违法违规行为向财政部门报告。</w:t>
      </w:r>
    </w:p>
    <w:p w14:paraId="24689A46">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（二）宣布评标纪律。</w:t>
      </w:r>
    </w:p>
    <w:p w14:paraId="42F9836C">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（三）公布投标人名单，告知评审专家应当回避的情形。</w:t>
      </w:r>
    </w:p>
    <w:p w14:paraId="52DD16E9">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（四）组织评标委员会推选评标组长，采购人代表不得担任组长。</w:t>
      </w:r>
    </w:p>
    <w:p w14:paraId="02904BA8">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（五）在评标期间采取必要的通讯管理措施，保证评标活动不受外界干扰。</w:t>
      </w:r>
    </w:p>
    <w:p w14:paraId="35973FC7">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（六）根据评标委员会的要求介绍政府采购相关政策法规、招标文件。</w:t>
      </w:r>
    </w:p>
    <w:p w14:paraId="50C83F27">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（七）维护评标秩序，监督评标委员会依照招标文件规定的评标程序、方法和标准进行独立评审，及时制止和纠正采购人代表、评审专家的倾向性言论或者违法违规行为。</w:t>
      </w:r>
    </w:p>
    <w:p w14:paraId="349E0D98">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（八）核对评标结果，有《政府采购货物和服务招标投标管理办法》（财政部第87号令）第六十四条规定情形的，要求评标委员会复核或者书面说明理由，评标委员会拒绝的，应予记录并向本级财政部门报告。</w:t>
      </w:r>
    </w:p>
    <w:p w14:paraId="08BA6B8B">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（九）评审工作完成后，按照规定向评审专家支付劳务报酬和异地评审差旅费，不得向评审专家以外的其他人员支付评审劳务报酬。</w:t>
      </w:r>
    </w:p>
    <w:p w14:paraId="0FC0F6C8">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（十）处理与评标有关的其他事项。</w:t>
      </w:r>
    </w:p>
    <w:p w14:paraId="3D9BC749">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采购人可以在评标前说明项目背景和采购需求，说明内容不得含有歧视性、倾向性意见，不得超出招标文件所述范围。说明应当提交书面材料，并随招标文件一并存档。</w:t>
      </w:r>
    </w:p>
    <w:p w14:paraId="3C9E7371">
      <w:pPr>
        <w:shd w:val="clear" w:color="auto" w:fill="auto"/>
        <w:spacing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三、评标委员会职责</w:t>
      </w:r>
    </w:p>
    <w:p w14:paraId="5FDF53CD">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评标委员会负责具体评标事务，并独立履行下列职责：</w:t>
      </w:r>
    </w:p>
    <w:p w14:paraId="677399F1">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（一）审查、评价投标文件是否符合招标文件的商务、技术等实质性要求。</w:t>
      </w:r>
    </w:p>
    <w:p w14:paraId="31C81CFC">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（二）要求投标人对投标文件有关事项作出澄清或者说明。</w:t>
      </w:r>
    </w:p>
    <w:p w14:paraId="159E212C">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（三）对投标文件进行比较和评价。</w:t>
      </w:r>
    </w:p>
    <w:p w14:paraId="126141B7">
      <w:pPr>
        <w:pStyle w:val="15"/>
        <w:shd w:val="clear" w:color="auto" w:fill="auto"/>
        <w:spacing w:line="500" w:lineRule="exact"/>
        <w:ind w:firstLine="480" w:firstLineChars="200"/>
        <w:rPr>
          <w:rFonts w:hint="eastAsia" w:ascii="宋体" w:hAnsi="宋体" w:cs="宋体"/>
          <w:color w:val="000000"/>
          <w:sz w:val="24"/>
          <w:szCs w:val="24"/>
          <w:highlight w:val="none"/>
        </w:rPr>
        <w:sectPr>
          <w:footerReference r:id="rId12" w:type="first"/>
          <w:headerReference r:id="rId10" w:type="default"/>
          <w:footerReference r:id="rId11" w:type="default"/>
          <w:pgSz w:w="11906" w:h="16838"/>
          <w:pgMar w:top="1497" w:right="1593" w:bottom="1497" w:left="1593" w:header="720" w:footer="720" w:gutter="0"/>
          <w:pgBorders w:offsetFrom="page">
            <w:top w:val="none" w:sz="0" w:space="0"/>
            <w:left w:val="none" w:sz="0" w:space="0"/>
            <w:bottom w:val="none" w:sz="0" w:space="0"/>
            <w:right w:val="none" w:sz="0" w:space="0"/>
          </w:pgBorders>
          <w:pgNumType w:fmt="numberInDash"/>
          <w:cols w:space="708" w:num="1"/>
          <w:docGrid w:type="lines" w:linePitch="317" w:charSpace="0"/>
        </w:sectPr>
      </w:pPr>
    </w:p>
    <w:p w14:paraId="1966CC3B">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（四）确定中标候选人名单，以及根据采购人委托直接确定中标人。</w:t>
      </w:r>
    </w:p>
    <w:p w14:paraId="6E018AF6">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（五）向采购人、采购代理机构或者有关部门报告评标中发现的违法行为。</w:t>
      </w:r>
    </w:p>
    <w:p w14:paraId="79D48BF8">
      <w:pPr>
        <w:pStyle w:val="15"/>
        <w:shd w:val="clear" w:color="auto" w:fill="auto"/>
        <w:spacing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四、评标纪律</w:t>
      </w:r>
    </w:p>
    <w:p w14:paraId="07A671BB">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（一）对评标内容和评标过程要严格保密，不得向投标人或与该过程无关的其它人员泄露。</w:t>
      </w:r>
    </w:p>
    <w:p w14:paraId="038845A0">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（二）评标期间的一切资料，包括评标意见、评标记录和评标结论，一律不得向外传和泄露。</w:t>
      </w:r>
    </w:p>
    <w:p w14:paraId="24DB3AED">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（三）任何属于投标文件审查、澄清、评价和比较的资料，不得向投标人或与该过程无关的其它人员泄露。</w:t>
      </w:r>
    </w:p>
    <w:p w14:paraId="0CC33F0F">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（四）所有资料（包括招标文件、投标文件、评标表格及各种文字记录）在评标结束后均应分别整理、存档备查，任何人不得复制和保留。</w:t>
      </w:r>
    </w:p>
    <w:p w14:paraId="5CF5ACF6">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（五）评标期间，未经允许评标委员会以外的任何单位或部门不得参加评标和采访评标工作。</w:t>
      </w:r>
    </w:p>
    <w:p w14:paraId="5902C940">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（六）评标期间，评标人员不得外出，确需外出时应事先请假。</w:t>
      </w:r>
    </w:p>
    <w:p w14:paraId="21251953">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（七）评标期间，所有与会人员均不得私自以任何方式和投标人进行联系，需询问、澄清的问题由评委会统一组织办理。</w:t>
      </w:r>
    </w:p>
    <w:p w14:paraId="7505D17D">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（八）评标结束后，与会人员不得向外界透露评标人员的评标意见，如因此造成的后果由责任者承担。</w:t>
      </w:r>
    </w:p>
    <w:p w14:paraId="499F956D">
      <w:pPr>
        <w:shd w:val="clear" w:color="auto" w:fill="auto"/>
        <w:spacing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五、评标原则</w:t>
      </w:r>
    </w:p>
    <w:p w14:paraId="429C9A8B">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评标将遵循下列原则：</w:t>
      </w:r>
    </w:p>
    <w:p w14:paraId="6A47361A">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（一）坚持公平、公正、科学、择优的原则，本着实事求是的精神，不带有任何主观意愿和偏见，认真负责地做好评标工作，公平、公正地对待每一个投标人。</w:t>
      </w:r>
    </w:p>
    <w:p w14:paraId="373F42FD">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（二）全面分析，综合评审。</w:t>
      </w:r>
    </w:p>
    <w:p w14:paraId="37E0E9E6">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（三）评标只对投标人的投标文件进行评审，投标文件以外的资料、信息不应作为评标的依据。</w:t>
      </w:r>
    </w:p>
    <w:p w14:paraId="78D1F5B4">
      <w:pPr>
        <w:shd w:val="clear" w:color="auto" w:fill="auto"/>
        <w:spacing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六、评标程序</w:t>
      </w:r>
    </w:p>
    <w:p w14:paraId="429A984F">
      <w:pPr>
        <w:pStyle w:val="15"/>
        <w:shd w:val="clear" w:color="auto" w:fill="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本次招标所采用的评标方法为《政府采购货物和服务招标投标管理办法》（财政部令第87号）第五十五条规定的“综合评分法”，即：投标文件满足招标文件全部实质性要求，且按照评审因素的量化指标评审得分最高的投标人为中标候选人的评标方法。</w:t>
      </w:r>
    </w:p>
    <w:p w14:paraId="48B2DCAC">
      <w:pPr>
        <w:pStyle w:val="15"/>
        <w:shd w:val="clear" w:color="auto" w:fill="auto"/>
        <w:spacing w:line="50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评标只对通过资格审查的投标文件进行评审。评标按：符合性审查→商务和技术评估、综合比较与评价→得分汇总→评标报告编写的程序进行。</w:t>
      </w:r>
    </w:p>
    <w:p w14:paraId="0D6D0379">
      <w:pPr>
        <w:shd w:val="clear" w:color="auto" w:fill="auto"/>
        <w:spacing w:line="46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（一）符合性审查</w:t>
      </w:r>
    </w:p>
    <w:p w14:paraId="4A395D64">
      <w:pPr>
        <w:pStyle w:val="15"/>
        <w:shd w:val="clear" w:color="auto" w:fill="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评标委员会依据符合性评审标准对符合资格的投标人的投标文件进行符合性审查，有一项不符合评审标准的，评标委员会应当否决其投标。</w:t>
      </w:r>
    </w:p>
    <w:p w14:paraId="1E26C90D">
      <w:pPr>
        <w:pStyle w:val="15"/>
        <w:shd w:val="clear" w:color="auto" w:fill="auto"/>
        <w:ind w:firstLine="482" w:firstLineChars="200"/>
        <w:rPr>
          <w:rFonts w:hint="eastAsia" w:ascii="宋体" w:hAnsi="宋体" w:cs="宋体"/>
          <w:color w:val="000000"/>
          <w:sz w:val="24"/>
          <w:szCs w:val="24"/>
          <w:highlight w:val="none"/>
        </w:rPr>
      </w:pPr>
      <w:r>
        <w:rPr>
          <w:rFonts w:hint="eastAsia" w:ascii="宋体" w:hAnsi="宋体" w:cs="宋体"/>
          <w:b/>
          <w:color w:val="000000"/>
          <w:sz w:val="24"/>
          <w:szCs w:val="24"/>
          <w:highlight w:val="none"/>
        </w:rPr>
        <w:t>1、符合性审查表</w:t>
      </w:r>
    </w:p>
    <w:tbl>
      <w:tblPr>
        <w:tblStyle w:val="34"/>
        <w:tblW w:w="100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7"/>
        <w:gridCol w:w="2303"/>
        <w:gridCol w:w="5813"/>
      </w:tblGrid>
      <w:tr w14:paraId="48E70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3" w:hRule="atLeast"/>
        </w:trPr>
        <w:tc>
          <w:tcPr>
            <w:tcW w:w="1927" w:type="dxa"/>
            <w:vAlign w:val="center"/>
          </w:tcPr>
          <w:p w14:paraId="18D751AF">
            <w:pPr>
              <w:pStyle w:val="15"/>
              <w:widowControl w:val="0"/>
              <w:shd w:val="clear" w:color="auto" w:fill="auto"/>
              <w:ind w:firstLine="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审查内容</w:t>
            </w:r>
          </w:p>
        </w:tc>
        <w:tc>
          <w:tcPr>
            <w:tcW w:w="2303" w:type="dxa"/>
            <w:vAlign w:val="center"/>
          </w:tcPr>
          <w:p w14:paraId="1D1185CC">
            <w:pPr>
              <w:pStyle w:val="15"/>
              <w:widowControl w:val="0"/>
              <w:shd w:val="clear" w:color="auto" w:fill="auto"/>
              <w:ind w:firstLine="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评审因素</w:t>
            </w:r>
          </w:p>
        </w:tc>
        <w:tc>
          <w:tcPr>
            <w:tcW w:w="5813" w:type="dxa"/>
            <w:vAlign w:val="center"/>
          </w:tcPr>
          <w:p w14:paraId="5531C1D7">
            <w:pPr>
              <w:pStyle w:val="15"/>
              <w:widowControl w:val="0"/>
              <w:shd w:val="clear" w:color="auto" w:fill="auto"/>
              <w:ind w:firstLine="0"/>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评审标准</w:t>
            </w:r>
          </w:p>
        </w:tc>
      </w:tr>
      <w:tr w14:paraId="3EAE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1927" w:type="dxa"/>
            <w:vMerge w:val="restart"/>
            <w:vAlign w:val="center"/>
          </w:tcPr>
          <w:p w14:paraId="60D45C2A">
            <w:pPr>
              <w:pStyle w:val="15"/>
              <w:widowControl w:val="0"/>
              <w:shd w:val="clear" w:color="auto" w:fill="auto"/>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符合性评审标准</w:t>
            </w:r>
          </w:p>
        </w:tc>
        <w:tc>
          <w:tcPr>
            <w:tcW w:w="2303" w:type="dxa"/>
            <w:vAlign w:val="center"/>
          </w:tcPr>
          <w:p w14:paraId="041CBB38">
            <w:pPr>
              <w:pStyle w:val="15"/>
              <w:widowControl w:val="0"/>
              <w:shd w:val="clear" w:color="auto" w:fill="auto"/>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投标文件签署、盖章</w:t>
            </w:r>
          </w:p>
        </w:tc>
        <w:tc>
          <w:tcPr>
            <w:tcW w:w="5813" w:type="dxa"/>
            <w:vAlign w:val="center"/>
          </w:tcPr>
          <w:p w14:paraId="694B37E7">
            <w:pPr>
              <w:pStyle w:val="15"/>
              <w:widowControl w:val="0"/>
              <w:shd w:val="clear" w:color="auto" w:fill="auto"/>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按第四章“投标文件格式”中“开标一览表”、“投标函”、“法定代表人（单位负责人）身份证明书”、“授权委托书”</w:t>
            </w:r>
            <w:r>
              <w:rPr>
                <w:rFonts w:hint="eastAsia" w:ascii="宋体" w:hAnsi="宋体" w:cs="宋体"/>
                <w:color w:val="000000"/>
                <w:sz w:val="24"/>
                <w:highlight w:val="none"/>
              </w:rPr>
              <w:t>要求在规定位置加盖单位电子签章，法定代表人（单位负责人）电子签章或电子签名</w:t>
            </w:r>
          </w:p>
        </w:tc>
      </w:tr>
      <w:tr w14:paraId="7CDE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42CA6C7D">
            <w:pPr>
              <w:pStyle w:val="15"/>
              <w:widowControl w:val="0"/>
              <w:shd w:val="clear" w:color="auto" w:fill="auto"/>
              <w:jc w:val="both"/>
              <w:rPr>
                <w:rFonts w:hint="eastAsia" w:ascii="宋体" w:hAnsi="宋体" w:cs="宋体"/>
                <w:color w:val="000000"/>
                <w:sz w:val="24"/>
                <w:szCs w:val="24"/>
                <w:highlight w:val="none"/>
              </w:rPr>
            </w:pPr>
          </w:p>
        </w:tc>
        <w:tc>
          <w:tcPr>
            <w:tcW w:w="2303" w:type="dxa"/>
            <w:vAlign w:val="center"/>
          </w:tcPr>
          <w:p w14:paraId="252C67B5">
            <w:pPr>
              <w:pStyle w:val="15"/>
              <w:widowControl w:val="0"/>
              <w:shd w:val="clear" w:color="auto" w:fill="auto"/>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投标报价</w:t>
            </w:r>
          </w:p>
        </w:tc>
        <w:tc>
          <w:tcPr>
            <w:tcW w:w="5813" w:type="dxa"/>
          </w:tcPr>
          <w:p w14:paraId="0B4C0A09">
            <w:pPr>
              <w:pStyle w:val="15"/>
              <w:widowControl w:val="0"/>
              <w:shd w:val="clear" w:color="auto" w:fill="auto"/>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符合第二章“投标人须知前附表”第3.2.4款规定</w:t>
            </w:r>
          </w:p>
        </w:tc>
      </w:tr>
      <w:tr w14:paraId="4D733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927" w:type="dxa"/>
            <w:vMerge w:val="continue"/>
          </w:tcPr>
          <w:p w14:paraId="185B3861">
            <w:pPr>
              <w:pStyle w:val="15"/>
              <w:widowControl w:val="0"/>
              <w:shd w:val="clear" w:color="auto" w:fill="auto"/>
              <w:jc w:val="both"/>
              <w:rPr>
                <w:rFonts w:hint="eastAsia" w:ascii="宋体" w:hAnsi="宋体" w:cs="宋体"/>
                <w:color w:val="000000"/>
                <w:sz w:val="24"/>
                <w:szCs w:val="24"/>
                <w:highlight w:val="none"/>
              </w:rPr>
            </w:pPr>
          </w:p>
        </w:tc>
        <w:tc>
          <w:tcPr>
            <w:tcW w:w="2303" w:type="dxa"/>
            <w:vAlign w:val="center"/>
          </w:tcPr>
          <w:p w14:paraId="32084D8A">
            <w:pPr>
              <w:pStyle w:val="15"/>
              <w:widowControl w:val="0"/>
              <w:shd w:val="clear" w:color="auto" w:fill="auto"/>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投标有效期</w:t>
            </w:r>
          </w:p>
        </w:tc>
        <w:tc>
          <w:tcPr>
            <w:tcW w:w="5813" w:type="dxa"/>
          </w:tcPr>
          <w:p w14:paraId="4176347F">
            <w:pPr>
              <w:pStyle w:val="15"/>
              <w:widowControl w:val="0"/>
              <w:shd w:val="clear" w:color="auto" w:fill="auto"/>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符合第二章“投标人须知前附表”第3.3.1款规定</w:t>
            </w:r>
          </w:p>
        </w:tc>
      </w:tr>
      <w:tr w14:paraId="769C9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927" w:type="dxa"/>
            <w:vMerge w:val="continue"/>
          </w:tcPr>
          <w:p w14:paraId="09C15AD9">
            <w:pPr>
              <w:pStyle w:val="15"/>
              <w:widowControl w:val="0"/>
              <w:shd w:val="clear" w:color="auto" w:fill="auto"/>
              <w:jc w:val="both"/>
              <w:rPr>
                <w:rFonts w:hint="eastAsia" w:ascii="宋体" w:hAnsi="宋体" w:cs="宋体"/>
                <w:color w:val="000000"/>
                <w:sz w:val="24"/>
                <w:szCs w:val="24"/>
                <w:highlight w:val="none"/>
              </w:rPr>
            </w:pPr>
          </w:p>
        </w:tc>
        <w:tc>
          <w:tcPr>
            <w:tcW w:w="2303" w:type="dxa"/>
            <w:vAlign w:val="center"/>
          </w:tcPr>
          <w:p w14:paraId="7A8F7C79">
            <w:pPr>
              <w:pStyle w:val="15"/>
              <w:widowControl w:val="0"/>
              <w:shd w:val="clear" w:color="auto" w:fill="auto"/>
              <w:ind w:firstLine="0"/>
              <w:jc w:val="center"/>
              <w:rPr>
                <w:rFonts w:hint="eastAsia" w:ascii="宋体" w:hAnsi="宋体" w:eastAsia="宋体" w:cs="宋体"/>
                <w:color w:val="000000"/>
                <w:sz w:val="24"/>
                <w:szCs w:val="24"/>
                <w:highlight w:val="none"/>
                <w:lang w:eastAsia="zh-CN"/>
              </w:rPr>
            </w:pPr>
            <w:r>
              <w:rPr>
                <w:rFonts w:hint="eastAsia" w:ascii="宋体" w:hAnsi="宋体" w:cs="宋体"/>
                <w:color w:val="auto"/>
                <w:sz w:val="24"/>
                <w:szCs w:val="24"/>
                <w:highlight w:val="none"/>
              </w:rPr>
              <w:t>合同履行期限、</w:t>
            </w:r>
            <w:r>
              <w:rPr>
                <w:rFonts w:hint="eastAsia" w:ascii="宋体" w:hAnsi="宋体" w:cs="宋体"/>
                <w:color w:val="auto"/>
                <w:sz w:val="24"/>
                <w:szCs w:val="24"/>
                <w:highlight w:val="none"/>
                <w:lang w:eastAsia="zh-CN"/>
              </w:rPr>
              <w:t>服务要求、</w:t>
            </w:r>
            <w:r>
              <w:rPr>
                <w:rFonts w:hint="eastAsia" w:ascii="宋体" w:hAnsi="宋体" w:cs="宋体"/>
                <w:color w:val="000000"/>
                <w:kern w:val="2"/>
                <w:sz w:val="24"/>
                <w:szCs w:val="24"/>
                <w:highlight w:val="none"/>
              </w:rPr>
              <w:t>质量标准</w:t>
            </w:r>
          </w:p>
        </w:tc>
        <w:tc>
          <w:tcPr>
            <w:tcW w:w="5813" w:type="dxa"/>
            <w:vAlign w:val="center"/>
          </w:tcPr>
          <w:p w14:paraId="71A8529A">
            <w:pPr>
              <w:pStyle w:val="15"/>
              <w:widowControl w:val="0"/>
              <w:shd w:val="clear" w:color="auto" w:fill="auto"/>
              <w:ind w:firstLine="0"/>
              <w:jc w:val="both"/>
              <w:rPr>
                <w:rFonts w:ascii="宋体" w:hAnsi="宋体" w:cs="宋体"/>
                <w:color w:val="000000"/>
                <w:sz w:val="24"/>
                <w:szCs w:val="24"/>
                <w:highlight w:val="none"/>
              </w:rPr>
            </w:pPr>
            <w:r>
              <w:rPr>
                <w:rFonts w:hint="eastAsia" w:ascii="宋体" w:hAnsi="宋体" w:cs="宋体"/>
                <w:color w:val="000000"/>
                <w:sz w:val="24"/>
                <w:szCs w:val="24"/>
                <w:highlight w:val="none"/>
              </w:rPr>
              <w:t>符合第二章“投标人须知前附表”第1.3.2款规定</w:t>
            </w:r>
          </w:p>
        </w:tc>
      </w:tr>
      <w:tr w14:paraId="2038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927" w:type="dxa"/>
            <w:vMerge w:val="continue"/>
          </w:tcPr>
          <w:p w14:paraId="4A3808A9">
            <w:pPr>
              <w:pStyle w:val="15"/>
              <w:widowControl w:val="0"/>
              <w:shd w:val="clear" w:color="auto" w:fill="auto"/>
              <w:jc w:val="both"/>
              <w:rPr>
                <w:rFonts w:hint="eastAsia" w:ascii="宋体" w:hAnsi="宋体" w:cs="宋体"/>
                <w:color w:val="000000"/>
                <w:sz w:val="24"/>
                <w:szCs w:val="24"/>
                <w:highlight w:val="none"/>
              </w:rPr>
            </w:pPr>
          </w:p>
        </w:tc>
        <w:tc>
          <w:tcPr>
            <w:tcW w:w="2303" w:type="dxa"/>
          </w:tcPr>
          <w:p w14:paraId="4D385406">
            <w:pPr>
              <w:pStyle w:val="15"/>
              <w:widowControl w:val="0"/>
              <w:shd w:val="clear" w:color="auto" w:fill="auto"/>
              <w:ind w:firstLine="0"/>
              <w:jc w:val="center"/>
              <w:rPr>
                <w:rFonts w:hint="eastAsia" w:ascii="宋体" w:hAnsi="宋体" w:eastAsia="宋体" w:cs="宋体"/>
                <w:color w:val="000000"/>
                <w:sz w:val="24"/>
                <w:szCs w:val="24"/>
                <w:highlight w:val="none"/>
                <w:lang w:eastAsia="zh-CN"/>
              </w:rPr>
            </w:pPr>
            <w:r>
              <w:rPr>
                <w:rFonts w:hint="eastAsia" w:ascii="宋体" w:hAnsi="宋体" w:cs="宋体"/>
                <w:color w:val="000000"/>
                <w:kern w:val="2"/>
                <w:sz w:val="24"/>
                <w:szCs w:val="24"/>
                <w:highlight w:val="none"/>
                <w:lang w:eastAsia="zh-CN"/>
              </w:rPr>
              <w:t>项目实施地点</w:t>
            </w:r>
            <w:r>
              <w:rPr>
                <w:rFonts w:hint="eastAsia" w:ascii="宋体" w:hAnsi="宋体" w:cs="宋体"/>
                <w:color w:val="000000"/>
                <w:kern w:val="2"/>
                <w:sz w:val="24"/>
                <w:szCs w:val="24"/>
                <w:highlight w:val="none"/>
              </w:rPr>
              <w:t>、</w:t>
            </w:r>
            <w:r>
              <w:rPr>
                <w:rFonts w:hint="eastAsia" w:ascii="宋体" w:hAnsi="宋体" w:cs="宋体"/>
                <w:color w:val="000000"/>
                <w:sz w:val="24"/>
                <w:szCs w:val="24"/>
                <w:highlight w:val="none"/>
                <w:lang w:eastAsia="zh-CN"/>
              </w:rPr>
              <w:t>服务要求</w:t>
            </w:r>
          </w:p>
        </w:tc>
        <w:tc>
          <w:tcPr>
            <w:tcW w:w="5813" w:type="dxa"/>
          </w:tcPr>
          <w:p w14:paraId="7243D3CA">
            <w:pPr>
              <w:pStyle w:val="15"/>
              <w:widowControl w:val="0"/>
              <w:shd w:val="clear" w:color="auto" w:fill="auto"/>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符合第二章“投标人须知前附表”第1.3.3款规定</w:t>
            </w:r>
          </w:p>
        </w:tc>
      </w:tr>
      <w:tr w14:paraId="7713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4" w:hRule="atLeast"/>
        </w:trPr>
        <w:tc>
          <w:tcPr>
            <w:tcW w:w="1927" w:type="dxa"/>
            <w:vMerge w:val="continue"/>
          </w:tcPr>
          <w:p w14:paraId="4FACFF3D">
            <w:pPr>
              <w:pStyle w:val="15"/>
              <w:widowControl w:val="0"/>
              <w:shd w:val="clear" w:color="auto" w:fill="auto"/>
              <w:jc w:val="both"/>
              <w:rPr>
                <w:rFonts w:hint="eastAsia" w:ascii="宋体" w:hAnsi="宋体" w:cs="宋体"/>
                <w:color w:val="000000"/>
                <w:sz w:val="24"/>
                <w:szCs w:val="24"/>
                <w:highlight w:val="none"/>
              </w:rPr>
            </w:pPr>
          </w:p>
        </w:tc>
        <w:tc>
          <w:tcPr>
            <w:tcW w:w="2303" w:type="dxa"/>
            <w:vAlign w:val="center"/>
          </w:tcPr>
          <w:p w14:paraId="682630B8">
            <w:pPr>
              <w:pStyle w:val="15"/>
              <w:widowControl w:val="0"/>
              <w:shd w:val="clear" w:color="auto" w:fill="auto"/>
              <w:ind w:firstLine="0"/>
              <w:jc w:val="center"/>
              <w:rPr>
                <w:rFonts w:hint="eastAsia" w:ascii="宋体" w:hAnsi="宋体" w:cs="宋体"/>
                <w:color w:val="000000"/>
                <w:sz w:val="24"/>
                <w:szCs w:val="24"/>
                <w:highlight w:val="none"/>
              </w:rPr>
            </w:pPr>
            <w:r>
              <w:rPr>
                <w:rFonts w:hint="eastAsia" w:ascii="宋体" w:hAnsi="宋体" w:cs="宋体"/>
                <w:color w:val="000000"/>
                <w:sz w:val="24"/>
                <w:highlight w:val="none"/>
              </w:rPr>
              <w:t>投标内容</w:t>
            </w:r>
          </w:p>
        </w:tc>
        <w:tc>
          <w:tcPr>
            <w:tcW w:w="5813" w:type="dxa"/>
            <w:vAlign w:val="center"/>
          </w:tcPr>
          <w:p w14:paraId="75B49569">
            <w:pPr>
              <w:pStyle w:val="15"/>
              <w:widowControl w:val="0"/>
              <w:shd w:val="clear" w:color="auto" w:fill="auto"/>
              <w:ind w:firstLine="0"/>
              <w:rPr>
                <w:rFonts w:hint="eastAsia" w:ascii="宋体" w:hAnsi="宋体" w:eastAsia="宋体" w:cs="宋体"/>
                <w:color w:val="000000"/>
                <w:sz w:val="24"/>
                <w:szCs w:val="24"/>
                <w:highlight w:val="none"/>
                <w:lang w:eastAsia="zh-CN"/>
              </w:rPr>
            </w:pPr>
            <w:r>
              <w:rPr>
                <w:rFonts w:hint="eastAsia" w:ascii="宋体" w:hAnsi="宋体" w:cs="宋体"/>
                <w:color w:val="000000"/>
                <w:sz w:val="24"/>
                <w:highlight w:val="none"/>
              </w:rPr>
              <w:t>投标人提供的货物</w:t>
            </w:r>
            <w:r>
              <w:rPr>
                <w:rFonts w:hint="eastAsia" w:ascii="宋体" w:hAnsi="宋体" w:cs="宋体"/>
                <w:color w:val="000000"/>
                <w:sz w:val="24"/>
                <w:highlight w:val="none"/>
                <w:lang w:val="en-US" w:eastAsia="zh-CN"/>
              </w:rPr>
              <w:t>及服务</w:t>
            </w:r>
            <w:r>
              <w:rPr>
                <w:rFonts w:hint="eastAsia" w:ascii="宋体" w:hAnsi="宋体" w:cs="宋体"/>
                <w:color w:val="000000"/>
                <w:sz w:val="24"/>
                <w:highlight w:val="none"/>
              </w:rPr>
              <w:t>无实质性遗漏</w:t>
            </w:r>
          </w:p>
        </w:tc>
      </w:tr>
      <w:tr w14:paraId="2E15A1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10802CE2">
            <w:pPr>
              <w:pStyle w:val="15"/>
              <w:widowControl w:val="0"/>
              <w:shd w:val="clear" w:color="auto" w:fill="auto"/>
              <w:jc w:val="both"/>
              <w:rPr>
                <w:rFonts w:hint="eastAsia" w:ascii="宋体" w:hAnsi="宋体" w:cs="宋体"/>
                <w:color w:val="000000"/>
                <w:sz w:val="24"/>
                <w:szCs w:val="24"/>
                <w:highlight w:val="none"/>
              </w:rPr>
            </w:pPr>
          </w:p>
        </w:tc>
        <w:tc>
          <w:tcPr>
            <w:tcW w:w="2303" w:type="dxa"/>
            <w:vAlign w:val="center"/>
          </w:tcPr>
          <w:p w14:paraId="36669238">
            <w:pPr>
              <w:pStyle w:val="15"/>
              <w:widowControl w:val="0"/>
              <w:shd w:val="clear" w:color="auto" w:fill="auto"/>
              <w:ind w:firstLine="0"/>
              <w:jc w:val="center"/>
              <w:rPr>
                <w:rFonts w:hint="eastAsia" w:ascii="宋体" w:hAnsi="宋体" w:cs="宋体"/>
                <w:color w:val="000000"/>
                <w:sz w:val="24"/>
                <w:highlight w:val="none"/>
              </w:rPr>
            </w:pPr>
            <w:r>
              <w:rPr>
                <w:rFonts w:hint="eastAsia" w:ascii="宋体" w:hAnsi="宋体" w:cs="宋体"/>
                <w:color w:val="000000"/>
                <w:sz w:val="24"/>
                <w:highlight w:val="none"/>
              </w:rPr>
              <w:t>不允许偏离的实质性要求和条件</w:t>
            </w:r>
          </w:p>
        </w:tc>
        <w:tc>
          <w:tcPr>
            <w:tcW w:w="5813" w:type="dxa"/>
            <w:vAlign w:val="center"/>
          </w:tcPr>
          <w:p w14:paraId="03D42EEB">
            <w:pPr>
              <w:widowControl w:val="0"/>
              <w:shd w:val="clear" w:color="auto" w:fill="auto"/>
              <w:spacing w:line="380" w:lineRule="exact"/>
              <w:rPr>
                <w:rFonts w:ascii="宋体" w:hAnsi="宋体" w:cs="宋体"/>
                <w:color w:val="000000"/>
                <w:sz w:val="24"/>
                <w:highlight w:val="none"/>
              </w:rPr>
            </w:pPr>
            <w:r>
              <w:rPr>
                <w:rFonts w:hint="eastAsia" w:ascii="宋体" w:hAnsi="宋体" w:cs="宋体"/>
                <w:color w:val="000000"/>
                <w:sz w:val="24"/>
                <w:szCs w:val="24"/>
                <w:highlight w:val="none"/>
              </w:rPr>
              <w:t>符合第二章“投标人须知前附表”第</w:t>
            </w:r>
            <w:r>
              <w:rPr>
                <w:rFonts w:hint="eastAsia" w:ascii="宋体" w:hAnsi="宋体" w:cs="宋体"/>
                <w:color w:val="000000"/>
                <w:kern w:val="2"/>
                <w:sz w:val="24"/>
                <w:szCs w:val="24"/>
                <w:highlight w:val="none"/>
              </w:rPr>
              <w:t>1.10条款规定</w:t>
            </w:r>
          </w:p>
        </w:tc>
      </w:tr>
      <w:tr w14:paraId="0B2D9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5812EA85">
            <w:pPr>
              <w:pStyle w:val="15"/>
              <w:widowControl w:val="0"/>
              <w:shd w:val="clear" w:color="auto" w:fill="auto"/>
              <w:jc w:val="both"/>
              <w:rPr>
                <w:rFonts w:hint="eastAsia" w:ascii="宋体" w:hAnsi="宋体" w:cs="宋体"/>
                <w:color w:val="000000"/>
                <w:sz w:val="24"/>
                <w:szCs w:val="24"/>
                <w:highlight w:val="none"/>
              </w:rPr>
            </w:pPr>
          </w:p>
        </w:tc>
        <w:tc>
          <w:tcPr>
            <w:tcW w:w="2303" w:type="dxa"/>
            <w:vAlign w:val="center"/>
          </w:tcPr>
          <w:p w14:paraId="388F33EC">
            <w:pPr>
              <w:pStyle w:val="15"/>
              <w:widowControl w:val="0"/>
              <w:shd w:val="clear" w:color="auto" w:fill="auto"/>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法定代表人授权委托书</w:t>
            </w:r>
          </w:p>
        </w:tc>
        <w:tc>
          <w:tcPr>
            <w:tcW w:w="5813" w:type="dxa"/>
            <w:vAlign w:val="center"/>
          </w:tcPr>
          <w:p w14:paraId="05F7BB44">
            <w:pPr>
              <w:pStyle w:val="15"/>
              <w:widowControl w:val="0"/>
              <w:shd w:val="clear" w:color="auto" w:fill="auto"/>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法定代表人委托代理人投标的，应在投标文件中附法定代表人授权委托书</w:t>
            </w:r>
          </w:p>
        </w:tc>
      </w:tr>
      <w:tr w14:paraId="3FBEA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27" w:type="dxa"/>
            <w:vMerge w:val="continue"/>
          </w:tcPr>
          <w:p w14:paraId="5BE453DD">
            <w:pPr>
              <w:pStyle w:val="15"/>
              <w:widowControl w:val="0"/>
              <w:shd w:val="clear" w:color="auto" w:fill="auto"/>
              <w:jc w:val="both"/>
              <w:rPr>
                <w:rFonts w:hint="eastAsia" w:ascii="宋体" w:hAnsi="宋体" w:cs="宋体"/>
                <w:color w:val="000000"/>
                <w:sz w:val="24"/>
                <w:szCs w:val="24"/>
                <w:highlight w:val="none"/>
              </w:rPr>
            </w:pPr>
          </w:p>
        </w:tc>
        <w:tc>
          <w:tcPr>
            <w:tcW w:w="2303" w:type="dxa"/>
            <w:vAlign w:val="center"/>
          </w:tcPr>
          <w:p w14:paraId="5B580995">
            <w:pPr>
              <w:widowControl w:val="0"/>
              <w:shd w:val="clear" w:color="auto" w:fill="auto"/>
              <w:tabs>
                <w:tab w:val="left" w:pos="1260"/>
                <w:tab w:val="left" w:pos="1620"/>
              </w:tabs>
              <w:adjustRightInd w:val="0"/>
              <w:snapToGrid w:val="0"/>
              <w:jc w:val="center"/>
              <w:textAlignment w:val="baseline"/>
              <w:rPr>
                <w:rFonts w:hint="eastAsia" w:ascii="宋体" w:hAnsi="宋体" w:cs="宋体"/>
                <w:color w:val="000000"/>
                <w:sz w:val="24"/>
                <w:szCs w:val="24"/>
                <w:highlight w:val="none"/>
              </w:rPr>
            </w:pPr>
            <w:r>
              <w:rPr>
                <w:rFonts w:hint="eastAsia" w:ascii="宋体" w:hAnsi="宋体" w:cs="宋体"/>
                <w:color w:val="000000"/>
                <w:sz w:val="24"/>
                <w:highlight w:val="none"/>
              </w:rPr>
              <w:t>其他无效情形</w:t>
            </w:r>
          </w:p>
        </w:tc>
        <w:tc>
          <w:tcPr>
            <w:tcW w:w="5813" w:type="dxa"/>
            <w:vAlign w:val="center"/>
          </w:tcPr>
          <w:p w14:paraId="0C0BF6D6">
            <w:pPr>
              <w:pStyle w:val="15"/>
              <w:widowControl w:val="0"/>
              <w:shd w:val="clear" w:color="auto" w:fill="auto"/>
              <w:autoSpaceDE w:val="0"/>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（1）不同投标人的投标文件由同一单位或者个人编制；</w:t>
            </w:r>
          </w:p>
          <w:p w14:paraId="1A155338">
            <w:pPr>
              <w:pStyle w:val="15"/>
              <w:widowControl w:val="0"/>
              <w:shd w:val="clear" w:color="auto" w:fill="auto"/>
              <w:autoSpaceDE w:val="0"/>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（2）不同投标人委托同一单位或者个人办理投标事宜；</w:t>
            </w:r>
          </w:p>
          <w:p w14:paraId="2E961FC2">
            <w:pPr>
              <w:pStyle w:val="15"/>
              <w:widowControl w:val="0"/>
              <w:shd w:val="clear" w:color="auto" w:fill="auto"/>
              <w:autoSpaceDE w:val="0"/>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（3）不同投标人的投标文件载明的项目管理成员或者联系人员为同一人；</w:t>
            </w:r>
          </w:p>
          <w:p w14:paraId="5931ACA3">
            <w:pPr>
              <w:pStyle w:val="15"/>
              <w:widowControl w:val="0"/>
              <w:shd w:val="clear" w:color="auto" w:fill="auto"/>
              <w:autoSpaceDE w:val="0"/>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（4）不同投标人的投标文件异常一致或者投标报价呈规律性差异；</w:t>
            </w:r>
          </w:p>
          <w:p w14:paraId="46A5EA98">
            <w:pPr>
              <w:pStyle w:val="15"/>
              <w:widowControl w:val="0"/>
              <w:shd w:val="clear" w:color="auto" w:fill="auto"/>
              <w:autoSpaceDE w:val="0"/>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（5）不同投标人的投标文件相互混装；</w:t>
            </w:r>
          </w:p>
          <w:p w14:paraId="03A3FAC3">
            <w:pPr>
              <w:pStyle w:val="15"/>
              <w:widowControl w:val="0"/>
              <w:shd w:val="clear" w:color="auto" w:fill="auto"/>
              <w:autoSpaceDE w:val="0"/>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（6）不同投标人的投标保证金从同一单位或者个人的账户转出；</w:t>
            </w:r>
          </w:p>
          <w:p w14:paraId="1F8FC078">
            <w:pPr>
              <w:pStyle w:val="15"/>
              <w:widowControl w:val="0"/>
              <w:shd w:val="clear" w:color="auto" w:fill="auto"/>
              <w:autoSpaceDE w:val="0"/>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（7）法律、法规和招标文件规定的其他无效情形。</w:t>
            </w:r>
          </w:p>
        </w:tc>
      </w:tr>
      <w:tr w14:paraId="777EF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1927" w:type="dxa"/>
            <w:vMerge w:val="continue"/>
          </w:tcPr>
          <w:p w14:paraId="6BEB54F9">
            <w:pPr>
              <w:pStyle w:val="15"/>
              <w:widowControl w:val="0"/>
              <w:shd w:val="clear" w:color="auto" w:fill="auto"/>
              <w:jc w:val="both"/>
              <w:rPr>
                <w:rFonts w:hint="eastAsia" w:ascii="宋体" w:hAnsi="宋体" w:cs="宋体"/>
                <w:color w:val="000000"/>
                <w:sz w:val="24"/>
                <w:szCs w:val="24"/>
                <w:highlight w:val="none"/>
              </w:rPr>
            </w:pPr>
          </w:p>
        </w:tc>
        <w:tc>
          <w:tcPr>
            <w:tcW w:w="2303" w:type="dxa"/>
          </w:tcPr>
          <w:p w14:paraId="631C4281">
            <w:pPr>
              <w:pStyle w:val="15"/>
              <w:widowControl w:val="0"/>
              <w:shd w:val="clear" w:color="auto" w:fill="auto"/>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附加条件</w:t>
            </w:r>
          </w:p>
        </w:tc>
        <w:tc>
          <w:tcPr>
            <w:tcW w:w="5813" w:type="dxa"/>
          </w:tcPr>
          <w:p w14:paraId="4E9675F6">
            <w:pPr>
              <w:pStyle w:val="15"/>
              <w:widowControl w:val="0"/>
              <w:shd w:val="clear" w:color="auto" w:fill="auto"/>
              <w:ind w:firstLine="0"/>
              <w:jc w:val="both"/>
              <w:rPr>
                <w:rFonts w:hint="eastAsia" w:ascii="宋体" w:hAnsi="宋体" w:cs="宋体"/>
                <w:color w:val="000000"/>
                <w:sz w:val="24"/>
                <w:szCs w:val="24"/>
                <w:highlight w:val="none"/>
              </w:rPr>
            </w:pPr>
            <w:r>
              <w:rPr>
                <w:rFonts w:hint="eastAsia" w:ascii="宋体" w:hAnsi="宋体" w:cs="宋体"/>
                <w:color w:val="000000"/>
                <w:sz w:val="24"/>
                <w:szCs w:val="24"/>
                <w:highlight w:val="none"/>
              </w:rPr>
              <w:t>投标文件未含有采购人不能接受的附加条件</w:t>
            </w:r>
          </w:p>
        </w:tc>
      </w:tr>
    </w:tbl>
    <w:p w14:paraId="2EA6FF46">
      <w:pPr>
        <w:pStyle w:val="15"/>
        <w:shd w:val="clear" w:color="auto" w:fill="auto"/>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（二）澄清有关问题</w:t>
      </w:r>
    </w:p>
    <w:p w14:paraId="4A6741A9">
      <w:pPr>
        <w:pStyle w:val="15"/>
        <w:shd w:val="clear" w:color="auto" w:fill="auto"/>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1.投标文件内容澄清</w:t>
      </w:r>
    </w:p>
    <w:p w14:paraId="31275E3E">
      <w:pPr>
        <w:pStyle w:val="15"/>
        <w:shd w:val="clear" w:color="auto" w:fill="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对于投标文件中含义不明确、同类问题表述不一致或者有明显文字和计算错误的内容，评标委员会应当以书面形式要求投标人作出必要的澄清、说明或者补正。投标人的澄清、说明或者补正应当采用书面形式，并加盖单位公章，或者由法定代表人或其授权的代表签字。投标人的澄清、说明或者补正不得超出投标文件的范围或者改变投标文件的实质性内容。</w:t>
      </w:r>
    </w:p>
    <w:p w14:paraId="6A8350D3">
      <w:pPr>
        <w:pStyle w:val="15"/>
        <w:shd w:val="clear" w:color="auto" w:fill="auto"/>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2.报价不一致情形澄清</w:t>
      </w:r>
    </w:p>
    <w:p w14:paraId="0A7893FE">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投标文件报价出现前后不一致的，除招标文件另有规定外，按照下列规定修正：</w:t>
      </w:r>
    </w:p>
    <w:p w14:paraId="09A4F83D">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（1）投标文件中《开标一览表》内容与投标文件中相应内容不一致的，以《开标一览表》为准；</w:t>
      </w:r>
    </w:p>
    <w:p w14:paraId="6251DF42">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（2）大写金额和小写金额不一致的，以大写金额为准；</w:t>
      </w:r>
    </w:p>
    <w:p w14:paraId="44DBD2A8">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（3）单价金额小数点或者百分比有明显错位的，以开标一览表的总价为准，并修改单价；</w:t>
      </w:r>
    </w:p>
    <w:p w14:paraId="165205B3">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（4）总价金额与按单价汇总金额不一致的，以单价金额计算结果为准。</w:t>
      </w:r>
    </w:p>
    <w:p w14:paraId="6C1BDD94">
      <w:pPr>
        <w:pStyle w:val="15"/>
        <w:shd w:val="clear" w:color="auto" w:fill="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同时出现两种以上不一致的，按照前款规定的顺序修正。修正后的报价经投标人确认后产生约束力，投标人不确认的，其投标无效。</w:t>
      </w:r>
    </w:p>
    <w:p w14:paraId="474D0A4D">
      <w:pPr>
        <w:pStyle w:val="15"/>
        <w:shd w:val="clear" w:color="auto" w:fill="auto"/>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3.报价过低情形澄清</w:t>
      </w:r>
    </w:p>
    <w:p w14:paraId="50C23E13">
      <w:pPr>
        <w:pStyle w:val="15"/>
        <w:widowControl w:val="0"/>
        <w:shd w:val="clear" w:color="auto" w:fill="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认为投标人的报价（总价或单价）明显低于其他通过符合性审查投标人的报价（总价或单价），有可能影响产品质量或者不能诚信履约的，应当要求其在评标现场合理的时间内提供书面说明，必要时提交相关证明材料；投标人不能证明其报价合理性的，评标委员会应当将其作为无效投标处理。</w:t>
      </w:r>
    </w:p>
    <w:p w14:paraId="1B0614F6">
      <w:pPr>
        <w:shd w:val="clear" w:color="auto" w:fill="auto"/>
        <w:spacing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（三）商务和技术评估、综合比较与评价</w:t>
      </w:r>
    </w:p>
    <w:p w14:paraId="2CFC9DB6">
      <w:pPr>
        <w:widowControl w:val="0"/>
        <w:shd w:val="clear" w:color="auto" w:fill="auto"/>
        <w:spacing w:line="460" w:lineRule="exact"/>
        <w:ind w:firstLine="472" w:firstLineChars="196"/>
        <w:jc w:val="both"/>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2.小型和微型企业价格评分优惠政策</w:t>
      </w:r>
    </w:p>
    <w:p w14:paraId="13A458A3">
      <w:pPr>
        <w:shd w:val="clear" w:color="auto" w:fill="auto"/>
        <w:spacing w:line="360" w:lineRule="auto"/>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（1）根据“国家统计局关于印发《统计上大中小微型企业划分办法（2017）》的通知”、《政府采购促进中小企业发展管理办法》（财库﹝2020﹞46 号）、《关于进一步加大政府采购支持中小企业力度的通知》（财库﹝2022﹞19号）的规定，对符合条件的小型和微型投标人，在报价评分时给予报价</w:t>
      </w:r>
      <w:r>
        <w:rPr>
          <w:rFonts w:hint="eastAsia" w:ascii="宋体" w:hAnsi="宋体" w:cs="宋体"/>
          <w:color w:val="000000"/>
          <w:sz w:val="24"/>
          <w:szCs w:val="24"/>
          <w:highlight w:val="none"/>
          <w:u w:val="single"/>
        </w:rPr>
        <w:t xml:space="preserve">   10%   </w:t>
      </w:r>
      <w:r>
        <w:rPr>
          <w:rFonts w:hint="eastAsia" w:ascii="宋体" w:hAnsi="宋体" w:cs="宋体"/>
          <w:color w:val="000000"/>
          <w:sz w:val="24"/>
          <w:szCs w:val="24"/>
          <w:highlight w:val="none"/>
        </w:rPr>
        <w:t>的扣除，用扣除后的报价参与报价评分。</w:t>
      </w:r>
    </w:p>
    <w:p w14:paraId="4F53DB3F">
      <w:pPr>
        <w:shd w:val="clear" w:color="auto" w:fill="auto"/>
        <w:spacing w:line="360" w:lineRule="auto"/>
        <w:ind w:firstLine="480" w:firstLineChars="20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（2）请投标人根据“国家统计局关于印发《统计上大中小微型企业划分办法（2017）》的通知”、《政府采购促进中小企业发展管理办法》（财库﹝2020﹞46 号）的规定，提供《中小企业声明函》，未提供的在价格评分时不对报价进行扣除。</w:t>
      </w:r>
      <w:r>
        <w:rPr>
          <w:rFonts w:hint="eastAsia" w:ascii="宋体" w:hAnsi="宋体" w:cs="宋体"/>
          <w:b/>
          <w:color w:val="000000"/>
          <w:sz w:val="24"/>
          <w:szCs w:val="24"/>
          <w:highlight w:val="none"/>
        </w:rPr>
        <w:t>投标人对《中小企业声明函》的真实性负责，如有虚假，自行承担相应责任。</w:t>
      </w:r>
    </w:p>
    <w:p w14:paraId="5D878CD4">
      <w:pPr>
        <w:shd w:val="clear" w:color="auto" w:fill="auto"/>
        <w:spacing w:line="360" w:lineRule="auto"/>
        <w:ind w:firstLine="480" w:firstLineChars="200"/>
        <w:rPr>
          <w:rFonts w:hint="eastAsia" w:ascii="宋体" w:hAnsi="宋体" w:cs="宋体"/>
          <w:b/>
          <w:bCs/>
          <w:color w:val="000000"/>
          <w:sz w:val="24"/>
          <w:szCs w:val="24"/>
          <w:highlight w:val="none"/>
        </w:rPr>
      </w:pPr>
      <w:r>
        <w:rPr>
          <w:rFonts w:hint="eastAsia" w:ascii="宋体" w:hAnsi="宋体" w:cs="宋体"/>
          <w:color w:val="000000"/>
          <w:sz w:val="24"/>
          <w:szCs w:val="24"/>
          <w:highlight w:val="none"/>
        </w:rPr>
        <w:t>（3）以联合体形式参加政府采购活动，联合体各方均为中小企业的，联合体视同中小企业。其中，联合体各方均为小型微型的，联合体视同小微型企业，在报价评分时给予联合体报价</w:t>
      </w:r>
      <w:r>
        <w:rPr>
          <w:rFonts w:hint="eastAsia" w:ascii="宋体" w:hAnsi="宋体" w:cs="宋体"/>
          <w:color w:val="000000"/>
          <w:sz w:val="24"/>
          <w:szCs w:val="24"/>
          <w:highlight w:val="none"/>
          <w:u w:val="single"/>
        </w:rPr>
        <w:t xml:space="preserve">   10%   </w:t>
      </w:r>
      <w:r>
        <w:rPr>
          <w:rFonts w:hint="eastAsia" w:ascii="宋体" w:hAnsi="宋体" w:cs="宋体"/>
          <w:color w:val="000000"/>
          <w:sz w:val="24"/>
          <w:szCs w:val="24"/>
          <w:highlight w:val="none"/>
        </w:rPr>
        <w:t>的扣除，用扣除后的报价参与报价评分。</w:t>
      </w:r>
    </w:p>
    <w:p w14:paraId="535C49E6">
      <w:pPr>
        <w:shd w:val="clear" w:color="auto" w:fill="auto"/>
        <w:spacing w:line="360" w:lineRule="auto"/>
        <w:ind w:firstLine="480" w:firstLineChars="200"/>
        <w:rPr>
          <w:rFonts w:hint="eastAsia" w:ascii="宋体" w:hAnsi="宋体" w:cs="宋体"/>
          <w:b/>
          <w:bCs/>
          <w:color w:val="000000"/>
          <w:sz w:val="24"/>
          <w:szCs w:val="24"/>
          <w:highlight w:val="none"/>
        </w:rPr>
      </w:pPr>
      <w:r>
        <w:rPr>
          <w:rFonts w:hint="eastAsia" w:ascii="宋体" w:hAnsi="宋体" w:cs="宋体"/>
          <w:color w:val="000000"/>
          <w:sz w:val="24"/>
          <w:szCs w:val="24"/>
          <w:highlight w:val="none"/>
        </w:rPr>
        <w:t>（4）联合体中部分企业为小微型企业的，且小微型企业的协议合同金额占到联合体协议合同总金额30%以上的，在报价评分时给予联合体报价</w:t>
      </w:r>
      <w:r>
        <w:rPr>
          <w:rFonts w:hint="eastAsia" w:ascii="宋体" w:hAnsi="宋体" w:cs="宋体"/>
          <w:color w:val="000000"/>
          <w:sz w:val="24"/>
          <w:szCs w:val="24"/>
          <w:highlight w:val="none"/>
          <w:u w:val="single"/>
        </w:rPr>
        <w:t xml:space="preserve">   4%   </w:t>
      </w:r>
      <w:r>
        <w:rPr>
          <w:rFonts w:hint="eastAsia" w:ascii="宋体" w:hAnsi="宋体" w:cs="宋体"/>
          <w:color w:val="000000"/>
          <w:sz w:val="24"/>
          <w:szCs w:val="24"/>
          <w:highlight w:val="none"/>
        </w:rPr>
        <w:t>的扣除，用扣除后的报价参与报价评分。</w:t>
      </w:r>
    </w:p>
    <w:p w14:paraId="2A18DC33">
      <w:pPr>
        <w:shd w:val="clear" w:color="auto" w:fill="auto"/>
        <w:autoSpaceDE w:val="0"/>
        <w:autoSpaceDN w:val="0"/>
        <w:spacing w:line="480" w:lineRule="exact"/>
        <w:ind w:firstLine="472" w:firstLineChars="19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3.监狱企业评分优惠政策</w:t>
      </w:r>
    </w:p>
    <w:p w14:paraId="3FEF9469">
      <w:pPr>
        <w:shd w:val="clear" w:color="auto" w:fill="auto"/>
        <w:autoSpaceDE w:val="0"/>
        <w:autoSpaceDN w:val="0"/>
        <w:spacing w:line="480" w:lineRule="exact"/>
        <w:ind w:left="-15" w:leftChars="-7"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根据《关于政府采购支持监狱企业发展有关问题的通知》（财库[2014]68号）的规定，监狱企业</w:t>
      </w:r>
      <w:r>
        <w:rPr>
          <w:rFonts w:hint="eastAsia" w:ascii="宋体" w:hAnsi="宋体" w:cs="宋体"/>
          <w:color w:val="000000"/>
          <w:kern w:val="2"/>
          <w:sz w:val="24"/>
          <w:szCs w:val="24"/>
          <w:highlight w:val="none"/>
        </w:rPr>
        <w:t>优惠政策</w:t>
      </w:r>
      <w:r>
        <w:rPr>
          <w:rFonts w:hint="eastAsia" w:ascii="宋体" w:hAnsi="宋体" w:cs="宋体"/>
          <w:color w:val="000000"/>
          <w:sz w:val="24"/>
          <w:szCs w:val="24"/>
          <w:highlight w:val="none"/>
        </w:rPr>
        <w:t>，监狱企业参与本项目投标时，提供由省级以上监狱管理局、戒毒管理局（含新疆生产建设兵团）出具的属于监狱企业的证明文件的，视同小型、微型企业享受价格扣除等优惠政策。</w:t>
      </w:r>
    </w:p>
    <w:p w14:paraId="4E12350C">
      <w:pPr>
        <w:shd w:val="clear" w:color="auto" w:fill="auto"/>
        <w:autoSpaceDE w:val="0"/>
        <w:autoSpaceDN w:val="0"/>
        <w:spacing w:line="480" w:lineRule="exact"/>
        <w:ind w:firstLine="472" w:firstLineChars="19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4.残疾人福利性单位优惠政策</w:t>
      </w:r>
    </w:p>
    <w:p w14:paraId="27E25736">
      <w:pPr>
        <w:shd w:val="clear" w:color="auto" w:fill="auto"/>
        <w:autoSpaceDE w:val="0"/>
        <w:spacing w:line="360" w:lineRule="auto"/>
        <w:ind w:firstLine="480" w:firstLineChars="200"/>
        <w:rPr>
          <w:rFonts w:hint="eastAsia" w:ascii="宋体" w:hAnsi="宋体" w:cs="宋体"/>
          <w:b/>
          <w:color w:val="000000"/>
          <w:sz w:val="24"/>
          <w:szCs w:val="24"/>
          <w:highlight w:val="none"/>
        </w:rPr>
      </w:pPr>
      <w:r>
        <w:rPr>
          <w:rFonts w:hint="eastAsia" w:ascii="宋体" w:hAnsi="宋体" w:cs="宋体"/>
          <w:color w:val="000000"/>
          <w:sz w:val="24"/>
          <w:szCs w:val="24"/>
          <w:highlight w:val="none"/>
        </w:rPr>
        <w:t>根据《关于促进残疾人就业政府采购政策的通知》（财库[2017]141号）的规定，残疾人福利性单位</w:t>
      </w:r>
      <w:r>
        <w:rPr>
          <w:rFonts w:hint="eastAsia" w:ascii="宋体" w:hAnsi="宋体" w:cs="宋体"/>
          <w:color w:val="000000"/>
          <w:kern w:val="2"/>
          <w:sz w:val="24"/>
          <w:szCs w:val="24"/>
          <w:highlight w:val="none"/>
        </w:rPr>
        <w:t>优惠政策</w:t>
      </w:r>
      <w:r>
        <w:rPr>
          <w:rFonts w:hint="eastAsia" w:ascii="宋体" w:hAnsi="宋体" w:cs="宋体"/>
          <w:color w:val="000000"/>
          <w:sz w:val="24"/>
          <w:szCs w:val="24"/>
          <w:highlight w:val="none"/>
        </w:rPr>
        <w:t>，残疾人福利性单位参与本项目投标时，提供《残疾人福利性单位声明函》并对声明的真实性负责，视同小型、微型企业享受价格扣除等优惠政策。</w:t>
      </w:r>
      <w:r>
        <w:rPr>
          <w:rFonts w:hint="eastAsia" w:ascii="宋体" w:hAnsi="宋体" w:cs="宋体"/>
          <w:b/>
          <w:color w:val="000000"/>
          <w:sz w:val="24"/>
          <w:szCs w:val="24"/>
          <w:highlight w:val="none"/>
        </w:rPr>
        <w:t>投标人对《残疾人福利性单位声明函》的真实性负责，如有虚假，自行承担相应责任。</w:t>
      </w:r>
    </w:p>
    <w:p w14:paraId="0DF1BAAE">
      <w:pPr>
        <w:shd w:val="clear" w:color="auto" w:fill="auto"/>
        <w:autoSpaceDE w:val="0"/>
        <w:autoSpaceDN w:val="0"/>
        <w:spacing w:line="480" w:lineRule="exact"/>
        <w:ind w:firstLine="472" w:firstLineChars="196"/>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val="en-US" w:eastAsia="zh-CN"/>
        </w:rPr>
        <w:t>5</w:t>
      </w:r>
      <w:r>
        <w:rPr>
          <w:rFonts w:hint="eastAsia" w:ascii="宋体" w:hAnsi="宋体" w:cs="宋体"/>
          <w:b/>
          <w:bCs/>
          <w:color w:val="000000"/>
          <w:sz w:val="24"/>
          <w:szCs w:val="24"/>
          <w:highlight w:val="none"/>
        </w:rPr>
        <w:t>.综合评分方式</w:t>
      </w:r>
    </w:p>
    <w:p w14:paraId="7767CEBA">
      <w:pPr>
        <w:shd w:val="clear" w:color="auto" w:fill="auto"/>
        <w:autoSpaceDE w:val="0"/>
        <w:autoSpaceDN w:val="0"/>
        <w:spacing w:line="46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评标总得分＝F1＋F2，其中，</w:t>
      </w:r>
    </w:p>
    <w:p w14:paraId="6624035F">
      <w:pPr>
        <w:pStyle w:val="15"/>
        <w:shd w:val="clear" w:color="auto" w:fill="auto"/>
        <w:spacing w:line="4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F1、F2分别为各项评审因素的得分</w:t>
      </w:r>
    </w:p>
    <w:p w14:paraId="03525220">
      <w:pPr>
        <w:pStyle w:val="15"/>
        <w:shd w:val="clear" w:color="auto" w:fill="auto"/>
        <w:spacing w:line="4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具体评审细则如下：</w:t>
      </w:r>
    </w:p>
    <w:tbl>
      <w:tblPr>
        <w:tblStyle w:val="34"/>
        <w:tblW w:w="494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2"/>
        <w:gridCol w:w="1564"/>
        <w:gridCol w:w="6608"/>
      </w:tblGrid>
      <w:tr w14:paraId="22F00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16" w:hRule="exact"/>
        </w:trPr>
        <w:tc>
          <w:tcPr>
            <w:tcW w:w="1682" w:type="dxa"/>
            <w:vAlign w:val="center"/>
          </w:tcPr>
          <w:p w14:paraId="0FAD2129">
            <w:pPr>
              <w:pStyle w:val="15"/>
              <w:widowControl w:val="0"/>
              <w:shd w:val="clear" w:color="auto" w:fill="auto"/>
              <w:spacing w:line="400" w:lineRule="exact"/>
              <w:ind w:firstLine="0"/>
              <w:jc w:val="cente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评审因素</w:t>
            </w:r>
          </w:p>
        </w:tc>
        <w:tc>
          <w:tcPr>
            <w:tcW w:w="8174" w:type="dxa"/>
            <w:gridSpan w:val="2"/>
            <w:vAlign w:val="center"/>
          </w:tcPr>
          <w:p w14:paraId="42FB950E">
            <w:pPr>
              <w:pStyle w:val="15"/>
              <w:widowControl w:val="0"/>
              <w:shd w:val="clear" w:color="auto" w:fill="auto"/>
              <w:spacing w:line="400" w:lineRule="exact"/>
              <w:ind w:firstLine="0"/>
              <w:jc w:val="center"/>
              <w:rPr>
                <w:rFonts w:hint="eastAsia" w:ascii="宋体" w:hAnsi="宋体" w:cs="宋体"/>
                <w:color w:val="000000"/>
                <w:sz w:val="24"/>
                <w:szCs w:val="24"/>
                <w:highlight w:val="none"/>
              </w:rPr>
            </w:pPr>
            <w:r>
              <w:rPr>
                <w:rFonts w:hint="eastAsia" w:ascii="宋体" w:hAnsi="宋体" w:cs="宋体"/>
                <w:b/>
                <w:bCs/>
                <w:color w:val="000000"/>
                <w:sz w:val="24"/>
                <w:szCs w:val="24"/>
                <w:highlight w:val="none"/>
              </w:rPr>
              <w:t>评审标准</w:t>
            </w:r>
          </w:p>
        </w:tc>
      </w:tr>
      <w:tr w14:paraId="3EE8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9" w:hRule="exact"/>
        </w:trPr>
        <w:tc>
          <w:tcPr>
            <w:tcW w:w="1682" w:type="dxa"/>
            <w:vAlign w:val="center"/>
          </w:tcPr>
          <w:p w14:paraId="66F242E4">
            <w:pPr>
              <w:shd w:val="clear" w:color="auto" w:fill="auto"/>
              <w:spacing w:line="400" w:lineRule="exact"/>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1）评审总得分计算公式</w:t>
            </w:r>
          </w:p>
        </w:tc>
        <w:tc>
          <w:tcPr>
            <w:tcW w:w="8174" w:type="dxa"/>
            <w:gridSpan w:val="2"/>
            <w:vAlign w:val="center"/>
          </w:tcPr>
          <w:p w14:paraId="391340A9">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投标人的评审总得分＝F1＋F2</w:t>
            </w:r>
          </w:p>
          <w:p w14:paraId="6749A9BD">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其中：</w:t>
            </w:r>
          </w:p>
          <w:p w14:paraId="27FA4949">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①F1、F2分别为报价部分、</w:t>
            </w:r>
            <w:r>
              <w:rPr>
                <w:rFonts w:hint="eastAsia" w:ascii="宋体" w:hAnsi="宋体" w:cs="宋体"/>
                <w:color w:val="000000"/>
                <w:sz w:val="24"/>
                <w:szCs w:val="24"/>
                <w:highlight w:val="none"/>
                <w:lang w:val="en-US" w:eastAsia="zh-CN"/>
              </w:rPr>
              <w:t>商务</w:t>
            </w:r>
            <w:r>
              <w:rPr>
                <w:rFonts w:hint="eastAsia" w:ascii="宋体" w:hAnsi="宋体" w:cs="宋体"/>
                <w:color w:val="000000"/>
                <w:sz w:val="24"/>
                <w:szCs w:val="24"/>
                <w:highlight w:val="none"/>
              </w:rPr>
              <w:t>技术部分</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项评分因素的汇总得分。</w:t>
            </w:r>
          </w:p>
        </w:tc>
      </w:tr>
      <w:tr w14:paraId="62E39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3" w:hRule="exact"/>
        </w:trPr>
        <w:tc>
          <w:tcPr>
            <w:tcW w:w="1682" w:type="dxa"/>
            <w:vAlign w:val="center"/>
          </w:tcPr>
          <w:p w14:paraId="0635ACF8">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2）评分分值构成</w:t>
            </w:r>
          </w:p>
        </w:tc>
        <w:tc>
          <w:tcPr>
            <w:tcW w:w="8174" w:type="dxa"/>
            <w:gridSpan w:val="2"/>
            <w:vAlign w:val="center"/>
          </w:tcPr>
          <w:p w14:paraId="495A061C">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报价部分F1：</w:t>
            </w:r>
            <w:r>
              <w:rPr>
                <w:rFonts w:hint="eastAsia" w:ascii="宋体" w:hAnsi="宋体" w:cs="宋体"/>
                <w:color w:val="000000"/>
                <w:sz w:val="24"/>
                <w:szCs w:val="24"/>
                <w:highlight w:val="none"/>
                <w:lang w:val="en-US" w:eastAsia="zh-CN"/>
              </w:rPr>
              <w:t>1</w:t>
            </w:r>
            <w:r>
              <w:rPr>
                <w:rFonts w:hint="eastAsia" w:ascii="宋体" w:hAnsi="宋体" w:cs="宋体"/>
                <w:color w:val="000000"/>
                <w:sz w:val="24"/>
                <w:szCs w:val="24"/>
                <w:highlight w:val="none"/>
              </w:rPr>
              <w:t>0分，权重1；</w:t>
            </w:r>
          </w:p>
          <w:p w14:paraId="1EC8B052">
            <w:pPr>
              <w:shd w:val="clear" w:color="auto" w:fill="auto"/>
              <w:spacing w:line="4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商务</w:t>
            </w:r>
            <w:r>
              <w:rPr>
                <w:rFonts w:hint="eastAsia" w:ascii="宋体" w:hAnsi="宋体" w:cs="宋体"/>
                <w:color w:val="000000"/>
                <w:sz w:val="24"/>
                <w:szCs w:val="24"/>
                <w:highlight w:val="none"/>
              </w:rPr>
              <w:t>技术部分F2：</w:t>
            </w:r>
            <w:r>
              <w:rPr>
                <w:rFonts w:hint="eastAsia" w:ascii="宋体" w:hAnsi="宋体" w:cs="宋体"/>
                <w:color w:val="000000"/>
                <w:sz w:val="24"/>
                <w:szCs w:val="24"/>
                <w:highlight w:val="none"/>
                <w:lang w:val="en-US" w:eastAsia="zh-CN"/>
              </w:rPr>
              <w:t>90</w:t>
            </w:r>
            <w:r>
              <w:rPr>
                <w:rFonts w:hint="eastAsia" w:ascii="宋体" w:hAnsi="宋体" w:cs="宋体"/>
                <w:color w:val="000000"/>
                <w:sz w:val="24"/>
                <w:szCs w:val="24"/>
                <w:highlight w:val="none"/>
              </w:rPr>
              <w:t>分，权重1；</w:t>
            </w:r>
          </w:p>
        </w:tc>
      </w:tr>
      <w:tr w14:paraId="62191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2" w:hRule="exact"/>
        </w:trPr>
        <w:tc>
          <w:tcPr>
            <w:tcW w:w="1682" w:type="dxa"/>
            <w:vAlign w:val="center"/>
          </w:tcPr>
          <w:p w14:paraId="3F2F0C07">
            <w:pPr>
              <w:shd w:val="clear" w:color="auto" w:fill="auto"/>
              <w:spacing w:line="40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3）报价评审得分F1（满分</w:t>
            </w:r>
            <w:r>
              <w:rPr>
                <w:rFonts w:hint="eastAsia" w:ascii="宋体" w:hAnsi="宋体" w:cs="宋体"/>
                <w:b/>
                <w:bCs/>
                <w:color w:val="000000"/>
                <w:sz w:val="24"/>
                <w:szCs w:val="24"/>
                <w:highlight w:val="none"/>
                <w:lang w:val="en-US" w:eastAsia="zh-CN"/>
              </w:rPr>
              <w:t>1</w:t>
            </w:r>
            <w:r>
              <w:rPr>
                <w:rFonts w:hint="eastAsia" w:ascii="宋体" w:hAnsi="宋体" w:cs="宋体"/>
                <w:b/>
                <w:bCs/>
                <w:color w:val="000000"/>
                <w:sz w:val="24"/>
                <w:szCs w:val="24"/>
                <w:highlight w:val="none"/>
              </w:rPr>
              <w:t>0分）</w:t>
            </w:r>
          </w:p>
        </w:tc>
        <w:tc>
          <w:tcPr>
            <w:tcW w:w="8174" w:type="dxa"/>
            <w:gridSpan w:val="2"/>
            <w:vAlign w:val="center"/>
          </w:tcPr>
          <w:p w14:paraId="4D256883">
            <w:pPr>
              <w:spacing w:line="360" w:lineRule="auto"/>
              <w:jc w:val="lef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1、符合政策要求的小微企业（监狱企业、残疾人福利性单位）服务的其报价给予10%扣除，评标委员会应当用扣除后的价格参与评审，即评审报价=投标报价×（1-10%）。该扣除后的评审报价仅作为计算报价得分之用，不作为采购合同签订报价，采购合同价格仍按投标人的实际报价进行签订。</w:t>
            </w:r>
          </w:p>
          <w:p w14:paraId="7771773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投标报价计算公式=（评标基准价/该</w:t>
            </w:r>
            <w:r>
              <w:rPr>
                <w:rFonts w:hint="eastAsia" w:ascii="宋体" w:hAnsi="宋体" w:cs="宋体"/>
                <w:color w:val="000000" w:themeColor="text1"/>
                <w:sz w:val="24"/>
                <w:szCs w:val="24"/>
                <w:highlight w:val="none"/>
                <w:lang w:eastAsia="zh-CN"/>
                <w14:textFill>
                  <w14:solidFill>
                    <w14:schemeClr w14:val="tx1"/>
                  </w14:solidFill>
                </w14:textFill>
              </w:rPr>
              <w:t>投标人</w:t>
            </w:r>
            <w:r>
              <w:rPr>
                <w:rFonts w:hint="eastAsia" w:ascii="宋体" w:hAnsi="宋体" w:eastAsia="宋体" w:cs="宋体"/>
                <w:color w:val="000000" w:themeColor="text1"/>
                <w:sz w:val="24"/>
                <w:szCs w:val="24"/>
                <w:highlight w:val="none"/>
                <w14:textFill>
                  <w14:solidFill>
                    <w14:schemeClr w14:val="tx1"/>
                  </w14:solidFill>
                </w14:textFill>
              </w:rPr>
              <w:t>报价）×</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val="en-US" w:eastAsia="zh-CN"/>
                <w14:textFill>
                  <w14:solidFill>
                    <w14:schemeClr w14:val="tx1"/>
                  </w14:solidFill>
                </w14:textFill>
              </w:rPr>
              <w:t>0</w:t>
            </w:r>
          </w:p>
          <w:p w14:paraId="00D5E1D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注：</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评标基准价为经初步评审合格且</w:t>
            </w:r>
            <w:r>
              <w:rPr>
                <w:rFonts w:hint="eastAsia" w:ascii="宋体" w:hAnsi="宋体" w:eastAsia="宋体" w:cs="宋体"/>
                <w:color w:val="000000" w:themeColor="text1"/>
                <w:sz w:val="24"/>
                <w:szCs w:val="24"/>
                <w:highlight w:val="none"/>
                <w:lang w:val="en-US" w:eastAsia="zh-CN"/>
                <w14:textFill>
                  <w14:solidFill>
                    <w14:schemeClr w14:val="tx1"/>
                  </w14:solidFill>
                </w14:textFill>
              </w:rPr>
              <w:t>该</w:t>
            </w:r>
            <w:r>
              <w:rPr>
                <w:rFonts w:hint="eastAsia" w:ascii="宋体" w:hAnsi="宋体" w:eastAsia="宋体" w:cs="宋体"/>
                <w:color w:val="000000" w:themeColor="text1"/>
                <w:sz w:val="24"/>
                <w:szCs w:val="24"/>
                <w:highlight w:val="none"/>
                <w14:textFill>
                  <w14:solidFill>
                    <w14:schemeClr w14:val="tx1"/>
                  </w14:solidFill>
                </w14:textFill>
              </w:rPr>
              <w:t>价格最低的投标报价；</w:t>
            </w:r>
          </w:p>
          <w:p w14:paraId="38220BA6">
            <w:pPr>
              <w:spacing w:line="360" w:lineRule="auto"/>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（2）评审过程中，不得去掉报价中的最高报价和最低报价。</w:t>
            </w:r>
          </w:p>
          <w:p w14:paraId="356D226A">
            <w:pPr>
              <w:keepNext w:val="0"/>
              <w:keepLines w:val="0"/>
              <w:pageBreakBefore w:val="0"/>
              <w:widowControl/>
              <w:suppressLineNumbers w:val="0"/>
              <w:kinsoku/>
              <w:wordWrap/>
              <w:overflowPunct/>
              <w:topLinePunct w:val="0"/>
              <w:autoSpaceDE/>
              <w:autoSpaceDN/>
              <w:bidi w:val="0"/>
              <w:snapToGrid/>
              <w:spacing w:line="360" w:lineRule="auto"/>
              <w:jc w:val="left"/>
              <w:textAlignment w:val="auto"/>
              <w:rPr>
                <w:rFonts w:hint="eastAsia" w:ascii="宋体" w:hAnsi="宋体" w:eastAsia="宋体" w:cs="宋体"/>
                <w:color w:val="auto"/>
                <w:sz w:val="21"/>
                <w:szCs w:val="21"/>
                <w:highlight w:val="none"/>
              </w:rPr>
            </w:pPr>
            <w:r>
              <w:rPr>
                <w:rFonts w:hint="eastAsia" w:ascii="宋体" w:hAnsi="宋体"/>
                <w:color w:val="000000" w:themeColor="text1"/>
                <w:sz w:val="24"/>
                <w:szCs w:val="24"/>
                <w:highlight w:val="none"/>
                <w:lang w:val="en-US" w:eastAsia="zh-CN"/>
                <w14:textFill>
                  <w14:solidFill>
                    <w14:schemeClr w14:val="tx1"/>
                  </w14:solidFill>
                </w14:textFill>
              </w:rPr>
              <w:t>3</w:t>
            </w:r>
            <w:r>
              <w:rPr>
                <w:rFonts w:hint="eastAsia" w:ascii="宋体" w:hAnsi="宋体"/>
                <w:color w:val="000000" w:themeColor="text1"/>
                <w:sz w:val="24"/>
                <w:szCs w:val="24"/>
                <w:highlight w:val="none"/>
                <w14:textFill>
                  <w14:solidFill>
                    <w14:schemeClr w14:val="tx1"/>
                  </w14:solidFill>
                </w14:textFill>
              </w:rPr>
              <w:t>、投标报价超预算的按废标处理。</w:t>
            </w:r>
          </w:p>
        </w:tc>
      </w:tr>
      <w:tr w14:paraId="740EA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682" w:type="dxa"/>
            <w:vMerge w:val="restart"/>
            <w:vAlign w:val="center"/>
          </w:tcPr>
          <w:p w14:paraId="6E29112F">
            <w:pPr>
              <w:shd w:val="clear" w:color="auto" w:fill="auto"/>
              <w:spacing w:line="400" w:lineRule="exact"/>
              <w:rPr>
                <w:rFonts w:hint="eastAsia" w:ascii="宋体" w:hAnsi="宋体" w:eastAsia="宋体" w:cs="宋体"/>
                <w:color w:val="000000"/>
                <w:sz w:val="24"/>
                <w:szCs w:val="24"/>
                <w:highlight w:val="none"/>
              </w:rPr>
            </w:pPr>
          </w:p>
          <w:p w14:paraId="0F9CCC95">
            <w:pPr>
              <w:shd w:val="clear" w:color="auto" w:fill="auto"/>
              <w:spacing w:line="400" w:lineRule="exact"/>
              <w:rPr>
                <w:rFonts w:hint="eastAsia" w:ascii="宋体" w:hAnsi="宋体" w:eastAsia="宋体" w:cs="宋体"/>
                <w:color w:val="000000"/>
                <w:sz w:val="24"/>
                <w:szCs w:val="24"/>
                <w:highlight w:val="none"/>
              </w:rPr>
            </w:pPr>
          </w:p>
          <w:p w14:paraId="10F57443">
            <w:pPr>
              <w:shd w:val="clear" w:color="auto" w:fill="auto"/>
              <w:spacing w:line="400" w:lineRule="exact"/>
              <w:rPr>
                <w:rFonts w:hint="eastAsia" w:ascii="宋体" w:hAnsi="宋体" w:eastAsia="宋体" w:cs="宋体"/>
                <w:color w:val="000000"/>
                <w:sz w:val="24"/>
                <w:szCs w:val="24"/>
                <w:highlight w:val="none"/>
              </w:rPr>
            </w:pPr>
          </w:p>
          <w:p w14:paraId="051C35A5">
            <w:pPr>
              <w:shd w:val="clear" w:color="auto" w:fill="auto"/>
              <w:spacing w:line="400" w:lineRule="exact"/>
              <w:rPr>
                <w:rFonts w:hint="eastAsia" w:ascii="宋体" w:hAnsi="宋体" w:eastAsia="宋体" w:cs="宋体"/>
                <w:color w:val="000000"/>
                <w:sz w:val="24"/>
                <w:szCs w:val="24"/>
                <w:highlight w:val="none"/>
              </w:rPr>
            </w:pPr>
          </w:p>
          <w:p w14:paraId="04705464">
            <w:pPr>
              <w:shd w:val="clear" w:color="auto" w:fill="auto"/>
              <w:spacing w:line="400" w:lineRule="exact"/>
              <w:rPr>
                <w:rFonts w:hint="eastAsia" w:ascii="宋体" w:hAnsi="宋体" w:eastAsia="宋体" w:cs="宋体"/>
                <w:color w:val="000000"/>
                <w:sz w:val="24"/>
                <w:szCs w:val="24"/>
                <w:highlight w:val="none"/>
              </w:rPr>
            </w:pPr>
          </w:p>
          <w:p w14:paraId="138E7A80">
            <w:pPr>
              <w:shd w:val="clear" w:color="auto" w:fill="auto"/>
              <w:spacing w:line="400" w:lineRule="exact"/>
              <w:rPr>
                <w:rFonts w:hint="eastAsia" w:ascii="宋体" w:hAnsi="宋体" w:eastAsia="宋体" w:cs="宋体"/>
                <w:color w:val="000000"/>
                <w:sz w:val="24"/>
                <w:szCs w:val="24"/>
                <w:highlight w:val="none"/>
              </w:rPr>
            </w:pPr>
          </w:p>
          <w:p w14:paraId="140AED03">
            <w:pPr>
              <w:shd w:val="clear" w:color="auto" w:fill="auto"/>
              <w:spacing w:line="400" w:lineRule="exact"/>
              <w:rPr>
                <w:rFonts w:hint="eastAsia" w:ascii="宋体" w:hAnsi="宋体" w:eastAsia="宋体" w:cs="宋体"/>
                <w:color w:val="000000"/>
                <w:sz w:val="24"/>
                <w:szCs w:val="24"/>
                <w:highlight w:val="none"/>
              </w:rPr>
            </w:pPr>
          </w:p>
          <w:p w14:paraId="21AD4C3E">
            <w:pPr>
              <w:shd w:val="clear" w:color="auto" w:fill="auto"/>
              <w:spacing w:line="400" w:lineRule="exact"/>
              <w:rPr>
                <w:rFonts w:hint="eastAsia" w:ascii="宋体" w:hAnsi="宋体" w:eastAsia="宋体" w:cs="宋体"/>
                <w:color w:val="000000"/>
                <w:sz w:val="24"/>
                <w:szCs w:val="24"/>
                <w:highlight w:val="none"/>
              </w:rPr>
            </w:pPr>
          </w:p>
          <w:p w14:paraId="3CC189B7">
            <w:pPr>
              <w:shd w:val="clear" w:color="auto" w:fill="auto"/>
              <w:spacing w:line="400" w:lineRule="exact"/>
              <w:rPr>
                <w:rFonts w:hint="eastAsia" w:ascii="宋体" w:hAnsi="宋体" w:eastAsia="宋体" w:cs="宋体"/>
                <w:color w:val="000000"/>
                <w:sz w:val="24"/>
                <w:szCs w:val="24"/>
                <w:highlight w:val="none"/>
              </w:rPr>
            </w:pPr>
          </w:p>
          <w:p w14:paraId="4C381715">
            <w:pPr>
              <w:shd w:val="clear" w:color="auto" w:fill="auto"/>
              <w:spacing w:line="400" w:lineRule="exact"/>
              <w:rPr>
                <w:rFonts w:hint="eastAsia" w:ascii="宋体" w:hAnsi="宋体" w:eastAsia="宋体" w:cs="宋体"/>
                <w:color w:val="000000"/>
                <w:sz w:val="24"/>
                <w:szCs w:val="24"/>
                <w:highlight w:val="none"/>
              </w:rPr>
            </w:pPr>
          </w:p>
          <w:p w14:paraId="530173B2">
            <w:pPr>
              <w:shd w:val="clear" w:color="auto" w:fill="auto"/>
              <w:spacing w:line="400" w:lineRule="exact"/>
              <w:rPr>
                <w:rFonts w:hint="eastAsia" w:ascii="宋体" w:hAnsi="宋体" w:eastAsia="宋体" w:cs="宋体"/>
                <w:color w:val="000000"/>
                <w:sz w:val="24"/>
                <w:szCs w:val="24"/>
                <w:highlight w:val="none"/>
              </w:rPr>
            </w:pPr>
          </w:p>
          <w:p w14:paraId="737C34FA">
            <w:pPr>
              <w:shd w:val="clear" w:color="auto" w:fill="auto"/>
              <w:spacing w:line="400" w:lineRule="exac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4）</w:t>
            </w:r>
            <w:r>
              <w:rPr>
                <w:rFonts w:hint="eastAsia" w:ascii="宋体" w:hAnsi="宋体" w:cs="宋体"/>
                <w:b/>
                <w:bCs/>
                <w:color w:val="000000"/>
                <w:sz w:val="24"/>
                <w:szCs w:val="24"/>
                <w:highlight w:val="none"/>
                <w:lang w:val="en-US" w:eastAsia="zh-CN"/>
              </w:rPr>
              <w:t>商务</w:t>
            </w:r>
            <w:r>
              <w:rPr>
                <w:rFonts w:hint="eastAsia" w:ascii="宋体" w:hAnsi="宋体" w:eastAsia="宋体" w:cs="宋体"/>
                <w:b/>
                <w:bCs/>
                <w:color w:val="000000"/>
                <w:sz w:val="24"/>
                <w:szCs w:val="24"/>
                <w:highlight w:val="none"/>
              </w:rPr>
              <w:t>技术部分得分F2（满分</w:t>
            </w:r>
            <w:r>
              <w:rPr>
                <w:rFonts w:hint="eastAsia" w:ascii="宋体" w:hAnsi="宋体" w:cs="宋体"/>
                <w:b/>
                <w:bCs/>
                <w:color w:val="000000"/>
                <w:sz w:val="24"/>
                <w:szCs w:val="24"/>
                <w:highlight w:val="none"/>
                <w:lang w:val="en-US" w:eastAsia="zh-CN"/>
              </w:rPr>
              <w:t>90</w:t>
            </w:r>
            <w:r>
              <w:rPr>
                <w:rFonts w:hint="eastAsia" w:ascii="宋体" w:hAnsi="宋体" w:eastAsia="宋体" w:cs="宋体"/>
                <w:b/>
                <w:bCs/>
                <w:color w:val="000000"/>
                <w:sz w:val="24"/>
                <w:szCs w:val="24"/>
                <w:highlight w:val="none"/>
              </w:rPr>
              <w:t>分）</w:t>
            </w:r>
          </w:p>
        </w:tc>
        <w:tc>
          <w:tcPr>
            <w:tcW w:w="1564" w:type="dxa"/>
            <w:vAlign w:val="center"/>
          </w:tcPr>
          <w:p w14:paraId="02D1F1AA">
            <w:pPr>
              <w:pStyle w:val="81"/>
              <w:ind w:left="109"/>
              <w:jc w:val="cente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项目实施方案评审</w:t>
            </w:r>
          </w:p>
          <w:p w14:paraId="6F8A851D">
            <w:pPr>
              <w:pStyle w:val="81"/>
              <w:ind w:left="109"/>
              <w:jc w:val="cente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（满分</w:t>
            </w:r>
            <w:r>
              <w:rPr>
                <w:rFonts w:hint="eastAsia" w:ascii="宋体" w:hAnsi="宋体"/>
                <w:color w:val="000000" w:themeColor="text1"/>
                <w:sz w:val="24"/>
                <w:szCs w:val="24"/>
                <w:highlight w:val="none"/>
                <w:lang w:val="en-US" w:eastAsia="zh-CN"/>
                <w14:textFill>
                  <w14:solidFill>
                    <w14:schemeClr w14:val="tx1"/>
                  </w14:solidFill>
                </w14:textFill>
              </w:rPr>
              <w:t>25</w:t>
            </w:r>
            <w:r>
              <w:rPr>
                <w:rFonts w:hint="eastAsia" w:ascii="宋体" w:hAnsi="宋体"/>
                <w:color w:val="000000" w:themeColor="text1"/>
                <w:sz w:val="24"/>
                <w:szCs w:val="24"/>
                <w:highlight w:val="none"/>
                <w14:textFill>
                  <w14:solidFill>
                    <w14:schemeClr w14:val="tx1"/>
                  </w14:solidFill>
                </w14:textFill>
              </w:rPr>
              <w:t>分）</w:t>
            </w:r>
          </w:p>
          <w:p w14:paraId="730DFA45">
            <w:pPr>
              <w:spacing w:line="360" w:lineRule="exact"/>
              <w:jc w:val="center"/>
              <w:rPr>
                <w:rFonts w:hint="eastAsia" w:ascii="宋体" w:hAnsi="宋体" w:eastAsia="宋体" w:cs="宋体"/>
                <w:color w:val="000000"/>
                <w:sz w:val="24"/>
                <w:szCs w:val="24"/>
                <w:highlight w:val="none"/>
              </w:rPr>
            </w:pPr>
          </w:p>
        </w:tc>
        <w:tc>
          <w:tcPr>
            <w:tcW w:w="6610" w:type="dxa"/>
            <w:vAlign w:val="top"/>
          </w:tcPr>
          <w:p w14:paraId="43C3A7EF">
            <w:pPr>
              <w:pStyle w:val="81"/>
              <w:spacing w:before="100" w:line="417" w:lineRule="auto"/>
              <w:ind w:right="96"/>
              <w:jc w:val="left"/>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1</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.有详细、合理的组织实施方案，能较好的满足组织实施方案中的质量、进度和关键点及复杂问题，内容全面，针对性强， 技术措施及保障措施合理，符合项目当地实际情况，</w:t>
            </w:r>
            <w:r>
              <w:rPr>
                <w:rFonts w:hint="eastAsia" w:cs="Times New Roman"/>
                <w:color w:val="000000" w:themeColor="text1"/>
                <w:kern w:val="2"/>
                <w:sz w:val="24"/>
                <w:szCs w:val="24"/>
                <w:highlight w:val="none"/>
                <w:lang w:val="en-US" w:eastAsia="zh-CN" w:bidi="ar-SA"/>
                <w14:textFill>
                  <w14:solidFill>
                    <w14:schemeClr w14:val="tx1"/>
                  </w14:solidFill>
                </w14:textFill>
              </w:rPr>
              <w:t>实施方案</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能较好满足招标人要求的得25分。</w:t>
            </w:r>
          </w:p>
          <w:p w14:paraId="015AF060">
            <w:pPr>
              <w:pStyle w:val="81"/>
              <w:spacing w:line="417" w:lineRule="auto"/>
              <w:ind w:right="96"/>
              <w:jc w:val="left"/>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2.组织实施方案基本合理，能满足组织实施方案中的质量、进度和关键点及复杂问题，内容全面，针对性、技术措施及保障措施一般，勉强符合项目当地实际情况，</w:t>
            </w:r>
            <w:r>
              <w:rPr>
                <w:rFonts w:hint="eastAsia" w:cs="Times New Roman"/>
                <w:color w:val="000000" w:themeColor="text1"/>
                <w:kern w:val="2"/>
                <w:sz w:val="24"/>
                <w:szCs w:val="24"/>
                <w:highlight w:val="none"/>
                <w:lang w:val="en-US" w:eastAsia="zh-CN" w:bidi="ar-SA"/>
                <w14:textFill>
                  <w14:solidFill>
                    <w14:schemeClr w14:val="tx1"/>
                  </w14:solidFill>
                </w14:textFill>
              </w:rPr>
              <w:t>实施方案</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能满足招标人要求的得19分。</w:t>
            </w:r>
          </w:p>
          <w:p w14:paraId="11EFB6B1">
            <w:pPr>
              <w:pStyle w:val="81"/>
              <w:spacing w:before="100" w:line="417" w:lineRule="auto"/>
              <w:ind w:right="96"/>
              <w:jc w:val="left"/>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3.组织实施方案合理性较差，基本满足组织实施方案中的质量、进度和关键点及复杂问题，内容不全面，针对性、技术措施及保障措施基本合理，不符合项目当地实际情况，</w:t>
            </w:r>
            <w:r>
              <w:rPr>
                <w:rFonts w:hint="eastAsia" w:cs="Times New Roman"/>
                <w:color w:val="000000" w:themeColor="text1"/>
                <w:kern w:val="2"/>
                <w:sz w:val="24"/>
                <w:szCs w:val="24"/>
                <w:highlight w:val="none"/>
                <w:lang w:val="en-US" w:eastAsia="zh-CN" w:bidi="ar-SA"/>
                <w14:textFill>
                  <w14:solidFill>
                    <w14:schemeClr w14:val="tx1"/>
                  </w14:solidFill>
                </w14:textFill>
              </w:rPr>
              <w:t>实施方案</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能基本满足招标人要求的得13分。</w:t>
            </w:r>
          </w:p>
          <w:p w14:paraId="11FED8A9">
            <w:pPr>
              <w:pStyle w:val="81"/>
              <w:spacing w:before="100" w:line="417" w:lineRule="auto"/>
              <w:ind w:right="96" w:rightChars="0"/>
              <w:jc w:val="left"/>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4.组织实施方案合理性差，不满足组织实施方案中的质量、进度和关键点及复杂问题，内容缺失，针对性差、缺乏技术措施及保障措施，</w:t>
            </w:r>
            <w:r>
              <w:rPr>
                <w:rFonts w:hint="eastAsia" w:cs="Times New Roman"/>
                <w:color w:val="000000" w:themeColor="text1"/>
                <w:kern w:val="2"/>
                <w:sz w:val="24"/>
                <w:szCs w:val="24"/>
                <w:highlight w:val="none"/>
                <w:lang w:val="en-US" w:eastAsia="zh-CN" w:bidi="ar-SA"/>
                <w14:textFill>
                  <w14:solidFill>
                    <w14:schemeClr w14:val="tx1"/>
                  </w14:solidFill>
                </w14:textFill>
              </w:rPr>
              <w:t>实施方案</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不能满足招标人要求得7分。</w:t>
            </w:r>
          </w:p>
          <w:p w14:paraId="1DC1221C">
            <w:pPr>
              <w:pStyle w:val="81"/>
              <w:spacing w:before="100" w:line="417" w:lineRule="auto"/>
              <w:ind w:right="96" w:rightChars="0"/>
              <w:jc w:val="left"/>
              <w:rPr>
                <w:rFonts w:hint="default" w:ascii="宋体" w:hAnsi="宋体" w:eastAsia="宋体" w:cs="Times New Roman"/>
                <w:color w:val="000000" w:themeColor="text1"/>
                <w:kern w:val="2"/>
                <w:sz w:val="24"/>
                <w:szCs w:val="24"/>
                <w:highlight w:val="none"/>
                <w:lang w:val="en-US" w:eastAsia="zh-CN" w:bidi="ar-SA"/>
                <w14:textFill>
                  <w14:solidFill>
                    <w14:schemeClr w14:val="tx1"/>
                  </w14:solidFill>
                </w14:textFill>
              </w:rPr>
            </w:pPr>
            <w:r>
              <w:rPr>
                <w:rFonts w:hint="eastAsia" w:cs="Times New Roman"/>
                <w:color w:val="000000" w:themeColor="text1"/>
                <w:kern w:val="2"/>
                <w:sz w:val="24"/>
                <w:szCs w:val="24"/>
                <w:highlight w:val="none"/>
                <w:lang w:val="en-US" w:eastAsia="zh-CN" w:bidi="ar-SA"/>
                <w14:textFill>
                  <w14:solidFill>
                    <w14:schemeClr w14:val="tx1"/>
                  </w14:solidFill>
                </w14:textFill>
              </w:rPr>
              <w:t>5.无</w:t>
            </w:r>
            <w:r>
              <w:rPr>
                <w:rFonts w:hint="eastAsia" w:ascii="宋体" w:hAnsi="宋体" w:eastAsia="宋体" w:cs="Times New Roman"/>
                <w:color w:val="000000" w:themeColor="text1"/>
                <w:kern w:val="2"/>
                <w:sz w:val="24"/>
                <w:szCs w:val="24"/>
                <w:highlight w:val="none"/>
                <w:lang w:val="en-US" w:eastAsia="zh-CN" w:bidi="ar-SA"/>
                <w14:textFill>
                  <w14:solidFill>
                    <w14:schemeClr w14:val="tx1"/>
                  </w14:solidFill>
                </w14:textFill>
              </w:rPr>
              <w:t>项目实施方案</w:t>
            </w:r>
            <w:r>
              <w:rPr>
                <w:rFonts w:hint="eastAsia" w:cs="Times New Roman"/>
                <w:color w:val="000000" w:themeColor="text1"/>
                <w:kern w:val="2"/>
                <w:sz w:val="24"/>
                <w:szCs w:val="24"/>
                <w:highlight w:val="none"/>
                <w:lang w:val="en-US" w:eastAsia="zh-CN" w:bidi="ar-SA"/>
                <w14:textFill>
                  <w14:solidFill>
                    <w14:schemeClr w14:val="tx1"/>
                  </w14:solidFill>
                </w14:textFill>
              </w:rPr>
              <w:t>不得分。</w:t>
            </w:r>
          </w:p>
        </w:tc>
      </w:tr>
      <w:tr w14:paraId="7D3CE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3" w:hRule="atLeast"/>
        </w:trPr>
        <w:tc>
          <w:tcPr>
            <w:tcW w:w="1682" w:type="dxa"/>
            <w:vMerge w:val="continue"/>
            <w:vAlign w:val="center"/>
          </w:tcPr>
          <w:p w14:paraId="3BDB979D">
            <w:pPr>
              <w:shd w:val="clear" w:color="auto" w:fill="auto"/>
              <w:spacing w:line="400" w:lineRule="exact"/>
              <w:rPr>
                <w:rFonts w:hint="eastAsia" w:ascii="宋体" w:hAnsi="宋体" w:eastAsia="宋体" w:cs="宋体"/>
                <w:color w:val="000000"/>
                <w:sz w:val="24"/>
                <w:szCs w:val="24"/>
                <w:highlight w:val="yellow"/>
              </w:rPr>
            </w:pPr>
          </w:p>
        </w:tc>
        <w:tc>
          <w:tcPr>
            <w:tcW w:w="1564" w:type="dxa"/>
            <w:vAlign w:val="center"/>
          </w:tcPr>
          <w:p w14:paraId="4DF8523E">
            <w:pPr>
              <w:pStyle w:val="81"/>
              <w:spacing w:before="100" w:line="417" w:lineRule="auto"/>
              <w:ind w:right="96"/>
              <w:jc w:val="cente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质量承诺</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及措施</w:t>
            </w: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评审（满分15分）</w:t>
            </w:r>
          </w:p>
          <w:p w14:paraId="63873BE3">
            <w:pPr>
              <w:pStyle w:val="81"/>
              <w:spacing w:before="100" w:line="417" w:lineRule="auto"/>
              <w:ind w:right="96" w:rightChars="0"/>
              <w:jc w:val="center"/>
              <w:rPr>
                <w:rFonts w:hint="eastAsia" w:ascii="宋体" w:hAnsi="宋体" w:eastAsia="宋体" w:cs="宋体"/>
                <w:color w:val="000000"/>
                <w:sz w:val="24"/>
                <w:szCs w:val="24"/>
                <w:highlight w:val="none"/>
              </w:rPr>
            </w:pPr>
          </w:p>
        </w:tc>
        <w:tc>
          <w:tcPr>
            <w:tcW w:w="6610" w:type="dxa"/>
            <w:vAlign w:val="center"/>
          </w:tcPr>
          <w:p w14:paraId="3DE01858">
            <w:pPr>
              <w:pStyle w:val="81"/>
              <w:spacing w:before="100" w:line="417" w:lineRule="auto"/>
              <w:ind w:right="96"/>
              <w:jc w:val="left"/>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1.质量承诺满足招标文件且有具体的违约责任承诺，质量保证措施科学、合理，措施得当针对性强的得15分。</w:t>
            </w:r>
          </w:p>
          <w:p w14:paraId="1E2A9E94">
            <w:pPr>
              <w:pStyle w:val="81"/>
              <w:spacing w:before="100" w:line="417" w:lineRule="auto"/>
              <w:ind w:right="96"/>
              <w:jc w:val="left"/>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2.质量承诺满足招标文件且有具体的违约责任承诺，质量保证措施基本得当，针对性一般的得12分。</w:t>
            </w:r>
          </w:p>
          <w:p w14:paraId="16D83058">
            <w:pPr>
              <w:pStyle w:val="81"/>
              <w:spacing w:before="100" w:line="417" w:lineRule="auto"/>
              <w:ind w:right="96"/>
              <w:jc w:val="left"/>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3.质量承诺满足招标文件且有具体的违约责任承诺，质量保证措施不得当，无针对性的得8分。</w:t>
            </w:r>
          </w:p>
          <w:p w14:paraId="46FFB7C9">
            <w:pPr>
              <w:pStyle w:val="81"/>
              <w:spacing w:before="100" w:line="417" w:lineRule="auto"/>
              <w:ind w:right="96" w:rightChars="0"/>
              <w:jc w:val="left"/>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 xml:space="preserve">4.质量承诺满足招标文件且无具体的违约责任承诺，质量保证措施不得当，无针对性的得4分。 </w:t>
            </w:r>
          </w:p>
          <w:p w14:paraId="098E1968">
            <w:pPr>
              <w:pStyle w:val="81"/>
              <w:spacing w:before="100" w:line="417" w:lineRule="auto"/>
              <w:ind w:right="96" w:rightChars="0"/>
              <w:jc w:val="left"/>
              <w:rPr>
                <w:rFonts w:hint="default" w:ascii="宋体" w:hAnsi="宋体" w:eastAsia="宋体" w:cs="宋体"/>
                <w:color w:val="000000"/>
                <w:sz w:val="24"/>
                <w:szCs w:val="24"/>
                <w:highlight w:val="none"/>
                <w:lang w:val="en-US" w:eastAsia="zh-CN" w:bidi="ar"/>
              </w:rPr>
            </w:pP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5.无质量承诺及质量保证措施不得分。</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 xml:space="preserve">  </w:t>
            </w:r>
          </w:p>
        </w:tc>
      </w:tr>
      <w:tr w14:paraId="16110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9" w:hRule="atLeast"/>
        </w:trPr>
        <w:tc>
          <w:tcPr>
            <w:tcW w:w="1682" w:type="dxa"/>
            <w:vMerge w:val="continue"/>
            <w:vAlign w:val="center"/>
          </w:tcPr>
          <w:p w14:paraId="4F3DFBE8">
            <w:pPr>
              <w:shd w:val="clear" w:color="auto" w:fill="auto"/>
              <w:spacing w:line="400" w:lineRule="exact"/>
              <w:rPr>
                <w:rFonts w:hint="eastAsia" w:ascii="宋体" w:hAnsi="宋体" w:eastAsia="宋体" w:cs="宋体"/>
                <w:color w:val="000000"/>
                <w:sz w:val="24"/>
                <w:szCs w:val="24"/>
                <w:highlight w:val="yellow"/>
              </w:rPr>
            </w:pPr>
          </w:p>
        </w:tc>
        <w:tc>
          <w:tcPr>
            <w:tcW w:w="1564" w:type="dxa"/>
            <w:vAlign w:val="center"/>
          </w:tcPr>
          <w:p w14:paraId="0059B298">
            <w:pPr>
              <w:pStyle w:val="81"/>
              <w:spacing w:before="100" w:line="417" w:lineRule="auto"/>
              <w:ind w:right="96" w:rightChars="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服务工期承诺及保证措施（满分15分）</w:t>
            </w:r>
          </w:p>
        </w:tc>
        <w:tc>
          <w:tcPr>
            <w:tcW w:w="6610" w:type="dxa"/>
            <w:vAlign w:val="center"/>
          </w:tcPr>
          <w:p w14:paraId="368DEB11">
            <w:pPr>
              <w:pStyle w:val="81"/>
              <w:spacing w:before="100" w:line="417" w:lineRule="auto"/>
              <w:ind w:right="96" w:rightChars="0"/>
              <w:jc w:val="left"/>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1.</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有进度计划，且能保证服务工期，进度计划编制完整，程序清晰，安排科学，措施有力，切实可行，有具体的违约承诺、违约责任的，得15分；</w:t>
            </w:r>
          </w:p>
          <w:p w14:paraId="6A53D69A">
            <w:pPr>
              <w:pStyle w:val="81"/>
              <w:spacing w:before="100" w:line="417" w:lineRule="auto"/>
              <w:ind w:right="96" w:rightChars="0"/>
              <w:jc w:val="left"/>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2.</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有进度计划，进度计划编制基本完整，安排基本合理，有一定的措施，承诺满足</w:t>
            </w: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招标</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文件且有奖罚条件的，得10分；</w:t>
            </w:r>
          </w:p>
          <w:p w14:paraId="6702FC95">
            <w:pPr>
              <w:pStyle w:val="81"/>
              <w:spacing w:before="100" w:line="417" w:lineRule="auto"/>
              <w:ind w:right="96" w:rightChars="0"/>
              <w:jc w:val="left"/>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3.工作周期</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承诺及保证措施基本满足</w:t>
            </w: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招标</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文件要求的，得5分；</w:t>
            </w:r>
          </w:p>
          <w:p w14:paraId="7ED3DE3C">
            <w:pPr>
              <w:pStyle w:val="81"/>
              <w:spacing w:before="100" w:line="417" w:lineRule="auto"/>
              <w:ind w:right="96" w:rightChars="0"/>
              <w:jc w:val="left"/>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pPr>
            <w:r>
              <w:rPr>
                <w:rFonts w:hint="eastAsia" w:cs="宋体"/>
                <w:color w:val="000000" w:themeColor="text1"/>
                <w:kern w:val="0"/>
                <w:sz w:val="24"/>
                <w:szCs w:val="24"/>
                <w:highlight w:val="none"/>
                <w:shd w:val="clear" w:color="auto" w:fill="auto"/>
                <w:lang w:val="en-US" w:eastAsia="zh-CN" w:bidi="ar-SA"/>
                <w14:textFill>
                  <w14:solidFill>
                    <w14:schemeClr w14:val="tx1"/>
                  </w14:solidFill>
                </w14:textFill>
              </w:rPr>
              <w:t>4.</w:t>
            </w:r>
            <w:r>
              <w:rPr>
                <w:rFonts w:hint="default" w:ascii="宋体" w:hAnsi="宋体" w:eastAsia="宋体" w:cs="宋体"/>
                <w:color w:val="000000" w:themeColor="text1"/>
                <w:kern w:val="0"/>
                <w:sz w:val="24"/>
                <w:szCs w:val="24"/>
                <w:highlight w:val="none"/>
                <w:shd w:val="clear" w:color="auto" w:fill="auto"/>
                <w:lang w:val="en-US" w:eastAsia="zh-CN" w:bidi="ar-SA"/>
                <w14:textFill>
                  <w14:solidFill>
                    <w14:schemeClr w14:val="tx1"/>
                  </w14:solidFill>
                </w14:textFill>
              </w:rPr>
              <w:t>无工期承诺及保证措施的不得分。</w:t>
            </w:r>
          </w:p>
        </w:tc>
      </w:tr>
      <w:tr w14:paraId="1A615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82" w:type="dxa"/>
            <w:vMerge w:val="continue"/>
            <w:vAlign w:val="center"/>
          </w:tcPr>
          <w:p w14:paraId="29ED1EFB">
            <w:pPr>
              <w:shd w:val="clear" w:color="auto" w:fill="auto"/>
              <w:spacing w:line="400" w:lineRule="exact"/>
              <w:jc w:val="center"/>
              <w:rPr>
                <w:rFonts w:hint="eastAsia" w:ascii="宋体" w:hAnsi="宋体" w:eastAsia="宋体" w:cs="宋体"/>
                <w:color w:val="000000"/>
                <w:sz w:val="24"/>
                <w:szCs w:val="24"/>
                <w:highlight w:val="none"/>
              </w:rPr>
            </w:pPr>
          </w:p>
        </w:tc>
        <w:tc>
          <w:tcPr>
            <w:tcW w:w="1564" w:type="dxa"/>
            <w:vAlign w:val="center"/>
          </w:tcPr>
          <w:p w14:paraId="14A6A5C4">
            <w:pPr>
              <w:pStyle w:val="81"/>
              <w:spacing w:line="278" w:lineRule="auto"/>
              <w:ind w:left="109" w:leftChars="0" w:right="101" w:rightChars="0"/>
              <w:jc w:val="center"/>
              <w:rPr>
                <w:rFonts w:hint="eastAsia" w:ascii="宋体" w:hAnsi="宋体" w:eastAsia="宋体" w:cs="宋体"/>
                <w:color w:val="000000" w:themeColor="text1"/>
                <w:sz w:val="24"/>
                <w:szCs w:val="24"/>
                <w14:textFill>
                  <w14:solidFill>
                    <w14:schemeClr w14:val="tx1"/>
                  </w14:solidFill>
                </w14:textFill>
              </w:rPr>
            </w:pPr>
          </w:p>
          <w:p w14:paraId="16D0C4F9">
            <w:pPr>
              <w:pStyle w:val="81"/>
              <w:spacing w:line="278" w:lineRule="auto"/>
              <w:ind w:left="109" w:leftChars="0" w:right="101" w:rightChars="0"/>
              <w:jc w:val="center"/>
              <w:rPr>
                <w:rFonts w:hint="eastAsia" w:ascii="宋体" w:hAnsi="宋体" w:eastAsia="宋体" w:cs="宋体"/>
                <w:color w:val="000000" w:themeColor="text1"/>
                <w:sz w:val="24"/>
                <w:szCs w:val="24"/>
                <w14:textFill>
                  <w14:solidFill>
                    <w14:schemeClr w14:val="tx1"/>
                  </w14:solidFill>
                </w14:textFill>
              </w:rPr>
            </w:pPr>
          </w:p>
          <w:p w14:paraId="2A7388E2">
            <w:pPr>
              <w:pStyle w:val="81"/>
              <w:spacing w:line="278" w:lineRule="auto"/>
              <w:ind w:left="109" w:leftChars="0" w:right="101" w:rightChars="0"/>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themeColor="text1"/>
                <w:sz w:val="24"/>
                <w:szCs w:val="24"/>
                <w14:textFill>
                  <w14:solidFill>
                    <w14:schemeClr w14:val="tx1"/>
                  </w14:solidFill>
                </w14:textFill>
              </w:rPr>
              <w:t>项目组织机构和团队人员配备情况</w:t>
            </w:r>
            <w:r>
              <w:rPr>
                <w:rFonts w:hint="eastAsia" w:ascii="宋体"/>
                <w:color w:val="000000" w:themeColor="text1"/>
                <w:sz w:val="24"/>
                <w:szCs w:val="24"/>
                <w:highlight w:val="none"/>
                <w:lang w:val="en-US" w:eastAsia="zh-CN"/>
                <w14:textFill>
                  <w14:solidFill>
                    <w14:schemeClr w14:val="tx1"/>
                  </w14:solidFill>
                </w14:textFill>
              </w:rPr>
              <w:t>（满分</w:t>
            </w:r>
            <w:r>
              <w:rPr>
                <w:rFonts w:hint="eastAsia"/>
                <w:color w:val="000000" w:themeColor="text1"/>
                <w:sz w:val="24"/>
                <w:szCs w:val="24"/>
                <w:highlight w:val="none"/>
                <w:lang w:val="en-US" w:eastAsia="zh-CN"/>
                <w14:textFill>
                  <w14:solidFill>
                    <w14:schemeClr w14:val="tx1"/>
                  </w14:solidFill>
                </w14:textFill>
              </w:rPr>
              <w:t>10</w:t>
            </w:r>
            <w:r>
              <w:rPr>
                <w:rFonts w:hint="eastAsia" w:ascii="宋体"/>
                <w:color w:val="000000" w:themeColor="text1"/>
                <w:sz w:val="24"/>
                <w:szCs w:val="24"/>
                <w:highlight w:val="none"/>
                <w:lang w:val="en-US" w:eastAsia="zh-CN"/>
                <w14:textFill>
                  <w14:solidFill>
                    <w14:schemeClr w14:val="tx1"/>
                  </w14:solidFill>
                </w14:textFill>
              </w:rPr>
              <w:t>分）</w:t>
            </w:r>
          </w:p>
        </w:tc>
        <w:tc>
          <w:tcPr>
            <w:tcW w:w="6610" w:type="dxa"/>
            <w:vAlign w:val="center"/>
          </w:tcPr>
          <w:p w14:paraId="6F448DEF">
            <w:pPr>
              <w:wordWrap w:val="0"/>
              <w:spacing w:before="96" w:beforeLines="40" w:line="360" w:lineRule="auto"/>
              <w:rPr>
                <w:rFonts w:hint="eastAsia" w:ascii="宋体" w:hAnsi="宋体" w:eastAsia="宋体" w:cs="宋体"/>
                <w:color w:val="000000" w:themeColor="text1"/>
                <w:sz w:val="24"/>
                <w:szCs w:val="24"/>
                <w:u w:color="000000"/>
                <w:lang w:val="zh-TW" w:eastAsia="zh-TW"/>
                <w14:textFill>
                  <w14:solidFill>
                    <w14:schemeClr w14:val="tx1"/>
                  </w14:solidFill>
                </w14:textFill>
              </w:rPr>
            </w:pPr>
            <w:r>
              <w:rPr>
                <w:rFonts w:hint="eastAsia" w:ascii="宋体" w:hAnsi="宋体" w:eastAsia="宋体" w:cs="宋体"/>
                <w:color w:val="000000" w:themeColor="text1"/>
                <w:sz w:val="24"/>
                <w:szCs w:val="24"/>
                <w:u w:color="000000"/>
                <w:lang w:val="en-US" w:eastAsia="zh-CN"/>
                <w14:textFill>
                  <w14:solidFill>
                    <w14:schemeClr w14:val="tx1"/>
                  </w14:solidFill>
                </w14:textFill>
              </w:rPr>
              <w:t>1.</w:t>
            </w:r>
            <w:r>
              <w:rPr>
                <w:rFonts w:hint="eastAsia" w:ascii="宋体" w:hAnsi="宋体" w:eastAsia="宋体" w:cs="宋体"/>
                <w:color w:val="000000" w:themeColor="text1"/>
                <w:sz w:val="24"/>
                <w:szCs w:val="24"/>
                <w:u w:color="000000"/>
                <w:lang w:val="zh-TW" w:eastAsia="zh-TW"/>
                <w14:textFill>
                  <w14:solidFill>
                    <w14:schemeClr w14:val="tx1"/>
                  </w14:solidFill>
                </w14:textFill>
              </w:rPr>
              <w:t>项目团队人员配备经验丰富，专业搭配齐全、合理，职责描述清晰、具体，符合项目实际要求，针对性强</w:t>
            </w:r>
            <w:r>
              <w:rPr>
                <w:rFonts w:hint="eastAsia" w:ascii="宋体" w:hAnsi="宋体" w:cs="宋体"/>
                <w:color w:val="auto"/>
                <w:sz w:val="24"/>
                <w:highlight w:val="none"/>
              </w:rPr>
              <w:t>得1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分</w:t>
            </w:r>
            <w:r>
              <w:rPr>
                <w:rFonts w:hint="eastAsia" w:ascii="宋体" w:hAnsi="宋体" w:eastAsia="宋体" w:cs="宋体"/>
                <w:color w:val="000000" w:themeColor="text1"/>
                <w:sz w:val="24"/>
                <w:szCs w:val="24"/>
                <w:u w:color="000000"/>
                <w:lang w:val="zh-TW" w:eastAsia="zh-TW"/>
                <w14:textFill>
                  <w14:solidFill>
                    <w14:schemeClr w14:val="tx1"/>
                  </w14:solidFill>
                </w14:textFill>
              </w:rPr>
              <w:t>；</w:t>
            </w:r>
          </w:p>
          <w:p w14:paraId="694698D9">
            <w:pPr>
              <w:wordWrap w:val="0"/>
              <w:spacing w:before="96" w:beforeLines="40" w:line="360" w:lineRule="auto"/>
              <w:rPr>
                <w:rFonts w:hint="eastAsia" w:ascii="宋体" w:hAnsi="宋体" w:eastAsia="宋体" w:cs="宋体"/>
                <w:color w:val="000000" w:themeColor="text1"/>
                <w:sz w:val="24"/>
                <w:szCs w:val="24"/>
                <w:u w:color="000000"/>
                <w:lang w:val="zh-TW" w:eastAsia="zh-TW"/>
                <w14:textFill>
                  <w14:solidFill>
                    <w14:schemeClr w14:val="tx1"/>
                  </w14:solidFill>
                </w14:textFill>
              </w:rPr>
            </w:pPr>
            <w:r>
              <w:rPr>
                <w:rFonts w:hint="eastAsia" w:ascii="宋体" w:hAnsi="宋体" w:eastAsia="宋体" w:cs="宋体"/>
                <w:color w:val="000000" w:themeColor="text1"/>
                <w:sz w:val="24"/>
                <w:szCs w:val="24"/>
                <w:u w:color="000000"/>
                <w:lang w:val="en-US" w:eastAsia="zh-CN"/>
                <w14:textFill>
                  <w14:solidFill>
                    <w14:schemeClr w14:val="tx1"/>
                  </w14:solidFill>
                </w14:textFill>
              </w:rPr>
              <w:t>2.</w:t>
            </w:r>
            <w:r>
              <w:rPr>
                <w:rFonts w:hint="eastAsia" w:ascii="宋体" w:hAnsi="宋体" w:eastAsia="宋体" w:cs="宋体"/>
                <w:color w:val="000000" w:themeColor="text1"/>
                <w:sz w:val="24"/>
                <w:szCs w:val="24"/>
                <w:u w:color="000000"/>
                <w:lang w:val="zh-TW" w:eastAsia="zh-TW"/>
                <w14:textFill>
                  <w14:solidFill>
                    <w14:schemeClr w14:val="tx1"/>
                  </w14:solidFill>
                </w14:textFill>
              </w:rPr>
              <w:t>项目团队人员配备经验较丰富，专业搭配较齐全，职责描述较清晰，较符合项目实际，针对性较强</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分</w:t>
            </w:r>
            <w:r>
              <w:rPr>
                <w:rFonts w:hint="eastAsia" w:ascii="宋体" w:hAnsi="宋体" w:eastAsia="宋体" w:cs="宋体"/>
                <w:color w:val="000000" w:themeColor="text1"/>
                <w:sz w:val="24"/>
                <w:szCs w:val="24"/>
                <w:u w:color="000000"/>
                <w:lang w:val="zh-TW" w:eastAsia="zh-TW"/>
                <w14:textFill>
                  <w14:solidFill>
                    <w14:schemeClr w14:val="tx1"/>
                  </w14:solidFill>
                </w14:textFill>
              </w:rPr>
              <w:t xml:space="preserve">； </w:t>
            </w:r>
          </w:p>
          <w:p w14:paraId="0BDB1B51">
            <w:pPr>
              <w:wordWrap w:val="0"/>
              <w:spacing w:before="96" w:beforeLines="40" w:line="360" w:lineRule="auto"/>
              <w:rPr>
                <w:rFonts w:hint="eastAsia" w:ascii="宋体" w:hAnsi="宋体" w:eastAsia="宋体" w:cs="宋体"/>
                <w:color w:val="000000" w:themeColor="text1"/>
                <w:sz w:val="24"/>
                <w:szCs w:val="24"/>
                <w:u w:color="000000"/>
                <w:lang w:val="zh-TW" w:eastAsia="zh-TW"/>
                <w14:textFill>
                  <w14:solidFill>
                    <w14:schemeClr w14:val="tx1"/>
                  </w14:solidFill>
                </w14:textFill>
              </w:rPr>
            </w:pPr>
            <w:r>
              <w:rPr>
                <w:rFonts w:hint="eastAsia" w:ascii="宋体" w:hAnsi="宋体" w:eastAsia="宋体" w:cs="宋体"/>
                <w:color w:val="000000" w:themeColor="text1"/>
                <w:sz w:val="24"/>
                <w:szCs w:val="24"/>
                <w:u w:color="000000"/>
                <w:lang w:val="en-US" w:eastAsia="zh-CN"/>
                <w14:textFill>
                  <w14:solidFill>
                    <w14:schemeClr w14:val="tx1"/>
                  </w14:solidFill>
                </w14:textFill>
              </w:rPr>
              <w:t>3.</w:t>
            </w:r>
            <w:r>
              <w:rPr>
                <w:rFonts w:hint="eastAsia" w:ascii="宋体" w:hAnsi="宋体" w:eastAsia="宋体" w:cs="宋体"/>
                <w:color w:val="000000" w:themeColor="text1"/>
                <w:sz w:val="24"/>
                <w:szCs w:val="24"/>
                <w:u w:color="000000"/>
                <w:lang w:val="zh-TW" w:eastAsia="zh-TW"/>
                <w14:textFill>
                  <w14:solidFill>
                    <w14:schemeClr w14:val="tx1"/>
                  </w14:solidFill>
                </w14:textFill>
              </w:rPr>
              <w:t>项目团队人员配备经验一般，专业搭配基本齐全，职责描述一般，基本符合项目实际的</w:t>
            </w:r>
            <w:r>
              <w:rPr>
                <w:rFonts w:hint="eastAsia" w:ascii="宋体" w:hAnsi="宋体" w:cs="宋体"/>
                <w:color w:val="auto"/>
                <w:sz w:val="24"/>
                <w:highlight w:val="none"/>
              </w:rPr>
              <w:t>得</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分</w:t>
            </w:r>
            <w:r>
              <w:rPr>
                <w:rFonts w:hint="eastAsia" w:ascii="宋体" w:hAnsi="宋体" w:eastAsia="宋体" w:cs="宋体"/>
                <w:color w:val="000000" w:themeColor="text1"/>
                <w:sz w:val="24"/>
                <w:szCs w:val="24"/>
                <w:u w:color="000000"/>
                <w:lang w:val="zh-TW" w:eastAsia="zh-TW"/>
                <w14:textFill>
                  <w14:solidFill>
                    <w14:schemeClr w14:val="tx1"/>
                  </w14:solidFill>
                </w14:textFill>
              </w:rPr>
              <w:t>；</w:t>
            </w:r>
          </w:p>
          <w:p w14:paraId="70323020">
            <w:pPr>
              <w:pStyle w:val="99"/>
              <w:spacing w:line="500" w:lineRule="exact"/>
              <w:jc w:val="lef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themeColor="text1"/>
                <w:sz w:val="24"/>
                <w:szCs w:val="24"/>
                <w:u w:color="000000"/>
                <w:lang w:val="en-US" w:eastAsia="zh-CN"/>
                <w14:textFill>
                  <w14:solidFill>
                    <w14:schemeClr w14:val="tx1"/>
                  </w14:solidFill>
                </w14:textFill>
              </w:rPr>
              <w:t>注</w:t>
            </w:r>
            <w:r>
              <w:rPr>
                <w:rFonts w:hint="eastAsia" w:ascii="宋体" w:hAnsi="宋体" w:eastAsia="宋体" w:cs="宋体"/>
                <w:color w:val="000000" w:themeColor="text1"/>
                <w:sz w:val="24"/>
                <w:szCs w:val="24"/>
                <w:u w:color="000000"/>
                <w:lang w:val="zh-TW" w:eastAsia="zh-TW"/>
                <w14:textFill>
                  <w14:solidFill>
                    <w14:schemeClr w14:val="tx1"/>
                  </w14:solidFill>
                </w14:textFill>
              </w:rPr>
              <w:t>：</w:t>
            </w:r>
            <w:r>
              <w:rPr>
                <w:rFonts w:hint="eastAsia" w:ascii="宋体" w:hAnsi="宋体" w:eastAsia="宋体" w:cs="宋体"/>
                <w:color w:val="000000" w:themeColor="text1"/>
                <w:sz w:val="24"/>
                <w:szCs w:val="24"/>
                <w:u w:color="000000"/>
                <w:lang w:val="en-US" w:eastAsia="zh-CN"/>
                <w14:textFill>
                  <w14:solidFill>
                    <w14:schemeClr w14:val="tx1"/>
                  </w14:solidFill>
                </w14:textFill>
              </w:rPr>
              <w:t>响应文件中须提供人员配备表及相对应人员资料扫描件，人员资料包括身份证、职称证、专业技术职业资格、资质。（无人员资料或人员资料不明确、无法体现对应内容的，不予认可）。</w:t>
            </w:r>
          </w:p>
        </w:tc>
      </w:tr>
      <w:tr w14:paraId="5669C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trPr>
        <w:tc>
          <w:tcPr>
            <w:tcW w:w="1682" w:type="dxa"/>
            <w:vMerge w:val="continue"/>
            <w:vAlign w:val="center"/>
          </w:tcPr>
          <w:p w14:paraId="4452DA25">
            <w:pPr>
              <w:shd w:val="clear" w:color="auto" w:fill="auto"/>
              <w:spacing w:line="400" w:lineRule="exact"/>
              <w:rPr>
                <w:rFonts w:hint="eastAsia" w:ascii="宋体" w:hAnsi="宋体" w:eastAsia="宋体" w:cs="宋体"/>
                <w:color w:val="000000"/>
                <w:sz w:val="24"/>
                <w:szCs w:val="24"/>
                <w:highlight w:val="yellow"/>
              </w:rPr>
            </w:pPr>
          </w:p>
        </w:tc>
        <w:tc>
          <w:tcPr>
            <w:tcW w:w="1564" w:type="dxa"/>
            <w:vAlign w:val="center"/>
          </w:tcPr>
          <w:p w14:paraId="3F4B5DE6">
            <w:pPr>
              <w:spacing w:line="360" w:lineRule="auto"/>
              <w:jc w:val="left"/>
              <w:rPr>
                <w:rFonts w:hint="eastAsia" w:ascii="宋体" w:hAnsi="宋体" w:eastAsia="宋体" w:cs="宋体"/>
                <w:sz w:val="24"/>
                <w:lang w:eastAsia="zh-CN"/>
              </w:rPr>
            </w:pPr>
            <w:r>
              <w:rPr>
                <w:rFonts w:hint="eastAsia" w:ascii="宋体" w:hAnsi="宋体" w:eastAsia="宋体" w:cs="宋体"/>
                <w:sz w:val="24"/>
              </w:rPr>
              <w:t>设备、仪器配置及投入计划</w:t>
            </w:r>
            <w:r>
              <w:rPr>
                <w:rFonts w:hint="eastAsia" w:ascii="宋体" w:hAnsi="宋体" w:eastAsia="宋体" w:cs="宋体"/>
                <w:sz w:val="24"/>
                <w:lang w:eastAsia="zh-CN"/>
              </w:rPr>
              <w:t>（</w:t>
            </w:r>
            <w:r>
              <w:rPr>
                <w:rFonts w:hint="eastAsia" w:ascii="宋体" w:hAnsi="宋体" w:eastAsia="宋体" w:cs="宋体"/>
                <w:sz w:val="24"/>
                <w:lang w:val="en-US" w:eastAsia="zh-CN"/>
              </w:rPr>
              <w:t>满分10分</w:t>
            </w:r>
            <w:r>
              <w:rPr>
                <w:rFonts w:hint="eastAsia" w:ascii="宋体" w:hAnsi="宋体" w:eastAsia="宋体" w:cs="宋体"/>
                <w:sz w:val="24"/>
                <w:lang w:eastAsia="zh-CN"/>
              </w:rPr>
              <w:t>）</w:t>
            </w:r>
          </w:p>
          <w:p w14:paraId="0BDF4D85">
            <w:pPr>
              <w:pageBreakBefore w:val="0"/>
              <w:wordWrap/>
              <w:overflowPunct/>
              <w:topLinePunct w:val="0"/>
              <w:bidi w:val="0"/>
              <w:spacing w:line="500" w:lineRule="exact"/>
              <w:jc w:val="center"/>
              <w:textAlignment w:val="auto"/>
              <w:rPr>
                <w:rFonts w:hint="eastAsia" w:ascii="宋体" w:hAnsi="宋体" w:eastAsia="宋体" w:cs="宋体"/>
                <w:color w:val="auto"/>
                <w:sz w:val="24"/>
                <w:szCs w:val="24"/>
                <w:highlight w:val="none"/>
                <w:lang w:val="en-US" w:eastAsia="zh-CN" w:bidi="ar-SA"/>
              </w:rPr>
            </w:pPr>
          </w:p>
        </w:tc>
        <w:tc>
          <w:tcPr>
            <w:tcW w:w="6610" w:type="dxa"/>
            <w:vAlign w:val="center"/>
          </w:tcPr>
          <w:p w14:paraId="5FE3D95C">
            <w:pPr>
              <w:spacing w:line="360" w:lineRule="auto"/>
              <w:jc w:val="left"/>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技术装备性能良好，配备周全、合理、科学，投入计划与工作进度计划呼应，能满足各阶段测量工作要求的得</w:t>
            </w:r>
            <w:r>
              <w:rPr>
                <w:rFonts w:hint="eastAsia" w:ascii="宋体" w:hAnsi="宋体" w:cs="宋体"/>
                <w:sz w:val="24"/>
                <w:lang w:val="en-US" w:eastAsia="zh-CN"/>
              </w:rPr>
              <w:t>10</w:t>
            </w:r>
            <w:r>
              <w:rPr>
                <w:rFonts w:hint="eastAsia" w:ascii="宋体" w:hAnsi="宋体" w:cs="宋体"/>
                <w:sz w:val="24"/>
              </w:rPr>
              <w:t>分。</w:t>
            </w:r>
          </w:p>
          <w:p w14:paraId="423AFE23">
            <w:pPr>
              <w:spacing w:line="360" w:lineRule="auto"/>
              <w:jc w:val="left"/>
              <w:rPr>
                <w:rFonts w:hint="eastAsia" w:ascii="宋体" w:hAnsi="宋体" w:cs="宋体"/>
                <w:sz w:val="24"/>
              </w:rPr>
            </w:pPr>
            <w:r>
              <w:rPr>
                <w:rFonts w:hint="eastAsia" w:ascii="宋体" w:hAnsi="宋体" w:cs="宋体"/>
                <w:sz w:val="24"/>
                <w:lang w:val="en-US" w:eastAsia="zh-CN"/>
              </w:rPr>
              <w:t>2.</w:t>
            </w:r>
            <w:r>
              <w:rPr>
                <w:rFonts w:hint="eastAsia" w:ascii="宋体" w:hAnsi="宋体" w:cs="宋体"/>
                <w:sz w:val="24"/>
              </w:rPr>
              <w:t>技术装备性能、配备基本合理，投入计划基本能满足工作要求，但有所欠缺的得</w:t>
            </w:r>
            <w:r>
              <w:rPr>
                <w:rFonts w:hint="eastAsia" w:ascii="宋体" w:hAnsi="宋体" w:cs="宋体"/>
                <w:sz w:val="24"/>
                <w:lang w:val="en-US" w:eastAsia="zh-CN"/>
              </w:rPr>
              <w:t>6</w:t>
            </w:r>
            <w:r>
              <w:rPr>
                <w:rFonts w:hint="eastAsia" w:ascii="宋体" w:hAnsi="宋体" w:cs="宋体"/>
                <w:sz w:val="24"/>
              </w:rPr>
              <w:t>分。</w:t>
            </w:r>
          </w:p>
          <w:p w14:paraId="53F25864">
            <w:pPr>
              <w:pageBreakBefore w:val="0"/>
              <w:wordWrap/>
              <w:overflowPunct/>
              <w:topLinePunct w:val="0"/>
              <w:bidi w:val="0"/>
              <w:spacing w:line="500" w:lineRule="exact"/>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cs="宋体"/>
                <w:sz w:val="24"/>
                <w:lang w:val="en-US" w:eastAsia="zh-CN"/>
              </w:rPr>
              <w:t>3.</w:t>
            </w:r>
            <w:r>
              <w:rPr>
                <w:rFonts w:hint="eastAsia" w:ascii="宋体" w:hAnsi="宋体" w:cs="宋体"/>
                <w:sz w:val="24"/>
              </w:rPr>
              <w:t>技术装备性能、配备有所不足，投入计划有所欠缺的得</w:t>
            </w:r>
            <w:r>
              <w:rPr>
                <w:rFonts w:hint="eastAsia" w:ascii="宋体" w:hAnsi="宋体" w:cs="宋体"/>
                <w:sz w:val="24"/>
                <w:lang w:val="en-US" w:eastAsia="zh-CN"/>
              </w:rPr>
              <w:t>3</w:t>
            </w:r>
            <w:r>
              <w:rPr>
                <w:rFonts w:hint="eastAsia" w:ascii="宋体" w:hAnsi="宋体" w:cs="宋体"/>
                <w:sz w:val="24"/>
              </w:rPr>
              <w:t>分。</w:t>
            </w:r>
          </w:p>
        </w:tc>
      </w:tr>
      <w:tr w14:paraId="6E8DB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82" w:type="dxa"/>
            <w:vAlign w:val="center"/>
          </w:tcPr>
          <w:p w14:paraId="5A51CBC3">
            <w:pPr>
              <w:shd w:val="clear" w:color="auto" w:fill="auto"/>
              <w:spacing w:line="400" w:lineRule="exact"/>
              <w:rPr>
                <w:rFonts w:hint="eastAsia" w:ascii="宋体" w:hAnsi="宋体" w:eastAsia="宋体" w:cs="宋体"/>
                <w:color w:val="000000"/>
                <w:sz w:val="24"/>
                <w:szCs w:val="24"/>
                <w:highlight w:val="yellow"/>
              </w:rPr>
            </w:pPr>
          </w:p>
        </w:tc>
        <w:tc>
          <w:tcPr>
            <w:tcW w:w="1564" w:type="dxa"/>
            <w:vAlign w:val="center"/>
          </w:tcPr>
          <w:p w14:paraId="3934615A">
            <w:pPr>
              <w:spacing w:line="360" w:lineRule="auto"/>
              <w:jc w:val="center"/>
              <w:rPr>
                <w:rFonts w:hint="eastAsia" w:ascii="宋体" w:hAnsi="宋体" w:eastAsia="宋体" w:cs="宋体"/>
                <w:b w:val="0"/>
                <w:bCs w:val="0"/>
                <w:sz w:val="24"/>
                <w:lang w:eastAsia="zh-CN"/>
              </w:rPr>
            </w:pPr>
            <w:r>
              <w:rPr>
                <w:rFonts w:hint="eastAsia" w:ascii="宋体" w:hAnsi="宋体" w:cs="宋体"/>
                <w:b w:val="0"/>
                <w:bCs w:val="0"/>
                <w:sz w:val="24"/>
              </w:rPr>
              <w:t>后续服务承诺及保证措施</w:t>
            </w:r>
            <w:r>
              <w:rPr>
                <w:rFonts w:hint="eastAsia" w:ascii="宋体" w:hAnsi="宋体" w:cs="宋体"/>
                <w:b w:val="0"/>
                <w:bCs w:val="0"/>
                <w:sz w:val="24"/>
                <w:lang w:eastAsia="zh-CN"/>
              </w:rPr>
              <w:t>（</w:t>
            </w:r>
            <w:r>
              <w:rPr>
                <w:rFonts w:hint="eastAsia" w:ascii="宋体" w:hAnsi="宋体" w:cs="宋体"/>
                <w:b w:val="0"/>
                <w:bCs w:val="0"/>
                <w:sz w:val="24"/>
                <w:lang w:val="en-US" w:eastAsia="zh-CN"/>
              </w:rPr>
              <w:t>满分10分</w:t>
            </w:r>
            <w:r>
              <w:rPr>
                <w:rFonts w:hint="eastAsia" w:ascii="宋体" w:hAnsi="宋体" w:cs="宋体"/>
                <w:b w:val="0"/>
                <w:bCs w:val="0"/>
                <w:sz w:val="24"/>
                <w:lang w:eastAsia="zh-CN"/>
              </w:rPr>
              <w:t>）</w:t>
            </w:r>
          </w:p>
          <w:p w14:paraId="5CEB76EC">
            <w:pPr>
              <w:spacing w:line="360" w:lineRule="auto"/>
              <w:jc w:val="center"/>
              <w:rPr>
                <w:rFonts w:hint="eastAsia" w:ascii="宋体" w:hAnsi="宋体" w:cs="宋体"/>
                <w:b/>
                <w:bCs/>
                <w:sz w:val="24"/>
              </w:rPr>
            </w:pPr>
          </w:p>
          <w:p w14:paraId="7B2A1E7B">
            <w:pPr>
              <w:shd w:val="clear" w:color="auto" w:fill="auto"/>
              <w:spacing w:line="400" w:lineRule="exact"/>
              <w:jc w:val="center"/>
              <w:rPr>
                <w:rFonts w:hint="eastAsia" w:ascii="宋体" w:hAnsi="宋体" w:eastAsia="宋体" w:cs="宋体"/>
                <w:b/>
                <w:bCs/>
                <w:color w:val="000000"/>
                <w:sz w:val="24"/>
                <w:szCs w:val="24"/>
                <w:highlight w:val="none"/>
                <w:lang w:val="en-US" w:eastAsia="zh-CN" w:bidi="ar-SA"/>
              </w:rPr>
            </w:pPr>
          </w:p>
        </w:tc>
        <w:tc>
          <w:tcPr>
            <w:tcW w:w="6610" w:type="dxa"/>
            <w:vAlign w:val="center"/>
          </w:tcPr>
          <w:p w14:paraId="60A56F97">
            <w:pPr>
              <w:keepNext w:val="0"/>
              <w:keepLines w:val="0"/>
              <w:pageBreakBefore w:val="0"/>
              <w:widowControl w:val="0"/>
              <w:kinsoku/>
              <w:wordWrap/>
              <w:overflowPunct/>
              <w:topLinePunct w:val="0"/>
              <w:autoSpaceDE/>
              <w:autoSpaceDN/>
              <w:bidi w:val="0"/>
              <w:adjustRightInd/>
              <w:snapToGrid/>
              <w:spacing w:before="0" w:after="0" w:line="440" w:lineRule="exact"/>
              <w:ind w:right="0" w:rightChars="0"/>
              <w:jc w:val="both"/>
              <w:textAlignment w:val="auto"/>
              <w:outlineLvl w:val="9"/>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val="en-US" w:eastAsia="zh-CN"/>
              </w:rPr>
              <w:t>后期服务能力强，有长期、稳定的技术团队，能提供本地化、近距离快速响应后期服务的方案，所承诺的后期服务计划内容全面，保证措施、违约承诺详细，计划完善、组织合理的，能较好的满足招标人需求的得10分；</w:t>
            </w:r>
          </w:p>
          <w:p w14:paraId="26A410B5">
            <w:pPr>
              <w:keepNext w:val="0"/>
              <w:keepLines w:val="0"/>
              <w:pageBreakBefore w:val="0"/>
              <w:widowControl w:val="0"/>
              <w:kinsoku/>
              <w:wordWrap/>
              <w:overflowPunct/>
              <w:topLinePunct w:val="0"/>
              <w:autoSpaceDE/>
              <w:autoSpaceDN/>
              <w:bidi w:val="0"/>
              <w:adjustRightInd/>
              <w:snapToGrid/>
              <w:spacing w:before="0" w:after="0" w:line="440" w:lineRule="exact"/>
              <w:ind w:right="0" w:rightChars="0"/>
              <w:jc w:val="both"/>
              <w:textAlignment w:val="auto"/>
              <w:outlineLvl w:val="9"/>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后期服务能力较强，有长期、稳定的技术团队，能提供本地化、近距离快速响应后期服务的方案，所承诺的后期服务计划内容较全面，保证措施、违约承诺较详细，计划完善、组织合理的，基本满足招标人需求的的得6分；</w:t>
            </w:r>
          </w:p>
          <w:p w14:paraId="085EE584">
            <w:pPr>
              <w:shd w:val="clear" w:color="auto" w:fill="auto"/>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后期服务能力一般，有长期、稳定的技术团队，能提供本地化、近距离快速响应后期服务的方案，售后巡检承诺相对齐全，能较好的满足招标人需求，可操作性不强，处罚措施不明确具体的得3分。</w:t>
            </w:r>
          </w:p>
        </w:tc>
      </w:tr>
      <w:tr w14:paraId="6217B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4" w:hRule="atLeast"/>
        </w:trPr>
        <w:tc>
          <w:tcPr>
            <w:tcW w:w="1682" w:type="dxa"/>
            <w:vAlign w:val="center"/>
          </w:tcPr>
          <w:p w14:paraId="7D88CD71">
            <w:pPr>
              <w:shd w:val="clear" w:color="auto" w:fill="auto"/>
              <w:spacing w:line="400" w:lineRule="exact"/>
              <w:rPr>
                <w:rFonts w:hint="eastAsia" w:ascii="宋体" w:hAnsi="宋体" w:eastAsia="宋体" w:cs="宋体"/>
                <w:color w:val="000000"/>
                <w:sz w:val="24"/>
                <w:szCs w:val="24"/>
                <w:highlight w:val="yellow"/>
              </w:rPr>
            </w:pPr>
          </w:p>
        </w:tc>
        <w:tc>
          <w:tcPr>
            <w:tcW w:w="1564" w:type="dxa"/>
            <w:shd w:val="clear" w:color="auto" w:fill="auto"/>
            <w:vAlign w:val="center"/>
          </w:tcPr>
          <w:p w14:paraId="0BCA7186">
            <w:pPr>
              <w:shd w:val="clear" w:color="auto" w:fill="auto"/>
              <w:spacing w:line="400" w:lineRule="exact"/>
              <w:jc w:val="center"/>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类似项目业绩评审（满分5分）</w:t>
            </w:r>
          </w:p>
        </w:tc>
        <w:tc>
          <w:tcPr>
            <w:tcW w:w="6610" w:type="dxa"/>
            <w:shd w:val="clear" w:color="auto" w:fill="auto"/>
            <w:vAlign w:val="center"/>
          </w:tcPr>
          <w:p w14:paraId="013DF233">
            <w:pPr>
              <w:keepNext w:val="0"/>
              <w:keepLines w:val="0"/>
              <w:pageBreakBefore w:val="0"/>
              <w:widowControl w:val="0"/>
              <w:kinsoku/>
              <w:wordWrap/>
              <w:overflowPunct/>
              <w:topLinePunct w:val="0"/>
              <w:autoSpaceDE/>
              <w:autoSpaceDN/>
              <w:bidi w:val="0"/>
              <w:snapToGrid/>
              <w:spacing w:line="360" w:lineRule="exact"/>
              <w:textAlignment w:va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投标人202</w:t>
            </w:r>
            <w:r>
              <w:rPr>
                <w:rFonts w:hint="eastAsia" w:ascii="宋体" w:hAnsi="宋体" w:cs="宋体"/>
                <w:color w:val="000000"/>
                <w:sz w:val="24"/>
                <w:szCs w:val="24"/>
                <w:highlight w:val="none"/>
                <w:lang w:val="en-US" w:eastAsia="zh-CN"/>
              </w:rPr>
              <w:t>2</w:t>
            </w:r>
            <w:r>
              <w:rPr>
                <w:rFonts w:hint="eastAsia" w:ascii="宋体" w:hAnsi="宋体" w:eastAsia="宋体" w:cs="宋体"/>
                <w:color w:val="000000"/>
                <w:sz w:val="24"/>
                <w:szCs w:val="24"/>
                <w:highlight w:val="none"/>
                <w:lang w:val="en-US" w:eastAsia="zh-CN"/>
              </w:rPr>
              <w:t>年1月1日至今完成1项</w:t>
            </w:r>
            <w:r>
              <w:rPr>
                <w:rFonts w:hint="eastAsia" w:ascii="宋体" w:hAnsi="宋体" w:cs="宋体"/>
                <w:color w:val="000000"/>
                <w:sz w:val="24"/>
                <w:szCs w:val="24"/>
                <w:highlight w:val="none"/>
                <w:lang w:val="en-US" w:eastAsia="zh-CN"/>
              </w:rPr>
              <w:t>类似</w:t>
            </w:r>
            <w:r>
              <w:rPr>
                <w:rFonts w:hint="eastAsia" w:ascii="宋体" w:hAnsi="宋体" w:eastAsia="宋体" w:cs="宋体"/>
                <w:color w:val="000000"/>
                <w:sz w:val="24"/>
                <w:szCs w:val="24"/>
                <w:highlight w:val="none"/>
                <w:lang w:val="en-US" w:eastAsia="zh-CN"/>
              </w:rPr>
              <w:t>业绩加1分，满分5分。</w:t>
            </w:r>
          </w:p>
          <w:p w14:paraId="796DD442">
            <w:pPr>
              <w:shd w:val="clear" w:color="auto" w:fill="auto"/>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rPr>
              <w:t>注：</w:t>
            </w:r>
            <w:r>
              <w:rPr>
                <w:rFonts w:hint="eastAsia" w:ascii="宋体" w:hAnsi="宋体" w:eastAsia="宋体" w:cs="宋体"/>
                <w:color w:val="000000"/>
                <w:sz w:val="24"/>
                <w:szCs w:val="24"/>
                <w:highlight w:val="none"/>
                <w:lang w:val="en-US" w:eastAsia="zh-CN"/>
              </w:rPr>
              <w:t>业绩证明材料为中标（成交）通知书或合同（合同首页、标的及金额所在页及合同签字盖章页的扫描件加盖公章）或供货对账单及发票。无证明材料或证明材料不明确、无法体现业绩内容的，不予认可。</w:t>
            </w:r>
          </w:p>
        </w:tc>
      </w:tr>
    </w:tbl>
    <w:p w14:paraId="2A5C9E6F">
      <w:pPr>
        <w:shd w:val="clear" w:color="auto" w:fill="auto"/>
        <w:spacing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（四）得分汇总</w:t>
      </w:r>
    </w:p>
    <w:p w14:paraId="77D96349">
      <w:pPr>
        <w:pStyle w:val="15"/>
        <w:shd w:val="clear" w:color="auto" w:fill="auto"/>
        <w:spacing w:line="4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1.评委应首先对各投标人投标文件进行评审，写出书面意见并按招标文件规定分值评分，各分档评分中间不得用插入法评分。</w:t>
      </w:r>
    </w:p>
    <w:p w14:paraId="2B93D4E4">
      <w:pPr>
        <w:pStyle w:val="15"/>
        <w:shd w:val="clear" w:color="auto" w:fill="auto"/>
        <w:spacing w:line="4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2.除投标价格得分（</w:t>
      </w:r>
      <w:r>
        <w:rPr>
          <w:rFonts w:hint="eastAsia" w:ascii="宋体" w:hAnsi="宋体" w:cs="宋体"/>
          <w:color w:val="000000"/>
          <w:spacing w:val="6"/>
          <w:sz w:val="24"/>
          <w:szCs w:val="24"/>
          <w:highlight w:val="none"/>
        </w:rPr>
        <w:t>F1</w:t>
      </w:r>
      <w:r>
        <w:rPr>
          <w:rFonts w:hint="eastAsia" w:ascii="宋体" w:hAnsi="宋体" w:cs="宋体"/>
          <w:color w:val="000000"/>
          <w:sz w:val="24"/>
          <w:szCs w:val="24"/>
          <w:highlight w:val="none"/>
        </w:rPr>
        <w:t>）外，其余部分由各评委自主评分并签字确认。</w:t>
      </w:r>
    </w:p>
    <w:p w14:paraId="442FD0C2">
      <w:pPr>
        <w:pStyle w:val="15"/>
        <w:shd w:val="clear" w:color="auto" w:fill="auto"/>
        <w:spacing w:line="4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3.统分原则：计算评委打分的算术平均值为投标人的该项评分因素的得分，投标报价得分除外（保留小数点后两位）。</w:t>
      </w:r>
    </w:p>
    <w:p w14:paraId="75851C82">
      <w:pPr>
        <w:pStyle w:val="15"/>
        <w:shd w:val="clear" w:color="auto" w:fill="auto"/>
        <w:spacing w:line="4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4.得分汇总：各项评分因素得分的总和即为投标人最后得分。</w:t>
      </w:r>
    </w:p>
    <w:p w14:paraId="359E1C92">
      <w:pPr>
        <w:pStyle w:val="15"/>
        <w:shd w:val="clear" w:color="auto" w:fill="auto"/>
        <w:spacing w:line="48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5.经评标委员会认定评分畸高、畸低的，评标委员会应当当场修改评标结果，并在评标报告中记载。</w:t>
      </w:r>
    </w:p>
    <w:p w14:paraId="4E069A0E">
      <w:pPr>
        <w:shd w:val="clear" w:color="auto" w:fill="auto"/>
        <w:spacing w:before="95" w:beforeLines="30" w:after="95" w:afterLines="30" w:line="500" w:lineRule="exact"/>
        <w:ind w:firstLine="482" w:firstLineChars="200"/>
        <w:rPr>
          <w:rFonts w:hint="eastAsia" w:ascii="宋体" w:hAnsi="宋体" w:eastAsia="宋体" w:cs="宋体"/>
          <w:color w:val="000000"/>
          <w:sz w:val="24"/>
          <w:szCs w:val="24"/>
          <w:highlight w:val="none"/>
        </w:rPr>
      </w:pPr>
      <w:r>
        <w:rPr>
          <w:rFonts w:hint="eastAsia" w:ascii="宋体" w:hAnsi="宋体" w:cs="宋体"/>
          <w:b/>
          <w:bCs/>
          <w:color w:val="000000"/>
          <w:sz w:val="24"/>
          <w:szCs w:val="24"/>
          <w:highlight w:val="none"/>
        </w:rPr>
        <w:t>七、推荐</w:t>
      </w:r>
    </w:p>
    <w:p w14:paraId="33A8295C">
      <w:pPr>
        <w:shd w:val="clear" w:color="auto" w:fill="auto"/>
        <w:autoSpaceDE w:val="0"/>
        <w:autoSpaceDN w:val="0"/>
        <w:spacing w:line="46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评标委员会按得分汇总计算出各投标人的总得分，评标结果按评审后总得分由高到低顺序排列。</w:t>
      </w:r>
    </w:p>
    <w:p w14:paraId="2D768549">
      <w:pPr>
        <w:shd w:val="clear" w:color="auto" w:fill="auto"/>
        <w:autoSpaceDE w:val="0"/>
        <w:autoSpaceDN w:val="0"/>
        <w:spacing w:line="46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总得分相同的，按投标报价由低到高顺序排列。得分且投标报价相同的并列。投标文件满足招标文件全部实质性要求，且按照评审因素的量化指标评审得分最高的投标人为排名第一的中标候选人。若量化指标评审得分仍然相同，</w:t>
      </w:r>
      <w:r>
        <w:rPr>
          <w:rFonts w:hint="eastAsia" w:ascii="宋体" w:hAnsi="宋体" w:cs="宋体"/>
          <w:color w:val="000000"/>
          <w:sz w:val="24"/>
          <w:highlight w:val="none"/>
        </w:rPr>
        <w:t>评标委员会采用投票方式以少数服从多数的原则</w:t>
      </w:r>
      <w:r>
        <w:rPr>
          <w:rFonts w:hint="eastAsia" w:ascii="宋体" w:hAnsi="宋体" w:cs="宋体"/>
          <w:color w:val="000000"/>
          <w:sz w:val="24"/>
          <w:szCs w:val="24"/>
          <w:highlight w:val="none"/>
        </w:rPr>
        <w:t>确定中标候选人排序，其他同品牌投标人不作为中标候选人。</w:t>
      </w:r>
    </w:p>
    <w:p w14:paraId="38FA00F7">
      <w:pPr>
        <w:shd w:val="clear" w:color="auto" w:fill="auto"/>
        <w:spacing w:before="95" w:beforeLines="30" w:after="95" w:afterLines="30" w:line="500" w:lineRule="exact"/>
        <w:ind w:firstLine="482" w:firstLineChars="200"/>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八、评标报告编写</w:t>
      </w:r>
    </w:p>
    <w:p w14:paraId="20007A4C">
      <w:pPr>
        <w:shd w:val="clear" w:color="auto" w:fill="auto"/>
        <w:autoSpaceDE w:val="0"/>
        <w:autoSpaceDN w:val="0"/>
        <w:spacing w:line="460" w:lineRule="exact"/>
        <w:ind w:firstLine="480" w:firstLineChars="200"/>
        <w:rPr>
          <w:rFonts w:hint="eastAsia" w:ascii="宋体" w:hAnsi="宋体" w:cs="宋体"/>
          <w:color w:val="000000"/>
          <w:sz w:val="24"/>
          <w:szCs w:val="24"/>
          <w:highlight w:val="none"/>
        </w:rPr>
      </w:pPr>
      <w:r>
        <w:rPr>
          <w:rFonts w:hint="eastAsia" w:ascii="宋体" w:hAnsi="宋体" w:cs="宋体"/>
          <w:color w:val="000000"/>
          <w:sz w:val="24"/>
          <w:szCs w:val="24"/>
          <w:highlight w:val="none"/>
        </w:rPr>
        <w:t>评标委员会根据全体评标成员签字的原始评标记录和评标结果编写评标报告。</w:t>
      </w:r>
      <w:bookmarkStart w:id="314" w:name="_Toc12254"/>
      <w:bookmarkEnd w:id="314"/>
      <w:bookmarkStart w:id="315" w:name="_Toc468"/>
      <w:bookmarkEnd w:id="315"/>
    </w:p>
    <w:p w14:paraId="1EF4D79B">
      <w:pPr>
        <w:pStyle w:val="4"/>
        <w:shd w:val="clear" w:color="auto" w:fill="auto"/>
        <w:spacing w:before="240" w:after="240" w:line="360" w:lineRule="auto"/>
        <w:rPr>
          <w:kern w:val="2"/>
          <w:sz w:val="21"/>
          <w:szCs w:val="22"/>
        </w:rPr>
      </w:pPr>
      <w:r>
        <w:rPr>
          <w:rFonts w:hint="eastAsia"/>
          <w:highlight w:val="none"/>
        </w:rPr>
        <w:br w:type="page"/>
      </w:r>
      <w:bookmarkStart w:id="316" w:name="_Toc24910"/>
      <w:bookmarkStart w:id="317" w:name="_Toc14612"/>
      <w:r>
        <w:rPr>
          <w:rFonts w:hint="eastAsia" w:ascii="宋体" w:hAnsi="宋体" w:cs="宋体"/>
          <w:sz w:val="24"/>
          <w:szCs w:val="24"/>
          <w:highlight w:val="none"/>
        </w:rPr>
        <w:t>附件：评标办法附件（失信主体惩戒）</w:t>
      </w:r>
      <w:bookmarkEnd w:id="316"/>
      <w:bookmarkEnd w:id="317"/>
    </w:p>
    <w:p w14:paraId="2EBDF032">
      <w:pPr>
        <w:pStyle w:val="97"/>
        <w:ind w:firstLine="420" w:firstLineChars="200"/>
        <w:jc w:val="left"/>
        <w:rPr>
          <w:kern w:val="2"/>
          <w:sz w:val="21"/>
          <w:szCs w:val="22"/>
        </w:rPr>
      </w:pPr>
      <w:r>
        <w:rPr>
          <w:rFonts w:hint="eastAsia"/>
          <w:kern w:val="2"/>
          <w:sz w:val="21"/>
          <w:szCs w:val="22"/>
        </w:rPr>
        <w:t>按照《昆明市严重失信主体公共资源交易领域惩戒实施细则》（昆政规【2019】2号）执行。由投标人通过失信信息材料来源：（1）行政机关认定的失信黑名单或者依法作出的行政处罚决定；（2）“信用中国”（www.creditchina.gov.cn）、“信用中国（云南）”（http://www.yncredit.gov.cn/）、“信用中国（云南昆明）”（http://credit.km.gov.cn/）；（3）国家企业信用信息公示系统（http://www.gsxt.gov.cn/）；（4）云南省政府购买服务信息平台。提供失信信息材料。</w:t>
      </w:r>
    </w:p>
    <w:p w14:paraId="53F1FC40">
      <w:pPr>
        <w:pStyle w:val="97"/>
        <w:ind w:firstLine="420" w:firstLineChars="200"/>
        <w:jc w:val="left"/>
        <w:rPr>
          <w:kern w:val="2"/>
          <w:sz w:val="21"/>
          <w:szCs w:val="22"/>
        </w:rPr>
      </w:pPr>
      <w:r>
        <w:rPr>
          <w:rFonts w:hint="eastAsia"/>
          <w:kern w:val="2"/>
          <w:sz w:val="21"/>
          <w:szCs w:val="22"/>
        </w:rPr>
        <w:t>投标人上传的投标文件中，应当包括截止至上传当天的失信信息材料。对被列入严重失信主体的惩戒标准如下：</w:t>
      </w:r>
    </w:p>
    <w:p w14:paraId="58DAFB81">
      <w:pPr>
        <w:pStyle w:val="97"/>
        <w:ind w:firstLine="420" w:firstLineChars="200"/>
        <w:jc w:val="left"/>
        <w:rPr>
          <w:kern w:val="2"/>
          <w:sz w:val="21"/>
          <w:szCs w:val="22"/>
        </w:rPr>
      </w:pPr>
      <w:r>
        <w:rPr>
          <w:rFonts w:hint="eastAsia"/>
          <w:kern w:val="2"/>
          <w:sz w:val="21"/>
          <w:szCs w:val="22"/>
        </w:rPr>
        <w:t>在公共资源交易领域中采用综合评估法评审的项目，招标人应当在评标办法中明确按照下列规定实施惩戒：</w:t>
      </w:r>
    </w:p>
    <w:p w14:paraId="32CFACF8">
      <w:pPr>
        <w:pStyle w:val="97"/>
        <w:ind w:firstLine="420" w:firstLineChars="200"/>
        <w:jc w:val="left"/>
        <w:rPr>
          <w:kern w:val="2"/>
          <w:sz w:val="21"/>
          <w:szCs w:val="22"/>
        </w:rPr>
      </w:pPr>
      <w:r>
        <w:rPr>
          <w:rFonts w:hint="eastAsia"/>
          <w:kern w:val="2"/>
          <w:sz w:val="21"/>
          <w:szCs w:val="22"/>
        </w:rPr>
        <w:t>（一）记录期限为</w:t>
      </w:r>
      <w:r>
        <w:rPr>
          <w:kern w:val="2"/>
          <w:sz w:val="21"/>
          <w:szCs w:val="22"/>
        </w:rPr>
        <w:t>6</w:t>
      </w:r>
      <w:r>
        <w:rPr>
          <w:rFonts w:hint="eastAsia"/>
          <w:kern w:val="2"/>
          <w:sz w:val="21"/>
          <w:szCs w:val="22"/>
        </w:rPr>
        <w:t>个月以下的，在综合评分的基础上减</w:t>
      </w:r>
      <w:r>
        <w:rPr>
          <w:kern w:val="2"/>
          <w:sz w:val="21"/>
          <w:szCs w:val="22"/>
        </w:rPr>
        <w:t>5</w:t>
      </w:r>
      <w:r>
        <w:rPr>
          <w:rFonts w:hint="eastAsia"/>
          <w:kern w:val="2"/>
          <w:sz w:val="21"/>
          <w:szCs w:val="22"/>
        </w:rPr>
        <w:t>分，为其综合评分的最终得分；</w:t>
      </w:r>
    </w:p>
    <w:p w14:paraId="431ADBDD">
      <w:pPr>
        <w:pStyle w:val="97"/>
        <w:ind w:firstLine="420" w:firstLineChars="200"/>
        <w:jc w:val="left"/>
        <w:rPr>
          <w:kern w:val="2"/>
          <w:sz w:val="21"/>
          <w:szCs w:val="22"/>
        </w:rPr>
      </w:pPr>
      <w:r>
        <w:rPr>
          <w:rFonts w:hint="eastAsia"/>
          <w:kern w:val="2"/>
          <w:sz w:val="21"/>
          <w:szCs w:val="22"/>
        </w:rPr>
        <w:t>（二）记录期限超过</w:t>
      </w:r>
      <w:r>
        <w:rPr>
          <w:kern w:val="2"/>
          <w:sz w:val="21"/>
          <w:szCs w:val="22"/>
        </w:rPr>
        <w:t>6</w:t>
      </w:r>
      <w:r>
        <w:rPr>
          <w:rFonts w:hint="eastAsia"/>
          <w:kern w:val="2"/>
          <w:sz w:val="21"/>
          <w:szCs w:val="22"/>
        </w:rPr>
        <w:t>个月至</w:t>
      </w:r>
      <w:r>
        <w:rPr>
          <w:kern w:val="2"/>
          <w:sz w:val="21"/>
          <w:szCs w:val="22"/>
        </w:rPr>
        <w:t>12</w:t>
      </w:r>
      <w:r>
        <w:rPr>
          <w:rFonts w:hint="eastAsia"/>
          <w:kern w:val="2"/>
          <w:sz w:val="21"/>
          <w:szCs w:val="22"/>
        </w:rPr>
        <w:t>个月以下的，在综合评分的基础上减</w:t>
      </w:r>
      <w:r>
        <w:rPr>
          <w:kern w:val="2"/>
          <w:sz w:val="21"/>
          <w:szCs w:val="22"/>
        </w:rPr>
        <w:t>10</w:t>
      </w:r>
      <w:r>
        <w:rPr>
          <w:rFonts w:hint="eastAsia"/>
          <w:kern w:val="2"/>
          <w:sz w:val="21"/>
          <w:szCs w:val="22"/>
        </w:rPr>
        <w:t>分，为其综合评分的最终得分；</w:t>
      </w:r>
    </w:p>
    <w:p w14:paraId="3D9F26EC">
      <w:pPr>
        <w:pStyle w:val="97"/>
        <w:ind w:firstLine="420" w:firstLineChars="200"/>
        <w:jc w:val="left"/>
        <w:rPr>
          <w:kern w:val="2"/>
          <w:sz w:val="21"/>
          <w:szCs w:val="22"/>
        </w:rPr>
      </w:pPr>
      <w:r>
        <w:rPr>
          <w:rFonts w:hint="eastAsia"/>
          <w:kern w:val="2"/>
          <w:sz w:val="21"/>
          <w:szCs w:val="22"/>
        </w:rPr>
        <w:t>（三）记录期限超过</w:t>
      </w:r>
      <w:r>
        <w:rPr>
          <w:kern w:val="2"/>
          <w:sz w:val="21"/>
          <w:szCs w:val="22"/>
        </w:rPr>
        <w:t>12</w:t>
      </w:r>
      <w:r>
        <w:rPr>
          <w:rFonts w:hint="eastAsia"/>
          <w:kern w:val="2"/>
          <w:sz w:val="21"/>
          <w:szCs w:val="22"/>
        </w:rPr>
        <w:t>个月至</w:t>
      </w:r>
      <w:r>
        <w:rPr>
          <w:kern w:val="2"/>
          <w:sz w:val="21"/>
          <w:szCs w:val="22"/>
        </w:rPr>
        <w:t>24</w:t>
      </w:r>
      <w:r>
        <w:rPr>
          <w:rFonts w:hint="eastAsia"/>
          <w:kern w:val="2"/>
          <w:sz w:val="21"/>
          <w:szCs w:val="22"/>
        </w:rPr>
        <w:t>个月以下的，在综合评分的基础上减</w:t>
      </w:r>
      <w:r>
        <w:rPr>
          <w:kern w:val="2"/>
          <w:sz w:val="21"/>
          <w:szCs w:val="22"/>
        </w:rPr>
        <w:t>15</w:t>
      </w:r>
      <w:r>
        <w:rPr>
          <w:rFonts w:hint="eastAsia"/>
          <w:kern w:val="2"/>
          <w:sz w:val="21"/>
          <w:szCs w:val="22"/>
        </w:rPr>
        <w:t>分，为其综合评分的最终得分；</w:t>
      </w:r>
    </w:p>
    <w:p w14:paraId="2149EA28">
      <w:pPr>
        <w:pStyle w:val="97"/>
        <w:ind w:firstLine="420" w:firstLineChars="200"/>
        <w:jc w:val="left"/>
        <w:rPr>
          <w:kern w:val="2"/>
          <w:sz w:val="21"/>
          <w:szCs w:val="22"/>
        </w:rPr>
      </w:pPr>
      <w:r>
        <w:rPr>
          <w:rFonts w:hint="eastAsia"/>
          <w:kern w:val="2"/>
          <w:sz w:val="21"/>
          <w:szCs w:val="22"/>
        </w:rPr>
        <w:t>（四）记录期限超过</w:t>
      </w:r>
      <w:r>
        <w:rPr>
          <w:kern w:val="2"/>
          <w:sz w:val="21"/>
          <w:szCs w:val="22"/>
        </w:rPr>
        <w:t>24</w:t>
      </w:r>
      <w:r>
        <w:rPr>
          <w:rFonts w:hint="eastAsia"/>
          <w:kern w:val="2"/>
          <w:sz w:val="21"/>
          <w:szCs w:val="22"/>
        </w:rPr>
        <w:t>个月的，在综合评分的基础上减</w:t>
      </w:r>
      <w:r>
        <w:rPr>
          <w:kern w:val="2"/>
          <w:sz w:val="21"/>
          <w:szCs w:val="22"/>
        </w:rPr>
        <w:t>20</w:t>
      </w:r>
      <w:r>
        <w:rPr>
          <w:rFonts w:hint="eastAsia"/>
          <w:kern w:val="2"/>
          <w:sz w:val="21"/>
          <w:szCs w:val="22"/>
        </w:rPr>
        <w:t>分，为其综合评分的最终得分。</w:t>
      </w:r>
    </w:p>
    <w:p w14:paraId="2E597C44">
      <w:pPr>
        <w:pStyle w:val="97"/>
        <w:ind w:firstLine="420" w:firstLineChars="200"/>
        <w:jc w:val="left"/>
        <w:rPr>
          <w:kern w:val="2"/>
          <w:sz w:val="21"/>
          <w:szCs w:val="22"/>
        </w:rPr>
      </w:pPr>
      <w:r>
        <w:rPr>
          <w:rFonts w:hint="eastAsia"/>
          <w:kern w:val="2"/>
          <w:sz w:val="21"/>
          <w:szCs w:val="22"/>
        </w:rPr>
        <w:t>在公共资源交易领域中采用经评审的最低投标价法评审的项目，招标人应当在评标办法中明确按照下列规定实施惩戒：</w:t>
      </w:r>
    </w:p>
    <w:p w14:paraId="2C92042C">
      <w:pPr>
        <w:pStyle w:val="97"/>
        <w:ind w:firstLine="420" w:firstLineChars="200"/>
        <w:jc w:val="left"/>
        <w:rPr>
          <w:kern w:val="2"/>
          <w:sz w:val="21"/>
          <w:szCs w:val="22"/>
        </w:rPr>
      </w:pPr>
      <w:r>
        <w:rPr>
          <w:rFonts w:hint="eastAsia"/>
          <w:kern w:val="2"/>
          <w:sz w:val="21"/>
          <w:szCs w:val="22"/>
        </w:rPr>
        <w:t>（一）记录期限为</w:t>
      </w:r>
      <w:r>
        <w:rPr>
          <w:kern w:val="2"/>
          <w:sz w:val="21"/>
          <w:szCs w:val="22"/>
        </w:rPr>
        <w:t>6</w:t>
      </w:r>
      <w:r>
        <w:rPr>
          <w:rFonts w:hint="eastAsia"/>
          <w:kern w:val="2"/>
          <w:sz w:val="21"/>
          <w:szCs w:val="22"/>
        </w:rPr>
        <w:t>个月以下的，在详细评审得分基础上减</w:t>
      </w:r>
      <w:r>
        <w:rPr>
          <w:kern w:val="2"/>
          <w:sz w:val="21"/>
          <w:szCs w:val="22"/>
        </w:rPr>
        <w:t>15%</w:t>
      </w:r>
      <w:r>
        <w:rPr>
          <w:rFonts w:hint="eastAsia"/>
          <w:kern w:val="2"/>
          <w:sz w:val="21"/>
          <w:szCs w:val="22"/>
        </w:rPr>
        <w:t>，为其详细评审的最终得分；</w:t>
      </w:r>
    </w:p>
    <w:p w14:paraId="6CAA37F3">
      <w:pPr>
        <w:pStyle w:val="97"/>
        <w:ind w:firstLine="420" w:firstLineChars="200"/>
        <w:jc w:val="left"/>
        <w:rPr>
          <w:kern w:val="2"/>
          <w:sz w:val="21"/>
          <w:szCs w:val="22"/>
        </w:rPr>
      </w:pPr>
      <w:r>
        <w:rPr>
          <w:rFonts w:hint="eastAsia"/>
          <w:kern w:val="2"/>
          <w:sz w:val="21"/>
          <w:szCs w:val="22"/>
        </w:rPr>
        <w:t>（二）记录期限超过</w:t>
      </w:r>
      <w:r>
        <w:rPr>
          <w:kern w:val="2"/>
          <w:sz w:val="21"/>
          <w:szCs w:val="22"/>
        </w:rPr>
        <w:t>6</w:t>
      </w:r>
      <w:r>
        <w:rPr>
          <w:rFonts w:hint="eastAsia"/>
          <w:kern w:val="2"/>
          <w:sz w:val="21"/>
          <w:szCs w:val="22"/>
        </w:rPr>
        <w:t>个月至</w:t>
      </w:r>
      <w:r>
        <w:rPr>
          <w:kern w:val="2"/>
          <w:sz w:val="21"/>
          <w:szCs w:val="22"/>
        </w:rPr>
        <w:t>12</w:t>
      </w:r>
      <w:r>
        <w:rPr>
          <w:rFonts w:hint="eastAsia"/>
          <w:kern w:val="2"/>
          <w:sz w:val="21"/>
          <w:szCs w:val="22"/>
        </w:rPr>
        <w:t>个月以下的，在详细评审得分基础上减</w:t>
      </w:r>
      <w:r>
        <w:rPr>
          <w:kern w:val="2"/>
          <w:sz w:val="21"/>
          <w:szCs w:val="22"/>
        </w:rPr>
        <w:t>20%</w:t>
      </w:r>
      <w:r>
        <w:rPr>
          <w:rFonts w:hint="eastAsia"/>
          <w:kern w:val="2"/>
          <w:sz w:val="21"/>
          <w:szCs w:val="22"/>
        </w:rPr>
        <w:t>，为其详细评审的最终得分；</w:t>
      </w:r>
    </w:p>
    <w:p w14:paraId="4D1BA5DE">
      <w:pPr>
        <w:pStyle w:val="97"/>
        <w:ind w:firstLine="420" w:firstLineChars="200"/>
        <w:jc w:val="left"/>
        <w:rPr>
          <w:kern w:val="2"/>
          <w:sz w:val="21"/>
          <w:szCs w:val="22"/>
        </w:rPr>
      </w:pPr>
      <w:r>
        <w:rPr>
          <w:rFonts w:hint="eastAsia"/>
          <w:kern w:val="2"/>
          <w:sz w:val="21"/>
          <w:szCs w:val="22"/>
        </w:rPr>
        <w:t>（三）记录期限超过</w:t>
      </w:r>
      <w:r>
        <w:rPr>
          <w:kern w:val="2"/>
          <w:sz w:val="21"/>
          <w:szCs w:val="22"/>
        </w:rPr>
        <w:t>12</w:t>
      </w:r>
      <w:r>
        <w:rPr>
          <w:rFonts w:hint="eastAsia"/>
          <w:kern w:val="2"/>
          <w:sz w:val="21"/>
          <w:szCs w:val="22"/>
        </w:rPr>
        <w:t>个月至</w:t>
      </w:r>
      <w:r>
        <w:rPr>
          <w:kern w:val="2"/>
          <w:sz w:val="21"/>
          <w:szCs w:val="22"/>
        </w:rPr>
        <w:t>24</w:t>
      </w:r>
      <w:r>
        <w:rPr>
          <w:rFonts w:hint="eastAsia"/>
          <w:kern w:val="2"/>
          <w:sz w:val="21"/>
          <w:szCs w:val="22"/>
        </w:rPr>
        <w:t>个月以下的，在详细评审得分基础上减</w:t>
      </w:r>
      <w:r>
        <w:rPr>
          <w:kern w:val="2"/>
          <w:sz w:val="21"/>
          <w:szCs w:val="22"/>
        </w:rPr>
        <w:t>25%</w:t>
      </w:r>
      <w:r>
        <w:rPr>
          <w:rFonts w:hint="eastAsia"/>
          <w:kern w:val="2"/>
          <w:sz w:val="21"/>
          <w:szCs w:val="22"/>
        </w:rPr>
        <w:t>，为其详细评审的最终得分；</w:t>
      </w:r>
    </w:p>
    <w:p w14:paraId="75FC5457">
      <w:pPr>
        <w:pStyle w:val="97"/>
        <w:ind w:firstLine="420" w:firstLineChars="200"/>
        <w:jc w:val="left"/>
        <w:rPr>
          <w:kern w:val="2"/>
          <w:sz w:val="21"/>
          <w:szCs w:val="22"/>
        </w:rPr>
      </w:pPr>
      <w:r>
        <w:rPr>
          <w:rFonts w:hint="eastAsia"/>
          <w:kern w:val="2"/>
          <w:sz w:val="21"/>
          <w:szCs w:val="22"/>
        </w:rPr>
        <w:t>（四）记录期限超过</w:t>
      </w:r>
      <w:r>
        <w:rPr>
          <w:kern w:val="2"/>
          <w:sz w:val="21"/>
          <w:szCs w:val="22"/>
        </w:rPr>
        <w:t>24</w:t>
      </w:r>
      <w:r>
        <w:rPr>
          <w:rFonts w:hint="eastAsia"/>
          <w:kern w:val="2"/>
          <w:sz w:val="21"/>
          <w:szCs w:val="22"/>
        </w:rPr>
        <w:t>个月的，在详细评审得分基础上减</w:t>
      </w:r>
      <w:r>
        <w:rPr>
          <w:kern w:val="2"/>
          <w:sz w:val="21"/>
          <w:szCs w:val="22"/>
        </w:rPr>
        <w:t>30%</w:t>
      </w:r>
      <w:r>
        <w:rPr>
          <w:rFonts w:hint="eastAsia"/>
          <w:kern w:val="2"/>
          <w:sz w:val="21"/>
          <w:szCs w:val="22"/>
        </w:rPr>
        <w:t>，为其详细评审的最终得分。</w:t>
      </w:r>
    </w:p>
    <w:p w14:paraId="7B6E2C6E">
      <w:pPr>
        <w:pStyle w:val="97"/>
        <w:ind w:firstLine="420" w:firstLineChars="200"/>
        <w:jc w:val="left"/>
        <w:rPr>
          <w:kern w:val="2"/>
          <w:sz w:val="21"/>
          <w:szCs w:val="22"/>
        </w:rPr>
      </w:pPr>
      <w:r>
        <w:rPr>
          <w:rFonts w:hint="eastAsia"/>
          <w:kern w:val="2"/>
          <w:sz w:val="21"/>
          <w:szCs w:val="22"/>
        </w:rPr>
        <w:t>其他：</w:t>
      </w:r>
      <w:r>
        <w:rPr>
          <w:rFonts w:eastAsia="Calibri" w:cs="Calibri"/>
          <w:color w:val="0000FF"/>
          <w:kern w:val="2"/>
          <w:sz w:val="21"/>
          <w:szCs w:val="22"/>
          <w:u w:val="single"/>
        </w:rPr>
        <w:t xml:space="preserve">  /  </w:t>
      </w:r>
      <w:r>
        <w:rPr>
          <w:kern w:val="2"/>
          <w:sz w:val="21"/>
          <w:szCs w:val="22"/>
          <w:u w:val="single"/>
        </w:rPr>
        <w:fldChar w:fldCharType="begin"/>
      </w:r>
      <w:r>
        <w:rPr>
          <w:kern w:val="2"/>
          <w:sz w:val="21"/>
          <w:szCs w:val="22"/>
          <w:u w:val="single"/>
        </w:rPr>
        <w:instrText xml:space="preserve"> AUTOTEXT  input1 \* MERGEFORMAT </w:instrText>
      </w:r>
      <w:r>
        <w:rPr>
          <w:kern w:val="2"/>
          <w:sz w:val="21"/>
          <w:szCs w:val="22"/>
          <w:u w:val="single"/>
        </w:rPr>
        <w:fldChar w:fldCharType="separate"/>
      </w:r>
      <w:r>
        <w:rPr>
          <w:kern w:val="2"/>
          <w:sz w:val="21"/>
          <w:szCs w:val="22"/>
          <w:u w:val="single"/>
        </w:rPr>
        <w:fldChar w:fldCharType="end"/>
      </w:r>
    </w:p>
    <w:p w14:paraId="034AE949">
      <w:pPr>
        <w:pStyle w:val="14"/>
        <w:shd w:val="clear" w:color="auto" w:fill="auto"/>
        <w:rPr>
          <w:rFonts w:hint="eastAsia"/>
          <w:highlight w:val="none"/>
        </w:rPr>
      </w:pPr>
    </w:p>
    <w:sectPr>
      <w:headerReference r:id="rId13" w:type="default"/>
      <w:footerReference r:id="rId14" w:type="default"/>
      <w:pgSz w:w="11906" w:h="16838"/>
      <w:pgMar w:top="1440" w:right="1083" w:bottom="1440" w:left="1083" w:header="720" w:footer="720" w:gutter="0"/>
      <w:pgBorders w:offsetFrom="page">
        <w:top w:val="none" w:sz="0" w:space="0"/>
        <w:left w:val="none" w:sz="0" w:space="0"/>
        <w:bottom w:val="none" w:sz="0" w:space="0"/>
        <w:right w:val="none" w:sz="0" w:space="0"/>
      </w:pgBorders>
      <w:pgNumType w:fmt="numberInDash"/>
      <w:cols w:space="708"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8016EA5D-8DF4-4833-8533-7B0BF3D9BD7C}"/>
  </w:font>
  <w:font w:name="Consolas">
    <w:panose1 w:val="020B0609020204030204"/>
    <w:charset w:val="00"/>
    <w:family w:val="modern"/>
    <w:pitch w:val="default"/>
    <w:sig w:usb0="E00006FF" w:usb1="0000FCFF" w:usb2="00000001" w:usb3="00000000" w:csb0="6000019F" w:csb1="DFD7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2" w:fontKey="{484BC398-CEFC-40AE-999E-1E422F930FFE}"/>
  </w:font>
  <w:font w:name="Cambria">
    <w:panose1 w:val="02040503050406030204"/>
    <w:charset w:val="00"/>
    <w:family w:val="roman"/>
    <w:pitch w:val="default"/>
    <w:sig w:usb0="E00006FF" w:usb1="420024FF" w:usb2="02000000" w:usb3="00000000" w:csb0="2000019F" w:csb1="00000000"/>
  </w:font>
  <w:font w:name="MS Mincho">
    <w:panose1 w:val="02020609040205080304"/>
    <w:charset w:val="80"/>
    <w:family w:val="modern"/>
    <w:pitch w:val="default"/>
    <w:sig w:usb0="A00002BF" w:usb1="68C7FCFB" w:usb2="00000010" w:usb3="00000000" w:csb0="4002009F" w:csb1="DFD70000"/>
    <w:embedRegular r:id="rId3" w:fontKey="{D07C1401-3B50-46EB-87DB-458FCAD0069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107D9">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288A4E">
    <w:pPr>
      <w:pStyle w:val="2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39F6842">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- 45 -</w:t>
                          </w:r>
                          <w:r>
                            <w:rPr>
                              <w:rFonts w:hint="eastAsia"/>
                            </w:rPr>
                            <w:fldChar w:fldCharType="end"/>
                          </w:r>
                        </w:p>
                      </w:txbxContent>
                    </wps:txbx>
                    <wps:bodyPr wrap="none" lIns="0" tIns="0" rIns="0" bIns="0" upright="1">
                      <a:spAutoFit/>
                    </wps:bodyPr>
                  </wps:wsp>
                </a:graphicData>
              </a:graphic>
            </wp:anchor>
          </w:drawing>
        </mc:Choice>
        <mc:Fallback>
          <w:pict>
            <v:shape id="文本框 63"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fG+7IsoBAACaAwAADgAAAAAAAAABACAAAAAeAQAAZHJzL2Uyb0Rv&#10;Yy54bWxQSwUGAAAAAAYABgBZAQAAWgUAAAAA&#10;">
              <v:fill on="f" focussize="0,0"/>
              <v:stroke on="f"/>
              <v:imagedata o:title=""/>
              <o:lock v:ext="edit" aspectratio="f"/>
              <v:textbox inset="0mm,0mm,0mm,0mm" style="mso-fit-shape-to-text:t;">
                <w:txbxContent>
                  <w:p w14:paraId="139F6842">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- 45 -</w:t>
                    </w:r>
                    <w:r>
                      <w:rPr>
                        <w:rFonts w:hint="eastAsia"/>
                      </w:rPr>
                      <w:fldChar w:fldCharType="end"/>
                    </w:r>
                  </w:p>
                </w:txbxContent>
              </v:textbox>
            </v:shape>
          </w:pict>
        </mc:Fallback>
      </mc:AlternateContent>
    </w:r>
  </w:p>
  <w:p w14:paraId="453B8F24">
    <w:pPr>
      <w:pStyle w:val="2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E4432B">
    <w:pPr>
      <w:pStyle w:val="22"/>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2B54F3">
                          <w:pPr>
                            <w:pStyle w:val="22"/>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JL6ScgBAACZ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8cQ9aErS5TrQbg7Jmyi9JYrjLBTYZxYYTdtV16JP+8l6+mP2v4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SS+knIAQAAmQMAAA4AAAAAAAAAAQAgAAAAHgEAAGRycy9lMm9Eb2Mu&#10;eG1sUEsFBgAAAAAGAAYAWQEAAFgFAAAAAA==&#10;">
              <v:fill on="f" focussize="0,0"/>
              <v:stroke on="f"/>
              <v:imagedata o:title=""/>
              <o:lock v:ext="edit" aspectratio="f"/>
              <v:textbox inset="0mm,0mm,0mm,0mm" style="mso-fit-shape-to-text:t;">
                <w:txbxContent>
                  <w:p w14:paraId="292B54F3">
                    <w:pPr>
                      <w:pStyle w:val="22"/>
                    </w:pPr>
                    <w:r>
                      <w:fldChar w:fldCharType="begin"/>
                    </w:r>
                    <w:r>
                      <w:instrText xml:space="preserve"> PAGE  \* MERGEFORMAT </w:instrText>
                    </w:r>
                    <w:r>
                      <w:fldChar w:fldCharType="separate"/>
                    </w:r>
                    <w:r>
                      <w:t>2</w:t>
                    </w:r>
                    <w:r>
                      <w:fldChar w:fldCharType="end"/>
                    </w:r>
                  </w:p>
                </w:txbxContent>
              </v:textbox>
            </v:shape>
          </w:pict>
        </mc:Fallback>
      </mc:AlternateContent>
    </w:r>
  </w:p>
  <w:p w14:paraId="3AB52D24">
    <w:pPr>
      <w:pStyle w:val="22"/>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3AE5B6">
    <w:pPr>
      <w:pStyle w:val="2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E6577C3">
                          <w:pPr>
                            <w:pStyle w:val="22"/>
                            <w:rPr>
                              <w:rFonts w:hint="eastAsia"/>
                            </w:rPr>
                          </w:pPr>
                        </w:p>
                        <w:p w14:paraId="47DBC5A6">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- 77 -</w:t>
                          </w:r>
                          <w:r>
                            <w:rPr>
                              <w:rFonts w:hint="eastAsia"/>
                            </w:rPr>
                            <w:fldChar w:fldCharType="end"/>
                          </w:r>
                        </w:p>
                      </w:txbxContent>
                    </wps:txbx>
                    <wps:bodyPr wrap="none" lIns="0" tIns="0" rIns="0" bIns="0" upright="1">
                      <a:spAutoFit/>
                    </wps:bodyPr>
                  </wps:wsp>
                </a:graphicData>
              </a:graphic>
            </wp:anchor>
          </w:drawing>
        </mc:Choice>
        <mc:Fallback>
          <w:pict>
            <v:shape id="文本框 1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nxjWayQEAAJoDAAAOAAAAAAAAAAEAIAAAAB4BAABkcnMvZTJvRG9j&#10;LnhtbFBLBQYAAAAABgAGAFkBAABZBQAAAAA=&#10;">
              <v:fill on="f" focussize="0,0"/>
              <v:stroke on="f"/>
              <v:imagedata o:title=""/>
              <o:lock v:ext="edit" aspectratio="f"/>
              <v:textbox inset="0mm,0mm,0mm,0mm" style="mso-fit-shape-to-text:t;">
                <w:txbxContent>
                  <w:p w14:paraId="0E6577C3">
                    <w:pPr>
                      <w:pStyle w:val="22"/>
                      <w:rPr>
                        <w:rFonts w:hint="eastAsia"/>
                      </w:rPr>
                    </w:pPr>
                  </w:p>
                  <w:p w14:paraId="47DBC5A6">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- 77 -</w:t>
                    </w:r>
                    <w:r>
                      <w:rPr>
                        <w:rFonts w:hint="eastAsia"/>
                      </w:rPr>
                      <w:fldChar w:fldCharType="end"/>
                    </w:r>
                  </w:p>
                </w:txbxContent>
              </v:textbox>
            </v:shape>
          </w:pict>
        </mc:Fallback>
      </mc:AlternateContent>
    </w:r>
  </w:p>
  <w:p w14:paraId="184802CF">
    <w:pPr>
      <w:pStyle w:val="2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EA6BD">
    <w:pPr>
      <w:pStyle w:val="2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9A55E8F">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- 29 -</w:t>
                          </w:r>
                          <w:r>
                            <w:rPr>
                              <w:rFonts w:hint="eastAsia"/>
                            </w:rPr>
                            <w:fldChar w:fldCharType="end"/>
                          </w:r>
                        </w:p>
                      </w:txbxContent>
                    </wps:txbx>
                    <wps:bodyPr wrap="none" lIns="0" tIns="0" rIns="0" bIns="0" upright="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zoapLIAQAAmQMAAA4AAAAAAAAAAQAgAAAAHgEAAGRycy9lMm9Eb2Mu&#10;eG1sUEsFBgAAAAAGAAYAWQEAAFgFAAAAAA==&#10;">
              <v:fill on="f" focussize="0,0"/>
              <v:stroke on="f"/>
              <v:imagedata o:title=""/>
              <o:lock v:ext="edit" aspectratio="f"/>
              <v:textbox inset="0mm,0mm,0mm,0mm" style="mso-fit-shape-to-text:t;">
                <w:txbxContent>
                  <w:p w14:paraId="29A55E8F">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- 29 -</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86989">
    <w:pPr>
      <w:pStyle w:val="2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1AD3BE5">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- 108 -</w:t>
                          </w:r>
                          <w:r>
                            <w:rPr>
                              <w:rFonts w:hint="eastAsia"/>
                            </w:rPr>
                            <w:fldChar w:fldCharType="end"/>
                          </w:r>
                        </w:p>
                      </w:txbxContent>
                    </wps:txbx>
                    <wps:bodyPr wrap="none" lIns="0" tIns="0" rIns="0" bIns="0" upright="1">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RX4P7MoBAACaAwAADgAAAAAAAAABACAAAAAeAQAAZHJzL2Uyb0Rv&#10;Yy54bWxQSwUGAAAAAAYABgBZAQAAWgUAAAAA&#10;">
              <v:fill on="f" focussize="0,0"/>
              <v:stroke on="f"/>
              <v:imagedata o:title=""/>
              <o:lock v:ext="edit" aspectratio="f"/>
              <v:textbox inset="0mm,0mm,0mm,0mm" style="mso-fit-shape-to-text:t;">
                <w:txbxContent>
                  <w:p w14:paraId="41AD3BE5">
                    <w:pPr>
                      <w:pStyle w:val="22"/>
                      <w:rPr>
                        <w:rFonts w:hint="eastAsia"/>
                      </w:rPr>
                    </w:pPr>
                    <w:r>
                      <w:rPr>
                        <w:rFonts w:hint="eastAsia"/>
                      </w:rPr>
                      <w:fldChar w:fldCharType="begin"/>
                    </w:r>
                    <w:r>
                      <w:rPr>
                        <w:rFonts w:hint="eastAsia"/>
                      </w:rPr>
                      <w:instrText xml:space="preserve"> PAGE  \* MERGEFORMAT </w:instrText>
                    </w:r>
                    <w:r>
                      <w:rPr>
                        <w:rFonts w:hint="eastAsia"/>
                      </w:rPr>
                      <w:fldChar w:fldCharType="separate"/>
                    </w:r>
                    <w:r>
                      <w:t>- 108 -</w:t>
                    </w:r>
                    <w:r>
                      <w:rPr>
                        <w:rFonts w:hint="eastAsia"/>
                      </w:rPr>
                      <w:fldChar w:fldCharType="end"/>
                    </w:r>
                  </w:p>
                </w:txbxContent>
              </v:textbox>
            </v:shape>
          </w:pict>
        </mc:Fallback>
      </mc:AlternateContent>
    </w:r>
  </w:p>
  <w:p w14:paraId="5B73ACA6">
    <w:pPr>
      <w:pStyle w:val="22"/>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F9631E">
    <w:pPr>
      <w:pStyle w:val="2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B9F37">
    <w:pPr>
      <w:pStyle w:val="23"/>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E1D6B">
    <w:pPr>
      <w:pStyle w:val="23"/>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C7E44">
    <w:pPr>
      <w:pStyle w:val="23"/>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CCEE8">
    <w:pPr>
      <w:pStyle w:val="23"/>
      <w:pBdr>
        <w:bottom w:val="none" w:color="auto" w:sz="0" w:space="1"/>
      </w:pBdr>
      <w:jc w:val="both"/>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AD75E3">
    <w:pPr>
      <w:pStyle w:val="23"/>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B2D1A2"/>
    <w:multiLevelType w:val="singleLevel"/>
    <w:tmpl w:val="9CB2D1A2"/>
    <w:lvl w:ilvl="0" w:tentative="0">
      <w:start w:val="10"/>
      <w:numFmt w:val="chineseCounting"/>
      <w:suff w:val="nothing"/>
      <w:lvlText w:val="%1、"/>
      <w:lvlJc w:val="left"/>
      <w:rPr>
        <w:rFonts w:hint="eastAsia"/>
      </w:rPr>
    </w:lvl>
  </w:abstractNum>
  <w:abstractNum w:abstractNumId="1">
    <w:nsid w:val="D3C627B0"/>
    <w:multiLevelType w:val="singleLevel"/>
    <w:tmpl w:val="D3C627B0"/>
    <w:lvl w:ilvl="0" w:tentative="0">
      <w:start w:val="1"/>
      <w:numFmt w:val="decimal"/>
      <w:suff w:val="space"/>
      <w:lvlText w:val="%1."/>
      <w:lvlJc w:val="left"/>
    </w:lvl>
  </w:abstractNum>
  <w:abstractNum w:abstractNumId="2">
    <w:nsid w:val="0000000E"/>
    <w:multiLevelType w:val="singleLevel"/>
    <w:tmpl w:val="0000000E"/>
    <w:lvl w:ilvl="0" w:tentative="0">
      <w:start w:val="1"/>
      <w:numFmt w:val="decimal"/>
      <w:suff w:val="nothing"/>
      <w:lvlText w:val="%1、"/>
      <w:lvlJc w:val="left"/>
    </w:lvl>
  </w:abstractNum>
  <w:abstractNum w:abstractNumId="3">
    <w:nsid w:val="10B4AF09"/>
    <w:multiLevelType w:val="singleLevel"/>
    <w:tmpl w:val="10B4AF09"/>
    <w:lvl w:ilvl="0" w:tentative="0">
      <w:start w:val="6"/>
      <w:numFmt w:val="chineseCounting"/>
      <w:suff w:val="nothing"/>
      <w:lvlText w:val="%1、"/>
      <w:lvlJc w:val="left"/>
      <w:rPr>
        <w:rFonts w:hint="eastAsia"/>
      </w:rPr>
    </w:lvl>
  </w:abstractNum>
  <w:abstractNum w:abstractNumId="4">
    <w:nsid w:val="216BE14E"/>
    <w:multiLevelType w:val="singleLevel"/>
    <w:tmpl w:val="216BE14E"/>
    <w:lvl w:ilvl="0" w:tentative="0">
      <w:start w:val="1"/>
      <w:numFmt w:val="decimal"/>
      <w:lvlText w:val="%1."/>
      <w:lvlJc w:val="left"/>
      <w:pPr>
        <w:tabs>
          <w:tab w:val="left" w:pos="312"/>
        </w:tabs>
      </w:pPr>
    </w:lvl>
  </w:abstractNum>
  <w:abstractNum w:abstractNumId="5">
    <w:nsid w:val="59513FA7"/>
    <w:multiLevelType w:val="multilevel"/>
    <w:tmpl w:val="59513FA7"/>
    <w:lvl w:ilvl="0" w:tentative="0">
      <w:start w:val="1"/>
      <w:numFmt w:val="decimal"/>
      <w:lvlText w:val="（%1）"/>
      <w:lvlJc w:val="left"/>
      <w:pPr>
        <w:ind w:left="1295" w:hanging="735"/>
      </w:pPr>
      <w:rPr>
        <w:rFonts w:hint="default"/>
      </w:rPr>
    </w:lvl>
    <w:lvl w:ilvl="1" w:tentative="0">
      <w:start w:val="1"/>
      <w:numFmt w:val="lowerLetter"/>
      <w:lvlText w:val="%2)"/>
      <w:lvlJc w:val="left"/>
      <w:pPr>
        <w:ind w:left="1400" w:hanging="420"/>
      </w:pPr>
    </w:lvl>
    <w:lvl w:ilvl="2" w:tentative="0">
      <w:start w:val="1"/>
      <w:numFmt w:val="lowerRoman"/>
      <w:lvlText w:val="%3."/>
      <w:lvlJc w:val="right"/>
      <w:pPr>
        <w:ind w:left="1820" w:hanging="420"/>
      </w:pPr>
    </w:lvl>
    <w:lvl w:ilvl="3" w:tentative="0">
      <w:start w:val="1"/>
      <w:numFmt w:val="decimal"/>
      <w:lvlText w:val="%4."/>
      <w:lvlJc w:val="left"/>
      <w:pPr>
        <w:ind w:left="2240" w:hanging="420"/>
      </w:pPr>
    </w:lvl>
    <w:lvl w:ilvl="4" w:tentative="0">
      <w:start w:val="1"/>
      <w:numFmt w:val="lowerLetter"/>
      <w:lvlText w:val="%5)"/>
      <w:lvlJc w:val="left"/>
      <w:pPr>
        <w:ind w:left="2660" w:hanging="420"/>
      </w:pPr>
    </w:lvl>
    <w:lvl w:ilvl="5" w:tentative="0">
      <w:start w:val="1"/>
      <w:numFmt w:val="lowerRoman"/>
      <w:lvlText w:val="%6."/>
      <w:lvlJc w:val="right"/>
      <w:pPr>
        <w:ind w:left="3080" w:hanging="420"/>
      </w:pPr>
    </w:lvl>
    <w:lvl w:ilvl="6" w:tentative="0">
      <w:start w:val="1"/>
      <w:numFmt w:val="decimal"/>
      <w:lvlText w:val="%7."/>
      <w:lvlJc w:val="left"/>
      <w:pPr>
        <w:ind w:left="3500" w:hanging="420"/>
      </w:pPr>
    </w:lvl>
    <w:lvl w:ilvl="7" w:tentative="0">
      <w:start w:val="1"/>
      <w:numFmt w:val="lowerLetter"/>
      <w:lvlText w:val="%8)"/>
      <w:lvlJc w:val="left"/>
      <w:pPr>
        <w:ind w:left="3920" w:hanging="420"/>
      </w:pPr>
    </w:lvl>
    <w:lvl w:ilvl="8" w:tentative="0">
      <w:start w:val="1"/>
      <w:numFmt w:val="lowerRoman"/>
      <w:lvlText w:val="%9."/>
      <w:lvlJc w:val="right"/>
      <w:pPr>
        <w:ind w:left="4340" w:hanging="420"/>
      </w:pPr>
    </w:lvl>
  </w:abstractNum>
  <w:abstractNum w:abstractNumId="6">
    <w:nsid w:val="71A21D98"/>
    <w:multiLevelType w:val="multilevel"/>
    <w:tmpl w:val="71A21D98"/>
    <w:lvl w:ilvl="0" w:tentative="0">
      <w:start w:val="1"/>
      <w:numFmt w:val="japaneseCounting"/>
      <w:lvlText w:val="第%1条"/>
      <w:lvlJc w:val="left"/>
      <w:pPr>
        <w:ind w:left="1436" w:hanging="885"/>
      </w:pPr>
      <w:rPr>
        <w:rFonts w:hint="default"/>
      </w:rPr>
    </w:lvl>
    <w:lvl w:ilvl="1" w:tentative="0">
      <w:start w:val="1"/>
      <w:numFmt w:val="lowerLetter"/>
      <w:lvlText w:val="%2)"/>
      <w:lvlJc w:val="left"/>
      <w:pPr>
        <w:ind w:left="1391" w:hanging="420"/>
      </w:pPr>
    </w:lvl>
    <w:lvl w:ilvl="2" w:tentative="0">
      <w:start w:val="1"/>
      <w:numFmt w:val="lowerRoman"/>
      <w:lvlText w:val="%3."/>
      <w:lvlJc w:val="right"/>
      <w:pPr>
        <w:ind w:left="1811" w:hanging="420"/>
      </w:pPr>
    </w:lvl>
    <w:lvl w:ilvl="3" w:tentative="0">
      <w:start w:val="1"/>
      <w:numFmt w:val="decimal"/>
      <w:lvlText w:val="%4."/>
      <w:lvlJc w:val="left"/>
      <w:pPr>
        <w:ind w:left="2231" w:hanging="420"/>
      </w:pPr>
    </w:lvl>
    <w:lvl w:ilvl="4" w:tentative="0">
      <w:start w:val="1"/>
      <w:numFmt w:val="lowerLetter"/>
      <w:lvlText w:val="%5)"/>
      <w:lvlJc w:val="left"/>
      <w:pPr>
        <w:ind w:left="2651" w:hanging="420"/>
      </w:pPr>
    </w:lvl>
    <w:lvl w:ilvl="5" w:tentative="0">
      <w:start w:val="1"/>
      <w:numFmt w:val="lowerRoman"/>
      <w:lvlText w:val="%6."/>
      <w:lvlJc w:val="right"/>
      <w:pPr>
        <w:ind w:left="3071" w:hanging="420"/>
      </w:pPr>
    </w:lvl>
    <w:lvl w:ilvl="6" w:tentative="0">
      <w:start w:val="1"/>
      <w:numFmt w:val="decimal"/>
      <w:lvlText w:val="%7."/>
      <w:lvlJc w:val="left"/>
      <w:pPr>
        <w:ind w:left="3491" w:hanging="420"/>
      </w:pPr>
    </w:lvl>
    <w:lvl w:ilvl="7" w:tentative="0">
      <w:start w:val="1"/>
      <w:numFmt w:val="lowerLetter"/>
      <w:lvlText w:val="%8)"/>
      <w:lvlJc w:val="left"/>
      <w:pPr>
        <w:ind w:left="3911" w:hanging="420"/>
      </w:pPr>
    </w:lvl>
    <w:lvl w:ilvl="8" w:tentative="0">
      <w:start w:val="1"/>
      <w:numFmt w:val="lowerRoman"/>
      <w:lvlText w:val="%9."/>
      <w:lvlJc w:val="right"/>
      <w:pPr>
        <w:ind w:left="4331" w:hanging="420"/>
      </w:pPr>
    </w:lvl>
  </w:abstractNum>
  <w:num w:numId="1">
    <w:abstractNumId w:val="6"/>
  </w:num>
  <w:num w:numId="2">
    <w:abstractNumId w:val="5"/>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bordersDoNotSurroundHeader w:val="0"/>
  <w:bordersDoNotSurroundFooter w:val="0"/>
  <w:documentProtection w:enforcement="0"/>
  <w:defaultTabStop w:val="420"/>
  <w:drawingGridHorizontalSpacing w:val="210"/>
  <w:drawingGridVerticalSpacing w:val="159"/>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FiNTBhNzE1MWFkMmUzNzk1YWQ4ZTQ0NGM3NjJjNWQifQ=="/>
    <w:docVar w:name="KSO_WPS_MARK_KEY" w:val="825ab654-c7a9-4ebf-9af8-990dc10a6c5d"/>
  </w:docVars>
  <w:rsids>
    <w:rsidRoot w:val="001A07FD"/>
    <w:rsid w:val="000019C2"/>
    <w:rsid w:val="000213A1"/>
    <w:rsid w:val="00030F55"/>
    <w:rsid w:val="00041A29"/>
    <w:rsid w:val="00047E90"/>
    <w:rsid w:val="000503B7"/>
    <w:rsid w:val="00051592"/>
    <w:rsid w:val="000636B3"/>
    <w:rsid w:val="0007727A"/>
    <w:rsid w:val="000815F4"/>
    <w:rsid w:val="0009057F"/>
    <w:rsid w:val="000A3744"/>
    <w:rsid w:val="000B608D"/>
    <w:rsid w:val="000B736F"/>
    <w:rsid w:val="000D0527"/>
    <w:rsid w:val="000D7414"/>
    <w:rsid w:val="000F4007"/>
    <w:rsid w:val="0010594D"/>
    <w:rsid w:val="00116F18"/>
    <w:rsid w:val="00132F89"/>
    <w:rsid w:val="0013374D"/>
    <w:rsid w:val="00146907"/>
    <w:rsid w:val="0016301C"/>
    <w:rsid w:val="001738EB"/>
    <w:rsid w:val="00180065"/>
    <w:rsid w:val="00182CB0"/>
    <w:rsid w:val="001A07FD"/>
    <w:rsid w:val="001A14D3"/>
    <w:rsid w:val="001B7434"/>
    <w:rsid w:val="001D54C0"/>
    <w:rsid w:val="001D5FB4"/>
    <w:rsid w:val="00204378"/>
    <w:rsid w:val="002235B9"/>
    <w:rsid w:val="00237053"/>
    <w:rsid w:val="00251D3C"/>
    <w:rsid w:val="00260B11"/>
    <w:rsid w:val="00270BE1"/>
    <w:rsid w:val="002932BF"/>
    <w:rsid w:val="002A662D"/>
    <w:rsid w:val="002C0143"/>
    <w:rsid w:val="002C09CD"/>
    <w:rsid w:val="002C4B13"/>
    <w:rsid w:val="003037B0"/>
    <w:rsid w:val="0030759A"/>
    <w:rsid w:val="00324338"/>
    <w:rsid w:val="003347CA"/>
    <w:rsid w:val="00346AC4"/>
    <w:rsid w:val="00352082"/>
    <w:rsid w:val="0036146A"/>
    <w:rsid w:val="0037646C"/>
    <w:rsid w:val="003815C9"/>
    <w:rsid w:val="00381BBB"/>
    <w:rsid w:val="00390E93"/>
    <w:rsid w:val="003A249C"/>
    <w:rsid w:val="003B4871"/>
    <w:rsid w:val="003C22C3"/>
    <w:rsid w:val="003C360A"/>
    <w:rsid w:val="003C4CCE"/>
    <w:rsid w:val="003D7B98"/>
    <w:rsid w:val="003E46C2"/>
    <w:rsid w:val="00403F20"/>
    <w:rsid w:val="0040799E"/>
    <w:rsid w:val="00410DB4"/>
    <w:rsid w:val="00432DAE"/>
    <w:rsid w:val="00444EC5"/>
    <w:rsid w:val="00455A99"/>
    <w:rsid w:val="00464071"/>
    <w:rsid w:val="00465986"/>
    <w:rsid w:val="00481D6F"/>
    <w:rsid w:val="00482BED"/>
    <w:rsid w:val="00483E43"/>
    <w:rsid w:val="004A08E4"/>
    <w:rsid w:val="004A1EB8"/>
    <w:rsid w:val="004F4040"/>
    <w:rsid w:val="005045E6"/>
    <w:rsid w:val="005065F5"/>
    <w:rsid w:val="005451A9"/>
    <w:rsid w:val="00572B7B"/>
    <w:rsid w:val="00573201"/>
    <w:rsid w:val="00583614"/>
    <w:rsid w:val="00583D45"/>
    <w:rsid w:val="00585E76"/>
    <w:rsid w:val="00586A18"/>
    <w:rsid w:val="005872F4"/>
    <w:rsid w:val="00597F94"/>
    <w:rsid w:val="005F467F"/>
    <w:rsid w:val="00603E36"/>
    <w:rsid w:val="00610ABB"/>
    <w:rsid w:val="0061332D"/>
    <w:rsid w:val="00621A45"/>
    <w:rsid w:val="00623E81"/>
    <w:rsid w:val="00630F0A"/>
    <w:rsid w:val="00640445"/>
    <w:rsid w:val="00670B46"/>
    <w:rsid w:val="00687017"/>
    <w:rsid w:val="00687647"/>
    <w:rsid w:val="006974AA"/>
    <w:rsid w:val="006A5253"/>
    <w:rsid w:val="006A6C89"/>
    <w:rsid w:val="006C1FEC"/>
    <w:rsid w:val="006D45D9"/>
    <w:rsid w:val="007115E2"/>
    <w:rsid w:val="00724AAB"/>
    <w:rsid w:val="0074247B"/>
    <w:rsid w:val="00754D31"/>
    <w:rsid w:val="00761E55"/>
    <w:rsid w:val="007644C1"/>
    <w:rsid w:val="00767EC5"/>
    <w:rsid w:val="00777DDD"/>
    <w:rsid w:val="00793E86"/>
    <w:rsid w:val="007C49FC"/>
    <w:rsid w:val="007E4B61"/>
    <w:rsid w:val="00801388"/>
    <w:rsid w:val="00802276"/>
    <w:rsid w:val="00816F9A"/>
    <w:rsid w:val="00817141"/>
    <w:rsid w:val="008440FC"/>
    <w:rsid w:val="008560F0"/>
    <w:rsid w:val="008B4FC5"/>
    <w:rsid w:val="00902238"/>
    <w:rsid w:val="00905380"/>
    <w:rsid w:val="00907C0C"/>
    <w:rsid w:val="00916252"/>
    <w:rsid w:val="00940EB2"/>
    <w:rsid w:val="00954CA3"/>
    <w:rsid w:val="00955A1A"/>
    <w:rsid w:val="009657FA"/>
    <w:rsid w:val="009B3FC3"/>
    <w:rsid w:val="009C1CE3"/>
    <w:rsid w:val="009C38E1"/>
    <w:rsid w:val="009C6BDD"/>
    <w:rsid w:val="00A066DE"/>
    <w:rsid w:val="00A07E21"/>
    <w:rsid w:val="00A12ACE"/>
    <w:rsid w:val="00A25049"/>
    <w:rsid w:val="00A36044"/>
    <w:rsid w:val="00A36387"/>
    <w:rsid w:val="00A73EA0"/>
    <w:rsid w:val="00A8209E"/>
    <w:rsid w:val="00AC2D9F"/>
    <w:rsid w:val="00B00718"/>
    <w:rsid w:val="00B06C3B"/>
    <w:rsid w:val="00B34228"/>
    <w:rsid w:val="00B603D4"/>
    <w:rsid w:val="00B6735E"/>
    <w:rsid w:val="00B7266A"/>
    <w:rsid w:val="00BB67C4"/>
    <w:rsid w:val="00BD79AC"/>
    <w:rsid w:val="00C13FE8"/>
    <w:rsid w:val="00C22632"/>
    <w:rsid w:val="00C32331"/>
    <w:rsid w:val="00C32F3A"/>
    <w:rsid w:val="00C5622D"/>
    <w:rsid w:val="00C57E14"/>
    <w:rsid w:val="00C61887"/>
    <w:rsid w:val="00C65EEB"/>
    <w:rsid w:val="00C66BD3"/>
    <w:rsid w:val="00C859F3"/>
    <w:rsid w:val="00CB2995"/>
    <w:rsid w:val="00CD3EE7"/>
    <w:rsid w:val="00CE112A"/>
    <w:rsid w:val="00D0774B"/>
    <w:rsid w:val="00D14B99"/>
    <w:rsid w:val="00D33F53"/>
    <w:rsid w:val="00D4070C"/>
    <w:rsid w:val="00D6259E"/>
    <w:rsid w:val="00D71F18"/>
    <w:rsid w:val="00D8741D"/>
    <w:rsid w:val="00D90051"/>
    <w:rsid w:val="00D9339A"/>
    <w:rsid w:val="00D9745C"/>
    <w:rsid w:val="00DC175D"/>
    <w:rsid w:val="00DC5B69"/>
    <w:rsid w:val="00DE0969"/>
    <w:rsid w:val="00DE4940"/>
    <w:rsid w:val="00DF09DE"/>
    <w:rsid w:val="00DF5B6C"/>
    <w:rsid w:val="00E04CED"/>
    <w:rsid w:val="00E05EEA"/>
    <w:rsid w:val="00E07D70"/>
    <w:rsid w:val="00E17C84"/>
    <w:rsid w:val="00E34EC0"/>
    <w:rsid w:val="00E44912"/>
    <w:rsid w:val="00E57030"/>
    <w:rsid w:val="00E62E46"/>
    <w:rsid w:val="00E6646C"/>
    <w:rsid w:val="00E664C0"/>
    <w:rsid w:val="00E72790"/>
    <w:rsid w:val="00E93FBB"/>
    <w:rsid w:val="00E964D4"/>
    <w:rsid w:val="00EA04F9"/>
    <w:rsid w:val="00ED26E7"/>
    <w:rsid w:val="00EF1E98"/>
    <w:rsid w:val="00F04FBF"/>
    <w:rsid w:val="00F251F0"/>
    <w:rsid w:val="00F51D67"/>
    <w:rsid w:val="00F65597"/>
    <w:rsid w:val="00F655E1"/>
    <w:rsid w:val="00F774D7"/>
    <w:rsid w:val="00F9575E"/>
    <w:rsid w:val="00FB007A"/>
    <w:rsid w:val="00FC4483"/>
    <w:rsid w:val="00FE66FE"/>
    <w:rsid w:val="010974DF"/>
    <w:rsid w:val="010F4B69"/>
    <w:rsid w:val="0130676A"/>
    <w:rsid w:val="01375E41"/>
    <w:rsid w:val="013B7A72"/>
    <w:rsid w:val="013E24BF"/>
    <w:rsid w:val="01416D8C"/>
    <w:rsid w:val="01542E3B"/>
    <w:rsid w:val="0154649E"/>
    <w:rsid w:val="01585BB8"/>
    <w:rsid w:val="015A204F"/>
    <w:rsid w:val="01666F1F"/>
    <w:rsid w:val="016801A5"/>
    <w:rsid w:val="016A0CC6"/>
    <w:rsid w:val="016D7475"/>
    <w:rsid w:val="01735F4B"/>
    <w:rsid w:val="017D3325"/>
    <w:rsid w:val="018569B4"/>
    <w:rsid w:val="018A16F1"/>
    <w:rsid w:val="018C6445"/>
    <w:rsid w:val="0195411F"/>
    <w:rsid w:val="01B80BD3"/>
    <w:rsid w:val="01B871C0"/>
    <w:rsid w:val="01CC4933"/>
    <w:rsid w:val="01CC4BAB"/>
    <w:rsid w:val="01CC654C"/>
    <w:rsid w:val="01DC58DF"/>
    <w:rsid w:val="01E26AB1"/>
    <w:rsid w:val="01E26BF4"/>
    <w:rsid w:val="01E71F06"/>
    <w:rsid w:val="01EF5D98"/>
    <w:rsid w:val="01F46458"/>
    <w:rsid w:val="01FE0A2C"/>
    <w:rsid w:val="0201658D"/>
    <w:rsid w:val="02072DF4"/>
    <w:rsid w:val="021F4076"/>
    <w:rsid w:val="02215E17"/>
    <w:rsid w:val="02217A18"/>
    <w:rsid w:val="02247C30"/>
    <w:rsid w:val="02261066"/>
    <w:rsid w:val="022B7034"/>
    <w:rsid w:val="02345DAF"/>
    <w:rsid w:val="02483A5D"/>
    <w:rsid w:val="025E3B16"/>
    <w:rsid w:val="02623657"/>
    <w:rsid w:val="02693733"/>
    <w:rsid w:val="02693BD4"/>
    <w:rsid w:val="02793C5B"/>
    <w:rsid w:val="027B63D7"/>
    <w:rsid w:val="027F2F56"/>
    <w:rsid w:val="02836DE2"/>
    <w:rsid w:val="029507D3"/>
    <w:rsid w:val="029B6E90"/>
    <w:rsid w:val="02A26030"/>
    <w:rsid w:val="02A3377A"/>
    <w:rsid w:val="02AA6756"/>
    <w:rsid w:val="02AD3D3A"/>
    <w:rsid w:val="02AD3D85"/>
    <w:rsid w:val="02AE6FF2"/>
    <w:rsid w:val="02AF107E"/>
    <w:rsid w:val="02B05949"/>
    <w:rsid w:val="02B07F0A"/>
    <w:rsid w:val="02B40E10"/>
    <w:rsid w:val="02B5709C"/>
    <w:rsid w:val="02B67502"/>
    <w:rsid w:val="02B964A5"/>
    <w:rsid w:val="02BF77F6"/>
    <w:rsid w:val="02C37979"/>
    <w:rsid w:val="02C52D11"/>
    <w:rsid w:val="02CA6F70"/>
    <w:rsid w:val="02CC3E6E"/>
    <w:rsid w:val="02D15CAB"/>
    <w:rsid w:val="02D57887"/>
    <w:rsid w:val="02DC556E"/>
    <w:rsid w:val="02E14102"/>
    <w:rsid w:val="02EE68FF"/>
    <w:rsid w:val="02F46B94"/>
    <w:rsid w:val="02FA438B"/>
    <w:rsid w:val="02FF2231"/>
    <w:rsid w:val="03016A60"/>
    <w:rsid w:val="03093A07"/>
    <w:rsid w:val="03120381"/>
    <w:rsid w:val="03153165"/>
    <w:rsid w:val="031846AA"/>
    <w:rsid w:val="03257081"/>
    <w:rsid w:val="03305546"/>
    <w:rsid w:val="03337D3C"/>
    <w:rsid w:val="03347BA5"/>
    <w:rsid w:val="033F2821"/>
    <w:rsid w:val="0341020B"/>
    <w:rsid w:val="03465DA8"/>
    <w:rsid w:val="034F0A40"/>
    <w:rsid w:val="035241DD"/>
    <w:rsid w:val="03541CED"/>
    <w:rsid w:val="035962AC"/>
    <w:rsid w:val="0360752C"/>
    <w:rsid w:val="03630548"/>
    <w:rsid w:val="0366170B"/>
    <w:rsid w:val="036E4DF2"/>
    <w:rsid w:val="036F73CC"/>
    <w:rsid w:val="0375678B"/>
    <w:rsid w:val="037B422A"/>
    <w:rsid w:val="038A1BB2"/>
    <w:rsid w:val="038D0696"/>
    <w:rsid w:val="038E5359"/>
    <w:rsid w:val="03930F87"/>
    <w:rsid w:val="039D36DA"/>
    <w:rsid w:val="03A861F3"/>
    <w:rsid w:val="03AC50CD"/>
    <w:rsid w:val="03B20756"/>
    <w:rsid w:val="03B23C58"/>
    <w:rsid w:val="03B35A38"/>
    <w:rsid w:val="03B41CD7"/>
    <w:rsid w:val="03B45169"/>
    <w:rsid w:val="03C15054"/>
    <w:rsid w:val="03CF7C42"/>
    <w:rsid w:val="03D621EC"/>
    <w:rsid w:val="03D97465"/>
    <w:rsid w:val="03F62DA4"/>
    <w:rsid w:val="040445FD"/>
    <w:rsid w:val="040719FE"/>
    <w:rsid w:val="04090A66"/>
    <w:rsid w:val="040E4806"/>
    <w:rsid w:val="041812F0"/>
    <w:rsid w:val="041B68E1"/>
    <w:rsid w:val="04254EF7"/>
    <w:rsid w:val="04255BC3"/>
    <w:rsid w:val="04316766"/>
    <w:rsid w:val="04332B08"/>
    <w:rsid w:val="043707EE"/>
    <w:rsid w:val="04474A49"/>
    <w:rsid w:val="04523880"/>
    <w:rsid w:val="045E5D63"/>
    <w:rsid w:val="04634D8F"/>
    <w:rsid w:val="046D155D"/>
    <w:rsid w:val="046E24A0"/>
    <w:rsid w:val="04742E94"/>
    <w:rsid w:val="047F15EC"/>
    <w:rsid w:val="0482591E"/>
    <w:rsid w:val="04874F74"/>
    <w:rsid w:val="04912B00"/>
    <w:rsid w:val="04A313BF"/>
    <w:rsid w:val="04A51EC4"/>
    <w:rsid w:val="04B11C19"/>
    <w:rsid w:val="04BB3CBA"/>
    <w:rsid w:val="04BF2CB8"/>
    <w:rsid w:val="04C7198E"/>
    <w:rsid w:val="04D213A5"/>
    <w:rsid w:val="04D94F44"/>
    <w:rsid w:val="04DA50C4"/>
    <w:rsid w:val="04DB4128"/>
    <w:rsid w:val="04DC1BC8"/>
    <w:rsid w:val="04DF3800"/>
    <w:rsid w:val="04E24BE1"/>
    <w:rsid w:val="04E43D0E"/>
    <w:rsid w:val="04F90CBC"/>
    <w:rsid w:val="04F95927"/>
    <w:rsid w:val="04FA3462"/>
    <w:rsid w:val="04FC088E"/>
    <w:rsid w:val="050354D7"/>
    <w:rsid w:val="051162FA"/>
    <w:rsid w:val="051F632A"/>
    <w:rsid w:val="05321753"/>
    <w:rsid w:val="05391F80"/>
    <w:rsid w:val="053A4ACF"/>
    <w:rsid w:val="053E3845"/>
    <w:rsid w:val="053F172A"/>
    <w:rsid w:val="0541002F"/>
    <w:rsid w:val="054779AD"/>
    <w:rsid w:val="054E74F8"/>
    <w:rsid w:val="0556011D"/>
    <w:rsid w:val="05584F57"/>
    <w:rsid w:val="055C132D"/>
    <w:rsid w:val="055C2EC6"/>
    <w:rsid w:val="056A2976"/>
    <w:rsid w:val="056F38EF"/>
    <w:rsid w:val="05762528"/>
    <w:rsid w:val="057768BF"/>
    <w:rsid w:val="05852631"/>
    <w:rsid w:val="058B1B02"/>
    <w:rsid w:val="058D7738"/>
    <w:rsid w:val="058F0E70"/>
    <w:rsid w:val="058F67EC"/>
    <w:rsid w:val="059B00A7"/>
    <w:rsid w:val="059B55BE"/>
    <w:rsid w:val="059C5BCD"/>
    <w:rsid w:val="05A52ECF"/>
    <w:rsid w:val="05AA7E70"/>
    <w:rsid w:val="05B21DE2"/>
    <w:rsid w:val="05B872DF"/>
    <w:rsid w:val="05BB5A50"/>
    <w:rsid w:val="05BC3169"/>
    <w:rsid w:val="05C614B0"/>
    <w:rsid w:val="05C94E2E"/>
    <w:rsid w:val="05C96854"/>
    <w:rsid w:val="05CB2D33"/>
    <w:rsid w:val="05DF622F"/>
    <w:rsid w:val="05EA3BDD"/>
    <w:rsid w:val="05EC0BBF"/>
    <w:rsid w:val="05F159E2"/>
    <w:rsid w:val="05F2506C"/>
    <w:rsid w:val="05F921F6"/>
    <w:rsid w:val="05FA2F77"/>
    <w:rsid w:val="05FF3C1A"/>
    <w:rsid w:val="06062A3D"/>
    <w:rsid w:val="06075FEC"/>
    <w:rsid w:val="060D49F6"/>
    <w:rsid w:val="060F639F"/>
    <w:rsid w:val="06112B3C"/>
    <w:rsid w:val="06215539"/>
    <w:rsid w:val="0638780A"/>
    <w:rsid w:val="063B7194"/>
    <w:rsid w:val="063E0DE6"/>
    <w:rsid w:val="064176D8"/>
    <w:rsid w:val="06437873"/>
    <w:rsid w:val="06454C97"/>
    <w:rsid w:val="06491398"/>
    <w:rsid w:val="064B1E81"/>
    <w:rsid w:val="065710C2"/>
    <w:rsid w:val="06584D4D"/>
    <w:rsid w:val="065B315F"/>
    <w:rsid w:val="067C1522"/>
    <w:rsid w:val="068122F5"/>
    <w:rsid w:val="06837E4F"/>
    <w:rsid w:val="06843D48"/>
    <w:rsid w:val="06913258"/>
    <w:rsid w:val="06927983"/>
    <w:rsid w:val="06975731"/>
    <w:rsid w:val="069B626B"/>
    <w:rsid w:val="069C25C5"/>
    <w:rsid w:val="069C5DA9"/>
    <w:rsid w:val="06AB56D0"/>
    <w:rsid w:val="06AE7966"/>
    <w:rsid w:val="06B95C2A"/>
    <w:rsid w:val="06BF0533"/>
    <w:rsid w:val="06C246A6"/>
    <w:rsid w:val="06C3703E"/>
    <w:rsid w:val="06C614AC"/>
    <w:rsid w:val="06CC61A7"/>
    <w:rsid w:val="06D2524A"/>
    <w:rsid w:val="06D43DFA"/>
    <w:rsid w:val="06E51995"/>
    <w:rsid w:val="06EA3E03"/>
    <w:rsid w:val="06F42009"/>
    <w:rsid w:val="06F7755F"/>
    <w:rsid w:val="06F85DFF"/>
    <w:rsid w:val="06FF5FA8"/>
    <w:rsid w:val="07013A0D"/>
    <w:rsid w:val="070B081D"/>
    <w:rsid w:val="070D7104"/>
    <w:rsid w:val="070E029E"/>
    <w:rsid w:val="07165BB5"/>
    <w:rsid w:val="071664CB"/>
    <w:rsid w:val="07195698"/>
    <w:rsid w:val="0730654F"/>
    <w:rsid w:val="073D207A"/>
    <w:rsid w:val="07434BE5"/>
    <w:rsid w:val="074A1497"/>
    <w:rsid w:val="074A49E1"/>
    <w:rsid w:val="074B6B0A"/>
    <w:rsid w:val="074E2E85"/>
    <w:rsid w:val="07515BF5"/>
    <w:rsid w:val="0755659A"/>
    <w:rsid w:val="075850A0"/>
    <w:rsid w:val="076003DE"/>
    <w:rsid w:val="0760628E"/>
    <w:rsid w:val="07684F82"/>
    <w:rsid w:val="076B3425"/>
    <w:rsid w:val="076D5A34"/>
    <w:rsid w:val="0776142E"/>
    <w:rsid w:val="07764244"/>
    <w:rsid w:val="077C5CB6"/>
    <w:rsid w:val="0783049C"/>
    <w:rsid w:val="07870AFB"/>
    <w:rsid w:val="078748AB"/>
    <w:rsid w:val="078B665C"/>
    <w:rsid w:val="0795338A"/>
    <w:rsid w:val="07A56FBB"/>
    <w:rsid w:val="07A82607"/>
    <w:rsid w:val="07AC3018"/>
    <w:rsid w:val="07BA0B8A"/>
    <w:rsid w:val="07BE249F"/>
    <w:rsid w:val="07BF409F"/>
    <w:rsid w:val="07CF3C47"/>
    <w:rsid w:val="07D76651"/>
    <w:rsid w:val="07DA2045"/>
    <w:rsid w:val="07DC0946"/>
    <w:rsid w:val="07DD06DB"/>
    <w:rsid w:val="07DD5905"/>
    <w:rsid w:val="07DE718D"/>
    <w:rsid w:val="07DF26DB"/>
    <w:rsid w:val="07E239CC"/>
    <w:rsid w:val="07E53475"/>
    <w:rsid w:val="07FC2E74"/>
    <w:rsid w:val="07FE79CD"/>
    <w:rsid w:val="08015504"/>
    <w:rsid w:val="080E7859"/>
    <w:rsid w:val="080F1AFD"/>
    <w:rsid w:val="08275E9F"/>
    <w:rsid w:val="082F2942"/>
    <w:rsid w:val="08323316"/>
    <w:rsid w:val="083927E4"/>
    <w:rsid w:val="083B69AD"/>
    <w:rsid w:val="083C4608"/>
    <w:rsid w:val="08436517"/>
    <w:rsid w:val="0849387F"/>
    <w:rsid w:val="084C154B"/>
    <w:rsid w:val="084F0A17"/>
    <w:rsid w:val="085A3CC5"/>
    <w:rsid w:val="08627391"/>
    <w:rsid w:val="086A114C"/>
    <w:rsid w:val="086E4FBF"/>
    <w:rsid w:val="08711291"/>
    <w:rsid w:val="087455F9"/>
    <w:rsid w:val="087466EA"/>
    <w:rsid w:val="089A6A2E"/>
    <w:rsid w:val="08A234FA"/>
    <w:rsid w:val="08A676CB"/>
    <w:rsid w:val="08AA0C7F"/>
    <w:rsid w:val="08B35527"/>
    <w:rsid w:val="08C62846"/>
    <w:rsid w:val="08C93D06"/>
    <w:rsid w:val="08C95534"/>
    <w:rsid w:val="08CE1601"/>
    <w:rsid w:val="08D4742C"/>
    <w:rsid w:val="08DE3382"/>
    <w:rsid w:val="08E02B28"/>
    <w:rsid w:val="08E941C1"/>
    <w:rsid w:val="08F6361B"/>
    <w:rsid w:val="08F77308"/>
    <w:rsid w:val="08F81DFC"/>
    <w:rsid w:val="08FF6095"/>
    <w:rsid w:val="09045AED"/>
    <w:rsid w:val="09060B75"/>
    <w:rsid w:val="090653B1"/>
    <w:rsid w:val="09132149"/>
    <w:rsid w:val="09167A44"/>
    <w:rsid w:val="09207898"/>
    <w:rsid w:val="09246B7F"/>
    <w:rsid w:val="0926197A"/>
    <w:rsid w:val="092D395B"/>
    <w:rsid w:val="092F19E3"/>
    <w:rsid w:val="09322AD0"/>
    <w:rsid w:val="09343970"/>
    <w:rsid w:val="09344E19"/>
    <w:rsid w:val="09370A52"/>
    <w:rsid w:val="093D51B4"/>
    <w:rsid w:val="093F6F9B"/>
    <w:rsid w:val="094B3B92"/>
    <w:rsid w:val="095504DD"/>
    <w:rsid w:val="09647EC4"/>
    <w:rsid w:val="09766ACB"/>
    <w:rsid w:val="097B23E0"/>
    <w:rsid w:val="097C3D4B"/>
    <w:rsid w:val="0980626C"/>
    <w:rsid w:val="098D628F"/>
    <w:rsid w:val="098E7098"/>
    <w:rsid w:val="098F50FF"/>
    <w:rsid w:val="0990529C"/>
    <w:rsid w:val="09924AB2"/>
    <w:rsid w:val="0998486F"/>
    <w:rsid w:val="09996199"/>
    <w:rsid w:val="099A2423"/>
    <w:rsid w:val="09A93993"/>
    <w:rsid w:val="09B25C8F"/>
    <w:rsid w:val="09B37AEC"/>
    <w:rsid w:val="09B50186"/>
    <w:rsid w:val="09BA4D83"/>
    <w:rsid w:val="09C51231"/>
    <w:rsid w:val="09C72651"/>
    <w:rsid w:val="09CC05C4"/>
    <w:rsid w:val="09D23279"/>
    <w:rsid w:val="09D41DD9"/>
    <w:rsid w:val="09E23085"/>
    <w:rsid w:val="09E62EBE"/>
    <w:rsid w:val="09E741F2"/>
    <w:rsid w:val="09EC76DB"/>
    <w:rsid w:val="09EF49EF"/>
    <w:rsid w:val="09EF5595"/>
    <w:rsid w:val="09F1006B"/>
    <w:rsid w:val="09F906B0"/>
    <w:rsid w:val="09FE7367"/>
    <w:rsid w:val="0A07135F"/>
    <w:rsid w:val="0A116CF4"/>
    <w:rsid w:val="0A1B5351"/>
    <w:rsid w:val="0A1C7EC9"/>
    <w:rsid w:val="0A221F3A"/>
    <w:rsid w:val="0A2363B0"/>
    <w:rsid w:val="0A26442A"/>
    <w:rsid w:val="0A287FA0"/>
    <w:rsid w:val="0A2A0524"/>
    <w:rsid w:val="0A2C0D3B"/>
    <w:rsid w:val="0A2E5E53"/>
    <w:rsid w:val="0A310F18"/>
    <w:rsid w:val="0A321633"/>
    <w:rsid w:val="0A332E85"/>
    <w:rsid w:val="0A340E0D"/>
    <w:rsid w:val="0A341682"/>
    <w:rsid w:val="0A3838AE"/>
    <w:rsid w:val="0A3F14EC"/>
    <w:rsid w:val="0A522D71"/>
    <w:rsid w:val="0A5E482E"/>
    <w:rsid w:val="0A6B6E10"/>
    <w:rsid w:val="0A712022"/>
    <w:rsid w:val="0A7B0C26"/>
    <w:rsid w:val="0A7B1AB9"/>
    <w:rsid w:val="0A7F5E19"/>
    <w:rsid w:val="0A810269"/>
    <w:rsid w:val="0A8C6A20"/>
    <w:rsid w:val="0A8D65CC"/>
    <w:rsid w:val="0A9713FA"/>
    <w:rsid w:val="0A9A72F3"/>
    <w:rsid w:val="0A9E3100"/>
    <w:rsid w:val="0A9F3C9B"/>
    <w:rsid w:val="0AA74DF8"/>
    <w:rsid w:val="0AB441B1"/>
    <w:rsid w:val="0ABA39F1"/>
    <w:rsid w:val="0ABB708E"/>
    <w:rsid w:val="0AC716EE"/>
    <w:rsid w:val="0ACD1AA9"/>
    <w:rsid w:val="0ADC305B"/>
    <w:rsid w:val="0AE25F55"/>
    <w:rsid w:val="0AE94F91"/>
    <w:rsid w:val="0AF30864"/>
    <w:rsid w:val="0AF50251"/>
    <w:rsid w:val="0AF92D45"/>
    <w:rsid w:val="0AFC4CD1"/>
    <w:rsid w:val="0AFC55BB"/>
    <w:rsid w:val="0B0005A1"/>
    <w:rsid w:val="0B194C41"/>
    <w:rsid w:val="0B2427D9"/>
    <w:rsid w:val="0B38329D"/>
    <w:rsid w:val="0B396B39"/>
    <w:rsid w:val="0B410063"/>
    <w:rsid w:val="0B586D3B"/>
    <w:rsid w:val="0B5948DD"/>
    <w:rsid w:val="0B5F1DC7"/>
    <w:rsid w:val="0B605F4D"/>
    <w:rsid w:val="0B6158EF"/>
    <w:rsid w:val="0B72052C"/>
    <w:rsid w:val="0B786788"/>
    <w:rsid w:val="0B7B2078"/>
    <w:rsid w:val="0B7C44D7"/>
    <w:rsid w:val="0B823371"/>
    <w:rsid w:val="0B84338B"/>
    <w:rsid w:val="0B8B19A4"/>
    <w:rsid w:val="0B8C0997"/>
    <w:rsid w:val="0B931CCB"/>
    <w:rsid w:val="0BA340B9"/>
    <w:rsid w:val="0BA8074F"/>
    <w:rsid w:val="0BAA2594"/>
    <w:rsid w:val="0BB645A8"/>
    <w:rsid w:val="0BB91287"/>
    <w:rsid w:val="0BBC0DC9"/>
    <w:rsid w:val="0BBC5F9E"/>
    <w:rsid w:val="0BBC72FE"/>
    <w:rsid w:val="0BC154BD"/>
    <w:rsid w:val="0BC26AAB"/>
    <w:rsid w:val="0BC8196A"/>
    <w:rsid w:val="0BC93196"/>
    <w:rsid w:val="0BD11F11"/>
    <w:rsid w:val="0BDC33FE"/>
    <w:rsid w:val="0BDC4F75"/>
    <w:rsid w:val="0BDC743A"/>
    <w:rsid w:val="0BE13D04"/>
    <w:rsid w:val="0BE2426F"/>
    <w:rsid w:val="0BE65DF4"/>
    <w:rsid w:val="0BE85DDD"/>
    <w:rsid w:val="0BF66F00"/>
    <w:rsid w:val="0BF80A9C"/>
    <w:rsid w:val="0BF84DC8"/>
    <w:rsid w:val="0BF977FE"/>
    <w:rsid w:val="0BFB4241"/>
    <w:rsid w:val="0BFC6861"/>
    <w:rsid w:val="0C003A87"/>
    <w:rsid w:val="0C004624"/>
    <w:rsid w:val="0C007C0D"/>
    <w:rsid w:val="0C0C03C9"/>
    <w:rsid w:val="0C123F38"/>
    <w:rsid w:val="0C127856"/>
    <w:rsid w:val="0C190A0A"/>
    <w:rsid w:val="0C1F3477"/>
    <w:rsid w:val="0C215BD8"/>
    <w:rsid w:val="0C2462E1"/>
    <w:rsid w:val="0C272077"/>
    <w:rsid w:val="0C27273B"/>
    <w:rsid w:val="0C2D7534"/>
    <w:rsid w:val="0C316782"/>
    <w:rsid w:val="0C3C3CA0"/>
    <w:rsid w:val="0C3F3A46"/>
    <w:rsid w:val="0C4018D0"/>
    <w:rsid w:val="0C405E13"/>
    <w:rsid w:val="0C415546"/>
    <w:rsid w:val="0C494397"/>
    <w:rsid w:val="0C4B10A1"/>
    <w:rsid w:val="0C4D1731"/>
    <w:rsid w:val="0C513186"/>
    <w:rsid w:val="0C524FEC"/>
    <w:rsid w:val="0C556C9B"/>
    <w:rsid w:val="0C572BD3"/>
    <w:rsid w:val="0C5730C1"/>
    <w:rsid w:val="0C64251E"/>
    <w:rsid w:val="0C691AB4"/>
    <w:rsid w:val="0C6C4136"/>
    <w:rsid w:val="0C7120BA"/>
    <w:rsid w:val="0C742125"/>
    <w:rsid w:val="0C743DEB"/>
    <w:rsid w:val="0C7567F0"/>
    <w:rsid w:val="0C7D57C5"/>
    <w:rsid w:val="0C801498"/>
    <w:rsid w:val="0C82275E"/>
    <w:rsid w:val="0C836D6B"/>
    <w:rsid w:val="0C890893"/>
    <w:rsid w:val="0C8D251A"/>
    <w:rsid w:val="0C90777F"/>
    <w:rsid w:val="0C916659"/>
    <w:rsid w:val="0C9B1C08"/>
    <w:rsid w:val="0C9D66F6"/>
    <w:rsid w:val="0CA06999"/>
    <w:rsid w:val="0CBD341E"/>
    <w:rsid w:val="0CBE6A96"/>
    <w:rsid w:val="0CC30264"/>
    <w:rsid w:val="0CC32094"/>
    <w:rsid w:val="0CC7770C"/>
    <w:rsid w:val="0CD61C5E"/>
    <w:rsid w:val="0CDA2B45"/>
    <w:rsid w:val="0CE005BA"/>
    <w:rsid w:val="0CE746DE"/>
    <w:rsid w:val="0CE92E2F"/>
    <w:rsid w:val="0CE96095"/>
    <w:rsid w:val="0CF238D9"/>
    <w:rsid w:val="0CF3265F"/>
    <w:rsid w:val="0CF54C18"/>
    <w:rsid w:val="0CFB7D5D"/>
    <w:rsid w:val="0CFF1C5D"/>
    <w:rsid w:val="0D0105C4"/>
    <w:rsid w:val="0D020CCB"/>
    <w:rsid w:val="0D0676A4"/>
    <w:rsid w:val="0D190F81"/>
    <w:rsid w:val="0D1D5845"/>
    <w:rsid w:val="0D1D58C9"/>
    <w:rsid w:val="0D262447"/>
    <w:rsid w:val="0D2B3F36"/>
    <w:rsid w:val="0D3333F8"/>
    <w:rsid w:val="0D361020"/>
    <w:rsid w:val="0D3F756A"/>
    <w:rsid w:val="0D423EAE"/>
    <w:rsid w:val="0D4E75B4"/>
    <w:rsid w:val="0D5261BF"/>
    <w:rsid w:val="0D57246E"/>
    <w:rsid w:val="0D6734E3"/>
    <w:rsid w:val="0D6E4804"/>
    <w:rsid w:val="0D7D2A79"/>
    <w:rsid w:val="0D7D3E0F"/>
    <w:rsid w:val="0D8200F5"/>
    <w:rsid w:val="0D841421"/>
    <w:rsid w:val="0D86133A"/>
    <w:rsid w:val="0D893804"/>
    <w:rsid w:val="0D8D3537"/>
    <w:rsid w:val="0DA44C4F"/>
    <w:rsid w:val="0DA63D3D"/>
    <w:rsid w:val="0DAC0338"/>
    <w:rsid w:val="0DAC7CEF"/>
    <w:rsid w:val="0DAD62D1"/>
    <w:rsid w:val="0DB57980"/>
    <w:rsid w:val="0DB95559"/>
    <w:rsid w:val="0DBB4523"/>
    <w:rsid w:val="0DC209AA"/>
    <w:rsid w:val="0DC44BEA"/>
    <w:rsid w:val="0DC906B2"/>
    <w:rsid w:val="0DD265EC"/>
    <w:rsid w:val="0DD43F77"/>
    <w:rsid w:val="0DDF4F23"/>
    <w:rsid w:val="0DE620DB"/>
    <w:rsid w:val="0DE7134E"/>
    <w:rsid w:val="0DE805D5"/>
    <w:rsid w:val="0DFA16E3"/>
    <w:rsid w:val="0DFE3130"/>
    <w:rsid w:val="0E0064DC"/>
    <w:rsid w:val="0E052416"/>
    <w:rsid w:val="0E1C1B92"/>
    <w:rsid w:val="0E20647A"/>
    <w:rsid w:val="0E2B77B0"/>
    <w:rsid w:val="0E304F48"/>
    <w:rsid w:val="0E33779F"/>
    <w:rsid w:val="0E3A5F83"/>
    <w:rsid w:val="0E3E07E5"/>
    <w:rsid w:val="0E44758C"/>
    <w:rsid w:val="0E4504CC"/>
    <w:rsid w:val="0E4D0FC1"/>
    <w:rsid w:val="0E511C4A"/>
    <w:rsid w:val="0E511DEE"/>
    <w:rsid w:val="0E5753B1"/>
    <w:rsid w:val="0E6370CE"/>
    <w:rsid w:val="0E667D4E"/>
    <w:rsid w:val="0E7C4A82"/>
    <w:rsid w:val="0E8E520D"/>
    <w:rsid w:val="0E8F336A"/>
    <w:rsid w:val="0E8F359F"/>
    <w:rsid w:val="0E917529"/>
    <w:rsid w:val="0EB75DD5"/>
    <w:rsid w:val="0EC25A79"/>
    <w:rsid w:val="0EC345DF"/>
    <w:rsid w:val="0EC75F80"/>
    <w:rsid w:val="0ECA7B73"/>
    <w:rsid w:val="0ECD648E"/>
    <w:rsid w:val="0EDA7ABD"/>
    <w:rsid w:val="0EDB7766"/>
    <w:rsid w:val="0EE16478"/>
    <w:rsid w:val="0EE813E9"/>
    <w:rsid w:val="0EE9317A"/>
    <w:rsid w:val="0EF10B09"/>
    <w:rsid w:val="0F000C96"/>
    <w:rsid w:val="0F030982"/>
    <w:rsid w:val="0F0443E5"/>
    <w:rsid w:val="0F0A3BA7"/>
    <w:rsid w:val="0F0F50B1"/>
    <w:rsid w:val="0F266F83"/>
    <w:rsid w:val="0F292A93"/>
    <w:rsid w:val="0F2B39D9"/>
    <w:rsid w:val="0F332828"/>
    <w:rsid w:val="0F383593"/>
    <w:rsid w:val="0F3C7A41"/>
    <w:rsid w:val="0F3D1472"/>
    <w:rsid w:val="0F3F5F47"/>
    <w:rsid w:val="0F5346EB"/>
    <w:rsid w:val="0F565E8D"/>
    <w:rsid w:val="0F5E2F7D"/>
    <w:rsid w:val="0F645AC1"/>
    <w:rsid w:val="0F6B43C5"/>
    <w:rsid w:val="0F7113C1"/>
    <w:rsid w:val="0F76462C"/>
    <w:rsid w:val="0F767D88"/>
    <w:rsid w:val="0F7958FE"/>
    <w:rsid w:val="0F895627"/>
    <w:rsid w:val="0F8B0C31"/>
    <w:rsid w:val="0F927664"/>
    <w:rsid w:val="0FA04150"/>
    <w:rsid w:val="0FA40C23"/>
    <w:rsid w:val="0FB029A1"/>
    <w:rsid w:val="0FB7141D"/>
    <w:rsid w:val="0FB72367"/>
    <w:rsid w:val="0FB73E77"/>
    <w:rsid w:val="0FB9413C"/>
    <w:rsid w:val="0FC47664"/>
    <w:rsid w:val="0FC66ECC"/>
    <w:rsid w:val="0FDC3796"/>
    <w:rsid w:val="0FED0854"/>
    <w:rsid w:val="0FED3576"/>
    <w:rsid w:val="0FF63E22"/>
    <w:rsid w:val="0FFD41BD"/>
    <w:rsid w:val="0FFD5200"/>
    <w:rsid w:val="0FFE3D02"/>
    <w:rsid w:val="10005A8C"/>
    <w:rsid w:val="10065999"/>
    <w:rsid w:val="10092592"/>
    <w:rsid w:val="10211950"/>
    <w:rsid w:val="10213F6E"/>
    <w:rsid w:val="103247B3"/>
    <w:rsid w:val="104071D9"/>
    <w:rsid w:val="1042731E"/>
    <w:rsid w:val="104273D7"/>
    <w:rsid w:val="10445B9A"/>
    <w:rsid w:val="10494F32"/>
    <w:rsid w:val="10560D06"/>
    <w:rsid w:val="106043C7"/>
    <w:rsid w:val="10640B9B"/>
    <w:rsid w:val="10651D23"/>
    <w:rsid w:val="10655C5D"/>
    <w:rsid w:val="10673933"/>
    <w:rsid w:val="10757746"/>
    <w:rsid w:val="1090507D"/>
    <w:rsid w:val="109E5FEF"/>
    <w:rsid w:val="10B262A5"/>
    <w:rsid w:val="10BA0DCE"/>
    <w:rsid w:val="10C20B10"/>
    <w:rsid w:val="10C3101B"/>
    <w:rsid w:val="10C876B1"/>
    <w:rsid w:val="10CA34E1"/>
    <w:rsid w:val="10CE5C82"/>
    <w:rsid w:val="10D25FC1"/>
    <w:rsid w:val="10D26878"/>
    <w:rsid w:val="10DA4B72"/>
    <w:rsid w:val="10DD09CE"/>
    <w:rsid w:val="10ED1D0E"/>
    <w:rsid w:val="10EE684F"/>
    <w:rsid w:val="10F535D3"/>
    <w:rsid w:val="110665DD"/>
    <w:rsid w:val="11082CF7"/>
    <w:rsid w:val="11153FC3"/>
    <w:rsid w:val="111D7E38"/>
    <w:rsid w:val="112076B2"/>
    <w:rsid w:val="1123195D"/>
    <w:rsid w:val="112B0024"/>
    <w:rsid w:val="113F126E"/>
    <w:rsid w:val="1155415F"/>
    <w:rsid w:val="115600D4"/>
    <w:rsid w:val="115920CE"/>
    <w:rsid w:val="11647B2C"/>
    <w:rsid w:val="1174468E"/>
    <w:rsid w:val="117620D4"/>
    <w:rsid w:val="117C32EA"/>
    <w:rsid w:val="118834E8"/>
    <w:rsid w:val="119908C2"/>
    <w:rsid w:val="119E09B8"/>
    <w:rsid w:val="11AB66AD"/>
    <w:rsid w:val="11B1006A"/>
    <w:rsid w:val="11B62D7E"/>
    <w:rsid w:val="11C02D2E"/>
    <w:rsid w:val="11C605E7"/>
    <w:rsid w:val="11D37EA7"/>
    <w:rsid w:val="11D72CBF"/>
    <w:rsid w:val="11E90B6B"/>
    <w:rsid w:val="11ED3D2F"/>
    <w:rsid w:val="11F400C8"/>
    <w:rsid w:val="11F538AA"/>
    <w:rsid w:val="11F67003"/>
    <w:rsid w:val="11F81593"/>
    <w:rsid w:val="120314AE"/>
    <w:rsid w:val="1203277A"/>
    <w:rsid w:val="1206792D"/>
    <w:rsid w:val="1228182C"/>
    <w:rsid w:val="12312169"/>
    <w:rsid w:val="124368EB"/>
    <w:rsid w:val="12455342"/>
    <w:rsid w:val="12566960"/>
    <w:rsid w:val="1259358F"/>
    <w:rsid w:val="12594D28"/>
    <w:rsid w:val="125B2172"/>
    <w:rsid w:val="125C0F94"/>
    <w:rsid w:val="12665399"/>
    <w:rsid w:val="12671902"/>
    <w:rsid w:val="127220C8"/>
    <w:rsid w:val="12735809"/>
    <w:rsid w:val="127C1D9A"/>
    <w:rsid w:val="127F6497"/>
    <w:rsid w:val="12823F18"/>
    <w:rsid w:val="12861640"/>
    <w:rsid w:val="128A1CAF"/>
    <w:rsid w:val="128B14A3"/>
    <w:rsid w:val="128C6DCA"/>
    <w:rsid w:val="12942106"/>
    <w:rsid w:val="129530C6"/>
    <w:rsid w:val="129659CF"/>
    <w:rsid w:val="129901FE"/>
    <w:rsid w:val="129F3C34"/>
    <w:rsid w:val="12A1706C"/>
    <w:rsid w:val="12A27DC3"/>
    <w:rsid w:val="12A3059B"/>
    <w:rsid w:val="12A4049F"/>
    <w:rsid w:val="12A56C60"/>
    <w:rsid w:val="12AC1D5A"/>
    <w:rsid w:val="12AF17AA"/>
    <w:rsid w:val="12B508B1"/>
    <w:rsid w:val="12B65B63"/>
    <w:rsid w:val="12B7019C"/>
    <w:rsid w:val="12B72298"/>
    <w:rsid w:val="12B843BB"/>
    <w:rsid w:val="12BB3640"/>
    <w:rsid w:val="12C0114D"/>
    <w:rsid w:val="12CB4575"/>
    <w:rsid w:val="12CF5487"/>
    <w:rsid w:val="12D175E2"/>
    <w:rsid w:val="12D4727E"/>
    <w:rsid w:val="12D71F2E"/>
    <w:rsid w:val="12E31BDE"/>
    <w:rsid w:val="12E83881"/>
    <w:rsid w:val="12EC7AE9"/>
    <w:rsid w:val="13017E87"/>
    <w:rsid w:val="13063F06"/>
    <w:rsid w:val="13071595"/>
    <w:rsid w:val="130E780C"/>
    <w:rsid w:val="13117D70"/>
    <w:rsid w:val="131A335A"/>
    <w:rsid w:val="13220D35"/>
    <w:rsid w:val="13313BF8"/>
    <w:rsid w:val="13425FE7"/>
    <w:rsid w:val="135720BE"/>
    <w:rsid w:val="136441CE"/>
    <w:rsid w:val="13646528"/>
    <w:rsid w:val="137131BB"/>
    <w:rsid w:val="137A683C"/>
    <w:rsid w:val="137A699F"/>
    <w:rsid w:val="1384637C"/>
    <w:rsid w:val="138B328C"/>
    <w:rsid w:val="138C5731"/>
    <w:rsid w:val="13903825"/>
    <w:rsid w:val="139C5FF5"/>
    <w:rsid w:val="139D1015"/>
    <w:rsid w:val="13A37472"/>
    <w:rsid w:val="13A9686B"/>
    <w:rsid w:val="13B04A88"/>
    <w:rsid w:val="13B84F5A"/>
    <w:rsid w:val="13BB1CF9"/>
    <w:rsid w:val="13C46C25"/>
    <w:rsid w:val="13C54FC2"/>
    <w:rsid w:val="13C83C17"/>
    <w:rsid w:val="13CD160D"/>
    <w:rsid w:val="13CD325F"/>
    <w:rsid w:val="13CD3FA3"/>
    <w:rsid w:val="13D645AE"/>
    <w:rsid w:val="13DD3F4F"/>
    <w:rsid w:val="13DE2A6A"/>
    <w:rsid w:val="140C03C2"/>
    <w:rsid w:val="140D6D71"/>
    <w:rsid w:val="140F40B7"/>
    <w:rsid w:val="141E0717"/>
    <w:rsid w:val="14283E94"/>
    <w:rsid w:val="14295357"/>
    <w:rsid w:val="14297453"/>
    <w:rsid w:val="142E50AD"/>
    <w:rsid w:val="143907F8"/>
    <w:rsid w:val="143E5B17"/>
    <w:rsid w:val="1445537A"/>
    <w:rsid w:val="144B12F1"/>
    <w:rsid w:val="144B713C"/>
    <w:rsid w:val="14540C19"/>
    <w:rsid w:val="145D40F9"/>
    <w:rsid w:val="146429B0"/>
    <w:rsid w:val="146733DC"/>
    <w:rsid w:val="146F51D9"/>
    <w:rsid w:val="14716FD2"/>
    <w:rsid w:val="14883EEC"/>
    <w:rsid w:val="148963AA"/>
    <w:rsid w:val="14984A52"/>
    <w:rsid w:val="14997EA7"/>
    <w:rsid w:val="14AB3737"/>
    <w:rsid w:val="14AF53EA"/>
    <w:rsid w:val="14B25F3D"/>
    <w:rsid w:val="14B47C73"/>
    <w:rsid w:val="14B74712"/>
    <w:rsid w:val="14B925F3"/>
    <w:rsid w:val="14BD517C"/>
    <w:rsid w:val="14BE16BC"/>
    <w:rsid w:val="14CF2F4A"/>
    <w:rsid w:val="14DF0BA2"/>
    <w:rsid w:val="14E13ABE"/>
    <w:rsid w:val="14EC111C"/>
    <w:rsid w:val="14F2438D"/>
    <w:rsid w:val="14FD260F"/>
    <w:rsid w:val="15060D13"/>
    <w:rsid w:val="1508059A"/>
    <w:rsid w:val="150A0F40"/>
    <w:rsid w:val="150A1CAF"/>
    <w:rsid w:val="15115FBE"/>
    <w:rsid w:val="151E58BF"/>
    <w:rsid w:val="152864F1"/>
    <w:rsid w:val="152A4D86"/>
    <w:rsid w:val="152D0EAD"/>
    <w:rsid w:val="153426C4"/>
    <w:rsid w:val="153E61F1"/>
    <w:rsid w:val="15412E70"/>
    <w:rsid w:val="15451518"/>
    <w:rsid w:val="15457C9B"/>
    <w:rsid w:val="15474C21"/>
    <w:rsid w:val="154B3B30"/>
    <w:rsid w:val="154C5769"/>
    <w:rsid w:val="155B51EC"/>
    <w:rsid w:val="155D63FE"/>
    <w:rsid w:val="15606346"/>
    <w:rsid w:val="1566616E"/>
    <w:rsid w:val="156A4DD9"/>
    <w:rsid w:val="157E0E4B"/>
    <w:rsid w:val="158A0510"/>
    <w:rsid w:val="15A24385"/>
    <w:rsid w:val="15A31535"/>
    <w:rsid w:val="15A4548C"/>
    <w:rsid w:val="15A75661"/>
    <w:rsid w:val="15A91D18"/>
    <w:rsid w:val="15B11E25"/>
    <w:rsid w:val="15B825AF"/>
    <w:rsid w:val="15BB6C7B"/>
    <w:rsid w:val="15C87753"/>
    <w:rsid w:val="15CD1516"/>
    <w:rsid w:val="15D41C79"/>
    <w:rsid w:val="15D84B69"/>
    <w:rsid w:val="15DB3018"/>
    <w:rsid w:val="15DD706A"/>
    <w:rsid w:val="15E85EA3"/>
    <w:rsid w:val="15FD4136"/>
    <w:rsid w:val="1608552B"/>
    <w:rsid w:val="160A6A90"/>
    <w:rsid w:val="160F1A18"/>
    <w:rsid w:val="16105D65"/>
    <w:rsid w:val="161B6D47"/>
    <w:rsid w:val="162A45AF"/>
    <w:rsid w:val="163663F7"/>
    <w:rsid w:val="163E57AE"/>
    <w:rsid w:val="163F32EB"/>
    <w:rsid w:val="165364C3"/>
    <w:rsid w:val="165A2BDE"/>
    <w:rsid w:val="16636CE1"/>
    <w:rsid w:val="16646CBF"/>
    <w:rsid w:val="16676272"/>
    <w:rsid w:val="166E0A8A"/>
    <w:rsid w:val="166F1D3D"/>
    <w:rsid w:val="16706B4D"/>
    <w:rsid w:val="16710DF6"/>
    <w:rsid w:val="1673768F"/>
    <w:rsid w:val="16752821"/>
    <w:rsid w:val="16765361"/>
    <w:rsid w:val="16792576"/>
    <w:rsid w:val="16806552"/>
    <w:rsid w:val="16826733"/>
    <w:rsid w:val="168523D3"/>
    <w:rsid w:val="168B4CC3"/>
    <w:rsid w:val="1692495E"/>
    <w:rsid w:val="16987629"/>
    <w:rsid w:val="16A100CA"/>
    <w:rsid w:val="16AA4DAF"/>
    <w:rsid w:val="16AD1756"/>
    <w:rsid w:val="16AE01A6"/>
    <w:rsid w:val="16AF043B"/>
    <w:rsid w:val="16B23F2C"/>
    <w:rsid w:val="16B943F6"/>
    <w:rsid w:val="16D04FC6"/>
    <w:rsid w:val="16D15FD8"/>
    <w:rsid w:val="16D33E72"/>
    <w:rsid w:val="16D7709E"/>
    <w:rsid w:val="16D91158"/>
    <w:rsid w:val="16D927DD"/>
    <w:rsid w:val="16DA7D18"/>
    <w:rsid w:val="16E97EF9"/>
    <w:rsid w:val="16F10E05"/>
    <w:rsid w:val="16F5440C"/>
    <w:rsid w:val="17006251"/>
    <w:rsid w:val="170B17C5"/>
    <w:rsid w:val="171038A9"/>
    <w:rsid w:val="17137909"/>
    <w:rsid w:val="171A0E17"/>
    <w:rsid w:val="171B65B0"/>
    <w:rsid w:val="171E24D6"/>
    <w:rsid w:val="171E475F"/>
    <w:rsid w:val="172B6DB1"/>
    <w:rsid w:val="172E4346"/>
    <w:rsid w:val="17384267"/>
    <w:rsid w:val="173F2DB2"/>
    <w:rsid w:val="1743129B"/>
    <w:rsid w:val="17477185"/>
    <w:rsid w:val="1748044E"/>
    <w:rsid w:val="174D23F4"/>
    <w:rsid w:val="17532E5E"/>
    <w:rsid w:val="175937E0"/>
    <w:rsid w:val="175C7865"/>
    <w:rsid w:val="17603FEB"/>
    <w:rsid w:val="176108AC"/>
    <w:rsid w:val="176A54AD"/>
    <w:rsid w:val="176F1347"/>
    <w:rsid w:val="17725B24"/>
    <w:rsid w:val="1780603B"/>
    <w:rsid w:val="17A245DC"/>
    <w:rsid w:val="17A61C6F"/>
    <w:rsid w:val="17B0594D"/>
    <w:rsid w:val="17B15903"/>
    <w:rsid w:val="17B27A9B"/>
    <w:rsid w:val="17B926ED"/>
    <w:rsid w:val="17BA79E2"/>
    <w:rsid w:val="17BC4772"/>
    <w:rsid w:val="17D12728"/>
    <w:rsid w:val="17D24DD8"/>
    <w:rsid w:val="17E60A7A"/>
    <w:rsid w:val="17E92F1A"/>
    <w:rsid w:val="17EF54C7"/>
    <w:rsid w:val="17F07560"/>
    <w:rsid w:val="17F84D97"/>
    <w:rsid w:val="17FB38A2"/>
    <w:rsid w:val="18030739"/>
    <w:rsid w:val="18090844"/>
    <w:rsid w:val="180C0AFD"/>
    <w:rsid w:val="18117B13"/>
    <w:rsid w:val="181870D4"/>
    <w:rsid w:val="182251D3"/>
    <w:rsid w:val="18243F2C"/>
    <w:rsid w:val="18244DD0"/>
    <w:rsid w:val="182E46B2"/>
    <w:rsid w:val="182E5E4C"/>
    <w:rsid w:val="183121A5"/>
    <w:rsid w:val="1833144C"/>
    <w:rsid w:val="183E096C"/>
    <w:rsid w:val="184F2CDA"/>
    <w:rsid w:val="18622CA6"/>
    <w:rsid w:val="1867206B"/>
    <w:rsid w:val="18685DE7"/>
    <w:rsid w:val="186A2283"/>
    <w:rsid w:val="1876019B"/>
    <w:rsid w:val="187C0DEA"/>
    <w:rsid w:val="187F3AAD"/>
    <w:rsid w:val="188365CF"/>
    <w:rsid w:val="189F6C54"/>
    <w:rsid w:val="18A73433"/>
    <w:rsid w:val="18A763D9"/>
    <w:rsid w:val="18AB19DB"/>
    <w:rsid w:val="18AD51D7"/>
    <w:rsid w:val="18AE1B38"/>
    <w:rsid w:val="18B215FA"/>
    <w:rsid w:val="18B307D7"/>
    <w:rsid w:val="18B807E8"/>
    <w:rsid w:val="18D11090"/>
    <w:rsid w:val="18D25C5F"/>
    <w:rsid w:val="18D3325C"/>
    <w:rsid w:val="18DB65A0"/>
    <w:rsid w:val="18E03DC5"/>
    <w:rsid w:val="18E04B97"/>
    <w:rsid w:val="18E1087C"/>
    <w:rsid w:val="18EA00FB"/>
    <w:rsid w:val="18EB4A4A"/>
    <w:rsid w:val="18F46A0A"/>
    <w:rsid w:val="18F953B8"/>
    <w:rsid w:val="18FA3995"/>
    <w:rsid w:val="18FB18A2"/>
    <w:rsid w:val="18FB50F2"/>
    <w:rsid w:val="18FC6C57"/>
    <w:rsid w:val="19067AD5"/>
    <w:rsid w:val="190A14A1"/>
    <w:rsid w:val="19161AC1"/>
    <w:rsid w:val="19234C01"/>
    <w:rsid w:val="19273717"/>
    <w:rsid w:val="19295346"/>
    <w:rsid w:val="192D0E31"/>
    <w:rsid w:val="192E2A29"/>
    <w:rsid w:val="192E7999"/>
    <w:rsid w:val="1933023C"/>
    <w:rsid w:val="19354C84"/>
    <w:rsid w:val="19445F08"/>
    <w:rsid w:val="19584C54"/>
    <w:rsid w:val="195949B2"/>
    <w:rsid w:val="19595246"/>
    <w:rsid w:val="19677EDB"/>
    <w:rsid w:val="19681C0E"/>
    <w:rsid w:val="197B3A62"/>
    <w:rsid w:val="198A612F"/>
    <w:rsid w:val="19903A06"/>
    <w:rsid w:val="19925D32"/>
    <w:rsid w:val="199E7A91"/>
    <w:rsid w:val="19AF1F1B"/>
    <w:rsid w:val="19CA2ECA"/>
    <w:rsid w:val="19CA5483"/>
    <w:rsid w:val="19CB2EF4"/>
    <w:rsid w:val="19D723F1"/>
    <w:rsid w:val="19D87405"/>
    <w:rsid w:val="19E055A8"/>
    <w:rsid w:val="19E0599C"/>
    <w:rsid w:val="19F11A9A"/>
    <w:rsid w:val="19FA3502"/>
    <w:rsid w:val="1A036BA3"/>
    <w:rsid w:val="1A09570F"/>
    <w:rsid w:val="1A0B43D6"/>
    <w:rsid w:val="1A216016"/>
    <w:rsid w:val="1A241336"/>
    <w:rsid w:val="1A2A63F9"/>
    <w:rsid w:val="1A31116E"/>
    <w:rsid w:val="1A311711"/>
    <w:rsid w:val="1A3262E7"/>
    <w:rsid w:val="1A3E158C"/>
    <w:rsid w:val="1A401B3F"/>
    <w:rsid w:val="1A4101E8"/>
    <w:rsid w:val="1A45702C"/>
    <w:rsid w:val="1A497C7A"/>
    <w:rsid w:val="1A4F3D41"/>
    <w:rsid w:val="1A5E03C2"/>
    <w:rsid w:val="1A5E2B30"/>
    <w:rsid w:val="1A67697A"/>
    <w:rsid w:val="1A6B29D9"/>
    <w:rsid w:val="1A6B4094"/>
    <w:rsid w:val="1A6E5D76"/>
    <w:rsid w:val="1A716BEE"/>
    <w:rsid w:val="1A7421CF"/>
    <w:rsid w:val="1A7936B8"/>
    <w:rsid w:val="1A7A2F0D"/>
    <w:rsid w:val="1A8A0F34"/>
    <w:rsid w:val="1A9E0C15"/>
    <w:rsid w:val="1A9F4369"/>
    <w:rsid w:val="1AA743DD"/>
    <w:rsid w:val="1AA96E85"/>
    <w:rsid w:val="1AAA519D"/>
    <w:rsid w:val="1AB50EE5"/>
    <w:rsid w:val="1AB6087E"/>
    <w:rsid w:val="1AC31C19"/>
    <w:rsid w:val="1ACD71DA"/>
    <w:rsid w:val="1AD054F8"/>
    <w:rsid w:val="1AD4046B"/>
    <w:rsid w:val="1ADA2FC8"/>
    <w:rsid w:val="1AE56801"/>
    <w:rsid w:val="1AE678CE"/>
    <w:rsid w:val="1AE946EE"/>
    <w:rsid w:val="1AEE5D74"/>
    <w:rsid w:val="1AF62694"/>
    <w:rsid w:val="1AFA67BD"/>
    <w:rsid w:val="1AFD7373"/>
    <w:rsid w:val="1B0564CA"/>
    <w:rsid w:val="1B090710"/>
    <w:rsid w:val="1B09565B"/>
    <w:rsid w:val="1B0A5DC1"/>
    <w:rsid w:val="1B0D0F4D"/>
    <w:rsid w:val="1B0E73B3"/>
    <w:rsid w:val="1B11251A"/>
    <w:rsid w:val="1B1A7403"/>
    <w:rsid w:val="1B1D3DDF"/>
    <w:rsid w:val="1B1D4C62"/>
    <w:rsid w:val="1B256925"/>
    <w:rsid w:val="1B2916E5"/>
    <w:rsid w:val="1B40507B"/>
    <w:rsid w:val="1B43291B"/>
    <w:rsid w:val="1B494691"/>
    <w:rsid w:val="1B506076"/>
    <w:rsid w:val="1B5A5883"/>
    <w:rsid w:val="1B5F7FA7"/>
    <w:rsid w:val="1B63668C"/>
    <w:rsid w:val="1B75252A"/>
    <w:rsid w:val="1B773D4F"/>
    <w:rsid w:val="1B7C14A1"/>
    <w:rsid w:val="1B821D08"/>
    <w:rsid w:val="1B862833"/>
    <w:rsid w:val="1B8F4135"/>
    <w:rsid w:val="1B8F46A0"/>
    <w:rsid w:val="1B96294F"/>
    <w:rsid w:val="1BA0432B"/>
    <w:rsid w:val="1BA92E5D"/>
    <w:rsid w:val="1BAC6712"/>
    <w:rsid w:val="1BB4366A"/>
    <w:rsid w:val="1BB5670E"/>
    <w:rsid w:val="1BB77278"/>
    <w:rsid w:val="1BBA7D60"/>
    <w:rsid w:val="1BBE4EC6"/>
    <w:rsid w:val="1BC83389"/>
    <w:rsid w:val="1BD029B6"/>
    <w:rsid w:val="1BD46CB0"/>
    <w:rsid w:val="1BD5178C"/>
    <w:rsid w:val="1BD725D3"/>
    <w:rsid w:val="1BD97A80"/>
    <w:rsid w:val="1BDB5678"/>
    <w:rsid w:val="1BE71058"/>
    <w:rsid w:val="1BEB4C2C"/>
    <w:rsid w:val="1BEB7AB6"/>
    <w:rsid w:val="1BEF078D"/>
    <w:rsid w:val="1BF27CCF"/>
    <w:rsid w:val="1BFA3269"/>
    <w:rsid w:val="1C0434B2"/>
    <w:rsid w:val="1C056ECA"/>
    <w:rsid w:val="1C115B48"/>
    <w:rsid w:val="1C121D74"/>
    <w:rsid w:val="1C157D90"/>
    <w:rsid w:val="1C1B43E7"/>
    <w:rsid w:val="1C1F6CF4"/>
    <w:rsid w:val="1C216234"/>
    <w:rsid w:val="1C2B7889"/>
    <w:rsid w:val="1C3B7046"/>
    <w:rsid w:val="1C3C7F27"/>
    <w:rsid w:val="1C3D13EB"/>
    <w:rsid w:val="1C3E30E2"/>
    <w:rsid w:val="1C4C143F"/>
    <w:rsid w:val="1C4F625B"/>
    <w:rsid w:val="1C6074FD"/>
    <w:rsid w:val="1C617A22"/>
    <w:rsid w:val="1C65129F"/>
    <w:rsid w:val="1C69015F"/>
    <w:rsid w:val="1C6E2DCC"/>
    <w:rsid w:val="1C7437E0"/>
    <w:rsid w:val="1C7D08AC"/>
    <w:rsid w:val="1C7F13F7"/>
    <w:rsid w:val="1C803DBA"/>
    <w:rsid w:val="1C843076"/>
    <w:rsid w:val="1C8451C2"/>
    <w:rsid w:val="1C86373D"/>
    <w:rsid w:val="1C8B02A0"/>
    <w:rsid w:val="1C8F2CAC"/>
    <w:rsid w:val="1C945E62"/>
    <w:rsid w:val="1C95113D"/>
    <w:rsid w:val="1C9B54DF"/>
    <w:rsid w:val="1CAB6E93"/>
    <w:rsid w:val="1CB75B94"/>
    <w:rsid w:val="1CB772D9"/>
    <w:rsid w:val="1CBB5035"/>
    <w:rsid w:val="1CBE5564"/>
    <w:rsid w:val="1CC0422B"/>
    <w:rsid w:val="1CCA246C"/>
    <w:rsid w:val="1CCC703D"/>
    <w:rsid w:val="1CD06430"/>
    <w:rsid w:val="1CD63CAB"/>
    <w:rsid w:val="1CD840AA"/>
    <w:rsid w:val="1CE20E79"/>
    <w:rsid w:val="1CE767B2"/>
    <w:rsid w:val="1CEB326A"/>
    <w:rsid w:val="1CF10230"/>
    <w:rsid w:val="1CF82F3D"/>
    <w:rsid w:val="1CFA1714"/>
    <w:rsid w:val="1CFC7D16"/>
    <w:rsid w:val="1CFE11EF"/>
    <w:rsid w:val="1D036806"/>
    <w:rsid w:val="1D040938"/>
    <w:rsid w:val="1D063C00"/>
    <w:rsid w:val="1D065F12"/>
    <w:rsid w:val="1D091942"/>
    <w:rsid w:val="1D0E580F"/>
    <w:rsid w:val="1D0F4A6C"/>
    <w:rsid w:val="1D0F54EA"/>
    <w:rsid w:val="1D1518E9"/>
    <w:rsid w:val="1D156539"/>
    <w:rsid w:val="1D201BEC"/>
    <w:rsid w:val="1D2A5313"/>
    <w:rsid w:val="1D405181"/>
    <w:rsid w:val="1D504FA4"/>
    <w:rsid w:val="1D5507B0"/>
    <w:rsid w:val="1D5C1E36"/>
    <w:rsid w:val="1D5E0613"/>
    <w:rsid w:val="1D6C3BC3"/>
    <w:rsid w:val="1D8448B6"/>
    <w:rsid w:val="1D846372"/>
    <w:rsid w:val="1D975171"/>
    <w:rsid w:val="1D9D356A"/>
    <w:rsid w:val="1D9E440E"/>
    <w:rsid w:val="1DAC3AA0"/>
    <w:rsid w:val="1DB37CFA"/>
    <w:rsid w:val="1DBD5182"/>
    <w:rsid w:val="1DC16805"/>
    <w:rsid w:val="1DC82412"/>
    <w:rsid w:val="1DCA625A"/>
    <w:rsid w:val="1DE1781B"/>
    <w:rsid w:val="1DE74936"/>
    <w:rsid w:val="1DEA0685"/>
    <w:rsid w:val="1DEC327A"/>
    <w:rsid w:val="1DEF076F"/>
    <w:rsid w:val="1DF92447"/>
    <w:rsid w:val="1E036FCE"/>
    <w:rsid w:val="1E0C2701"/>
    <w:rsid w:val="1E0E6AFA"/>
    <w:rsid w:val="1E0F7022"/>
    <w:rsid w:val="1E1B36DB"/>
    <w:rsid w:val="1E1C3098"/>
    <w:rsid w:val="1E1D398A"/>
    <w:rsid w:val="1E1E4F79"/>
    <w:rsid w:val="1E370E0A"/>
    <w:rsid w:val="1E37321D"/>
    <w:rsid w:val="1E3A3838"/>
    <w:rsid w:val="1E3D2069"/>
    <w:rsid w:val="1E4104FD"/>
    <w:rsid w:val="1E4163FC"/>
    <w:rsid w:val="1E4241EF"/>
    <w:rsid w:val="1E4419FE"/>
    <w:rsid w:val="1E4E1A57"/>
    <w:rsid w:val="1E4E34C7"/>
    <w:rsid w:val="1E4E4A3D"/>
    <w:rsid w:val="1E581686"/>
    <w:rsid w:val="1E5B4AA6"/>
    <w:rsid w:val="1E5E7A6C"/>
    <w:rsid w:val="1E6500BF"/>
    <w:rsid w:val="1E690A57"/>
    <w:rsid w:val="1E6B5617"/>
    <w:rsid w:val="1E6E0489"/>
    <w:rsid w:val="1E6F7DA5"/>
    <w:rsid w:val="1E716C11"/>
    <w:rsid w:val="1E74426A"/>
    <w:rsid w:val="1E7C4899"/>
    <w:rsid w:val="1E7E1EBC"/>
    <w:rsid w:val="1E82066D"/>
    <w:rsid w:val="1E850848"/>
    <w:rsid w:val="1E943E4C"/>
    <w:rsid w:val="1E987366"/>
    <w:rsid w:val="1EA01E32"/>
    <w:rsid w:val="1EB37DB8"/>
    <w:rsid w:val="1EB82435"/>
    <w:rsid w:val="1EBA2573"/>
    <w:rsid w:val="1EC25CD2"/>
    <w:rsid w:val="1ECA4FED"/>
    <w:rsid w:val="1ED36602"/>
    <w:rsid w:val="1ED3667D"/>
    <w:rsid w:val="1ED460BE"/>
    <w:rsid w:val="1ED918F0"/>
    <w:rsid w:val="1EDF6C2C"/>
    <w:rsid w:val="1EE06C8F"/>
    <w:rsid w:val="1EEB5D4D"/>
    <w:rsid w:val="1EED77D2"/>
    <w:rsid w:val="1EF24653"/>
    <w:rsid w:val="1EF24C05"/>
    <w:rsid w:val="1EF97345"/>
    <w:rsid w:val="1EFA6C70"/>
    <w:rsid w:val="1F0C0694"/>
    <w:rsid w:val="1F0E1E46"/>
    <w:rsid w:val="1F147ED5"/>
    <w:rsid w:val="1F181798"/>
    <w:rsid w:val="1F1D0099"/>
    <w:rsid w:val="1F1D6F2E"/>
    <w:rsid w:val="1F233E4E"/>
    <w:rsid w:val="1F247CB0"/>
    <w:rsid w:val="1F2A6433"/>
    <w:rsid w:val="1F3472CB"/>
    <w:rsid w:val="1F3B0C11"/>
    <w:rsid w:val="1F3F7B73"/>
    <w:rsid w:val="1F43738D"/>
    <w:rsid w:val="1F44301F"/>
    <w:rsid w:val="1F467EB2"/>
    <w:rsid w:val="1F4B15BC"/>
    <w:rsid w:val="1F506314"/>
    <w:rsid w:val="1F5533D5"/>
    <w:rsid w:val="1F5B0028"/>
    <w:rsid w:val="1F5B729A"/>
    <w:rsid w:val="1F63358C"/>
    <w:rsid w:val="1F707A57"/>
    <w:rsid w:val="1F903753"/>
    <w:rsid w:val="1F9610B3"/>
    <w:rsid w:val="1F9772EB"/>
    <w:rsid w:val="1F9B1D74"/>
    <w:rsid w:val="1FA318D5"/>
    <w:rsid w:val="1FA7646C"/>
    <w:rsid w:val="1FB13D6B"/>
    <w:rsid w:val="1FB47A2F"/>
    <w:rsid w:val="1FB7103A"/>
    <w:rsid w:val="1FBA2CF7"/>
    <w:rsid w:val="1FBB33C8"/>
    <w:rsid w:val="1FE52321"/>
    <w:rsid w:val="1FE70D17"/>
    <w:rsid w:val="1FE927A6"/>
    <w:rsid w:val="1FF5147F"/>
    <w:rsid w:val="20014E73"/>
    <w:rsid w:val="20036D5E"/>
    <w:rsid w:val="20076AE7"/>
    <w:rsid w:val="20197940"/>
    <w:rsid w:val="20410870"/>
    <w:rsid w:val="204B16C3"/>
    <w:rsid w:val="20677BEA"/>
    <w:rsid w:val="206C2809"/>
    <w:rsid w:val="206E7D70"/>
    <w:rsid w:val="206F43D6"/>
    <w:rsid w:val="20791826"/>
    <w:rsid w:val="207B2299"/>
    <w:rsid w:val="207E424C"/>
    <w:rsid w:val="207F53D7"/>
    <w:rsid w:val="208828C6"/>
    <w:rsid w:val="20945EC6"/>
    <w:rsid w:val="209D0D1F"/>
    <w:rsid w:val="20A929C8"/>
    <w:rsid w:val="20AA6F98"/>
    <w:rsid w:val="20B36E9E"/>
    <w:rsid w:val="20B53B26"/>
    <w:rsid w:val="20BC5466"/>
    <w:rsid w:val="20C841BD"/>
    <w:rsid w:val="20D03CA3"/>
    <w:rsid w:val="20D2281D"/>
    <w:rsid w:val="20D81D57"/>
    <w:rsid w:val="20D95B86"/>
    <w:rsid w:val="20DC6D29"/>
    <w:rsid w:val="20EB0D84"/>
    <w:rsid w:val="20ED6CE8"/>
    <w:rsid w:val="20F070A1"/>
    <w:rsid w:val="20F30FEF"/>
    <w:rsid w:val="20FE3FDE"/>
    <w:rsid w:val="21025026"/>
    <w:rsid w:val="21083C57"/>
    <w:rsid w:val="21170FBB"/>
    <w:rsid w:val="21192317"/>
    <w:rsid w:val="212D740B"/>
    <w:rsid w:val="21321A13"/>
    <w:rsid w:val="21345016"/>
    <w:rsid w:val="21390795"/>
    <w:rsid w:val="213C1917"/>
    <w:rsid w:val="214404C9"/>
    <w:rsid w:val="2147236C"/>
    <w:rsid w:val="21490C41"/>
    <w:rsid w:val="214C1018"/>
    <w:rsid w:val="214E496B"/>
    <w:rsid w:val="21535882"/>
    <w:rsid w:val="215B0293"/>
    <w:rsid w:val="215C3726"/>
    <w:rsid w:val="215C78D1"/>
    <w:rsid w:val="21641778"/>
    <w:rsid w:val="21661111"/>
    <w:rsid w:val="216830DB"/>
    <w:rsid w:val="216E7132"/>
    <w:rsid w:val="217A3AD7"/>
    <w:rsid w:val="21813113"/>
    <w:rsid w:val="218615EC"/>
    <w:rsid w:val="21883C8D"/>
    <w:rsid w:val="218C2F9C"/>
    <w:rsid w:val="219A43F9"/>
    <w:rsid w:val="21A1039B"/>
    <w:rsid w:val="21A56AF5"/>
    <w:rsid w:val="21B86CA6"/>
    <w:rsid w:val="21C717E7"/>
    <w:rsid w:val="21C9535E"/>
    <w:rsid w:val="21D74795"/>
    <w:rsid w:val="21E13C58"/>
    <w:rsid w:val="21E5308A"/>
    <w:rsid w:val="21E761D0"/>
    <w:rsid w:val="220138FF"/>
    <w:rsid w:val="22020F9C"/>
    <w:rsid w:val="22033DA0"/>
    <w:rsid w:val="220F5C44"/>
    <w:rsid w:val="22153CEF"/>
    <w:rsid w:val="222B0537"/>
    <w:rsid w:val="22311C10"/>
    <w:rsid w:val="224A108D"/>
    <w:rsid w:val="224A76E8"/>
    <w:rsid w:val="224C3665"/>
    <w:rsid w:val="224E530E"/>
    <w:rsid w:val="22574EFE"/>
    <w:rsid w:val="227118C4"/>
    <w:rsid w:val="227A2634"/>
    <w:rsid w:val="228D2F50"/>
    <w:rsid w:val="2294211F"/>
    <w:rsid w:val="229A7EDD"/>
    <w:rsid w:val="229C3196"/>
    <w:rsid w:val="22A0444E"/>
    <w:rsid w:val="22A20182"/>
    <w:rsid w:val="22AE0860"/>
    <w:rsid w:val="22B46BAD"/>
    <w:rsid w:val="22BC0F4A"/>
    <w:rsid w:val="22C14C18"/>
    <w:rsid w:val="22C2698E"/>
    <w:rsid w:val="22C348E5"/>
    <w:rsid w:val="22CD43A7"/>
    <w:rsid w:val="22CF2FA9"/>
    <w:rsid w:val="22D32D50"/>
    <w:rsid w:val="22D410CC"/>
    <w:rsid w:val="22E267F9"/>
    <w:rsid w:val="22E448F2"/>
    <w:rsid w:val="22EB7249"/>
    <w:rsid w:val="22F62179"/>
    <w:rsid w:val="22F9367A"/>
    <w:rsid w:val="22FC60C9"/>
    <w:rsid w:val="230A382B"/>
    <w:rsid w:val="230D3B9D"/>
    <w:rsid w:val="230F1C1B"/>
    <w:rsid w:val="23163498"/>
    <w:rsid w:val="231B7AAA"/>
    <w:rsid w:val="232240F6"/>
    <w:rsid w:val="23390503"/>
    <w:rsid w:val="233B27C1"/>
    <w:rsid w:val="234C3802"/>
    <w:rsid w:val="23505039"/>
    <w:rsid w:val="23533917"/>
    <w:rsid w:val="235F5429"/>
    <w:rsid w:val="23632BB8"/>
    <w:rsid w:val="23640FB0"/>
    <w:rsid w:val="23641680"/>
    <w:rsid w:val="23642049"/>
    <w:rsid w:val="2368268D"/>
    <w:rsid w:val="2371139D"/>
    <w:rsid w:val="2378262C"/>
    <w:rsid w:val="23797F46"/>
    <w:rsid w:val="23836902"/>
    <w:rsid w:val="23872CE5"/>
    <w:rsid w:val="238C3EED"/>
    <w:rsid w:val="238C7F59"/>
    <w:rsid w:val="23932D62"/>
    <w:rsid w:val="23995E62"/>
    <w:rsid w:val="239E5DAB"/>
    <w:rsid w:val="23A04AAE"/>
    <w:rsid w:val="23A16A0F"/>
    <w:rsid w:val="23B52D71"/>
    <w:rsid w:val="23BF14A7"/>
    <w:rsid w:val="23C24044"/>
    <w:rsid w:val="23CD3C1F"/>
    <w:rsid w:val="23D06E28"/>
    <w:rsid w:val="23D108F4"/>
    <w:rsid w:val="23D2373C"/>
    <w:rsid w:val="23D30F57"/>
    <w:rsid w:val="23D427EC"/>
    <w:rsid w:val="23D52455"/>
    <w:rsid w:val="23E12CD1"/>
    <w:rsid w:val="23E30FB9"/>
    <w:rsid w:val="23E55BB7"/>
    <w:rsid w:val="23E86947"/>
    <w:rsid w:val="23EB0E0A"/>
    <w:rsid w:val="23F93412"/>
    <w:rsid w:val="24003E36"/>
    <w:rsid w:val="24025F67"/>
    <w:rsid w:val="24026973"/>
    <w:rsid w:val="24082FFD"/>
    <w:rsid w:val="241035B6"/>
    <w:rsid w:val="241729C7"/>
    <w:rsid w:val="241B7F5E"/>
    <w:rsid w:val="242C4A12"/>
    <w:rsid w:val="24360D1A"/>
    <w:rsid w:val="243E2796"/>
    <w:rsid w:val="243F33CD"/>
    <w:rsid w:val="24412260"/>
    <w:rsid w:val="24454452"/>
    <w:rsid w:val="24462EC6"/>
    <w:rsid w:val="24473F3B"/>
    <w:rsid w:val="24540554"/>
    <w:rsid w:val="245A2573"/>
    <w:rsid w:val="245C6C30"/>
    <w:rsid w:val="246238E5"/>
    <w:rsid w:val="24626C85"/>
    <w:rsid w:val="246365BB"/>
    <w:rsid w:val="24661BF0"/>
    <w:rsid w:val="24691C87"/>
    <w:rsid w:val="246B71DD"/>
    <w:rsid w:val="246F652F"/>
    <w:rsid w:val="24804C37"/>
    <w:rsid w:val="248165DC"/>
    <w:rsid w:val="2482483F"/>
    <w:rsid w:val="24833D88"/>
    <w:rsid w:val="24965BCE"/>
    <w:rsid w:val="249D0F40"/>
    <w:rsid w:val="24A53EBA"/>
    <w:rsid w:val="24AE0576"/>
    <w:rsid w:val="24B842AD"/>
    <w:rsid w:val="24BD6B45"/>
    <w:rsid w:val="24CC50D0"/>
    <w:rsid w:val="24CD4D69"/>
    <w:rsid w:val="24DB4FFF"/>
    <w:rsid w:val="24E2181C"/>
    <w:rsid w:val="24EB5AB1"/>
    <w:rsid w:val="24EE491C"/>
    <w:rsid w:val="24EF141E"/>
    <w:rsid w:val="24F32BE2"/>
    <w:rsid w:val="24F363FF"/>
    <w:rsid w:val="24F87B69"/>
    <w:rsid w:val="24FC4ED2"/>
    <w:rsid w:val="25022566"/>
    <w:rsid w:val="25023CB2"/>
    <w:rsid w:val="250A6D88"/>
    <w:rsid w:val="251A608E"/>
    <w:rsid w:val="251D24AE"/>
    <w:rsid w:val="252129F0"/>
    <w:rsid w:val="25223DB4"/>
    <w:rsid w:val="2524462C"/>
    <w:rsid w:val="25244912"/>
    <w:rsid w:val="252657F0"/>
    <w:rsid w:val="252C75B8"/>
    <w:rsid w:val="253359F2"/>
    <w:rsid w:val="25384E31"/>
    <w:rsid w:val="253F67E1"/>
    <w:rsid w:val="254B4B18"/>
    <w:rsid w:val="254C6617"/>
    <w:rsid w:val="25514417"/>
    <w:rsid w:val="25552D38"/>
    <w:rsid w:val="25567657"/>
    <w:rsid w:val="25622A5F"/>
    <w:rsid w:val="2572244F"/>
    <w:rsid w:val="257738AF"/>
    <w:rsid w:val="257F4A05"/>
    <w:rsid w:val="259258A4"/>
    <w:rsid w:val="259E71CD"/>
    <w:rsid w:val="25A536C7"/>
    <w:rsid w:val="25A662D7"/>
    <w:rsid w:val="25A86E75"/>
    <w:rsid w:val="25AE2938"/>
    <w:rsid w:val="25B31D75"/>
    <w:rsid w:val="25B62DE4"/>
    <w:rsid w:val="25BB0385"/>
    <w:rsid w:val="25BC2871"/>
    <w:rsid w:val="25BF27E7"/>
    <w:rsid w:val="25CA0921"/>
    <w:rsid w:val="25CB0C18"/>
    <w:rsid w:val="25D13AEB"/>
    <w:rsid w:val="25E2769B"/>
    <w:rsid w:val="25EB34F5"/>
    <w:rsid w:val="260439C2"/>
    <w:rsid w:val="260E3B25"/>
    <w:rsid w:val="261D13BC"/>
    <w:rsid w:val="26246463"/>
    <w:rsid w:val="2628108B"/>
    <w:rsid w:val="262B6CE7"/>
    <w:rsid w:val="26306192"/>
    <w:rsid w:val="26355224"/>
    <w:rsid w:val="26455B3C"/>
    <w:rsid w:val="26481395"/>
    <w:rsid w:val="26491D5B"/>
    <w:rsid w:val="26564D95"/>
    <w:rsid w:val="265A1981"/>
    <w:rsid w:val="265C2AE3"/>
    <w:rsid w:val="26635755"/>
    <w:rsid w:val="2663733B"/>
    <w:rsid w:val="26663282"/>
    <w:rsid w:val="266C407E"/>
    <w:rsid w:val="266D5DB7"/>
    <w:rsid w:val="266F1818"/>
    <w:rsid w:val="26722306"/>
    <w:rsid w:val="26776AED"/>
    <w:rsid w:val="26784417"/>
    <w:rsid w:val="26831E62"/>
    <w:rsid w:val="26873A39"/>
    <w:rsid w:val="26886FB3"/>
    <w:rsid w:val="268C4B6E"/>
    <w:rsid w:val="268F769A"/>
    <w:rsid w:val="26907D50"/>
    <w:rsid w:val="269C2A2E"/>
    <w:rsid w:val="269F0E4A"/>
    <w:rsid w:val="26A96406"/>
    <w:rsid w:val="26AE3074"/>
    <w:rsid w:val="26B038E9"/>
    <w:rsid w:val="26C61FE4"/>
    <w:rsid w:val="26CA7121"/>
    <w:rsid w:val="26D54139"/>
    <w:rsid w:val="26DE480D"/>
    <w:rsid w:val="26E42734"/>
    <w:rsid w:val="26E44D57"/>
    <w:rsid w:val="26E524AA"/>
    <w:rsid w:val="26EE1993"/>
    <w:rsid w:val="26EE3EA9"/>
    <w:rsid w:val="27020328"/>
    <w:rsid w:val="27064377"/>
    <w:rsid w:val="270D2469"/>
    <w:rsid w:val="270E1F33"/>
    <w:rsid w:val="271725DF"/>
    <w:rsid w:val="27174C5C"/>
    <w:rsid w:val="271B7370"/>
    <w:rsid w:val="271C25AF"/>
    <w:rsid w:val="271D191F"/>
    <w:rsid w:val="272969A2"/>
    <w:rsid w:val="27316337"/>
    <w:rsid w:val="27475541"/>
    <w:rsid w:val="27494C9F"/>
    <w:rsid w:val="2756711B"/>
    <w:rsid w:val="27571033"/>
    <w:rsid w:val="275C3ED9"/>
    <w:rsid w:val="275C7EA9"/>
    <w:rsid w:val="275D10E9"/>
    <w:rsid w:val="27602319"/>
    <w:rsid w:val="276205CD"/>
    <w:rsid w:val="27627383"/>
    <w:rsid w:val="276655F9"/>
    <w:rsid w:val="276F4A98"/>
    <w:rsid w:val="2774770C"/>
    <w:rsid w:val="277664C2"/>
    <w:rsid w:val="277E6196"/>
    <w:rsid w:val="278F67EF"/>
    <w:rsid w:val="27902370"/>
    <w:rsid w:val="279132F5"/>
    <w:rsid w:val="279273E5"/>
    <w:rsid w:val="279957D8"/>
    <w:rsid w:val="279A5F86"/>
    <w:rsid w:val="279C5A38"/>
    <w:rsid w:val="27A512B4"/>
    <w:rsid w:val="27AC3F4C"/>
    <w:rsid w:val="27B11BCE"/>
    <w:rsid w:val="27B22C99"/>
    <w:rsid w:val="27B37CFF"/>
    <w:rsid w:val="27C83884"/>
    <w:rsid w:val="27D75754"/>
    <w:rsid w:val="27DD44BD"/>
    <w:rsid w:val="27DE44F3"/>
    <w:rsid w:val="27E00E49"/>
    <w:rsid w:val="27E025E3"/>
    <w:rsid w:val="27E31C81"/>
    <w:rsid w:val="27E6498C"/>
    <w:rsid w:val="27E86D24"/>
    <w:rsid w:val="27E87EB2"/>
    <w:rsid w:val="27F843F9"/>
    <w:rsid w:val="27FC037A"/>
    <w:rsid w:val="27FC77A0"/>
    <w:rsid w:val="280011EB"/>
    <w:rsid w:val="28013942"/>
    <w:rsid w:val="28077C52"/>
    <w:rsid w:val="280A77E0"/>
    <w:rsid w:val="28165B2E"/>
    <w:rsid w:val="281E15DD"/>
    <w:rsid w:val="28273885"/>
    <w:rsid w:val="282835C4"/>
    <w:rsid w:val="2832361F"/>
    <w:rsid w:val="283915C3"/>
    <w:rsid w:val="283D65AE"/>
    <w:rsid w:val="2847022F"/>
    <w:rsid w:val="28480BD5"/>
    <w:rsid w:val="284C53A3"/>
    <w:rsid w:val="28537D18"/>
    <w:rsid w:val="28573466"/>
    <w:rsid w:val="285904B0"/>
    <w:rsid w:val="28595C3D"/>
    <w:rsid w:val="28633F56"/>
    <w:rsid w:val="28642123"/>
    <w:rsid w:val="28695301"/>
    <w:rsid w:val="286C5825"/>
    <w:rsid w:val="28800D94"/>
    <w:rsid w:val="2884790D"/>
    <w:rsid w:val="288904C9"/>
    <w:rsid w:val="28974527"/>
    <w:rsid w:val="289B7222"/>
    <w:rsid w:val="28A048D2"/>
    <w:rsid w:val="28A33108"/>
    <w:rsid w:val="28A42A77"/>
    <w:rsid w:val="28A51801"/>
    <w:rsid w:val="28AA34FB"/>
    <w:rsid w:val="28B7401B"/>
    <w:rsid w:val="28B9156D"/>
    <w:rsid w:val="28BA3E25"/>
    <w:rsid w:val="28BA5168"/>
    <w:rsid w:val="28BB4BB3"/>
    <w:rsid w:val="28C6693F"/>
    <w:rsid w:val="28C72AD9"/>
    <w:rsid w:val="28C85178"/>
    <w:rsid w:val="28D41056"/>
    <w:rsid w:val="28DC6197"/>
    <w:rsid w:val="28DD0032"/>
    <w:rsid w:val="28EC3187"/>
    <w:rsid w:val="28F20CD2"/>
    <w:rsid w:val="28F32944"/>
    <w:rsid w:val="28FD64D7"/>
    <w:rsid w:val="290D35E1"/>
    <w:rsid w:val="290E772E"/>
    <w:rsid w:val="290F6532"/>
    <w:rsid w:val="29114FDA"/>
    <w:rsid w:val="29121205"/>
    <w:rsid w:val="29153DEE"/>
    <w:rsid w:val="29163E53"/>
    <w:rsid w:val="292909F1"/>
    <w:rsid w:val="293107D2"/>
    <w:rsid w:val="29423EF2"/>
    <w:rsid w:val="29464ACE"/>
    <w:rsid w:val="294921DF"/>
    <w:rsid w:val="29587DFA"/>
    <w:rsid w:val="29592BB1"/>
    <w:rsid w:val="295B1778"/>
    <w:rsid w:val="295E36CF"/>
    <w:rsid w:val="296177A4"/>
    <w:rsid w:val="2965703F"/>
    <w:rsid w:val="29661395"/>
    <w:rsid w:val="296A3063"/>
    <w:rsid w:val="296E3DDF"/>
    <w:rsid w:val="29703302"/>
    <w:rsid w:val="297154B3"/>
    <w:rsid w:val="297A56A8"/>
    <w:rsid w:val="298C5D80"/>
    <w:rsid w:val="2990451B"/>
    <w:rsid w:val="29A205DE"/>
    <w:rsid w:val="29AA5B4C"/>
    <w:rsid w:val="29AE6870"/>
    <w:rsid w:val="29B26810"/>
    <w:rsid w:val="29B6075C"/>
    <w:rsid w:val="29B67B1F"/>
    <w:rsid w:val="29BA5809"/>
    <w:rsid w:val="29BC791C"/>
    <w:rsid w:val="29C5403A"/>
    <w:rsid w:val="29C64E2E"/>
    <w:rsid w:val="29D00231"/>
    <w:rsid w:val="29D1351A"/>
    <w:rsid w:val="29D22306"/>
    <w:rsid w:val="29D23DD9"/>
    <w:rsid w:val="29D73B83"/>
    <w:rsid w:val="29EA7835"/>
    <w:rsid w:val="29EE6E5C"/>
    <w:rsid w:val="29F642BA"/>
    <w:rsid w:val="29F925DD"/>
    <w:rsid w:val="29F950BF"/>
    <w:rsid w:val="29FF2DE0"/>
    <w:rsid w:val="2A025CA4"/>
    <w:rsid w:val="2A120A71"/>
    <w:rsid w:val="2A131E21"/>
    <w:rsid w:val="2A16307C"/>
    <w:rsid w:val="2A17684F"/>
    <w:rsid w:val="2A192D9F"/>
    <w:rsid w:val="2A1A0CA3"/>
    <w:rsid w:val="2A1B4A63"/>
    <w:rsid w:val="2A1E360D"/>
    <w:rsid w:val="2A1F7557"/>
    <w:rsid w:val="2A26305E"/>
    <w:rsid w:val="2A272C3F"/>
    <w:rsid w:val="2A3215FA"/>
    <w:rsid w:val="2A3D1040"/>
    <w:rsid w:val="2A3D200C"/>
    <w:rsid w:val="2A407BE7"/>
    <w:rsid w:val="2A462E4E"/>
    <w:rsid w:val="2A4717DC"/>
    <w:rsid w:val="2A5A1A2F"/>
    <w:rsid w:val="2A5B1EFD"/>
    <w:rsid w:val="2A6A463C"/>
    <w:rsid w:val="2A6B4CF3"/>
    <w:rsid w:val="2A7409D2"/>
    <w:rsid w:val="2A742098"/>
    <w:rsid w:val="2A7F4D44"/>
    <w:rsid w:val="2A7F65E1"/>
    <w:rsid w:val="2A83282A"/>
    <w:rsid w:val="2A8329FA"/>
    <w:rsid w:val="2A8A6BFC"/>
    <w:rsid w:val="2A8B7A34"/>
    <w:rsid w:val="2A94182E"/>
    <w:rsid w:val="2A967FBC"/>
    <w:rsid w:val="2A996835"/>
    <w:rsid w:val="2A9C0585"/>
    <w:rsid w:val="2A9C66BF"/>
    <w:rsid w:val="2A9C76F4"/>
    <w:rsid w:val="2AA5589B"/>
    <w:rsid w:val="2AC22ABA"/>
    <w:rsid w:val="2ACD3FAF"/>
    <w:rsid w:val="2AD20567"/>
    <w:rsid w:val="2AD40439"/>
    <w:rsid w:val="2AD405B4"/>
    <w:rsid w:val="2AD636E3"/>
    <w:rsid w:val="2ADE501D"/>
    <w:rsid w:val="2AE046A9"/>
    <w:rsid w:val="2AE5634E"/>
    <w:rsid w:val="2AEE3472"/>
    <w:rsid w:val="2AF03F94"/>
    <w:rsid w:val="2AF1578A"/>
    <w:rsid w:val="2AF54800"/>
    <w:rsid w:val="2AFC0CEC"/>
    <w:rsid w:val="2B05199B"/>
    <w:rsid w:val="2B083D0D"/>
    <w:rsid w:val="2B09178F"/>
    <w:rsid w:val="2B124AAA"/>
    <w:rsid w:val="2B2160A9"/>
    <w:rsid w:val="2B217AF7"/>
    <w:rsid w:val="2B237F61"/>
    <w:rsid w:val="2B256729"/>
    <w:rsid w:val="2B2C7381"/>
    <w:rsid w:val="2B356B66"/>
    <w:rsid w:val="2B40299A"/>
    <w:rsid w:val="2B4749DA"/>
    <w:rsid w:val="2B485E04"/>
    <w:rsid w:val="2B4A732D"/>
    <w:rsid w:val="2B4F5085"/>
    <w:rsid w:val="2B4F7637"/>
    <w:rsid w:val="2B604AAA"/>
    <w:rsid w:val="2B614186"/>
    <w:rsid w:val="2B6233E8"/>
    <w:rsid w:val="2B683CD8"/>
    <w:rsid w:val="2B7645A4"/>
    <w:rsid w:val="2B78024E"/>
    <w:rsid w:val="2B80401C"/>
    <w:rsid w:val="2B823A00"/>
    <w:rsid w:val="2B9569B0"/>
    <w:rsid w:val="2B9845BD"/>
    <w:rsid w:val="2B9C6A40"/>
    <w:rsid w:val="2B9D0D74"/>
    <w:rsid w:val="2BA2070E"/>
    <w:rsid w:val="2BAA5FAA"/>
    <w:rsid w:val="2BB86AF1"/>
    <w:rsid w:val="2BBD04C8"/>
    <w:rsid w:val="2BBD1B76"/>
    <w:rsid w:val="2BC0427F"/>
    <w:rsid w:val="2BC52E78"/>
    <w:rsid w:val="2BC94187"/>
    <w:rsid w:val="2BCC070B"/>
    <w:rsid w:val="2BCD636C"/>
    <w:rsid w:val="2BCE033B"/>
    <w:rsid w:val="2BD01B21"/>
    <w:rsid w:val="2BD355F5"/>
    <w:rsid w:val="2BDA1365"/>
    <w:rsid w:val="2BDC196B"/>
    <w:rsid w:val="2BE934F0"/>
    <w:rsid w:val="2BE95597"/>
    <w:rsid w:val="2BFB7E49"/>
    <w:rsid w:val="2C011E18"/>
    <w:rsid w:val="2C030F60"/>
    <w:rsid w:val="2C075127"/>
    <w:rsid w:val="2C082A04"/>
    <w:rsid w:val="2C0B3D13"/>
    <w:rsid w:val="2C1048F5"/>
    <w:rsid w:val="2C1051E7"/>
    <w:rsid w:val="2C162F47"/>
    <w:rsid w:val="2C1B2283"/>
    <w:rsid w:val="2C1E7C3A"/>
    <w:rsid w:val="2C24291A"/>
    <w:rsid w:val="2C3144A1"/>
    <w:rsid w:val="2C336E27"/>
    <w:rsid w:val="2C3C1309"/>
    <w:rsid w:val="2C42026C"/>
    <w:rsid w:val="2C464EB8"/>
    <w:rsid w:val="2C484235"/>
    <w:rsid w:val="2C49519C"/>
    <w:rsid w:val="2C593391"/>
    <w:rsid w:val="2C5A286A"/>
    <w:rsid w:val="2C5B065F"/>
    <w:rsid w:val="2C5C6C9B"/>
    <w:rsid w:val="2C633786"/>
    <w:rsid w:val="2C654010"/>
    <w:rsid w:val="2C6721E1"/>
    <w:rsid w:val="2C691C5B"/>
    <w:rsid w:val="2C6E3EE3"/>
    <w:rsid w:val="2C740550"/>
    <w:rsid w:val="2C743F88"/>
    <w:rsid w:val="2C7953B4"/>
    <w:rsid w:val="2C7D0E44"/>
    <w:rsid w:val="2C8433C2"/>
    <w:rsid w:val="2C8525C3"/>
    <w:rsid w:val="2C8B7151"/>
    <w:rsid w:val="2C970CA7"/>
    <w:rsid w:val="2CA27F24"/>
    <w:rsid w:val="2CA6175D"/>
    <w:rsid w:val="2CA707FF"/>
    <w:rsid w:val="2CAD2974"/>
    <w:rsid w:val="2CB15D8C"/>
    <w:rsid w:val="2CB66439"/>
    <w:rsid w:val="2CC04B44"/>
    <w:rsid w:val="2CCC3A8A"/>
    <w:rsid w:val="2CCE150A"/>
    <w:rsid w:val="2CD23AFF"/>
    <w:rsid w:val="2CD25FF6"/>
    <w:rsid w:val="2CD279A5"/>
    <w:rsid w:val="2CD6501A"/>
    <w:rsid w:val="2CE11F94"/>
    <w:rsid w:val="2CE8284E"/>
    <w:rsid w:val="2CEA2372"/>
    <w:rsid w:val="2CEB4EE3"/>
    <w:rsid w:val="2CF84372"/>
    <w:rsid w:val="2CF85B39"/>
    <w:rsid w:val="2D1234FB"/>
    <w:rsid w:val="2D184CBE"/>
    <w:rsid w:val="2D210E6C"/>
    <w:rsid w:val="2D225E32"/>
    <w:rsid w:val="2D2816D8"/>
    <w:rsid w:val="2D2A5CD1"/>
    <w:rsid w:val="2D3270DB"/>
    <w:rsid w:val="2D40787B"/>
    <w:rsid w:val="2D4459A4"/>
    <w:rsid w:val="2D4744ED"/>
    <w:rsid w:val="2D4A64C1"/>
    <w:rsid w:val="2D5704A8"/>
    <w:rsid w:val="2D5C786C"/>
    <w:rsid w:val="2D656C20"/>
    <w:rsid w:val="2D6575EC"/>
    <w:rsid w:val="2D6B5FF8"/>
    <w:rsid w:val="2D7153BC"/>
    <w:rsid w:val="2D7C6E5F"/>
    <w:rsid w:val="2D843F2A"/>
    <w:rsid w:val="2D9E4A6B"/>
    <w:rsid w:val="2DA21756"/>
    <w:rsid w:val="2DAA3BFC"/>
    <w:rsid w:val="2DAA6907"/>
    <w:rsid w:val="2DAE631A"/>
    <w:rsid w:val="2DB23579"/>
    <w:rsid w:val="2DB63D6A"/>
    <w:rsid w:val="2DCE44CC"/>
    <w:rsid w:val="2DD33A33"/>
    <w:rsid w:val="2DD45655"/>
    <w:rsid w:val="2DD5339A"/>
    <w:rsid w:val="2DD862A4"/>
    <w:rsid w:val="2DD903F7"/>
    <w:rsid w:val="2DD970F1"/>
    <w:rsid w:val="2DDC3D01"/>
    <w:rsid w:val="2DDD6140"/>
    <w:rsid w:val="2DE079CF"/>
    <w:rsid w:val="2DE2461C"/>
    <w:rsid w:val="2DE2701D"/>
    <w:rsid w:val="2DE34026"/>
    <w:rsid w:val="2DED7DFA"/>
    <w:rsid w:val="2DF939FD"/>
    <w:rsid w:val="2DFD7E04"/>
    <w:rsid w:val="2E010F22"/>
    <w:rsid w:val="2E014A7A"/>
    <w:rsid w:val="2E0507F6"/>
    <w:rsid w:val="2E0A760D"/>
    <w:rsid w:val="2E0D76F4"/>
    <w:rsid w:val="2E430E39"/>
    <w:rsid w:val="2E432091"/>
    <w:rsid w:val="2E48750F"/>
    <w:rsid w:val="2E4B5A0E"/>
    <w:rsid w:val="2E4E2BC8"/>
    <w:rsid w:val="2E534CCE"/>
    <w:rsid w:val="2E5C008E"/>
    <w:rsid w:val="2E5E5D0F"/>
    <w:rsid w:val="2E5F3CB0"/>
    <w:rsid w:val="2E7F46DA"/>
    <w:rsid w:val="2E80440C"/>
    <w:rsid w:val="2E813902"/>
    <w:rsid w:val="2E861E29"/>
    <w:rsid w:val="2E872E3D"/>
    <w:rsid w:val="2E8F38D6"/>
    <w:rsid w:val="2E9345AB"/>
    <w:rsid w:val="2E9921C7"/>
    <w:rsid w:val="2E996742"/>
    <w:rsid w:val="2EA11458"/>
    <w:rsid w:val="2EA40F80"/>
    <w:rsid w:val="2EAD1124"/>
    <w:rsid w:val="2EAE1185"/>
    <w:rsid w:val="2EB406CC"/>
    <w:rsid w:val="2EB51BB6"/>
    <w:rsid w:val="2EBD258D"/>
    <w:rsid w:val="2EC50D4B"/>
    <w:rsid w:val="2EDA3E8E"/>
    <w:rsid w:val="2EDA55A5"/>
    <w:rsid w:val="2EDD289E"/>
    <w:rsid w:val="2EE40C4C"/>
    <w:rsid w:val="2EE45D81"/>
    <w:rsid w:val="2EED35EE"/>
    <w:rsid w:val="2EF56EE3"/>
    <w:rsid w:val="2EFA4801"/>
    <w:rsid w:val="2F01313C"/>
    <w:rsid w:val="2F03725B"/>
    <w:rsid w:val="2F041F69"/>
    <w:rsid w:val="2F042284"/>
    <w:rsid w:val="2F066438"/>
    <w:rsid w:val="2F103761"/>
    <w:rsid w:val="2F1228D8"/>
    <w:rsid w:val="2F251F8C"/>
    <w:rsid w:val="2F2D5882"/>
    <w:rsid w:val="2F320664"/>
    <w:rsid w:val="2F344610"/>
    <w:rsid w:val="2F3762E5"/>
    <w:rsid w:val="2F395B2B"/>
    <w:rsid w:val="2F3D3B9C"/>
    <w:rsid w:val="2F405C8F"/>
    <w:rsid w:val="2F4525F6"/>
    <w:rsid w:val="2F483182"/>
    <w:rsid w:val="2F5644FF"/>
    <w:rsid w:val="2F566BAD"/>
    <w:rsid w:val="2F5B6E32"/>
    <w:rsid w:val="2F6A2EA4"/>
    <w:rsid w:val="2F924CF6"/>
    <w:rsid w:val="2F9C312F"/>
    <w:rsid w:val="2F9C6B51"/>
    <w:rsid w:val="2FA14E9F"/>
    <w:rsid w:val="2FA855E5"/>
    <w:rsid w:val="2FC34275"/>
    <w:rsid w:val="2FC5794B"/>
    <w:rsid w:val="2FDB3AD2"/>
    <w:rsid w:val="2FDC2BFB"/>
    <w:rsid w:val="2FDD3AA9"/>
    <w:rsid w:val="2FDE3265"/>
    <w:rsid w:val="2FEC6752"/>
    <w:rsid w:val="2FF93D83"/>
    <w:rsid w:val="2FFA2F0A"/>
    <w:rsid w:val="30102CE6"/>
    <w:rsid w:val="3018672B"/>
    <w:rsid w:val="301B756B"/>
    <w:rsid w:val="301D1CA0"/>
    <w:rsid w:val="302C3041"/>
    <w:rsid w:val="30344AD4"/>
    <w:rsid w:val="3038167C"/>
    <w:rsid w:val="303C2806"/>
    <w:rsid w:val="30402A75"/>
    <w:rsid w:val="3045414B"/>
    <w:rsid w:val="30467B28"/>
    <w:rsid w:val="304765B2"/>
    <w:rsid w:val="30481219"/>
    <w:rsid w:val="3049232A"/>
    <w:rsid w:val="30593A52"/>
    <w:rsid w:val="305940FD"/>
    <w:rsid w:val="305B02AF"/>
    <w:rsid w:val="305C3CC8"/>
    <w:rsid w:val="305C5377"/>
    <w:rsid w:val="306B7AE0"/>
    <w:rsid w:val="3071032F"/>
    <w:rsid w:val="30711C90"/>
    <w:rsid w:val="307556CD"/>
    <w:rsid w:val="30764F63"/>
    <w:rsid w:val="307B5C11"/>
    <w:rsid w:val="30884C0A"/>
    <w:rsid w:val="308D4056"/>
    <w:rsid w:val="30957205"/>
    <w:rsid w:val="30972B8C"/>
    <w:rsid w:val="30981DAD"/>
    <w:rsid w:val="309C445C"/>
    <w:rsid w:val="30A12166"/>
    <w:rsid w:val="30BD2FFD"/>
    <w:rsid w:val="30C4724F"/>
    <w:rsid w:val="30C6397A"/>
    <w:rsid w:val="30C97165"/>
    <w:rsid w:val="30D63F77"/>
    <w:rsid w:val="30DA5678"/>
    <w:rsid w:val="30E16A06"/>
    <w:rsid w:val="30E51454"/>
    <w:rsid w:val="30E608E3"/>
    <w:rsid w:val="30E81686"/>
    <w:rsid w:val="30F22F2C"/>
    <w:rsid w:val="30F77FF5"/>
    <w:rsid w:val="30FE3126"/>
    <w:rsid w:val="3101110A"/>
    <w:rsid w:val="31081F14"/>
    <w:rsid w:val="310E0E7D"/>
    <w:rsid w:val="3110617B"/>
    <w:rsid w:val="311606E0"/>
    <w:rsid w:val="3116221C"/>
    <w:rsid w:val="312A0FB5"/>
    <w:rsid w:val="313A6116"/>
    <w:rsid w:val="314008E3"/>
    <w:rsid w:val="31435E7E"/>
    <w:rsid w:val="31454093"/>
    <w:rsid w:val="314F3F2F"/>
    <w:rsid w:val="31516EE6"/>
    <w:rsid w:val="31540BBC"/>
    <w:rsid w:val="315E1885"/>
    <w:rsid w:val="315E509F"/>
    <w:rsid w:val="31600CAE"/>
    <w:rsid w:val="316767CD"/>
    <w:rsid w:val="316A07AA"/>
    <w:rsid w:val="316A439A"/>
    <w:rsid w:val="316F553D"/>
    <w:rsid w:val="317C6EC4"/>
    <w:rsid w:val="317E0F6C"/>
    <w:rsid w:val="318329F8"/>
    <w:rsid w:val="318C0616"/>
    <w:rsid w:val="319606F5"/>
    <w:rsid w:val="319C5DFB"/>
    <w:rsid w:val="319D7433"/>
    <w:rsid w:val="31A62942"/>
    <w:rsid w:val="31A81FEB"/>
    <w:rsid w:val="31AC549E"/>
    <w:rsid w:val="31B457D3"/>
    <w:rsid w:val="31B804D9"/>
    <w:rsid w:val="31C40A54"/>
    <w:rsid w:val="31CA592E"/>
    <w:rsid w:val="31CF4AB1"/>
    <w:rsid w:val="31D2079F"/>
    <w:rsid w:val="31E22F4B"/>
    <w:rsid w:val="31E51A73"/>
    <w:rsid w:val="31E6099A"/>
    <w:rsid w:val="31E92DD9"/>
    <w:rsid w:val="31EC0661"/>
    <w:rsid w:val="31F434B3"/>
    <w:rsid w:val="31FA3E15"/>
    <w:rsid w:val="320461F5"/>
    <w:rsid w:val="320A693D"/>
    <w:rsid w:val="320D171A"/>
    <w:rsid w:val="320F5741"/>
    <w:rsid w:val="32124F08"/>
    <w:rsid w:val="3213790C"/>
    <w:rsid w:val="32235C25"/>
    <w:rsid w:val="32261397"/>
    <w:rsid w:val="322D5174"/>
    <w:rsid w:val="323112C7"/>
    <w:rsid w:val="32323931"/>
    <w:rsid w:val="32356386"/>
    <w:rsid w:val="32356C79"/>
    <w:rsid w:val="323C4918"/>
    <w:rsid w:val="323D419D"/>
    <w:rsid w:val="324E3C27"/>
    <w:rsid w:val="32531849"/>
    <w:rsid w:val="32566F80"/>
    <w:rsid w:val="325E5120"/>
    <w:rsid w:val="32671C48"/>
    <w:rsid w:val="326A20D3"/>
    <w:rsid w:val="32701994"/>
    <w:rsid w:val="32781D39"/>
    <w:rsid w:val="327A531D"/>
    <w:rsid w:val="32806122"/>
    <w:rsid w:val="328B290A"/>
    <w:rsid w:val="32901F1E"/>
    <w:rsid w:val="3293788C"/>
    <w:rsid w:val="32A13F64"/>
    <w:rsid w:val="32A74F77"/>
    <w:rsid w:val="32AF7663"/>
    <w:rsid w:val="32B0079C"/>
    <w:rsid w:val="32B80FE0"/>
    <w:rsid w:val="32BC6F66"/>
    <w:rsid w:val="32C06D04"/>
    <w:rsid w:val="32C616AF"/>
    <w:rsid w:val="32C65EB4"/>
    <w:rsid w:val="32CD20E1"/>
    <w:rsid w:val="32CD2F5C"/>
    <w:rsid w:val="32D72C89"/>
    <w:rsid w:val="32DC6C3D"/>
    <w:rsid w:val="32EF4CA4"/>
    <w:rsid w:val="33012173"/>
    <w:rsid w:val="330A1D37"/>
    <w:rsid w:val="33121D46"/>
    <w:rsid w:val="33170AD4"/>
    <w:rsid w:val="331C7249"/>
    <w:rsid w:val="331E6519"/>
    <w:rsid w:val="331F1BF8"/>
    <w:rsid w:val="332762C3"/>
    <w:rsid w:val="332A16B7"/>
    <w:rsid w:val="33353039"/>
    <w:rsid w:val="333F6B5C"/>
    <w:rsid w:val="334E278D"/>
    <w:rsid w:val="33501410"/>
    <w:rsid w:val="3364240E"/>
    <w:rsid w:val="336854EE"/>
    <w:rsid w:val="33703E0D"/>
    <w:rsid w:val="337656C6"/>
    <w:rsid w:val="338874CA"/>
    <w:rsid w:val="3389671A"/>
    <w:rsid w:val="338C5CB3"/>
    <w:rsid w:val="339047DC"/>
    <w:rsid w:val="339174E4"/>
    <w:rsid w:val="33922BA4"/>
    <w:rsid w:val="3395257E"/>
    <w:rsid w:val="33962013"/>
    <w:rsid w:val="33977CCF"/>
    <w:rsid w:val="339877B9"/>
    <w:rsid w:val="339C1778"/>
    <w:rsid w:val="339D721B"/>
    <w:rsid w:val="33BB3369"/>
    <w:rsid w:val="33BD487F"/>
    <w:rsid w:val="33BE22DC"/>
    <w:rsid w:val="33BE5883"/>
    <w:rsid w:val="33C1244A"/>
    <w:rsid w:val="33CB57EB"/>
    <w:rsid w:val="33D564A5"/>
    <w:rsid w:val="33DF67D8"/>
    <w:rsid w:val="33EC331A"/>
    <w:rsid w:val="33EC6FB6"/>
    <w:rsid w:val="33F43543"/>
    <w:rsid w:val="33F878C0"/>
    <w:rsid w:val="33FB5FA1"/>
    <w:rsid w:val="340A74A4"/>
    <w:rsid w:val="340D6A5E"/>
    <w:rsid w:val="34183EC6"/>
    <w:rsid w:val="341954B7"/>
    <w:rsid w:val="342B004A"/>
    <w:rsid w:val="34337579"/>
    <w:rsid w:val="343A2C67"/>
    <w:rsid w:val="345414C2"/>
    <w:rsid w:val="345901E2"/>
    <w:rsid w:val="345B0C87"/>
    <w:rsid w:val="345B612A"/>
    <w:rsid w:val="34602718"/>
    <w:rsid w:val="34610E0E"/>
    <w:rsid w:val="346A5680"/>
    <w:rsid w:val="346E05B1"/>
    <w:rsid w:val="34776B38"/>
    <w:rsid w:val="347D0F19"/>
    <w:rsid w:val="348A53AC"/>
    <w:rsid w:val="348A615B"/>
    <w:rsid w:val="348D5440"/>
    <w:rsid w:val="34960CBE"/>
    <w:rsid w:val="34996154"/>
    <w:rsid w:val="349A69EF"/>
    <w:rsid w:val="34A22D8F"/>
    <w:rsid w:val="34AA4679"/>
    <w:rsid w:val="34AE1165"/>
    <w:rsid w:val="34C3798A"/>
    <w:rsid w:val="34C41DDC"/>
    <w:rsid w:val="34C52EA2"/>
    <w:rsid w:val="34C60D9C"/>
    <w:rsid w:val="34DB32BB"/>
    <w:rsid w:val="34F35D01"/>
    <w:rsid w:val="35002A15"/>
    <w:rsid w:val="350C3926"/>
    <w:rsid w:val="35102070"/>
    <w:rsid w:val="35124A0D"/>
    <w:rsid w:val="351B2D65"/>
    <w:rsid w:val="351B43C7"/>
    <w:rsid w:val="353C526C"/>
    <w:rsid w:val="354658AF"/>
    <w:rsid w:val="35497AB7"/>
    <w:rsid w:val="355C7996"/>
    <w:rsid w:val="355D6155"/>
    <w:rsid w:val="355F0732"/>
    <w:rsid w:val="355F1733"/>
    <w:rsid w:val="356C3F81"/>
    <w:rsid w:val="356D3631"/>
    <w:rsid w:val="356E1072"/>
    <w:rsid w:val="356F6271"/>
    <w:rsid w:val="35703816"/>
    <w:rsid w:val="35764F4A"/>
    <w:rsid w:val="357D172C"/>
    <w:rsid w:val="35812D9B"/>
    <w:rsid w:val="358304AB"/>
    <w:rsid w:val="35956011"/>
    <w:rsid w:val="359F7869"/>
    <w:rsid w:val="35A160DC"/>
    <w:rsid w:val="35A20420"/>
    <w:rsid w:val="35A5058B"/>
    <w:rsid w:val="35B36EFA"/>
    <w:rsid w:val="35BC4B27"/>
    <w:rsid w:val="35BD2792"/>
    <w:rsid w:val="35BE131A"/>
    <w:rsid w:val="35C94AEF"/>
    <w:rsid w:val="35CD3B0F"/>
    <w:rsid w:val="35D703D8"/>
    <w:rsid w:val="35DB5088"/>
    <w:rsid w:val="35E37515"/>
    <w:rsid w:val="35E40A76"/>
    <w:rsid w:val="35E65FA8"/>
    <w:rsid w:val="35F60392"/>
    <w:rsid w:val="35FA51A5"/>
    <w:rsid w:val="35FB502F"/>
    <w:rsid w:val="35FD3490"/>
    <w:rsid w:val="360E16AE"/>
    <w:rsid w:val="36174902"/>
    <w:rsid w:val="36176647"/>
    <w:rsid w:val="363357CB"/>
    <w:rsid w:val="363E58CF"/>
    <w:rsid w:val="364066FB"/>
    <w:rsid w:val="364340A1"/>
    <w:rsid w:val="36495C0A"/>
    <w:rsid w:val="364F5A2A"/>
    <w:rsid w:val="365519F4"/>
    <w:rsid w:val="36595DF6"/>
    <w:rsid w:val="36614384"/>
    <w:rsid w:val="366204B8"/>
    <w:rsid w:val="36631CA0"/>
    <w:rsid w:val="36717C5A"/>
    <w:rsid w:val="36774942"/>
    <w:rsid w:val="36881634"/>
    <w:rsid w:val="368C76FA"/>
    <w:rsid w:val="368F76FA"/>
    <w:rsid w:val="36923F9D"/>
    <w:rsid w:val="36945A60"/>
    <w:rsid w:val="369B1405"/>
    <w:rsid w:val="36B12624"/>
    <w:rsid w:val="36B660E9"/>
    <w:rsid w:val="36B71B89"/>
    <w:rsid w:val="36D925A0"/>
    <w:rsid w:val="36DA62AB"/>
    <w:rsid w:val="36E02C6F"/>
    <w:rsid w:val="36E53AF8"/>
    <w:rsid w:val="36E725F1"/>
    <w:rsid w:val="36F101A1"/>
    <w:rsid w:val="37032508"/>
    <w:rsid w:val="370547E7"/>
    <w:rsid w:val="37060463"/>
    <w:rsid w:val="370A5E5F"/>
    <w:rsid w:val="370D0235"/>
    <w:rsid w:val="37143AAA"/>
    <w:rsid w:val="372B669C"/>
    <w:rsid w:val="372E3079"/>
    <w:rsid w:val="373B1EBD"/>
    <w:rsid w:val="374A4373"/>
    <w:rsid w:val="374B2493"/>
    <w:rsid w:val="374C2700"/>
    <w:rsid w:val="374E59E2"/>
    <w:rsid w:val="37520F54"/>
    <w:rsid w:val="37570BCB"/>
    <w:rsid w:val="375B67B8"/>
    <w:rsid w:val="37617435"/>
    <w:rsid w:val="37623CD1"/>
    <w:rsid w:val="37661CB3"/>
    <w:rsid w:val="376C22F6"/>
    <w:rsid w:val="376D21A7"/>
    <w:rsid w:val="377071F8"/>
    <w:rsid w:val="37707FE0"/>
    <w:rsid w:val="37717766"/>
    <w:rsid w:val="37727E4D"/>
    <w:rsid w:val="3773519C"/>
    <w:rsid w:val="377452B8"/>
    <w:rsid w:val="37751C56"/>
    <w:rsid w:val="37773CD2"/>
    <w:rsid w:val="37820035"/>
    <w:rsid w:val="37887BDC"/>
    <w:rsid w:val="37894E57"/>
    <w:rsid w:val="378F792B"/>
    <w:rsid w:val="37921EAB"/>
    <w:rsid w:val="379E73FF"/>
    <w:rsid w:val="37A21FE2"/>
    <w:rsid w:val="37AF3A9B"/>
    <w:rsid w:val="37B04595"/>
    <w:rsid w:val="37B90A5F"/>
    <w:rsid w:val="37C61413"/>
    <w:rsid w:val="37D71B9E"/>
    <w:rsid w:val="37D95BC3"/>
    <w:rsid w:val="37DB1B4A"/>
    <w:rsid w:val="37E56DDC"/>
    <w:rsid w:val="37EA3D1D"/>
    <w:rsid w:val="37EB0E72"/>
    <w:rsid w:val="38032ADD"/>
    <w:rsid w:val="38054534"/>
    <w:rsid w:val="380F70A0"/>
    <w:rsid w:val="38181651"/>
    <w:rsid w:val="381A129D"/>
    <w:rsid w:val="381B3AE1"/>
    <w:rsid w:val="384445D2"/>
    <w:rsid w:val="38466BC9"/>
    <w:rsid w:val="385979C8"/>
    <w:rsid w:val="38621032"/>
    <w:rsid w:val="386C17FE"/>
    <w:rsid w:val="386F71C2"/>
    <w:rsid w:val="38864EE1"/>
    <w:rsid w:val="388D26FF"/>
    <w:rsid w:val="389007B4"/>
    <w:rsid w:val="389525C6"/>
    <w:rsid w:val="389C3F60"/>
    <w:rsid w:val="389E28DB"/>
    <w:rsid w:val="38A256ED"/>
    <w:rsid w:val="38A93DE1"/>
    <w:rsid w:val="38B0624E"/>
    <w:rsid w:val="38B4706D"/>
    <w:rsid w:val="38B60D7F"/>
    <w:rsid w:val="38B6531C"/>
    <w:rsid w:val="38BA0EE3"/>
    <w:rsid w:val="38BA4416"/>
    <w:rsid w:val="38C10BE9"/>
    <w:rsid w:val="38C4603C"/>
    <w:rsid w:val="38D45CEE"/>
    <w:rsid w:val="38E1369C"/>
    <w:rsid w:val="38E62CB4"/>
    <w:rsid w:val="38F02352"/>
    <w:rsid w:val="38F60C3D"/>
    <w:rsid w:val="390078F4"/>
    <w:rsid w:val="391754AA"/>
    <w:rsid w:val="391F67F6"/>
    <w:rsid w:val="39236CE5"/>
    <w:rsid w:val="39251316"/>
    <w:rsid w:val="39273592"/>
    <w:rsid w:val="392B6496"/>
    <w:rsid w:val="39312A65"/>
    <w:rsid w:val="393578EF"/>
    <w:rsid w:val="39382F3B"/>
    <w:rsid w:val="39404B30"/>
    <w:rsid w:val="3942025E"/>
    <w:rsid w:val="3943543F"/>
    <w:rsid w:val="394F4956"/>
    <w:rsid w:val="39585980"/>
    <w:rsid w:val="395B4F36"/>
    <w:rsid w:val="395D0308"/>
    <w:rsid w:val="39614E4F"/>
    <w:rsid w:val="39652C73"/>
    <w:rsid w:val="39730397"/>
    <w:rsid w:val="397828E0"/>
    <w:rsid w:val="39800ACE"/>
    <w:rsid w:val="39980CE2"/>
    <w:rsid w:val="399B34CA"/>
    <w:rsid w:val="39AA339F"/>
    <w:rsid w:val="39AB53AE"/>
    <w:rsid w:val="39B83678"/>
    <w:rsid w:val="39D0636E"/>
    <w:rsid w:val="39D17CDD"/>
    <w:rsid w:val="39F44362"/>
    <w:rsid w:val="39F62389"/>
    <w:rsid w:val="39F63B7B"/>
    <w:rsid w:val="39F925EC"/>
    <w:rsid w:val="3A010D4B"/>
    <w:rsid w:val="3A033549"/>
    <w:rsid w:val="3A035D99"/>
    <w:rsid w:val="3A093D05"/>
    <w:rsid w:val="3A0E4679"/>
    <w:rsid w:val="3A185146"/>
    <w:rsid w:val="3A1B7A36"/>
    <w:rsid w:val="3A1F2B4F"/>
    <w:rsid w:val="3A220E5F"/>
    <w:rsid w:val="3A222B60"/>
    <w:rsid w:val="3A2644AB"/>
    <w:rsid w:val="3A30298D"/>
    <w:rsid w:val="3A3862B4"/>
    <w:rsid w:val="3A3C1A7E"/>
    <w:rsid w:val="3A3C7D6C"/>
    <w:rsid w:val="3A3D6E67"/>
    <w:rsid w:val="3A4936E3"/>
    <w:rsid w:val="3A4F7A71"/>
    <w:rsid w:val="3A58374B"/>
    <w:rsid w:val="3A5941F6"/>
    <w:rsid w:val="3A596DA8"/>
    <w:rsid w:val="3A5A1D9E"/>
    <w:rsid w:val="3A5A6C2B"/>
    <w:rsid w:val="3A5B15D7"/>
    <w:rsid w:val="3A5B22E9"/>
    <w:rsid w:val="3A5E32F8"/>
    <w:rsid w:val="3A611DF3"/>
    <w:rsid w:val="3A624674"/>
    <w:rsid w:val="3A667F7C"/>
    <w:rsid w:val="3A685AA2"/>
    <w:rsid w:val="3A6D58D7"/>
    <w:rsid w:val="3A714BF8"/>
    <w:rsid w:val="3A731F3E"/>
    <w:rsid w:val="3A7572A8"/>
    <w:rsid w:val="3A7E046D"/>
    <w:rsid w:val="3A7F656F"/>
    <w:rsid w:val="3A83464D"/>
    <w:rsid w:val="3A841F02"/>
    <w:rsid w:val="3A9155E6"/>
    <w:rsid w:val="3A954B7A"/>
    <w:rsid w:val="3A992100"/>
    <w:rsid w:val="3A9B50DC"/>
    <w:rsid w:val="3A9C4E84"/>
    <w:rsid w:val="3AA11C63"/>
    <w:rsid w:val="3AA35C36"/>
    <w:rsid w:val="3AA9087F"/>
    <w:rsid w:val="3AA9398F"/>
    <w:rsid w:val="3AAA4AD8"/>
    <w:rsid w:val="3AB37C0B"/>
    <w:rsid w:val="3AC07099"/>
    <w:rsid w:val="3AC66524"/>
    <w:rsid w:val="3AC90541"/>
    <w:rsid w:val="3AD0154B"/>
    <w:rsid w:val="3AD26502"/>
    <w:rsid w:val="3AD32BE2"/>
    <w:rsid w:val="3AD735A4"/>
    <w:rsid w:val="3ADB5B92"/>
    <w:rsid w:val="3AE335C6"/>
    <w:rsid w:val="3AEB165A"/>
    <w:rsid w:val="3AED053C"/>
    <w:rsid w:val="3AF2204F"/>
    <w:rsid w:val="3AF56227"/>
    <w:rsid w:val="3AF657E1"/>
    <w:rsid w:val="3AF97E01"/>
    <w:rsid w:val="3B0032A7"/>
    <w:rsid w:val="3B03752F"/>
    <w:rsid w:val="3B0A6C0E"/>
    <w:rsid w:val="3B0F2390"/>
    <w:rsid w:val="3B1220C7"/>
    <w:rsid w:val="3B3073C6"/>
    <w:rsid w:val="3B352556"/>
    <w:rsid w:val="3B360092"/>
    <w:rsid w:val="3B3E7FD4"/>
    <w:rsid w:val="3B4278FE"/>
    <w:rsid w:val="3B443EC3"/>
    <w:rsid w:val="3B44637B"/>
    <w:rsid w:val="3B4B0135"/>
    <w:rsid w:val="3B504E40"/>
    <w:rsid w:val="3B5F7815"/>
    <w:rsid w:val="3B6413E7"/>
    <w:rsid w:val="3B81506E"/>
    <w:rsid w:val="3B8D6917"/>
    <w:rsid w:val="3B985F13"/>
    <w:rsid w:val="3B98772E"/>
    <w:rsid w:val="3BA40788"/>
    <w:rsid w:val="3BB02276"/>
    <w:rsid w:val="3BB3643D"/>
    <w:rsid w:val="3BB41E71"/>
    <w:rsid w:val="3BBC1A25"/>
    <w:rsid w:val="3BC56E05"/>
    <w:rsid w:val="3BD938AF"/>
    <w:rsid w:val="3BDF0887"/>
    <w:rsid w:val="3BE12208"/>
    <w:rsid w:val="3BE45065"/>
    <w:rsid w:val="3BF847AA"/>
    <w:rsid w:val="3BFA0259"/>
    <w:rsid w:val="3BFA371F"/>
    <w:rsid w:val="3C0309FF"/>
    <w:rsid w:val="3C042E3E"/>
    <w:rsid w:val="3C050C40"/>
    <w:rsid w:val="3C072663"/>
    <w:rsid w:val="3C0B2E45"/>
    <w:rsid w:val="3C153A08"/>
    <w:rsid w:val="3C1A4E8D"/>
    <w:rsid w:val="3C1F76F3"/>
    <w:rsid w:val="3C257B71"/>
    <w:rsid w:val="3C2841B0"/>
    <w:rsid w:val="3C3C186F"/>
    <w:rsid w:val="3C3D7E2F"/>
    <w:rsid w:val="3C450BC5"/>
    <w:rsid w:val="3C47574F"/>
    <w:rsid w:val="3C4B567C"/>
    <w:rsid w:val="3C4C7399"/>
    <w:rsid w:val="3C5110CE"/>
    <w:rsid w:val="3C6242D8"/>
    <w:rsid w:val="3C704909"/>
    <w:rsid w:val="3C784DBC"/>
    <w:rsid w:val="3C7923FD"/>
    <w:rsid w:val="3C7A386B"/>
    <w:rsid w:val="3C7E21FC"/>
    <w:rsid w:val="3C835139"/>
    <w:rsid w:val="3C8E55CD"/>
    <w:rsid w:val="3C8E5872"/>
    <w:rsid w:val="3C913F59"/>
    <w:rsid w:val="3C943C7F"/>
    <w:rsid w:val="3C9C7C85"/>
    <w:rsid w:val="3C9D3203"/>
    <w:rsid w:val="3C9E76A6"/>
    <w:rsid w:val="3C9E7D39"/>
    <w:rsid w:val="3C9F5433"/>
    <w:rsid w:val="3CA05E3F"/>
    <w:rsid w:val="3CA60FF0"/>
    <w:rsid w:val="3CAF5049"/>
    <w:rsid w:val="3CB11B5A"/>
    <w:rsid w:val="3CB17B91"/>
    <w:rsid w:val="3CC037D9"/>
    <w:rsid w:val="3CCC3FAB"/>
    <w:rsid w:val="3CD20233"/>
    <w:rsid w:val="3CD23409"/>
    <w:rsid w:val="3CD70CBD"/>
    <w:rsid w:val="3CDA5E44"/>
    <w:rsid w:val="3CDF248B"/>
    <w:rsid w:val="3CF80F5E"/>
    <w:rsid w:val="3CFA11B8"/>
    <w:rsid w:val="3CFD5614"/>
    <w:rsid w:val="3D061853"/>
    <w:rsid w:val="3D083D85"/>
    <w:rsid w:val="3D094A3E"/>
    <w:rsid w:val="3D107860"/>
    <w:rsid w:val="3D180E73"/>
    <w:rsid w:val="3D183C46"/>
    <w:rsid w:val="3D1B6DFC"/>
    <w:rsid w:val="3D2346F2"/>
    <w:rsid w:val="3D296016"/>
    <w:rsid w:val="3D2B7651"/>
    <w:rsid w:val="3D2C6DEC"/>
    <w:rsid w:val="3D3F7B7E"/>
    <w:rsid w:val="3D415BFE"/>
    <w:rsid w:val="3D464AD9"/>
    <w:rsid w:val="3D466470"/>
    <w:rsid w:val="3D531698"/>
    <w:rsid w:val="3D595B76"/>
    <w:rsid w:val="3D5F59D0"/>
    <w:rsid w:val="3D631F45"/>
    <w:rsid w:val="3D6562C9"/>
    <w:rsid w:val="3D7D1865"/>
    <w:rsid w:val="3D9438FC"/>
    <w:rsid w:val="3D9745C5"/>
    <w:rsid w:val="3D980D16"/>
    <w:rsid w:val="3D9831E5"/>
    <w:rsid w:val="3D9B1367"/>
    <w:rsid w:val="3D9F7A2D"/>
    <w:rsid w:val="3DA638E7"/>
    <w:rsid w:val="3DA71209"/>
    <w:rsid w:val="3DC81317"/>
    <w:rsid w:val="3DC945C0"/>
    <w:rsid w:val="3DCE0312"/>
    <w:rsid w:val="3DCE0347"/>
    <w:rsid w:val="3DCF044A"/>
    <w:rsid w:val="3DE73182"/>
    <w:rsid w:val="3DE875DA"/>
    <w:rsid w:val="3DED7C84"/>
    <w:rsid w:val="3E012F06"/>
    <w:rsid w:val="3E0516F6"/>
    <w:rsid w:val="3E062C93"/>
    <w:rsid w:val="3E0B26EA"/>
    <w:rsid w:val="3E1667F0"/>
    <w:rsid w:val="3E1A07C5"/>
    <w:rsid w:val="3E1C3D68"/>
    <w:rsid w:val="3E1C4CA9"/>
    <w:rsid w:val="3E225D40"/>
    <w:rsid w:val="3E25375E"/>
    <w:rsid w:val="3E257108"/>
    <w:rsid w:val="3E261C30"/>
    <w:rsid w:val="3E2947D8"/>
    <w:rsid w:val="3E297DA1"/>
    <w:rsid w:val="3E2A2C0A"/>
    <w:rsid w:val="3E2E03FF"/>
    <w:rsid w:val="3E37784B"/>
    <w:rsid w:val="3E381EA5"/>
    <w:rsid w:val="3E3846AB"/>
    <w:rsid w:val="3E3946C1"/>
    <w:rsid w:val="3E434C61"/>
    <w:rsid w:val="3E4A4CB2"/>
    <w:rsid w:val="3E4E7D71"/>
    <w:rsid w:val="3E4F147F"/>
    <w:rsid w:val="3E522624"/>
    <w:rsid w:val="3E5A3610"/>
    <w:rsid w:val="3E616240"/>
    <w:rsid w:val="3E63157B"/>
    <w:rsid w:val="3E672C02"/>
    <w:rsid w:val="3E702BB8"/>
    <w:rsid w:val="3E803635"/>
    <w:rsid w:val="3E807C4C"/>
    <w:rsid w:val="3E810402"/>
    <w:rsid w:val="3E8310AF"/>
    <w:rsid w:val="3EB761D7"/>
    <w:rsid w:val="3EC40C65"/>
    <w:rsid w:val="3ECB1717"/>
    <w:rsid w:val="3ED5122D"/>
    <w:rsid w:val="3ED92DDA"/>
    <w:rsid w:val="3EE7761A"/>
    <w:rsid w:val="3EF17DA4"/>
    <w:rsid w:val="3EF2332E"/>
    <w:rsid w:val="3EF2654D"/>
    <w:rsid w:val="3EF56437"/>
    <w:rsid w:val="3EFB607B"/>
    <w:rsid w:val="3EFF7197"/>
    <w:rsid w:val="3F035498"/>
    <w:rsid w:val="3F055C54"/>
    <w:rsid w:val="3F0C5BCE"/>
    <w:rsid w:val="3F114F57"/>
    <w:rsid w:val="3F117156"/>
    <w:rsid w:val="3F1D2AEF"/>
    <w:rsid w:val="3F201122"/>
    <w:rsid w:val="3F22062E"/>
    <w:rsid w:val="3F2B0046"/>
    <w:rsid w:val="3F2F40D7"/>
    <w:rsid w:val="3F300CAC"/>
    <w:rsid w:val="3F303FAB"/>
    <w:rsid w:val="3F3222E3"/>
    <w:rsid w:val="3F352F72"/>
    <w:rsid w:val="3F3774CD"/>
    <w:rsid w:val="3F416176"/>
    <w:rsid w:val="3F532102"/>
    <w:rsid w:val="3F576FA1"/>
    <w:rsid w:val="3F580906"/>
    <w:rsid w:val="3F5A3EFB"/>
    <w:rsid w:val="3F5A4D5E"/>
    <w:rsid w:val="3F6A5E19"/>
    <w:rsid w:val="3F7006D6"/>
    <w:rsid w:val="3F757F03"/>
    <w:rsid w:val="3F79679A"/>
    <w:rsid w:val="3F9908B0"/>
    <w:rsid w:val="3FA330D9"/>
    <w:rsid w:val="3FA367A0"/>
    <w:rsid w:val="3FA84EB2"/>
    <w:rsid w:val="3FA85DB5"/>
    <w:rsid w:val="3FAA7193"/>
    <w:rsid w:val="3FAD4B3B"/>
    <w:rsid w:val="3FB23566"/>
    <w:rsid w:val="3FB34E43"/>
    <w:rsid w:val="3FC0345D"/>
    <w:rsid w:val="3FC0576C"/>
    <w:rsid w:val="3FC24499"/>
    <w:rsid w:val="3FC96CE0"/>
    <w:rsid w:val="3FD03D01"/>
    <w:rsid w:val="3FD4498A"/>
    <w:rsid w:val="3FD64800"/>
    <w:rsid w:val="3FD80FD4"/>
    <w:rsid w:val="3FDA5EAF"/>
    <w:rsid w:val="3FDC701A"/>
    <w:rsid w:val="3FE0553B"/>
    <w:rsid w:val="3FE11A0A"/>
    <w:rsid w:val="3FE135FB"/>
    <w:rsid w:val="3FE221D2"/>
    <w:rsid w:val="3FE87D28"/>
    <w:rsid w:val="3FEA089A"/>
    <w:rsid w:val="3FEE60A4"/>
    <w:rsid w:val="3FEF6D26"/>
    <w:rsid w:val="3FF003AB"/>
    <w:rsid w:val="3FF54F69"/>
    <w:rsid w:val="3FFA44C9"/>
    <w:rsid w:val="400533B5"/>
    <w:rsid w:val="400759D9"/>
    <w:rsid w:val="400969C4"/>
    <w:rsid w:val="400A5241"/>
    <w:rsid w:val="400D4847"/>
    <w:rsid w:val="401A368E"/>
    <w:rsid w:val="401E5225"/>
    <w:rsid w:val="401F30A7"/>
    <w:rsid w:val="40200EC2"/>
    <w:rsid w:val="40376069"/>
    <w:rsid w:val="40387BC5"/>
    <w:rsid w:val="403D4406"/>
    <w:rsid w:val="403E6AA8"/>
    <w:rsid w:val="40400879"/>
    <w:rsid w:val="40402847"/>
    <w:rsid w:val="404B17A6"/>
    <w:rsid w:val="404C0609"/>
    <w:rsid w:val="40501179"/>
    <w:rsid w:val="40502545"/>
    <w:rsid w:val="405D53FA"/>
    <w:rsid w:val="405F2FA3"/>
    <w:rsid w:val="40612A0F"/>
    <w:rsid w:val="406435E5"/>
    <w:rsid w:val="40657EEF"/>
    <w:rsid w:val="407451A1"/>
    <w:rsid w:val="40752AFC"/>
    <w:rsid w:val="407D753B"/>
    <w:rsid w:val="40806E1B"/>
    <w:rsid w:val="40864AE2"/>
    <w:rsid w:val="40864ED4"/>
    <w:rsid w:val="40906E9B"/>
    <w:rsid w:val="409207A7"/>
    <w:rsid w:val="40940958"/>
    <w:rsid w:val="40A56E0D"/>
    <w:rsid w:val="40AF5A59"/>
    <w:rsid w:val="40B565DA"/>
    <w:rsid w:val="40BA51BE"/>
    <w:rsid w:val="40BD00BB"/>
    <w:rsid w:val="40BE25B2"/>
    <w:rsid w:val="40C177AA"/>
    <w:rsid w:val="40CA0821"/>
    <w:rsid w:val="40E90A23"/>
    <w:rsid w:val="40EE51A8"/>
    <w:rsid w:val="40F20B1F"/>
    <w:rsid w:val="40F86916"/>
    <w:rsid w:val="40FA321B"/>
    <w:rsid w:val="40FF0DBB"/>
    <w:rsid w:val="4101607F"/>
    <w:rsid w:val="41022D94"/>
    <w:rsid w:val="41082DC3"/>
    <w:rsid w:val="411876ED"/>
    <w:rsid w:val="412170B1"/>
    <w:rsid w:val="4123014B"/>
    <w:rsid w:val="412A5333"/>
    <w:rsid w:val="412B15D8"/>
    <w:rsid w:val="412B6C2E"/>
    <w:rsid w:val="41301C9A"/>
    <w:rsid w:val="41341E40"/>
    <w:rsid w:val="4139028D"/>
    <w:rsid w:val="41393CF5"/>
    <w:rsid w:val="413A53EA"/>
    <w:rsid w:val="413D6260"/>
    <w:rsid w:val="413E270C"/>
    <w:rsid w:val="414214F9"/>
    <w:rsid w:val="4149251B"/>
    <w:rsid w:val="414F3518"/>
    <w:rsid w:val="415037DD"/>
    <w:rsid w:val="41526D4A"/>
    <w:rsid w:val="415F730C"/>
    <w:rsid w:val="41621B71"/>
    <w:rsid w:val="41720FB5"/>
    <w:rsid w:val="417800FF"/>
    <w:rsid w:val="41811A80"/>
    <w:rsid w:val="418C5377"/>
    <w:rsid w:val="418D7C08"/>
    <w:rsid w:val="419165DA"/>
    <w:rsid w:val="41945E2E"/>
    <w:rsid w:val="419A7974"/>
    <w:rsid w:val="41AA0EFE"/>
    <w:rsid w:val="41B3723D"/>
    <w:rsid w:val="41B56B45"/>
    <w:rsid w:val="41C3570F"/>
    <w:rsid w:val="41C65E0E"/>
    <w:rsid w:val="41C954F1"/>
    <w:rsid w:val="41E77BF5"/>
    <w:rsid w:val="41EE1F6D"/>
    <w:rsid w:val="41FC7345"/>
    <w:rsid w:val="41FF7A7E"/>
    <w:rsid w:val="42055BCF"/>
    <w:rsid w:val="42062C90"/>
    <w:rsid w:val="420D35D1"/>
    <w:rsid w:val="42124FEB"/>
    <w:rsid w:val="421309EA"/>
    <w:rsid w:val="421E19DD"/>
    <w:rsid w:val="42201ADB"/>
    <w:rsid w:val="42243ADD"/>
    <w:rsid w:val="4226140E"/>
    <w:rsid w:val="42262641"/>
    <w:rsid w:val="422A6BE5"/>
    <w:rsid w:val="422D7D03"/>
    <w:rsid w:val="42387360"/>
    <w:rsid w:val="423A512B"/>
    <w:rsid w:val="424E09DB"/>
    <w:rsid w:val="424F14CB"/>
    <w:rsid w:val="425266EC"/>
    <w:rsid w:val="42537038"/>
    <w:rsid w:val="425608D6"/>
    <w:rsid w:val="425830C6"/>
    <w:rsid w:val="425867E1"/>
    <w:rsid w:val="425C6098"/>
    <w:rsid w:val="42646511"/>
    <w:rsid w:val="4265214F"/>
    <w:rsid w:val="426703CA"/>
    <w:rsid w:val="426724A2"/>
    <w:rsid w:val="428D023C"/>
    <w:rsid w:val="429007CB"/>
    <w:rsid w:val="429953F0"/>
    <w:rsid w:val="42A826E7"/>
    <w:rsid w:val="42AD52B2"/>
    <w:rsid w:val="42AE6807"/>
    <w:rsid w:val="42C30985"/>
    <w:rsid w:val="42CE5721"/>
    <w:rsid w:val="42D04BE9"/>
    <w:rsid w:val="42D83185"/>
    <w:rsid w:val="42DA1044"/>
    <w:rsid w:val="42E04F76"/>
    <w:rsid w:val="42E27E52"/>
    <w:rsid w:val="42EC5AF2"/>
    <w:rsid w:val="42F36125"/>
    <w:rsid w:val="42F867E3"/>
    <w:rsid w:val="42F96836"/>
    <w:rsid w:val="42FC1238"/>
    <w:rsid w:val="42FE5538"/>
    <w:rsid w:val="4300244D"/>
    <w:rsid w:val="43081AD9"/>
    <w:rsid w:val="43187E3B"/>
    <w:rsid w:val="43271B07"/>
    <w:rsid w:val="43280811"/>
    <w:rsid w:val="43284A6A"/>
    <w:rsid w:val="432C2669"/>
    <w:rsid w:val="432F2506"/>
    <w:rsid w:val="43340E51"/>
    <w:rsid w:val="43381992"/>
    <w:rsid w:val="433E55F2"/>
    <w:rsid w:val="433F23BF"/>
    <w:rsid w:val="434E67E9"/>
    <w:rsid w:val="43501147"/>
    <w:rsid w:val="43527EA5"/>
    <w:rsid w:val="43621575"/>
    <w:rsid w:val="436624A8"/>
    <w:rsid w:val="43666F3B"/>
    <w:rsid w:val="436C0A55"/>
    <w:rsid w:val="436D064B"/>
    <w:rsid w:val="43726256"/>
    <w:rsid w:val="437460FA"/>
    <w:rsid w:val="437D37BF"/>
    <w:rsid w:val="437D5D97"/>
    <w:rsid w:val="437D60FB"/>
    <w:rsid w:val="43837506"/>
    <w:rsid w:val="438B5FFE"/>
    <w:rsid w:val="43AF03C9"/>
    <w:rsid w:val="43B12337"/>
    <w:rsid w:val="43B14470"/>
    <w:rsid w:val="43B43EDE"/>
    <w:rsid w:val="43B47D4C"/>
    <w:rsid w:val="43C401ED"/>
    <w:rsid w:val="43C471BD"/>
    <w:rsid w:val="43CB16B2"/>
    <w:rsid w:val="43DF7E96"/>
    <w:rsid w:val="43E04F09"/>
    <w:rsid w:val="43E17880"/>
    <w:rsid w:val="43E30165"/>
    <w:rsid w:val="43E4084E"/>
    <w:rsid w:val="43E800C6"/>
    <w:rsid w:val="43F52C05"/>
    <w:rsid w:val="43FB7DF3"/>
    <w:rsid w:val="43FC346C"/>
    <w:rsid w:val="44062548"/>
    <w:rsid w:val="440E5844"/>
    <w:rsid w:val="44117846"/>
    <w:rsid w:val="442073EE"/>
    <w:rsid w:val="44257D8E"/>
    <w:rsid w:val="442A5D06"/>
    <w:rsid w:val="442E5908"/>
    <w:rsid w:val="4439540E"/>
    <w:rsid w:val="44462500"/>
    <w:rsid w:val="44512364"/>
    <w:rsid w:val="445157F9"/>
    <w:rsid w:val="44560305"/>
    <w:rsid w:val="446636C5"/>
    <w:rsid w:val="4467501D"/>
    <w:rsid w:val="446C4B9D"/>
    <w:rsid w:val="44771330"/>
    <w:rsid w:val="447A6E1D"/>
    <w:rsid w:val="447D1640"/>
    <w:rsid w:val="447F5EC2"/>
    <w:rsid w:val="4480296D"/>
    <w:rsid w:val="448166E9"/>
    <w:rsid w:val="448678B2"/>
    <w:rsid w:val="448E51CC"/>
    <w:rsid w:val="4494624E"/>
    <w:rsid w:val="449848C7"/>
    <w:rsid w:val="44AF4BA1"/>
    <w:rsid w:val="44B253BE"/>
    <w:rsid w:val="44B2632E"/>
    <w:rsid w:val="44B2697E"/>
    <w:rsid w:val="44B55895"/>
    <w:rsid w:val="44BC1818"/>
    <w:rsid w:val="44BC1ADC"/>
    <w:rsid w:val="44BC6084"/>
    <w:rsid w:val="44C33C1C"/>
    <w:rsid w:val="44C77FE4"/>
    <w:rsid w:val="44CB1108"/>
    <w:rsid w:val="44CE7E45"/>
    <w:rsid w:val="44D11736"/>
    <w:rsid w:val="44D55756"/>
    <w:rsid w:val="44E00E0F"/>
    <w:rsid w:val="44E132FE"/>
    <w:rsid w:val="44E93C84"/>
    <w:rsid w:val="44F70F49"/>
    <w:rsid w:val="44F9465F"/>
    <w:rsid w:val="44FA649B"/>
    <w:rsid w:val="44FB7CD7"/>
    <w:rsid w:val="44FE7B0F"/>
    <w:rsid w:val="450939CD"/>
    <w:rsid w:val="450B3CA0"/>
    <w:rsid w:val="4510454F"/>
    <w:rsid w:val="45185AF4"/>
    <w:rsid w:val="45206383"/>
    <w:rsid w:val="45234637"/>
    <w:rsid w:val="45264590"/>
    <w:rsid w:val="452D38D3"/>
    <w:rsid w:val="453D64FE"/>
    <w:rsid w:val="453E4193"/>
    <w:rsid w:val="454113CA"/>
    <w:rsid w:val="454255CA"/>
    <w:rsid w:val="45577395"/>
    <w:rsid w:val="4561316A"/>
    <w:rsid w:val="45633AE3"/>
    <w:rsid w:val="45644225"/>
    <w:rsid w:val="45655BD9"/>
    <w:rsid w:val="456665EB"/>
    <w:rsid w:val="4582151A"/>
    <w:rsid w:val="4582605D"/>
    <w:rsid w:val="4584775C"/>
    <w:rsid w:val="45916EEF"/>
    <w:rsid w:val="459B392A"/>
    <w:rsid w:val="459E1BF4"/>
    <w:rsid w:val="45A20CE2"/>
    <w:rsid w:val="45A81950"/>
    <w:rsid w:val="45AB2840"/>
    <w:rsid w:val="45AB71DA"/>
    <w:rsid w:val="45B300EE"/>
    <w:rsid w:val="45B47BFC"/>
    <w:rsid w:val="45B92244"/>
    <w:rsid w:val="45BE4FDB"/>
    <w:rsid w:val="45BE62C2"/>
    <w:rsid w:val="45C0705E"/>
    <w:rsid w:val="45CC15DB"/>
    <w:rsid w:val="45E27A68"/>
    <w:rsid w:val="45E42F61"/>
    <w:rsid w:val="45F01DCD"/>
    <w:rsid w:val="45F62E65"/>
    <w:rsid w:val="45FD74ED"/>
    <w:rsid w:val="460149F1"/>
    <w:rsid w:val="46050349"/>
    <w:rsid w:val="460B16A1"/>
    <w:rsid w:val="46206E94"/>
    <w:rsid w:val="46221289"/>
    <w:rsid w:val="4628691C"/>
    <w:rsid w:val="46324558"/>
    <w:rsid w:val="46365564"/>
    <w:rsid w:val="46382CF3"/>
    <w:rsid w:val="463B273F"/>
    <w:rsid w:val="463E4B6F"/>
    <w:rsid w:val="464B1905"/>
    <w:rsid w:val="4658217D"/>
    <w:rsid w:val="46610538"/>
    <w:rsid w:val="4662784A"/>
    <w:rsid w:val="466C778C"/>
    <w:rsid w:val="4670530F"/>
    <w:rsid w:val="4678706D"/>
    <w:rsid w:val="467D0E04"/>
    <w:rsid w:val="468676F9"/>
    <w:rsid w:val="469278B5"/>
    <w:rsid w:val="46A72251"/>
    <w:rsid w:val="46AB4DBE"/>
    <w:rsid w:val="46AF5FB8"/>
    <w:rsid w:val="46B35B9F"/>
    <w:rsid w:val="46BF115D"/>
    <w:rsid w:val="46C44CB7"/>
    <w:rsid w:val="46C5380C"/>
    <w:rsid w:val="46C6427C"/>
    <w:rsid w:val="46C96A6C"/>
    <w:rsid w:val="46CA25F7"/>
    <w:rsid w:val="46CB603F"/>
    <w:rsid w:val="46D21F34"/>
    <w:rsid w:val="46D54FF2"/>
    <w:rsid w:val="46E614E1"/>
    <w:rsid w:val="46F05271"/>
    <w:rsid w:val="46F100B8"/>
    <w:rsid w:val="46F21928"/>
    <w:rsid w:val="46F75E6E"/>
    <w:rsid w:val="46FA7FB8"/>
    <w:rsid w:val="47002DEF"/>
    <w:rsid w:val="47037841"/>
    <w:rsid w:val="470B0531"/>
    <w:rsid w:val="471F3210"/>
    <w:rsid w:val="471F6704"/>
    <w:rsid w:val="47327B74"/>
    <w:rsid w:val="47336C6F"/>
    <w:rsid w:val="47402DAA"/>
    <w:rsid w:val="474750DC"/>
    <w:rsid w:val="474C419A"/>
    <w:rsid w:val="474E6907"/>
    <w:rsid w:val="474E7A5D"/>
    <w:rsid w:val="47567017"/>
    <w:rsid w:val="475E0087"/>
    <w:rsid w:val="475E3976"/>
    <w:rsid w:val="476140B1"/>
    <w:rsid w:val="476269FC"/>
    <w:rsid w:val="47666D38"/>
    <w:rsid w:val="47743CD8"/>
    <w:rsid w:val="47763FFA"/>
    <w:rsid w:val="4780263C"/>
    <w:rsid w:val="478104EB"/>
    <w:rsid w:val="47863271"/>
    <w:rsid w:val="478839AE"/>
    <w:rsid w:val="47896D4F"/>
    <w:rsid w:val="47982A36"/>
    <w:rsid w:val="47A21D03"/>
    <w:rsid w:val="47AC4635"/>
    <w:rsid w:val="47AD79A7"/>
    <w:rsid w:val="47B45F77"/>
    <w:rsid w:val="47B601F9"/>
    <w:rsid w:val="47BE2659"/>
    <w:rsid w:val="47C65B11"/>
    <w:rsid w:val="47C80021"/>
    <w:rsid w:val="47CB750B"/>
    <w:rsid w:val="47CC159F"/>
    <w:rsid w:val="47D31B17"/>
    <w:rsid w:val="47D64E19"/>
    <w:rsid w:val="47DD2D70"/>
    <w:rsid w:val="47E335C5"/>
    <w:rsid w:val="47E66258"/>
    <w:rsid w:val="47F00544"/>
    <w:rsid w:val="47FA38B9"/>
    <w:rsid w:val="48023B3E"/>
    <w:rsid w:val="480712F5"/>
    <w:rsid w:val="48180B08"/>
    <w:rsid w:val="482149DA"/>
    <w:rsid w:val="4826335E"/>
    <w:rsid w:val="482A6A56"/>
    <w:rsid w:val="482B534E"/>
    <w:rsid w:val="483639D2"/>
    <w:rsid w:val="483C2771"/>
    <w:rsid w:val="48445D81"/>
    <w:rsid w:val="4844715C"/>
    <w:rsid w:val="484503C6"/>
    <w:rsid w:val="48492230"/>
    <w:rsid w:val="484D4424"/>
    <w:rsid w:val="485C4105"/>
    <w:rsid w:val="48652AF4"/>
    <w:rsid w:val="486A61A5"/>
    <w:rsid w:val="48725180"/>
    <w:rsid w:val="48777B4E"/>
    <w:rsid w:val="487E153D"/>
    <w:rsid w:val="48802857"/>
    <w:rsid w:val="48817770"/>
    <w:rsid w:val="488D31C1"/>
    <w:rsid w:val="48971C07"/>
    <w:rsid w:val="489A3FC2"/>
    <w:rsid w:val="489A5DAA"/>
    <w:rsid w:val="48A27CAA"/>
    <w:rsid w:val="48A31B88"/>
    <w:rsid w:val="48BC04DD"/>
    <w:rsid w:val="48BE2CF0"/>
    <w:rsid w:val="48C15D8D"/>
    <w:rsid w:val="48C25955"/>
    <w:rsid w:val="48C955E5"/>
    <w:rsid w:val="48CA6810"/>
    <w:rsid w:val="48D13B36"/>
    <w:rsid w:val="48DA439B"/>
    <w:rsid w:val="48DC4702"/>
    <w:rsid w:val="48E44E43"/>
    <w:rsid w:val="48E4724D"/>
    <w:rsid w:val="48E53924"/>
    <w:rsid w:val="48E63F8B"/>
    <w:rsid w:val="48E94329"/>
    <w:rsid w:val="48EF0F23"/>
    <w:rsid w:val="48F13107"/>
    <w:rsid w:val="48F633E1"/>
    <w:rsid w:val="48FB4BC3"/>
    <w:rsid w:val="48FB5804"/>
    <w:rsid w:val="48FD385A"/>
    <w:rsid w:val="49067C11"/>
    <w:rsid w:val="49086D1B"/>
    <w:rsid w:val="4915791B"/>
    <w:rsid w:val="491C3076"/>
    <w:rsid w:val="49324DD3"/>
    <w:rsid w:val="4939707B"/>
    <w:rsid w:val="493E5E9C"/>
    <w:rsid w:val="493F3C9C"/>
    <w:rsid w:val="49414B4F"/>
    <w:rsid w:val="494476DB"/>
    <w:rsid w:val="494A552B"/>
    <w:rsid w:val="495077AD"/>
    <w:rsid w:val="49532CF3"/>
    <w:rsid w:val="49581E86"/>
    <w:rsid w:val="4958391B"/>
    <w:rsid w:val="495D7302"/>
    <w:rsid w:val="496607B9"/>
    <w:rsid w:val="496C36CB"/>
    <w:rsid w:val="496D2BF3"/>
    <w:rsid w:val="497B6C1C"/>
    <w:rsid w:val="49825EA3"/>
    <w:rsid w:val="499402FE"/>
    <w:rsid w:val="499B6E75"/>
    <w:rsid w:val="49A13026"/>
    <w:rsid w:val="49A81F15"/>
    <w:rsid w:val="49B02FC2"/>
    <w:rsid w:val="49B07C49"/>
    <w:rsid w:val="49B24B36"/>
    <w:rsid w:val="49BA3A93"/>
    <w:rsid w:val="49BC5080"/>
    <w:rsid w:val="49BD004C"/>
    <w:rsid w:val="49BD1576"/>
    <w:rsid w:val="49BE7C01"/>
    <w:rsid w:val="49BF6B4D"/>
    <w:rsid w:val="49BF6D61"/>
    <w:rsid w:val="49C97028"/>
    <w:rsid w:val="49CA5515"/>
    <w:rsid w:val="49DA5740"/>
    <w:rsid w:val="49DB093F"/>
    <w:rsid w:val="49DC0B0E"/>
    <w:rsid w:val="49DE64CC"/>
    <w:rsid w:val="49E13015"/>
    <w:rsid w:val="49F00F52"/>
    <w:rsid w:val="49FD72CF"/>
    <w:rsid w:val="4A122E59"/>
    <w:rsid w:val="4A1E1CDA"/>
    <w:rsid w:val="4A235C8A"/>
    <w:rsid w:val="4A292935"/>
    <w:rsid w:val="4A2E6BA5"/>
    <w:rsid w:val="4A33120A"/>
    <w:rsid w:val="4A35109E"/>
    <w:rsid w:val="4A360ACF"/>
    <w:rsid w:val="4A377A65"/>
    <w:rsid w:val="4A385EDB"/>
    <w:rsid w:val="4A397CF0"/>
    <w:rsid w:val="4A3E5075"/>
    <w:rsid w:val="4A3E5F17"/>
    <w:rsid w:val="4A471EB8"/>
    <w:rsid w:val="4A49367A"/>
    <w:rsid w:val="4A4A6502"/>
    <w:rsid w:val="4A4A7180"/>
    <w:rsid w:val="4A4D16C6"/>
    <w:rsid w:val="4A655B5A"/>
    <w:rsid w:val="4A6F0787"/>
    <w:rsid w:val="4A8C7C76"/>
    <w:rsid w:val="4AA44519"/>
    <w:rsid w:val="4AAB34BB"/>
    <w:rsid w:val="4AAF54B1"/>
    <w:rsid w:val="4AB00AB1"/>
    <w:rsid w:val="4AB26985"/>
    <w:rsid w:val="4AB838E8"/>
    <w:rsid w:val="4AB83EDC"/>
    <w:rsid w:val="4AB86624"/>
    <w:rsid w:val="4ABC5097"/>
    <w:rsid w:val="4ABE4768"/>
    <w:rsid w:val="4AC07A88"/>
    <w:rsid w:val="4AC34B56"/>
    <w:rsid w:val="4AC568E5"/>
    <w:rsid w:val="4ACC5BD9"/>
    <w:rsid w:val="4AD31BF7"/>
    <w:rsid w:val="4AD4683C"/>
    <w:rsid w:val="4AD85CF3"/>
    <w:rsid w:val="4AE12695"/>
    <w:rsid w:val="4AE5063F"/>
    <w:rsid w:val="4AEB4287"/>
    <w:rsid w:val="4AF201D5"/>
    <w:rsid w:val="4AF87CD0"/>
    <w:rsid w:val="4AFC64BF"/>
    <w:rsid w:val="4AFD1ED3"/>
    <w:rsid w:val="4B052044"/>
    <w:rsid w:val="4B09330A"/>
    <w:rsid w:val="4B121E1D"/>
    <w:rsid w:val="4B124BB6"/>
    <w:rsid w:val="4B162370"/>
    <w:rsid w:val="4B187D4F"/>
    <w:rsid w:val="4B1969EA"/>
    <w:rsid w:val="4B1D4D58"/>
    <w:rsid w:val="4B1D6435"/>
    <w:rsid w:val="4B1E3E9D"/>
    <w:rsid w:val="4B2373E8"/>
    <w:rsid w:val="4B247B19"/>
    <w:rsid w:val="4B28699B"/>
    <w:rsid w:val="4B30654A"/>
    <w:rsid w:val="4B313770"/>
    <w:rsid w:val="4B321EE0"/>
    <w:rsid w:val="4B337729"/>
    <w:rsid w:val="4B37776E"/>
    <w:rsid w:val="4B3D274E"/>
    <w:rsid w:val="4B415F6D"/>
    <w:rsid w:val="4B53794C"/>
    <w:rsid w:val="4B5847DE"/>
    <w:rsid w:val="4B5F2399"/>
    <w:rsid w:val="4B742639"/>
    <w:rsid w:val="4B784F16"/>
    <w:rsid w:val="4B817735"/>
    <w:rsid w:val="4B8938A4"/>
    <w:rsid w:val="4B8A6570"/>
    <w:rsid w:val="4B947A37"/>
    <w:rsid w:val="4B990B42"/>
    <w:rsid w:val="4BA21CED"/>
    <w:rsid w:val="4BA47014"/>
    <w:rsid w:val="4BA56AD4"/>
    <w:rsid w:val="4BAA137B"/>
    <w:rsid w:val="4BAA58CE"/>
    <w:rsid w:val="4BB560F4"/>
    <w:rsid w:val="4BB64CD0"/>
    <w:rsid w:val="4BBC17AA"/>
    <w:rsid w:val="4BBD05CA"/>
    <w:rsid w:val="4BC12085"/>
    <w:rsid w:val="4BC41A56"/>
    <w:rsid w:val="4BC859C1"/>
    <w:rsid w:val="4BCE772F"/>
    <w:rsid w:val="4BD40AAB"/>
    <w:rsid w:val="4BE84CBE"/>
    <w:rsid w:val="4BEB2C94"/>
    <w:rsid w:val="4BF1099C"/>
    <w:rsid w:val="4BF623B0"/>
    <w:rsid w:val="4BF86D6D"/>
    <w:rsid w:val="4BFB0607"/>
    <w:rsid w:val="4C0007D3"/>
    <w:rsid w:val="4C00522E"/>
    <w:rsid w:val="4C051F8F"/>
    <w:rsid w:val="4C08466C"/>
    <w:rsid w:val="4C085165"/>
    <w:rsid w:val="4C12207D"/>
    <w:rsid w:val="4C1471C6"/>
    <w:rsid w:val="4C152CAE"/>
    <w:rsid w:val="4C1604D1"/>
    <w:rsid w:val="4C1C493F"/>
    <w:rsid w:val="4C27778C"/>
    <w:rsid w:val="4C28045F"/>
    <w:rsid w:val="4C353FDB"/>
    <w:rsid w:val="4C3F1A17"/>
    <w:rsid w:val="4C3F668A"/>
    <w:rsid w:val="4C4125D9"/>
    <w:rsid w:val="4C4437AE"/>
    <w:rsid w:val="4C4E5B23"/>
    <w:rsid w:val="4C50471A"/>
    <w:rsid w:val="4C534C86"/>
    <w:rsid w:val="4C5D11D7"/>
    <w:rsid w:val="4C5E3199"/>
    <w:rsid w:val="4C5E6ACF"/>
    <w:rsid w:val="4C685F90"/>
    <w:rsid w:val="4C686D9D"/>
    <w:rsid w:val="4C6B2FE2"/>
    <w:rsid w:val="4C787885"/>
    <w:rsid w:val="4C7E409F"/>
    <w:rsid w:val="4C807EFC"/>
    <w:rsid w:val="4C8107A0"/>
    <w:rsid w:val="4C831751"/>
    <w:rsid w:val="4C921493"/>
    <w:rsid w:val="4C96075E"/>
    <w:rsid w:val="4C960838"/>
    <w:rsid w:val="4CB210AA"/>
    <w:rsid w:val="4CB4376C"/>
    <w:rsid w:val="4CB67DBA"/>
    <w:rsid w:val="4CBD0B1F"/>
    <w:rsid w:val="4CC22A4A"/>
    <w:rsid w:val="4CC61D2C"/>
    <w:rsid w:val="4CC64FB8"/>
    <w:rsid w:val="4CCA40FA"/>
    <w:rsid w:val="4CE87889"/>
    <w:rsid w:val="4CED710E"/>
    <w:rsid w:val="4CF17AA4"/>
    <w:rsid w:val="4CF87AFD"/>
    <w:rsid w:val="4D003857"/>
    <w:rsid w:val="4D05521E"/>
    <w:rsid w:val="4D076FF3"/>
    <w:rsid w:val="4D08414A"/>
    <w:rsid w:val="4D092506"/>
    <w:rsid w:val="4D183358"/>
    <w:rsid w:val="4D1D096E"/>
    <w:rsid w:val="4D200666"/>
    <w:rsid w:val="4D3A7012"/>
    <w:rsid w:val="4D3D19D7"/>
    <w:rsid w:val="4D3D691B"/>
    <w:rsid w:val="4D412977"/>
    <w:rsid w:val="4D430005"/>
    <w:rsid w:val="4D451508"/>
    <w:rsid w:val="4D47346B"/>
    <w:rsid w:val="4D495DF4"/>
    <w:rsid w:val="4D581CBD"/>
    <w:rsid w:val="4D69316A"/>
    <w:rsid w:val="4D7234EB"/>
    <w:rsid w:val="4D732E47"/>
    <w:rsid w:val="4D785A58"/>
    <w:rsid w:val="4D853E44"/>
    <w:rsid w:val="4D8744C7"/>
    <w:rsid w:val="4D970124"/>
    <w:rsid w:val="4D9724CF"/>
    <w:rsid w:val="4D992749"/>
    <w:rsid w:val="4D9F3131"/>
    <w:rsid w:val="4DC2477B"/>
    <w:rsid w:val="4DC37AAD"/>
    <w:rsid w:val="4DCF7EBB"/>
    <w:rsid w:val="4DD03A81"/>
    <w:rsid w:val="4DE1012A"/>
    <w:rsid w:val="4DE56472"/>
    <w:rsid w:val="4DE726B1"/>
    <w:rsid w:val="4DEA16B8"/>
    <w:rsid w:val="4DF17ECD"/>
    <w:rsid w:val="4DF65554"/>
    <w:rsid w:val="4DF96CE5"/>
    <w:rsid w:val="4DFA077E"/>
    <w:rsid w:val="4DFC1243"/>
    <w:rsid w:val="4E02229A"/>
    <w:rsid w:val="4E07119F"/>
    <w:rsid w:val="4E132BF4"/>
    <w:rsid w:val="4E162BA9"/>
    <w:rsid w:val="4E1E0460"/>
    <w:rsid w:val="4E1F2098"/>
    <w:rsid w:val="4E245FCD"/>
    <w:rsid w:val="4E2A37D7"/>
    <w:rsid w:val="4E2C0F3C"/>
    <w:rsid w:val="4E2E487D"/>
    <w:rsid w:val="4E2F4F0E"/>
    <w:rsid w:val="4E30022D"/>
    <w:rsid w:val="4E3F0D8B"/>
    <w:rsid w:val="4E452F68"/>
    <w:rsid w:val="4E4F602D"/>
    <w:rsid w:val="4E521DCC"/>
    <w:rsid w:val="4E563A79"/>
    <w:rsid w:val="4E5B174E"/>
    <w:rsid w:val="4E5D37BF"/>
    <w:rsid w:val="4E5E7854"/>
    <w:rsid w:val="4E60113A"/>
    <w:rsid w:val="4E6D6B7D"/>
    <w:rsid w:val="4E7861E5"/>
    <w:rsid w:val="4E7C40A4"/>
    <w:rsid w:val="4E8267E7"/>
    <w:rsid w:val="4E826B8B"/>
    <w:rsid w:val="4E915C83"/>
    <w:rsid w:val="4E920755"/>
    <w:rsid w:val="4E943194"/>
    <w:rsid w:val="4E980798"/>
    <w:rsid w:val="4E9A5427"/>
    <w:rsid w:val="4E9A7B73"/>
    <w:rsid w:val="4E9E6AA4"/>
    <w:rsid w:val="4EA244DC"/>
    <w:rsid w:val="4EA3784C"/>
    <w:rsid w:val="4EA71845"/>
    <w:rsid w:val="4EB235F2"/>
    <w:rsid w:val="4EB951BF"/>
    <w:rsid w:val="4EBB7642"/>
    <w:rsid w:val="4EBF6B54"/>
    <w:rsid w:val="4EC0678A"/>
    <w:rsid w:val="4EC16EB7"/>
    <w:rsid w:val="4EC935CE"/>
    <w:rsid w:val="4ECD2EF2"/>
    <w:rsid w:val="4ED11C95"/>
    <w:rsid w:val="4ED15594"/>
    <w:rsid w:val="4EDC019B"/>
    <w:rsid w:val="4EDD798C"/>
    <w:rsid w:val="4EE27137"/>
    <w:rsid w:val="4EEB6A39"/>
    <w:rsid w:val="4EF44D23"/>
    <w:rsid w:val="4EF52034"/>
    <w:rsid w:val="4EF844EA"/>
    <w:rsid w:val="4EFB744F"/>
    <w:rsid w:val="4EFC3112"/>
    <w:rsid w:val="4EFD1701"/>
    <w:rsid w:val="4EFF66FB"/>
    <w:rsid w:val="4F040683"/>
    <w:rsid w:val="4F130C17"/>
    <w:rsid w:val="4F161B19"/>
    <w:rsid w:val="4F166D4A"/>
    <w:rsid w:val="4F1D55DD"/>
    <w:rsid w:val="4F270D2D"/>
    <w:rsid w:val="4F2737C5"/>
    <w:rsid w:val="4F304989"/>
    <w:rsid w:val="4F3124AF"/>
    <w:rsid w:val="4F31723C"/>
    <w:rsid w:val="4F340C63"/>
    <w:rsid w:val="4F3E1BA7"/>
    <w:rsid w:val="4F527868"/>
    <w:rsid w:val="4F6709AC"/>
    <w:rsid w:val="4F6D642E"/>
    <w:rsid w:val="4F6F762E"/>
    <w:rsid w:val="4F767689"/>
    <w:rsid w:val="4F926827"/>
    <w:rsid w:val="4F98633D"/>
    <w:rsid w:val="4FA4623D"/>
    <w:rsid w:val="4FA86461"/>
    <w:rsid w:val="4FAA16EE"/>
    <w:rsid w:val="4FAB620C"/>
    <w:rsid w:val="4FAE2F1D"/>
    <w:rsid w:val="4FB25D36"/>
    <w:rsid w:val="4FB55FF8"/>
    <w:rsid w:val="4FC3659A"/>
    <w:rsid w:val="4FC926E8"/>
    <w:rsid w:val="4FCF79B6"/>
    <w:rsid w:val="4FD73723"/>
    <w:rsid w:val="4FE06869"/>
    <w:rsid w:val="4FE6773D"/>
    <w:rsid w:val="4FE9200A"/>
    <w:rsid w:val="4FF42752"/>
    <w:rsid w:val="4FF67560"/>
    <w:rsid w:val="4FF87BDA"/>
    <w:rsid w:val="4FFD4205"/>
    <w:rsid w:val="4FFF5603"/>
    <w:rsid w:val="500035DB"/>
    <w:rsid w:val="500554BB"/>
    <w:rsid w:val="50082791"/>
    <w:rsid w:val="500A21E7"/>
    <w:rsid w:val="5010424F"/>
    <w:rsid w:val="50153705"/>
    <w:rsid w:val="502318E5"/>
    <w:rsid w:val="502456DC"/>
    <w:rsid w:val="502E1C8A"/>
    <w:rsid w:val="502E37C2"/>
    <w:rsid w:val="503E77A0"/>
    <w:rsid w:val="504967D4"/>
    <w:rsid w:val="504C56EA"/>
    <w:rsid w:val="50523597"/>
    <w:rsid w:val="50537E95"/>
    <w:rsid w:val="50562C2E"/>
    <w:rsid w:val="50583896"/>
    <w:rsid w:val="50585CC6"/>
    <w:rsid w:val="5059113E"/>
    <w:rsid w:val="505B7EE8"/>
    <w:rsid w:val="506871A6"/>
    <w:rsid w:val="506B39C8"/>
    <w:rsid w:val="50757758"/>
    <w:rsid w:val="507B54D2"/>
    <w:rsid w:val="507E4835"/>
    <w:rsid w:val="50807FAC"/>
    <w:rsid w:val="508159F6"/>
    <w:rsid w:val="50841FF1"/>
    <w:rsid w:val="50984F92"/>
    <w:rsid w:val="509E4F4D"/>
    <w:rsid w:val="50A07C67"/>
    <w:rsid w:val="50AB3259"/>
    <w:rsid w:val="50AC4DAF"/>
    <w:rsid w:val="50B568B9"/>
    <w:rsid w:val="50B926E0"/>
    <w:rsid w:val="50C069B4"/>
    <w:rsid w:val="50C17863"/>
    <w:rsid w:val="50CF168F"/>
    <w:rsid w:val="50D101AA"/>
    <w:rsid w:val="50D71075"/>
    <w:rsid w:val="50D97285"/>
    <w:rsid w:val="50E32A6C"/>
    <w:rsid w:val="50E67640"/>
    <w:rsid w:val="50E93B81"/>
    <w:rsid w:val="510229F8"/>
    <w:rsid w:val="510530E4"/>
    <w:rsid w:val="510D3CD7"/>
    <w:rsid w:val="511300BE"/>
    <w:rsid w:val="51161C4E"/>
    <w:rsid w:val="511848E8"/>
    <w:rsid w:val="511B3417"/>
    <w:rsid w:val="51205736"/>
    <w:rsid w:val="51242D1A"/>
    <w:rsid w:val="51275130"/>
    <w:rsid w:val="51295B34"/>
    <w:rsid w:val="51332596"/>
    <w:rsid w:val="51360B87"/>
    <w:rsid w:val="513938C9"/>
    <w:rsid w:val="51394095"/>
    <w:rsid w:val="513A2A02"/>
    <w:rsid w:val="513E3F26"/>
    <w:rsid w:val="51401058"/>
    <w:rsid w:val="51422751"/>
    <w:rsid w:val="51490CE0"/>
    <w:rsid w:val="514C1FED"/>
    <w:rsid w:val="514E5AEA"/>
    <w:rsid w:val="5156081F"/>
    <w:rsid w:val="51600E24"/>
    <w:rsid w:val="51602B30"/>
    <w:rsid w:val="51657342"/>
    <w:rsid w:val="516D7162"/>
    <w:rsid w:val="51703763"/>
    <w:rsid w:val="51722A42"/>
    <w:rsid w:val="5173706F"/>
    <w:rsid w:val="51774780"/>
    <w:rsid w:val="51853637"/>
    <w:rsid w:val="518A2050"/>
    <w:rsid w:val="518D1F26"/>
    <w:rsid w:val="519E2B14"/>
    <w:rsid w:val="51A055DC"/>
    <w:rsid w:val="51AA5DE3"/>
    <w:rsid w:val="51AC6764"/>
    <w:rsid w:val="51AD4B3B"/>
    <w:rsid w:val="51B52056"/>
    <w:rsid w:val="51B74F5A"/>
    <w:rsid w:val="51C36CCB"/>
    <w:rsid w:val="51C471B1"/>
    <w:rsid w:val="51C969CF"/>
    <w:rsid w:val="51CA613D"/>
    <w:rsid w:val="51DB1C8D"/>
    <w:rsid w:val="51E82B6A"/>
    <w:rsid w:val="51EA4CB0"/>
    <w:rsid w:val="51EC1D13"/>
    <w:rsid w:val="51EE435D"/>
    <w:rsid w:val="52000617"/>
    <w:rsid w:val="520A4783"/>
    <w:rsid w:val="520D4FCD"/>
    <w:rsid w:val="520E4EF5"/>
    <w:rsid w:val="520F69D2"/>
    <w:rsid w:val="52145799"/>
    <w:rsid w:val="521570C5"/>
    <w:rsid w:val="521D24AF"/>
    <w:rsid w:val="52242841"/>
    <w:rsid w:val="52277D53"/>
    <w:rsid w:val="52290E04"/>
    <w:rsid w:val="522B352E"/>
    <w:rsid w:val="522F41A9"/>
    <w:rsid w:val="523E6D57"/>
    <w:rsid w:val="52417FCE"/>
    <w:rsid w:val="52432C25"/>
    <w:rsid w:val="52474E72"/>
    <w:rsid w:val="524B6455"/>
    <w:rsid w:val="52517014"/>
    <w:rsid w:val="52595FA5"/>
    <w:rsid w:val="525E1819"/>
    <w:rsid w:val="52656D4B"/>
    <w:rsid w:val="52690A8A"/>
    <w:rsid w:val="52702CC3"/>
    <w:rsid w:val="5272134C"/>
    <w:rsid w:val="527C0553"/>
    <w:rsid w:val="52994479"/>
    <w:rsid w:val="529C787B"/>
    <w:rsid w:val="52A118F2"/>
    <w:rsid w:val="52A62910"/>
    <w:rsid w:val="52AC196F"/>
    <w:rsid w:val="52AF3E17"/>
    <w:rsid w:val="52BB751E"/>
    <w:rsid w:val="52BF0C6B"/>
    <w:rsid w:val="52BF7616"/>
    <w:rsid w:val="52D302DE"/>
    <w:rsid w:val="52DA1C64"/>
    <w:rsid w:val="52DB37D2"/>
    <w:rsid w:val="52E112D6"/>
    <w:rsid w:val="52EF771A"/>
    <w:rsid w:val="52F23609"/>
    <w:rsid w:val="52F725D3"/>
    <w:rsid w:val="531445D8"/>
    <w:rsid w:val="53155FA7"/>
    <w:rsid w:val="5318161A"/>
    <w:rsid w:val="531C1040"/>
    <w:rsid w:val="53243A84"/>
    <w:rsid w:val="532C2893"/>
    <w:rsid w:val="532E7557"/>
    <w:rsid w:val="53315C4B"/>
    <w:rsid w:val="533A00AA"/>
    <w:rsid w:val="533C7D22"/>
    <w:rsid w:val="53476182"/>
    <w:rsid w:val="534F7E64"/>
    <w:rsid w:val="53575365"/>
    <w:rsid w:val="53582DCC"/>
    <w:rsid w:val="5359399F"/>
    <w:rsid w:val="53656BCB"/>
    <w:rsid w:val="536F51A3"/>
    <w:rsid w:val="537321AC"/>
    <w:rsid w:val="53743ED1"/>
    <w:rsid w:val="53752E08"/>
    <w:rsid w:val="537D120F"/>
    <w:rsid w:val="5382152B"/>
    <w:rsid w:val="53862B7D"/>
    <w:rsid w:val="53917227"/>
    <w:rsid w:val="53920585"/>
    <w:rsid w:val="5396301E"/>
    <w:rsid w:val="53976B2F"/>
    <w:rsid w:val="539831F9"/>
    <w:rsid w:val="539A41B3"/>
    <w:rsid w:val="53A87319"/>
    <w:rsid w:val="53AA17A9"/>
    <w:rsid w:val="53B842AC"/>
    <w:rsid w:val="53BB5C95"/>
    <w:rsid w:val="53BE5711"/>
    <w:rsid w:val="53C42C43"/>
    <w:rsid w:val="53C47D96"/>
    <w:rsid w:val="53CB12B0"/>
    <w:rsid w:val="53D14261"/>
    <w:rsid w:val="53E53868"/>
    <w:rsid w:val="53EC1ECF"/>
    <w:rsid w:val="53EF116A"/>
    <w:rsid w:val="53F74AF6"/>
    <w:rsid w:val="53FD311C"/>
    <w:rsid w:val="53FD3B90"/>
    <w:rsid w:val="54084EF7"/>
    <w:rsid w:val="540A305C"/>
    <w:rsid w:val="5410110C"/>
    <w:rsid w:val="54131912"/>
    <w:rsid w:val="541C1529"/>
    <w:rsid w:val="54222228"/>
    <w:rsid w:val="5422763A"/>
    <w:rsid w:val="542A4CF1"/>
    <w:rsid w:val="54393B83"/>
    <w:rsid w:val="54442637"/>
    <w:rsid w:val="544615CD"/>
    <w:rsid w:val="544876E4"/>
    <w:rsid w:val="54510C43"/>
    <w:rsid w:val="54517EF0"/>
    <w:rsid w:val="54521272"/>
    <w:rsid w:val="54521A63"/>
    <w:rsid w:val="545534E9"/>
    <w:rsid w:val="5456526D"/>
    <w:rsid w:val="546135C3"/>
    <w:rsid w:val="54621F68"/>
    <w:rsid w:val="546B0211"/>
    <w:rsid w:val="546B3A7C"/>
    <w:rsid w:val="546E71A0"/>
    <w:rsid w:val="54701CCD"/>
    <w:rsid w:val="547145DD"/>
    <w:rsid w:val="54745318"/>
    <w:rsid w:val="547609DD"/>
    <w:rsid w:val="547B5D3D"/>
    <w:rsid w:val="54805EAC"/>
    <w:rsid w:val="5482587D"/>
    <w:rsid w:val="548341C1"/>
    <w:rsid w:val="5484104F"/>
    <w:rsid w:val="54886400"/>
    <w:rsid w:val="54922940"/>
    <w:rsid w:val="54923C71"/>
    <w:rsid w:val="54A75B90"/>
    <w:rsid w:val="54AE280E"/>
    <w:rsid w:val="54B3060F"/>
    <w:rsid w:val="54B40DB1"/>
    <w:rsid w:val="54B4518C"/>
    <w:rsid w:val="54B95A1A"/>
    <w:rsid w:val="54C23274"/>
    <w:rsid w:val="54D26341"/>
    <w:rsid w:val="54D45BC4"/>
    <w:rsid w:val="54DB49C4"/>
    <w:rsid w:val="54DC1C2B"/>
    <w:rsid w:val="54DE1184"/>
    <w:rsid w:val="54DE7576"/>
    <w:rsid w:val="54E212F4"/>
    <w:rsid w:val="54E3249D"/>
    <w:rsid w:val="54E57FC4"/>
    <w:rsid w:val="54E762B6"/>
    <w:rsid w:val="54E92EA3"/>
    <w:rsid w:val="54F75F49"/>
    <w:rsid w:val="54FB018C"/>
    <w:rsid w:val="550109C1"/>
    <w:rsid w:val="55054110"/>
    <w:rsid w:val="5508132B"/>
    <w:rsid w:val="55100B6A"/>
    <w:rsid w:val="55122FCC"/>
    <w:rsid w:val="55131049"/>
    <w:rsid w:val="55164C9A"/>
    <w:rsid w:val="551A15C6"/>
    <w:rsid w:val="551F2C7C"/>
    <w:rsid w:val="552A59D6"/>
    <w:rsid w:val="552F12F5"/>
    <w:rsid w:val="55344AA7"/>
    <w:rsid w:val="553A18C8"/>
    <w:rsid w:val="553F43DA"/>
    <w:rsid w:val="55410DBD"/>
    <w:rsid w:val="5546256D"/>
    <w:rsid w:val="555946AB"/>
    <w:rsid w:val="555C3C55"/>
    <w:rsid w:val="555C3E9A"/>
    <w:rsid w:val="555D0A34"/>
    <w:rsid w:val="556100F8"/>
    <w:rsid w:val="55627B08"/>
    <w:rsid w:val="5565088E"/>
    <w:rsid w:val="556D2C0F"/>
    <w:rsid w:val="556F7375"/>
    <w:rsid w:val="55721481"/>
    <w:rsid w:val="5579157E"/>
    <w:rsid w:val="5580275A"/>
    <w:rsid w:val="55911E19"/>
    <w:rsid w:val="55935C72"/>
    <w:rsid w:val="559601F5"/>
    <w:rsid w:val="559B253D"/>
    <w:rsid w:val="559E2967"/>
    <w:rsid w:val="559F620B"/>
    <w:rsid w:val="55A03621"/>
    <w:rsid w:val="55A17B91"/>
    <w:rsid w:val="55AD5540"/>
    <w:rsid w:val="55B44037"/>
    <w:rsid w:val="55BB3061"/>
    <w:rsid w:val="55C37CDE"/>
    <w:rsid w:val="55D22539"/>
    <w:rsid w:val="55E34C3E"/>
    <w:rsid w:val="55E53845"/>
    <w:rsid w:val="55E61A70"/>
    <w:rsid w:val="55E97640"/>
    <w:rsid w:val="55F720C6"/>
    <w:rsid w:val="55F876C4"/>
    <w:rsid w:val="5607285D"/>
    <w:rsid w:val="560F2F20"/>
    <w:rsid w:val="56120991"/>
    <w:rsid w:val="56161BD4"/>
    <w:rsid w:val="561D553B"/>
    <w:rsid w:val="562D50DC"/>
    <w:rsid w:val="563D46B2"/>
    <w:rsid w:val="56457704"/>
    <w:rsid w:val="5648287B"/>
    <w:rsid w:val="5658153C"/>
    <w:rsid w:val="5667179F"/>
    <w:rsid w:val="5669552B"/>
    <w:rsid w:val="56756FEE"/>
    <w:rsid w:val="567A14B2"/>
    <w:rsid w:val="568B0655"/>
    <w:rsid w:val="568F6105"/>
    <w:rsid w:val="569340BF"/>
    <w:rsid w:val="569D7032"/>
    <w:rsid w:val="56A26CA4"/>
    <w:rsid w:val="56A769A9"/>
    <w:rsid w:val="56A90163"/>
    <w:rsid w:val="56AD22B9"/>
    <w:rsid w:val="56BA554A"/>
    <w:rsid w:val="56C768C1"/>
    <w:rsid w:val="56CA40F1"/>
    <w:rsid w:val="56CB20C5"/>
    <w:rsid w:val="56CE4A87"/>
    <w:rsid w:val="56CF17A9"/>
    <w:rsid w:val="56DE774E"/>
    <w:rsid w:val="56E76C61"/>
    <w:rsid w:val="56ED3AE9"/>
    <w:rsid w:val="56EF6AA9"/>
    <w:rsid w:val="56F232A6"/>
    <w:rsid w:val="56FB3DE8"/>
    <w:rsid w:val="57101D0B"/>
    <w:rsid w:val="57131037"/>
    <w:rsid w:val="571C52AD"/>
    <w:rsid w:val="5721105B"/>
    <w:rsid w:val="57220CB6"/>
    <w:rsid w:val="57272B15"/>
    <w:rsid w:val="573556C2"/>
    <w:rsid w:val="575632CC"/>
    <w:rsid w:val="57606F87"/>
    <w:rsid w:val="57672F12"/>
    <w:rsid w:val="576D42A0"/>
    <w:rsid w:val="577A6D2E"/>
    <w:rsid w:val="577E0893"/>
    <w:rsid w:val="577F0575"/>
    <w:rsid w:val="5780247F"/>
    <w:rsid w:val="578128B7"/>
    <w:rsid w:val="578840B1"/>
    <w:rsid w:val="578D198F"/>
    <w:rsid w:val="57927711"/>
    <w:rsid w:val="57945726"/>
    <w:rsid w:val="579927C7"/>
    <w:rsid w:val="579D34A4"/>
    <w:rsid w:val="57A17CA5"/>
    <w:rsid w:val="57AC7F76"/>
    <w:rsid w:val="57AF6667"/>
    <w:rsid w:val="57B17ABA"/>
    <w:rsid w:val="57B336AE"/>
    <w:rsid w:val="57B37249"/>
    <w:rsid w:val="57B528A1"/>
    <w:rsid w:val="57BF6AF8"/>
    <w:rsid w:val="57C969E3"/>
    <w:rsid w:val="57D57D2F"/>
    <w:rsid w:val="57D60714"/>
    <w:rsid w:val="57D94111"/>
    <w:rsid w:val="57DC2BAD"/>
    <w:rsid w:val="57F15865"/>
    <w:rsid w:val="57F67D0A"/>
    <w:rsid w:val="57FD125F"/>
    <w:rsid w:val="57FF2C6E"/>
    <w:rsid w:val="580112DD"/>
    <w:rsid w:val="58057B99"/>
    <w:rsid w:val="580815FA"/>
    <w:rsid w:val="5808676D"/>
    <w:rsid w:val="58164CFD"/>
    <w:rsid w:val="58201D40"/>
    <w:rsid w:val="582738AE"/>
    <w:rsid w:val="58342D20"/>
    <w:rsid w:val="583A3C22"/>
    <w:rsid w:val="58430D07"/>
    <w:rsid w:val="584326B5"/>
    <w:rsid w:val="58611D04"/>
    <w:rsid w:val="586846EF"/>
    <w:rsid w:val="586D2962"/>
    <w:rsid w:val="5872759C"/>
    <w:rsid w:val="587F072F"/>
    <w:rsid w:val="58872F30"/>
    <w:rsid w:val="588B353C"/>
    <w:rsid w:val="588B7142"/>
    <w:rsid w:val="588E0972"/>
    <w:rsid w:val="589B5B49"/>
    <w:rsid w:val="589E3418"/>
    <w:rsid w:val="58AC6269"/>
    <w:rsid w:val="58AF3175"/>
    <w:rsid w:val="58B07537"/>
    <w:rsid w:val="58B67BEB"/>
    <w:rsid w:val="58C00689"/>
    <w:rsid w:val="58CC7366"/>
    <w:rsid w:val="58CF1EE7"/>
    <w:rsid w:val="58D71465"/>
    <w:rsid w:val="58DF2335"/>
    <w:rsid w:val="58E3120B"/>
    <w:rsid w:val="58ED24DC"/>
    <w:rsid w:val="58EE7F4C"/>
    <w:rsid w:val="58F46DEA"/>
    <w:rsid w:val="58FA5C29"/>
    <w:rsid w:val="58FB7105"/>
    <w:rsid w:val="590B158E"/>
    <w:rsid w:val="59107FD3"/>
    <w:rsid w:val="591401BA"/>
    <w:rsid w:val="5924627E"/>
    <w:rsid w:val="59283577"/>
    <w:rsid w:val="592C449F"/>
    <w:rsid w:val="592C532E"/>
    <w:rsid w:val="592D4E59"/>
    <w:rsid w:val="5943175D"/>
    <w:rsid w:val="59495D0A"/>
    <w:rsid w:val="594A0F1E"/>
    <w:rsid w:val="594B2650"/>
    <w:rsid w:val="59550077"/>
    <w:rsid w:val="595D42F7"/>
    <w:rsid w:val="59695B0E"/>
    <w:rsid w:val="597900D1"/>
    <w:rsid w:val="598361F9"/>
    <w:rsid w:val="5984766D"/>
    <w:rsid w:val="598D1CE2"/>
    <w:rsid w:val="59941933"/>
    <w:rsid w:val="59A114F8"/>
    <w:rsid w:val="59A3309B"/>
    <w:rsid w:val="59A44352"/>
    <w:rsid w:val="59AD460E"/>
    <w:rsid w:val="59B764D9"/>
    <w:rsid w:val="59BA7DD3"/>
    <w:rsid w:val="59BF0470"/>
    <w:rsid w:val="59C12B00"/>
    <w:rsid w:val="59C5315A"/>
    <w:rsid w:val="59C7413C"/>
    <w:rsid w:val="59C85BBA"/>
    <w:rsid w:val="59DA1A0D"/>
    <w:rsid w:val="59DF73D7"/>
    <w:rsid w:val="59E01997"/>
    <w:rsid w:val="59E113E6"/>
    <w:rsid w:val="59F00790"/>
    <w:rsid w:val="59F112FE"/>
    <w:rsid w:val="59F26158"/>
    <w:rsid w:val="59FA1FEC"/>
    <w:rsid w:val="59FA62BF"/>
    <w:rsid w:val="59FB5B93"/>
    <w:rsid w:val="5A0B62FC"/>
    <w:rsid w:val="5A0C522E"/>
    <w:rsid w:val="5A136829"/>
    <w:rsid w:val="5A143FBA"/>
    <w:rsid w:val="5A175510"/>
    <w:rsid w:val="5A2643CB"/>
    <w:rsid w:val="5A2F3A8F"/>
    <w:rsid w:val="5A346880"/>
    <w:rsid w:val="5A373C36"/>
    <w:rsid w:val="5A397DDF"/>
    <w:rsid w:val="5A3C143E"/>
    <w:rsid w:val="5A4D708A"/>
    <w:rsid w:val="5A516DBA"/>
    <w:rsid w:val="5A5A212D"/>
    <w:rsid w:val="5A694041"/>
    <w:rsid w:val="5A761225"/>
    <w:rsid w:val="5A8A4153"/>
    <w:rsid w:val="5A8F4ABF"/>
    <w:rsid w:val="5A9038A8"/>
    <w:rsid w:val="5A945878"/>
    <w:rsid w:val="5AB3439C"/>
    <w:rsid w:val="5AB62857"/>
    <w:rsid w:val="5AB67988"/>
    <w:rsid w:val="5AB91724"/>
    <w:rsid w:val="5ABA5A4E"/>
    <w:rsid w:val="5ABF5901"/>
    <w:rsid w:val="5ABF7D64"/>
    <w:rsid w:val="5ACA5953"/>
    <w:rsid w:val="5ACB3A4A"/>
    <w:rsid w:val="5ACD11E7"/>
    <w:rsid w:val="5ACF19E6"/>
    <w:rsid w:val="5AD47477"/>
    <w:rsid w:val="5AE3217B"/>
    <w:rsid w:val="5AE57817"/>
    <w:rsid w:val="5AE60D3F"/>
    <w:rsid w:val="5AE70490"/>
    <w:rsid w:val="5AF50835"/>
    <w:rsid w:val="5AF50BD0"/>
    <w:rsid w:val="5B06430D"/>
    <w:rsid w:val="5B0913DA"/>
    <w:rsid w:val="5B0C1DEE"/>
    <w:rsid w:val="5B173253"/>
    <w:rsid w:val="5B26453F"/>
    <w:rsid w:val="5B2A49AD"/>
    <w:rsid w:val="5B3475AF"/>
    <w:rsid w:val="5B43724B"/>
    <w:rsid w:val="5B476CB1"/>
    <w:rsid w:val="5B4C1C68"/>
    <w:rsid w:val="5B500161"/>
    <w:rsid w:val="5B59062D"/>
    <w:rsid w:val="5B6451A6"/>
    <w:rsid w:val="5B75731B"/>
    <w:rsid w:val="5B763EB7"/>
    <w:rsid w:val="5B7E1EB2"/>
    <w:rsid w:val="5B7E5661"/>
    <w:rsid w:val="5B841CB7"/>
    <w:rsid w:val="5B847D3D"/>
    <w:rsid w:val="5B861444"/>
    <w:rsid w:val="5B8A50DE"/>
    <w:rsid w:val="5B912B50"/>
    <w:rsid w:val="5B953ED2"/>
    <w:rsid w:val="5B993928"/>
    <w:rsid w:val="5B9955E8"/>
    <w:rsid w:val="5B9A5925"/>
    <w:rsid w:val="5B9B4306"/>
    <w:rsid w:val="5B9E436E"/>
    <w:rsid w:val="5BA13C73"/>
    <w:rsid w:val="5BAA0E05"/>
    <w:rsid w:val="5BB3110B"/>
    <w:rsid w:val="5BB50DF9"/>
    <w:rsid w:val="5BBC76E7"/>
    <w:rsid w:val="5BC2290D"/>
    <w:rsid w:val="5BC90992"/>
    <w:rsid w:val="5BCB2B90"/>
    <w:rsid w:val="5BD81FA8"/>
    <w:rsid w:val="5BE26FB3"/>
    <w:rsid w:val="5BED5D88"/>
    <w:rsid w:val="5BF204A7"/>
    <w:rsid w:val="5BF53049"/>
    <w:rsid w:val="5BF53B3D"/>
    <w:rsid w:val="5BFB7164"/>
    <w:rsid w:val="5C0B1C47"/>
    <w:rsid w:val="5C0B2E25"/>
    <w:rsid w:val="5C0D7E00"/>
    <w:rsid w:val="5C10351A"/>
    <w:rsid w:val="5C17648D"/>
    <w:rsid w:val="5C1A310B"/>
    <w:rsid w:val="5C1A753A"/>
    <w:rsid w:val="5C1D5290"/>
    <w:rsid w:val="5C202F01"/>
    <w:rsid w:val="5C236E8E"/>
    <w:rsid w:val="5C28799F"/>
    <w:rsid w:val="5C312060"/>
    <w:rsid w:val="5C3929A3"/>
    <w:rsid w:val="5C461A91"/>
    <w:rsid w:val="5C4639E1"/>
    <w:rsid w:val="5C497FA1"/>
    <w:rsid w:val="5C4B3F8B"/>
    <w:rsid w:val="5C5453BC"/>
    <w:rsid w:val="5C5572B0"/>
    <w:rsid w:val="5C583E24"/>
    <w:rsid w:val="5C60208A"/>
    <w:rsid w:val="5C66535C"/>
    <w:rsid w:val="5C6902F8"/>
    <w:rsid w:val="5C6D424E"/>
    <w:rsid w:val="5C727C32"/>
    <w:rsid w:val="5C774020"/>
    <w:rsid w:val="5C836D63"/>
    <w:rsid w:val="5C847D9F"/>
    <w:rsid w:val="5C853B8B"/>
    <w:rsid w:val="5C8A0E37"/>
    <w:rsid w:val="5C8A1257"/>
    <w:rsid w:val="5C93198C"/>
    <w:rsid w:val="5C98042B"/>
    <w:rsid w:val="5C9913E2"/>
    <w:rsid w:val="5CA33E0D"/>
    <w:rsid w:val="5CA66466"/>
    <w:rsid w:val="5CA95D7B"/>
    <w:rsid w:val="5CAD630E"/>
    <w:rsid w:val="5CB33015"/>
    <w:rsid w:val="5CB46F5A"/>
    <w:rsid w:val="5CB7639B"/>
    <w:rsid w:val="5CD91E24"/>
    <w:rsid w:val="5CDE0C87"/>
    <w:rsid w:val="5CDF1DCE"/>
    <w:rsid w:val="5CE33758"/>
    <w:rsid w:val="5CE96194"/>
    <w:rsid w:val="5CF319DE"/>
    <w:rsid w:val="5CF50E0C"/>
    <w:rsid w:val="5CF51564"/>
    <w:rsid w:val="5CFA2EAA"/>
    <w:rsid w:val="5D041404"/>
    <w:rsid w:val="5D05702F"/>
    <w:rsid w:val="5D0819AF"/>
    <w:rsid w:val="5D0B3DB3"/>
    <w:rsid w:val="5D131B22"/>
    <w:rsid w:val="5D15609A"/>
    <w:rsid w:val="5D1F0193"/>
    <w:rsid w:val="5D243C94"/>
    <w:rsid w:val="5D246DB0"/>
    <w:rsid w:val="5D264973"/>
    <w:rsid w:val="5D283218"/>
    <w:rsid w:val="5D2A41F3"/>
    <w:rsid w:val="5D3C3250"/>
    <w:rsid w:val="5D3E70CC"/>
    <w:rsid w:val="5D412E9E"/>
    <w:rsid w:val="5D503C55"/>
    <w:rsid w:val="5D535CE6"/>
    <w:rsid w:val="5D5531B4"/>
    <w:rsid w:val="5D5E4BD3"/>
    <w:rsid w:val="5D610FBA"/>
    <w:rsid w:val="5D73062F"/>
    <w:rsid w:val="5D7519FB"/>
    <w:rsid w:val="5D754359"/>
    <w:rsid w:val="5D7D61FF"/>
    <w:rsid w:val="5D7E072C"/>
    <w:rsid w:val="5D7F5B3F"/>
    <w:rsid w:val="5D8374DA"/>
    <w:rsid w:val="5D9043C5"/>
    <w:rsid w:val="5D917380"/>
    <w:rsid w:val="5D926306"/>
    <w:rsid w:val="5D976281"/>
    <w:rsid w:val="5D9F66F5"/>
    <w:rsid w:val="5DBD5EFD"/>
    <w:rsid w:val="5DBF03EB"/>
    <w:rsid w:val="5DBF5867"/>
    <w:rsid w:val="5DC04997"/>
    <w:rsid w:val="5DC53591"/>
    <w:rsid w:val="5DC85744"/>
    <w:rsid w:val="5DCF2F34"/>
    <w:rsid w:val="5DD2534B"/>
    <w:rsid w:val="5DE02BCD"/>
    <w:rsid w:val="5DE27796"/>
    <w:rsid w:val="5DEB2D6E"/>
    <w:rsid w:val="5DF85FBA"/>
    <w:rsid w:val="5DFC2939"/>
    <w:rsid w:val="5E0051BA"/>
    <w:rsid w:val="5E006096"/>
    <w:rsid w:val="5E027BA8"/>
    <w:rsid w:val="5E0A0BB4"/>
    <w:rsid w:val="5E0A3A10"/>
    <w:rsid w:val="5E1831B8"/>
    <w:rsid w:val="5E227B93"/>
    <w:rsid w:val="5E2860C8"/>
    <w:rsid w:val="5E2A0754"/>
    <w:rsid w:val="5E2B3F5E"/>
    <w:rsid w:val="5E2C163C"/>
    <w:rsid w:val="5E384323"/>
    <w:rsid w:val="5E3B2009"/>
    <w:rsid w:val="5E3B3903"/>
    <w:rsid w:val="5E3C3CAB"/>
    <w:rsid w:val="5E3E2839"/>
    <w:rsid w:val="5E413D91"/>
    <w:rsid w:val="5E425E09"/>
    <w:rsid w:val="5E445E81"/>
    <w:rsid w:val="5E4E3305"/>
    <w:rsid w:val="5E561E50"/>
    <w:rsid w:val="5E5844B5"/>
    <w:rsid w:val="5E6505C6"/>
    <w:rsid w:val="5E6D2BC6"/>
    <w:rsid w:val="5E7516A9"/>
    <w:rsid w:val="5E757973"/>
    <w:rsid w:val="5E783C56"/>
    <w:rsid w:val="5E8200CA"/>
    <w:rsid w:val="5E8B5B78"/>
    <w:rsid w:val="5E8C325E"/>
    <w:rsid w:val="5E8D40BB"/>
    <w:rsid w:val="5E912506"/>
    <w:rsid w:val="5E9F5687"/>
    <w:rsid w:val="5EA0790D"/>
    <w:rsid w:val="5EA20FD9"/>
    <w:rsid w:val="5EA96EBE"/>
    <w:rsid w:val="5EAC37CE"/>
    <w:rsid w:val="5EB47C6B"/>
    <w:rsid w:val="5EB505C8"/>
    <w:rsid w:val="5EB97BFE"/>
    <w:rsid w:val="5EBB4529"/>
    <w:rsid w:val="5EBC4050"/>
    <w:rsid w:val="5EBD6D92"/>
    <w:rsid w:val="5ECA3D86"/>
    <w:rsid w:val="5ECE4AD3"/>
    <w:rsid w:val="5ED90A4F"/>
    <w:rsid w:val="5EDB5760"/>
    <w:rsid w:val="5EE17A4E"/>
    <w:rsid w:val="5EF00A9F"/>
    <w:rsid w:val="5EF04834"/>
    <w:rsid w:val="5EF77A28"/>
    <w:rsid w:val="5EFA267B"/>
    <w:rsid w:val="5EFA508F"/>
    <w:rsid w:val="5F17346F"/>
    <w:rsid w:val="5F1A537B"/>
    <w:rsid w:val="5F1D3DA3"/>
    <w:rsid w:val="5F1E6215"/>
    <w:rsid w:val="5F207D18"/>
    <w:rsid w:val="5F22545D"/>
    <w:rsid w:val="5F24765D"/>
    <w:rsid w:val="5F290D15"/>
    <w:rsid w:val="5F2B466E"/>
    <w:rsid w:val="5F4209AC"/>
    <w:rsid w:val="5F424C71"/>
    <w:rsid w:val="5F432EAB"/>
    <w:rsid w:val="5F4420C1"/>
    <w:rsid w:val="5F4E1724"/>
    <w:rsid w:val="5F58372D"/>
    <w:rsid w:val="5F5C17A0"/>
    <w:rsid w:val="5F5C28E2"/>
    <w:rsid w:val="5F654B11"/>
    <w:rsid w:val="5F6649D0"/>
    <w:rsid w:val="5F67640E"/>
    <w:rsid w:val="5F755CC4"/>
    <w:rsid w:val="5F7A430A"/>
    <w:rsid w:val="5F7F18C1"/>
    <w:rsid w:val="5F8124DD"/>
    <w:rsid w:val="5F8B58BB"/>
    <w:rsid w:val="5F94225B"/>
    <w:rsid w:val="5F9840E4"/>
    <w:rsid w:val="5F9F5213"/>
    <w:rsid w:val="5FA56CCD"/>
    <w:rsid w:val="5FAB0881"/>
    <w:rsid w:val="5FB872AD"/>
    <w:rsid w:val="5FBA585B"/>
    <w:rsid w:val="5FC111DF"/>
    <w:rsid w:val="5FC67FEF"/>
    <w:rsid w:val="5FC92639"/>
    <w:rsid w:val="5FD6077A"/>
    <w:rsid w:val="5FD845D7"/>
    <w:rsid w:val="5FD91EC4"/>
    <w:rsid w:val="5FDA00BB"/>
    <w:rsid w:val="5FDC6830"/>
    <w:rsid w:val="5FE57F90"/>
    <w:rsid w:val="5FEC6894"/>
    <w:rsid w:val="5FF07DD1"/>
    <w:rsid w:val="5FF842D2"/>
    <w:rsid w:val="5FF96B92"/>
    <w:rsid w:val="5FFF6B3B"/>
    <w:rsid w:val="60010018"/>
    <w:rsid w:val="60033EF8"/>
    <w:rsid w:val="60103832"/>
    <w:rsid w:val="6011375B"/>
    <w:rsid w:val="60170FDD"/>
    <w:rsid w:val="601A4CAC"/>
    <w:rsid w:val="601C4AB5"/>
    <w:rsid w:val="602A33E5"/>
    <w:rsid w:val="602D12EB"/>
    <w:rsid w:val="60354303"/>
    <w:rsid w:val="60381E7E"/>
    <w:rsid w:val="603B39E3"/>
    <w:rsid w:val="603D123C"/>
    <w:rsid w:val="603F047E"/>
    <w:rsid w:val="60405096"/>
    <w:rsid w:val="60430916"/>
    <w:rsid w:val="60433F1A"/>
    <w:rsid w:val="604638DA"/>
    <w:rsid w:val="604B2C00"/>
    <w:rsid w:val="604C0EF7"/>
    <w:rsid w:val="60531BBE"/>
    <w:rsid w:val="605A2653"/>
    <w:rsid w:val="605B16EF"/>
    <w:rsid w:val="606030AA"/>
    <w:rsid w:val="607029FA"/>
    <w:rsid w:val="60734ED1"/>
    <w:rsid w:val="60743486"/>
    <w:rsid w:val="60820079"/>
    <w:rsid w:val="60866FAA"/>
    <w:rsid w:val="608951D9"/>
    <w:rsid w:val="608A3E83"/>
    <w:rsid w:val="60911AB1"/>
    <w:rsid w:val="60914E6D"/>
    <w:rsid w:val="609D4A67"/>
    <w:rsid w:val="60A31E12"/>
    <w:rsid w:val="60AB53BD"/>
    <w:rsid w:val="60AE1332"/>
    <w:rsid w:val="60AF3E37"/>
    <w:rsid w:val="60AF5AEE"/>
    <w:rsid w:val="60B06382"/>
    <w:rsid w:val="60B238E8"/>
    <w:rsid w:val="60B810F7"/>
    <w:rsid w:val="60C56A58"/>
    <w:rsid w:val="60CB3E28"/>
    <w:rsid w:val="60CB62BD"/>
    <w:rsid w:val="60D05951"/>
    <w:rsid w:val="60D072CA"/>
    <w:rsid w:val="60E40FCB"/>
    <w:rsid w:val="60E727D0"/>
    <w:rsid w:val="60F431B6"/>
    <w:rsid w:val="60F57145"/>
    <w:rsid w:val="60F80E08"/>
    <w:rsid w:val="60F80F7E"/>
    <w:rsid w:val="61101393"/>
    <w:rsid w:val="6117277E"/>
    <w:rsid w:val="612105D5"/>
    <w:rsid w:val="613624C4"/>
    <w:rsid w:val="613B28D7"/>
    <w:rsid w:val="613C2142"/>
    <w:rsid w:val="61411BD9"/>
    <w:rsid w:val="6144456B"/>
    <w:rsid w:val="61520F1C"/>
    <w:rsid w:val="615858BA"/>
    <w:rsid w:val="615C2A71"/>
    <w:rsid w:val="61620211"/>
    <w:rsid w:val="616273AE"/>
    <w:rsid w:val="61647FDF"/>
    <w:rsid w:val="61651EDD"/>
    <w:rsid w:val="616D3F1F"/>
    <w:rsid w:val="616F7D6C"/>
    <w:rsid w:val="617B185C"/>
    <w:rsid w:val="6182718B"/>
    <w:rsid w:val="618B6600"/>
    <w:rsid w:val="618F3B50"/>
    <w:rsid w:val="619176D1"/>
    <w:rsid w:val="619B1D96"/>
    <w:rsid w:val="619E3328"/>
    <w:rsid w:val="61A84FD3"/>
    <w:rsid w:val="61AD6547"/>
    <w:rsid w:val="61B629E5"/>
    <w:rsid w:val="61BA64FF"/>
    <w:rsid w:val="61BE455F"/>
    <w:rsid w:val="61C16E98"/>
    <w:rsid w:val="61C80A51"/>
    <w:rsid w:val="61D67110"/>
    <w:rsid w:val="61D758C9"/>
    <w:rsid w:val="61E044C2"/>
    <w:rsid w:val="61E54BC6"/>
    <w:rsid w:val="61E61E86"/>
    <w:rsid w:val="61EF48CA"/>
    <w:rsid w:val="61F14599"/>
    <w:rsid w:val="61FA0D76"/>
    <w:rsid w:val="61FD12D7"/>
    <w:rsid w:val="6202633D"/>
    <w:rsid w:val="62067684"/>
    <w:rsid w:val="62071713"/>
    <w:rsid w:val="62072558"/>
    <w:rsid w:val="620956CC"/>
    <w:rsid w:val="620B0F65"/>
    <w:rsid w:val="620D48D5"/>
    <w:rsid w:val="62125C14"/>
    <w:rsid w:val="621C6FEF"/>
    <w:rsid w:val="621D383A"/>
    <w:rsid w:val="622802D4"/>
    <w:rsid w:val="622C1692"/>
    <w:rsid w:val="622C60B8"/>
    <w:rsid w:val="622F0784"/>
    <w:rsid w:val="62362DC2"/>
    <w:rsid w:val="62365A7B"/>
    <w:rsid w:val="623855AA"/>
    <w:rsid w:val="62421627"/>
    <w:rsid w:val="62422313"/>
    <w:rsid w:val="62434609"/>
    <w:rsid w:val="624779E5"/>
    <w:rsid w:val="62487455"/>
    <w:rsid w:val="624A7EEB"/>
    <w:rsid w:val="625A4EAE"/>
    <w:rsid w:val="625E13B5"/>
    <w:rsid w:val="62632E08"/>
    <w:rsid w:val="62690AB4"/>
    <w:rsid w:val="627358D5"/>
    <w:rsid w:val="6276629E"/>
    <w:rsid w:val="627F535F"/>
    <w:rsid w:val="62853302"/>
    <w:rsid w:val="6287237F"/>
    <w:rsid w:val="628841ED"/>
    <w:rsid w:val="62894017"/>
    <w:rsid w:val="628D497B"/>
    <w:rsid w:val="62915BF9"/>
    <w:rsid w:val="62935911"/>
    <w:rsid w:val="629A67D7"/>
    <w:rsid w:val="629B2D2F"/>
    <w:rsid w:val="629F4FFC"/>
    <w:rsid w:val="62A352A3"/>
    <w:rsid w:val="62AE35A5"/>
    <w:rsid w:val="62AF758F"/>
    <w:rsid w:val="62B47227"/>
    <w:rsid w:val="62B74707"/>
    <w:rsid w:val="62C4751A"/>
    <w:rsid w:val="62C50258"/>
    <w:rsid w:val="62C70051"/>
    <w:rsid w:val="62CC1A55"/>
    <w:rsid w:val="62D033D7"/>
    <w:rsid w:val="62D24E91"/>
    <w:rsid w:val="62D56E87"/>
    <w:rsid w:val="62D64631"/>
    <w:rsid w:val="62DB42A1"/>
    <w:rsid w:val="62DC7633"/>
    <w:rsid w:val="62E4189E"/>
    <w:rsid w:val="62F35A7A"/>
    <w:rsid w:val="62F771FD"/>
    <w:rsid w:val="6300533B"/>
    <w:rsid w:val="63005D3D"/>
    <w:rsid w:val="630F3E93"/>
    <w:rsid w:val="631779FB"/>
    <w:rsid w:val="63181EE7"/>
    <w:rsid w:val="631D0BDB"/>
    <w:rsid w:val="632150B7"/>
    <w:rsid w:val="63282367"/>
    <w:rsid w:val="63292FE2"/>
    <w:rsid w:val="63304B00"/>
    <w:rsid w:val="63400ABB"/>
    <w:rsid w:val="634250D9"/>
    <w:rsid w:val="63436FC8"/>
    <w:rsid w:val="634467FD"/>
    <w:rsid w:val="634B54BD"/>
    <w:rsid w:val="634B676D"/>
    <w:rsid w:val="634F4786"/>
    <w:rsid w:val="63641FE3"/>
    <w:rsid w:val="63654F5B"/>
    <w:rsid w:val="6365621B"/>
    <w:rsid w:val="63690152"/>
    <w:rsid w:val="636B401B"/>
    <w:rsid w:val="636C5ADF"/>
    <w:rsid w:val="636D5B47"/>
    <w:rsid w:val="637356EA"/>
    <w:rsid w:val="63743354"/>
    <w:rsid w:val="63751269"/>
    <w:rsid w:val="63774C12"/>
    <w:rsid w:val="63790EBC"/>
    <w:rsid w:val="637A1D49"/>
    <w:rsid w:val="637D4470"/>
    <w:rsid w:val="63827325"/>
    <w:rsid w:val="638A3FB7"/>
    <w:rsid w:val="639B3033"/>
    <w:rsid w:val="63AB6274"/>
    <w:rsid w:val="63B252AA"/>
    <w:rsid w:val="63B268A4"/>
    <w:rsid w:val="63B87846"/>
    <w:rsid w:val="63BF01CA"/>
    <w:rsid w:val="63C26F97"/>
    <w:rsid w:val="63C4349A"/>
    <w:rsid w:val="63C72DA4"/>
    <w:rsid w:val="63D346A3"/>
    <w:rsid w:val="63D81139"/>
    <w:rsid w:val="63DA30BD"/>
    <w:rsid w:val="63DE1E1F"/>
    <w:rsid w:val="63DF7591"/>
    <w:rsid w:val="63E0002E"/>
    <w:rsid w:val="63F21DB5"/>
    <w:rsid w:val="640658B3"/>
    <w:rsid w:val="64095351"/>
    <w:rsid w:val="640A7E6F"/>
    <w:rsid w:val="640D5592"/>
    <w:rsid w:val="640F111D"/>
    <w:rsid w:val="641070C0"/>
    <w:rsid w:val="6415471B"/>
    <w:rsid w:val="64184A94"/>
    <w:rsid w:val="641C62B2"/>
    <w:rsid w:val="641C6342"/>
    <w:rsid w:val="641D5D90"/>
    <w:rsid w:val="641F5063"/>
    <w:rsid w:val="64236444"/>
    <w:rsid w:val="642A4A6F"/>
    <w:rsid w:val="642A69E2"/>
    <w:rsid w:val="642E14F0"/>
    <w:rsid w:val="644106C9"/>
    <w:rsid w:val="64487864"/>
    <w:rsid w:val="6455416E"/>
    <w:rsid w:val="645A2BDF"/>
    <w:rsid w:val="645E38EF"/>
    <w:rsid w:val="645E43AA"/>
    <w:rsid w:val="64675F8C"/>
    <w:rsid w:val="646E05FB"/>
    <w:rsid w:val="647E2BEE"/>
    <w:rsid w:val="64821DEA"/>
    <w:rsid w:val="6484560E"/>
    <w:rsid w:val="648834FC"/>
    <w:rsid w:val="64933326"/>
    <w:rsid w:val="649A0BB7"/>
    <w:rsid w:val="649E604B"/>
    <w:rsid w:val="64A20B38"/>
    <w:rsid w:val="64A25691"/>
    <w:rsid w:val="64AB4EC5"/>
    <w:rsid w:val="64AF2F37"/>
    <w:rsid w:val="64B132E4"/>
    <w:rsid w:val="64B47BFE"/>
    <w:rsid w:val="64BF5725"/>
    <w:rsid w:val="64C202A5"/>
    <w:rsid w:val="64C644FC"/>
    <w:rsid w:val="64C8222E"/>
    <w:rsid w:val="64C82295"/>
    <w:rsid w:val="64CD091C"/>
    <w:rsid w:val="64D578D7"/>
    <w:rsid w:val="64D72494"/>
    <w:rsid w:val="64D76205"/>
    <w:rsid w:val="64D9683E"/>
    <w:rsid w:val="64E2648D"/>
    <w:rsid w:val="64E45FE6"/>
    <w:rsid w:val="64EA01BF"/>
    <w:rsid w:val="64EF2F60"/>
    <w:rsid w:val="64F6737C"/>
    <w:rsid w:val="64FF0C2E"/>
    <w:rsid w:val="65040FBB"/>
    <w:rsid w:val="650A6B91"/>
    <w:rsid w:val="650A7524"/>
    <w:rsid w:val="650C1046"/>
    <w:rsid w:val="650C3283"/>
    <w:rsid w:val="651133A9"/>
    <w:rsid w:val="65146114"/>
    <w:rsid w:val="65171C2C"/>
    <w:rsid w:val="651B2C2A"/>
    <w:rsid w:val="652428CB"/>
    <w:rsid w:val="652745C5"/>
    <w:rsid w:val="652930F2"/>
    <w:rsid w:val="65305B8D"/>
    <w:rsid w:val="653921B1"/>
    <w:rsid w:val="653C59A6"/>
    <w:rsid w:val="653E5583"/>
    <w:rsid w:val="653F64B5"/>
    <w:rsid w:val="65442CBA"/>
    <w:rsid w:val="65513C14"/>
    <w:rsid w:val="65584095"/>
    <w:rsid w:val="656514DA"/>
    <w:rsid w:val="656B62C3"/>
    <w:rsid w:val="65707C2C"/>
    <w:rsid w:val="6572029D"/>
    <w:rsid w:val="65741979"/>
    <w:rsid w:val="657C227E"/>
    <w:rsid w:val="657F2E63"/>
    <w:rsid w:val="65853AE9"/>
    <w:rsid w:val="658D62E6"/>
    <w:rsid w:val="659805C0"/>
    <w:rsid w:val="659A1697"/>
    <w:rsid w:val="65A5705B"/>
    <w:rsid w:val="65A87423"/>
    <w:rsid w:val="65AA4C86"/>
    <w:rsid w:val="65AD68DC"/>
    <w:rsid w:val="65B363DF"/>
    <w:rsid w:val="65B43AEC"/>
    <w:rsid w:val="65B512EC"/>
    <w:rsid w:val="65BB400B"/>
    <w:rsid w:val="65CE0C9E"/>
    <w:rsid w:val="65DB009A"/>
    <w:rsid w:val="65DD32BC"/>
    <w:rsid w:val="65E21CCA"/>
    <w:rsid w:val="65EC32E5"/>
    <w:rsid w:val="65F061C8"/>
    <w:rsid w:val="65F441B3"/>
    <w:rsid w:val="65F65B2A"/>
    <w:rsid w:val="65FD4589"/>
    <w:rsid w:val="65FF7A90"/>
    <w:rsid w:val="66003EE4"/>
    <w:rsid w:val="66070283"/>
    <w:rsid w:val="660B3E3D"/>
    <w:rsid w:val="660C6E9F"/>
    <w:rsid w:val="66191177"/>
    <w:rsid w:val="6619154B"/>
    <w:rsid w:val="66235F45"/>
    <w:rsid w:val="66255BFF"/>
    <w:rsid w:val="662639BA"/>
    <w:rsid w:val="662B77A0"/>
    <w:rsid w:val="662D46E2"/>
    <w:rsid w:val="662F01E1"/>
    <w:rsid w:val="6630148C"/>
    <w:rsid w:val="663A30CA"/>
    <w:rsid w:val="66415276"/>
    <w:rsid w:val="66447EBD"/>
    <w:rsid w:val="66475647"/>
    <w:rsid w:val="664775F0"/>
    <w:rsid w:val="664B6F71"/>
    <w:rsid w:val="664E23DC"/>
    <w:rsid w:val="664F3D0B"/>
    <w:rsid w:val="66513686"/>
    <w:rsid w:val="6652062B"/>
    <w:rsid w:val="665C1474"/>
    <w:rsid w:val="66615364"/>
    <w:rsid w:val="6672275A"/>
    <w:rsid w:val="66731E80"/>
    <w:rsid w:val="66831332"/>
    <w:rsid w:val="66860FFF"/>
    <w:rsid w:val="668F2D4B"/>
    <w:rsid w:val="6697363C"/>
    <w:rsid w:val="66BE5742"/>
    <w:rsid w:val="66C043ED"/>
    <w:rsid w:val="66D13795"/>
    <w:rsid w:val="66D7487B"/>
    <w:rsid w:val="66E5153A"/>
    <w:rsid w:val="66E6069B"/>
    <w:rsid w:val="66E71872"/>
    <w:rsid w:val="66F2311B"/>
    <w:rsid w:val="66F66888"/>
    <w:rsid w:val="66F727EF"/>
    <w:rsid w:val="66F77E3C"/>
    <w:rsid w:val="66F8124E"/>
    <w:rsid w:val="66FD3534"/>
    <w:rsid w:val="66FF280D"/>
    <w:rsid w:val="66FF5A8F"/>
    <w:rsid w:val="670D6659"/>
    <w:rsid w:val="67127B32"/>
    <w:rsid w:val="671538D2"/>
    <w:rsid w:val="671A2E3A"/>
    <w:rsid w:val="671B753A"/>
    <w:rsid w:val="672226B7"/>
    <w:rsid w:val="6724186C"/>
    <w:rsid w:val="67267330"/>
    <w:rsid w:val="672D4731"/>
    <w:rsid w:val="673858C6"/>
    <w:rsid w:val="67391B54"/>
    <w:rsid w:val="674566A0"/>
    <w:rsid w:val="67486190"/>
    <w:rsid w:val="674C7A41"/>
    <w:rsid w:val="674E7649"/>
    <w:rsid w:val="67550FD9"/>
    <w:rsid w:val="6755619C"/>
    <w:rsid w:val="67566AFF"/>
    <w:rsid w:val="675B102C"/>
    <w:rsid w:val="675B7579"/>
    <w:rsid w:val="675D55A7"/>
    <w:rsid w:val="675F2192"/>
    <w:rsid w:val="676845C8"/>
    <w:rsid w:val="676B1118"/>
    <w:rsid w:val="676B22CD"/>
    <w:rsid w:val="67746652"/>
    <w:rsid w:val="677B3668"/>
    <w:rsid w:val="677C15A0"/>
    <w:rsid w:val="677F65D8"/>
    <w:rsid w:val="67802EFA"/>
    <w:rsid w:val="678802ED"/>
    <w:rsid w:val="6789190A"/>
    <w:rsid w:val="67961046"/>
    <w:rsid w:val="679715F1"/>
    <w:rsid w:val="67980139"/>
    <w:rsid w:val="679876DF"/>
    <w:rsid w:val="679B2F2F"/>
    <w:rsid w:val="67A23989"/>
    <w:rsid w:val="67A74E48"/>
    <w:rsid w:val="67C81DF7"/>
    <w:rsid w:val="67CA36CD"/>
    <w:rsid w:val="67CB5AE3"/>
    <w:rsid w:val="67CB7E43"/>
    <w:rsid w:val="67D01EEE"/>
    <w:rsid w:val="67D05F56"/>
    <w:rsid w:val="67D11F53"/>
    <w:rsid w:val="67D15C7A"/>
    <w:rsid w:val="67DF56A4"/>
    <w:rsid w:val="67E01BA5"/>
    <w:rsid w:val="67E03808"/>
    <w:rsid w:val="67E97759"/>
    <w:rsid w:val="67EB0B9E"/>
    <w:rsid w:val="68006EC8"/>
    <w:rsid w:val="680622D3"/>
    <w:rsid w:val="68092E60"/>
    <w:rsid w:val="68094711"/>
    <w:rsid w:val="680D3662"/>
    <w:rsid w:val="681346F9"/>
    <w:rsid w:val="68160DEC"/>
    <w:rsid w:val="681E61CA"/>
    <w:rsid w:val="68266375"/>
    <w:rsid w:val="68295146"/>
    <w:rsid w:val="682B0D20"/>
    <w:rsid w:val="6836153B"/>
    <w:rsid w:val="683A21CA"/>
    <w:rsid w:val="683E1810"/>
    <w:rsid w:val="683E47B8"/>
    <w:rsid w:val="683F7AD2"/>
    <w:rsid w:val="684177A5"/>
    <w:rsid w:val="68420858"/>
    <w:rsid w:val="684B55E1"/>
    <w:rsid w:val="6850056F"/>
    <w:rsid w:val="685112E9"/>
    <w:rsid w:val="68514113"/>
    <w:rsid w:val="685A5826"/>
    <w:rsid w:val="685F0A3E"/>
    <w:rsid w:val="68607763"/>
    <w:rsid w:val="686C4C12"/>
    <w:rsid w:val="686F092D"/>
    <w:rsid w:val="68721717"/>
    <w:rsid w:val="6874626F"/>
    <w:rsid w:val="68794E8B"/>
    <w:rsid w:val="687B1AA8"/>
    <w:rsid w:val="687E455F"/>
    <w:rsid w:val="687F00C0"/>
    <w:rsid w:val="6890596A"/>
    <w:rsid w:val="68941AA2"/>
    <w:rsid w:val="689533A1"/>
    <w:rsid w:val="6895507A"/>
    <w:rsid w:val="68965998"/>
    <w:rsid w:val="689D2BEF"/>
    <w:rsid w:val="689D5338"/>
    <w:rsid w:val="689D72A4"/>
    <w:rsid w:val="689F675E"/>
    <w:rsid w:val="68A20A77"/>
    <w:rsid w:val="68CD0A14"/>
    <w:rsid w:val="68D3413B"/>
    <w:rsid w:val="68D75378"/>
    <w:rsid w:val="68EA3C2B"/>
    <w:rsid w:val="68FD6E33"/>
    <w:rsid w:val="6903697B"/>
    <w:rsid w:val="691B586A"/>
    <w:rsid w:val="691E41B2"/>
    <w:rsid w:val="692059A9"/>
    <w:rsid w:val="692B6129"/>
    <w:rsid w:val="692C3FBB"/>
    <w:rsid w:val="692F6AA9"/>
    <w:rsid w:val="692F7A4C"/>
    <w:rsid w:val="69332C99"/>
    <w:rsid w:val="69341180"/>
    <w:rsid w:val="6934737D"/>
    <w:rsid w:val="693518FB"/>
    <w:rsid w:val="693C7BB9"/>
    <w:rsid w:val="693F7551"/>
    <w:rsid w:val="69465531"/>
    <w:rsid w:val="6947220C"/>
    <w:rsid w:val="69560380"/>
    <w:rsid w:val="695738BD"/>
    <w:rsid w:val="695D7D9C"/>
    <w:rsid w:val="696372B1"/>
    <w:rsid w:val="69732288"/>
    <w:rsid w:val="697E134C"/>
    <w:rsid w:val="6988602B"/>
    <w:rsid w:val="69961435"/>
    <w:rsid w:val="69A52143"/>
    <w:rsid w:val="69A970C9"/>
    <w:rsid w:val="69AE49D0"/>
    <w:rsid w:val="69B4541D"/>
    <w:rsid w:val="69BA0787"/>
    <w:rsid w:val="69C4397C"/>
    <w:rsid w:val="69CB3757"/>
    <w:rsid w:val="69CF221A"/>
    <w:rsid w:val="69CF257E"/>
    <w:rsid w:val="69D71C14"/>
    <w:rsid w:val="69D96B71"/>
    <w:rsid w:val="69E11ACF"/>
    <w:rsid w:val="69E74168"/>
    <w:rsid w:val="69E90419"/>
    <w:rsid w:val="69E95A08"/>
    <w:rsid w:val="69ED4E05"/>
    <w:rsid w:val="69FD3A97"/>
    <w:rsid w:val="6A034FCE"/>
    <w:rsid w:val="6A07144C"/>
    <w:rsid w:val="6A091FB8"/>
    <w:rsid w:val="6A0C65D5"/>
    <w:rsid w:val="6A0E7AE3"/>
    <w:rsid w:val="6A171A02"/>
    <w:rsid w:val="6A1908E3"/>
    <w:rsid w:val="6A1D1985"/>
    <w:rsid w:val="6A1E0C4C"/>
    <w:rsid w:val="6A204426"/>
    <w:rsid w:val="6A2076C3"/>
    <w:rsid w:val="6A240F66"/>
    <w:rsid w:val="6A2E6EC5"/>
    <w:rsid w:val="6A301889"/>
    <w:rsid w:val="6A3047AA"/>
    <w:rsid w:val="6A381952"/>
    <w:rsid w:val="6A420882"/>
    <w:rsid w:val="6A436049"/>
    <w:rsid w:val="6A4A6A21"/>
    <w:rsid w:val="6A4E1D0F"/>
    <w:rsid w:val="6A4E7B99"/>
    <w:rsid w:val="6A525926"/>
    <w:rsid w:val="6A5273D1"/>
    <w:rsid w:val="6A543885"/>
    <w:rsid w:val="6A57091D"/>
    <w:rsid w:val="6A6910C1"/>
    <w:rsid w:val="6A6C488E"/>
    <w:rsid w:val="6A7171D7"/>
    <w:rsid w:val="6A750AE2"/>
    <w:rsid w:val="6A782BBF"/>
    <w:rsid w:val="6A803564"/>
    <w:rsid w:val="6A88614A"/>
    <w:rsid w:val="6A8A5C7F"/>
    <w:rsid w:val="6A8D7B0B"/>
    <w:rsid w:val="6A8F16D0"/>
    <w:rsid w:val="6A903F85"/>
    <w:rsid w:val="6A9040D6"/>
    <w:rsid w:val="6A9C0CCD"/>
    <w:rsid w:val="6A9D776B"/>
    <w:rsid w:val="6A9F22CE"/>
    <w:rsid w:val="6AAD3DCE"/>
    <w:rsid w:val="6ABC585C"/>
    <w:rsid w:val="6ABD0EED"/>
    <w:rsid w:val="6AC133C0"/>
    <w:rsid w:val="6AC974D8"/>
    <w:rsid w:val="6ACF3D34"/>
    <w:rsid w:val="6AD22940"/>
    <w:rsid w:val="6AD42215"/>
    <w:rsid w:val="6AD77D3B"/>
    <w:rsid w:val="6AD85FE7"/>
    <w:rsid w:val="6AD87AE0"/>
    <w:rsid w:val="6AD93742"/>
    <w:rsid w:val="6ADC1785"/>
    <w:rsid w:val="6AE438FD"/>
    <w:rsid w:val="6AE875B9"/>
    <w:rsid w:val="6AEB7E41"/>
    <w:rsid w:val="6AED195F"/>
    <w:rsid w:val="6AEE0ED6"/>
    <w:rsid w:val="6AEE38D8"/>
    <w:rsid w:val="6AF200A6"/>
    <w:rsid w:val="6AF512F4"/>
    <w:rsid w:val="6AF9600E"/>
    <w:rsid w:val="6AFB68EC"/>
    <w:rsid w:val="6AFD51CF"/>
    <w:rsid w:val="6AFD5828"/>
    <w:rsid w:val="6B0C4EA8"/>
    <w:rsid w:val="6B1A4248"/>
    <w:rsid w:val="6B1C06F6"/>
    <w:rsid w:val="6B1E7C2F"/>
    <w:rsid w:val="6B2F380D"/>
    <w:rsid w:val="6B370BDA"/>
    <w:rsid w:val="6B3727A3"/>
    <w:rsid w:val="6B451619"/>
    <w:rsid w:val="6B4F2441"/>
    <w:rsid w:val="6B5837AB"/>
    <w:rsid w:val="6B6429DD"/>
    <w:rsid w:val="6B661536"/>
    <w:rsid w:val="6B6712DB"/>
    <w:rsid w:val="6B673E74"/>
    <w:rsid w:val="6B6B4D0D"/>
    <w:rsid w:val="6B6C6E76"/>
    <w:rsid w:val="6B743A82"/>
    <w:rsid w:val="6B7F1B93"/>
    <w:rsid w:val="6B8D46FD"/>
    <w:rsid w:val="6B8E7A00"/>
    <w:rsid w:val="6B926010"/>
    <w:rsid w:val="6B931943"/>
    <w:rsid w:val="6B970D25"/>
    <w:rsid w:val="6B9C6539"/>
    <w:rsid w:val="6B9F6E02"/>
    <w:rsid w:val="6BA31BB1"/>
    <w:rsid w:val="6BA5131C"/>
    <w:rsid w:val="6BAA7061"/>
    <w:rsid w:val="6BAB3E9A"/>
    <w:rsid w:val="6BBA1542"/>
    <w:rsid w:val="6BBD6A19"/>
    <w:rsid w:val="6BD3388E"/>
    <w:rsid w:val="6BD565AB"/>
    <w:rsid w:val="6BE52720"/>
    <w:rsid w:val="6BF94813"/>
    <w:rsid w:val="6C060AF4"/>
    <w:rsid w:val="6C243696"/>
    <w:rsid w:val="6C3111D6"/>
    <w:rsid w:val="6C312507"/>
    <w:rsid w:val="6C3702A4"/>
    <w:rsid w:val="6C394FC3"/>
    <w:rsid w:val="6C3D0992"/>
    <w:rsid w:val="6C441988"/>
    <w:rsid w:val="6C467A32"/>
    <w:rsid w:val="6C481D33"/>
    <w:rsid w:val="6C492842"/>
    <w:rsid w:val="6C4A6009"/>
    <w:rsid w:val="6C4F21FC"/>
    <w:rsid w:val="6C570557"/>
    <w:rsid w:val="6C5E0427"/>
    <w:rsid w:val="6C6B36F7"/>
    <w:rsid w:val="6C735652"/>
    <w:rsid w:val="6C7F5660"/>
    <w:rsid w:val="6C851344"/>
    <w:rsid w:val="6C857B97"/>
    <w:rsid w:val="6C891D4F"/>
    <w:rsid w:val="6C8A2C02"/>
    <w:rsid w:val="6C946FD5"/>
    <w:rsid w:val="6C976618"/>
    <w:rsid w:val="6CA21418"/>
    <w:rsid w:val="6CA21B6A"/>
    <w:rsid w:val="6CAF490C"/>
    <w:rsid w:val="6CBD2908"/>
    <w:rsid w:val="6CBF6EF4"/>
    <w:rsid w:val="6CC9331B"/>
    <w:rsid w:val="6CCF0AD1"/>
    <w:rsid w:val="6CD401EC"/>
    <w:rsid w:val="6CD41070"/>
    <w:rsid w:val="6CE9267E"/>
    <w:rsid w:val="6CED230E"/>
    <w:rsid w:val="6CED2B28"/>
    <w:rsid w:val="6CF03AEE"/>
    <w:rsid w:val="6CF2784B"/>
    <w:rsid w:val="6CF91D8C"/>
    <w:rsid w:val="6D036DE1"/>
    <w:rsid w:val="6D051620"/>
    <w:rsid w:val="6D075075"/>
    <w:rsid w:val="6D08270F"/>
    <w:rsid w:val="6D1652A1"/>
    <w:rsid w:val="6D1A0DA5"/>
    <w:rsid w:val="6D1E6510"/>
    <w:rsid w:val="6D25364D"/>
    <w:rsid w:val="6D263F32"/>
    <w:rsid w:val="6D286F2B"/>
    <w:rsid w:val="6D2A4F0D"/>
    <w:rsid w:val="6D2C31D6"/>
    <w:rsid w:val="6D3276C6"/>
    <w:rsid w:val="6D330529"/>
    <w:rsid w:val="6D3C511D"/>
    <w:rsid w:val="6D3F766C"/>
    <w:rsid w:val="6D5652DD"/>
    <w:rsid w:val="6D567859"/>
    <w:rsid w:val="6D5768B7"/>
    <w:rsid w:val="6D5A3393"/>
    <w:rsid w:val="6D6252B5"/>
    <w:rsid w:val="6D683D05"/>
    <w:rsid w:val="6D693D28"/>
    <w:rsid w:val="6D6A2C2F"/>
    <w:rsid w:val="6D6B5B7D"/>
    <w:rsid w:val="6D73721A"/>
    <w:rsid w:val="6D7C77B7"/>
    <w:rsid w:val="6D7E02BC"/>
    <w:rsid w:val="6D8E4518"/>
    <w:rsid w:val="6D951ED6"/>
    <w:rsid w:val="6D9B1CAE"/>
    <w:rsid w:val="6D9C1DBC"/>
    <w:rsid w:val="6DA27507"/>
    <w:rsid w:val="6DB207D0"/>
    <w:rsid w:val="6DB30B07"/>
    <w:rsid w:val="6DBC5712"/>
    <w:rsid w:val="6DBE64B8"/>
    <w:rsid w:val="6DCC6136"/>
    <w:rsid w:val="6DD8502D"/>
    <w:rsid w:val="6DDC381E"/>
    <w:rsid w:val="6DE005A7"/>
    <w:rsid w:val="6DE24784"/>
    <w:rsid w:val="6DE32556"/>
    <w:rsid w:val="6DE42232"/>
    <w:rsid w:val="6DE45ECC"/>
    <w:rsid w:val="6DE9770C"/>
    <w:rsid w:val="6E0018F5"/>
    <w:rsid w:val="6E115DE8"/>
    <w:rsid w:val="6E142D35"/>
    <w:rsid w:val="6E151D5A"/>
    <w:rsid w:val="6E171279"/>
    <w:rsid w:val="6E1C009D"/>
    <w:rsid w:val="6E1F4036"/>
    <w:rsid w:val="6E2128BE"/>
    <w:rsid w:val="6E2214E9"/>
    <w:rsid w:val="6E246E46"/>
    <w:rsid w:val="6E297B9D"/>
    <w:rsid w:val="6E2D4923"/>
    <w:rsid w:val="6E2F1C57"/>
    <w:rsid w:val="6E3418C4"/>
    <w:rsid w:val="6E401094"/>
    <w:rsid w:val="6E533829"/>
    <w:rsid w:val="6E5D013A"/>
    <w:rsid w:val="6E605C81"/>
    <w:rsid w:val="6E614566"/>
    <w:rsid w:val="6E712C93"/>
    <w:rsid w:val="6E7B658E"/>
    <w:rsid w:val="6E7E0654"/>
    <w:rsid w:val="6E855289"/>
    <w:rsid w:val="6E8E2CF2"/>
    <w:rsid w:val="6E94767F"/>
    <w:rsid w:val="6E991824"/>
    <w:rsid w:val="6E9947B3"/>
    <w:rsid w:val="6E9A775F"/>
    <w:rsid w:val="6E9E3FA6"/>
    <w:rsid w:val="6E9F03D8"/>
    <w:rsid w:val="6EBA6E02"/>
    <w:rsid w:val="6EBF45C8"/>
    <w:rsid w:val="6EC06586"/>
    <w:rsid w:val="6ED042F3"/>
    <w:rsid w:val="6EE3488B"/>
    <w:rsid w:val="6EEA2389"/>
    <w:rsid w:val="6EED1AF7"/>
    <w:rsid w:val="6EF1606D"/>
    <w:rsid w:val="6EF71452"/>
    <w:rsid w:val="6EF86CF7"/>
    <w:rsid w:val="6EFB1A58"/>
    <w:rsid w:val="6F036E5D"/>
    <w:rsid w:val="6F050BC0"/>
    <w:rsid w:val="6F097FDF"/>
    <w:rsid w:val="6F0D1CD6"/>
    <w:rsid w:val="6F0F4C4D"/>
    <w:rsid w:val="6F1E5468"/>
    <w:rsid w:val="6F1E7E69"/>
    <w:rsid w:val="6F2868C8"/>
    <w:rsid w:val="6F286956"/>
    <w:rsid w:val="6F293789"/>
    <w:rsid w:val="6F2B0496"/>
    <w:rsid w:val="6F2C5348"/>
    <w:rsid w:val="6F2F090E"/>
    <w:rsid w:val="6F3040D9"/>
    <w:rsid w:val="6F324291"/>
    <w:rsid w:val="6F422133"/>
    <w:rsid w:val="6F4656AB"/>
    <w:rsid w:val="6F4B5ADC"/>
    <w:rsid w:val="6F4E724F"/>
    <w:rsid w:val="6F5615D5"/>
    <w:rsid w:val="6F5942E0"/>
    <w:rsid w:val="6F5F2937"/>
    <w:rsid w:val="6F647E89"/>
    <w:rsid w:val="6F6B7A4C"/>
    <w:rsid w:val="6F6E46E3"/>
    <w:rsid w:val="6F790AE6"/>
    <w:rsid w:val="6F7A7548"/>
    <w:rsid w:val="6F882B72"/>
    <w:rsid w:val="6F8A1A3C"/>
    <w:rsid w:val="6F8F4E86"/>
    <w:rsid w:val="6FA678E5"/>
    <w:rsid w:val="6FAD352F"/>
    <w:rsid w:val="6FB63D4C"/>
    <w:rsid w:val="6FB64E3E"/>
    <w:rsid w:val="6FBD0418"/>
    <w:rsid w:val="6FC048BC"/>
    <w:rsid w:val="6FC24013"/>
    <w:rsid w:val="6FC70A73"/>
    <w:rsid w:val="6FCA1E38"/>
    <w:rsid w:val="6FCB24DF"/>
    <w:rsid w:val="6FD5651B"/>
    <w:rsid w:val="6FD6416F"/>
    <w:rsid w:val="6FD66065"/>
    <w:rsid w:val="6FD67575"/>
    <w:rsid w:val="6FD7411F"/>
    <w:rsid w:val="6FDD4897"/>
    <w:rsid w:val="6FE0340A"/>
    <w:rsid w:val="6FEA1419"/>
    <w:rsid w:val="6FEF0689"/>
    <w:rsid w:val="6FFD46A9"/>
    <w:rsid w:val="700370F8"/>
    <w:rsid w:val="70041191"/>
    <w:rsid w:val="70055A2E"/>
    <w:rsid w:val="70094861"/>
    <w:rsid w:val="70116EF3"/>
    <w:rsid w:val="701A5543"/>
    <w:rsid w:val="701D5921"/>
    <w:rsid w:val="70271646"/>
    <w:rsid w:val="702A3801"/>
    <w:rsid w:val="70445721"/>
    <w:rsid w:val="7045295A"/>
    <w:rsid w:val="704B2550"/>
    <w:rsid w:val="70532079"/>
    <w:rsid w:val="705423B6"/>
    <w:rsid w:val="705D0EFE"/>
    <w:rsid w:val="706F76FE"/>
    <w:rsid w:val="707137F1"/>
    <w:rsid w:val="70732A2D"/>
    <w:rsid w:val="70766CF4"/>
    <w:rsid w:val="70803921"/>
    <w:rsid w:val="708244C1"/>
    <w:rsid w:val="70881160"/>
    <w:rsid w:val="708C17E3"/>
    <w:rsid w:val="708D466D"/>
    <w:rsid w:val="70904285"/>
    <w:rsid w:val="7096018B"/>
    <w:rsid w:val="7098290A"/>
    <w:rsid w:val="70983EB2"/>
    <w:rsid w:val="709D2060"/>
    <w:rsid w:val="70AA0F73"/>
    <w:rsid w:val="70AB4A96"/>
    <w:rsid w:val="70AC7790"/>
    <w:rsid w:val="70B84826"/>
    <w:rsid w:val="70BC2A8C"/>
    <w:rsid w:val="70BF74C3"/>
    <w:rsid w:val="70C25F11"/>
    <w:rsid w:val="70C75C1B"/>
    <w:rsid w:val="70C908D5"/>
    <w:rsid w:val="70CB4C66"/>
    <w:rsid w:val="70D07E34"/>
    <w:rsid w:val="70D1066A"/>
    <w:rsid w:val="70D14DB1"/>
    <w:rsid w:val="70D930A0"/>
    <w:rsid w:val="70DE2209"/>
    <w:rsid w:val="70E06E29"/>
    <w:rsid w:val="70EB1281"/>
    <w:rsid w:val="70EB650A"/>
    <w:rsid w:val="70EC5AB1"/>
    <w:rsid w:val="70F0560F"/>
    <w:rsid w:val="70F72A90"/>
    <w:rsid w:val="70F73101"/>
    <w:rsid w:val="70F93503"/>
    <w:rsid w:val="71073280"/>
    <w:rsid w:val="71092F0B"/>
    <w:rsid w:val="710A564E"/>
    <w:rsid w:val="711C3351"/>
    <w:rsid w:val="711F364D"/>
    <w:rsid w:val="71276BFD"/>
    <w:rsid w:val="712C665B"/>
    <w:rsid w:val="71357785"/>
    <w:rsid w:val="71361540"/>
    <w:rsid w:val="71395348"/>
    <w:rsid w:val="713A6130"/>
    <w:rsid w:val="713E37CA"/>
    <w:rsid w:val="71415607"/>
    <w:rsid w:val="71480353"/>
    <w:rsid w:val="71497D42"/>
    <w:rsid w:val="714E0C12"/>
    <w:rsid w:val="71533507"/>
    <w:rsid w:val="715642FE"/>
    <w:rsid w:val="716B53BA"/>
    <w:rsid w:val="716C7460"/>
    <w:rsid w:val="71754026"/>
    <w:rsid w:val="717F4CA6"/>
    <w:rsid w:val="71811901"/>
    <w:rsid w:val="71815A56"/>
    <w:rsid w:val="718657BA"/>
    <w:rsid w:val="718A2D0C"/>
    <w:rsid w:val="718C51B4"/>
    <w:rsid w:val="71902C0D"/>
    <w:rsid w:val="71914168"/>
    <w:rsid w:val="71940B11"/>
    <w:rsid w:val="719426FE"/>
    <w:rsid w:val="71AD4DCE"/>
    <w:rsid w:val="71B608C6"/>
    <w:rsid w:val="71B61B68"/>
    <w:rsid w:val="71BC7B23"/>
    <w:rsid w:val="71C52870"/>
    <w:rsid w:val="71CA2F8E"/>
    <w:rsid w:val="71CB1C7C"/>
    <w:rsid w:val="71D04246"/>
    <w:rsid w:val="71D747B4"/>
    <w:rsid w:val="71D93505"/>
    <w:rsid w:val="71E70440"/>
    <w:rsid w:val="7201728A"/>
    <w:rsid w:val="720965F3"/>
    <w:rsid w:val="72155B21"/>
    <w:rsid w:val="721D249D"/>
    <w:rsid w:val="72203D1C"/>
    <w:rsid w:val="722B2C07"/>
    <w:rsid w:val="722C2793"/>
    <w:rsid w:val="72342D06"/>
    <w:rsid w:val="72362B15"/>
    <w:rsid w:val="72394BFF"/>
    <w:rsid w:val="723A1D4B"/>
    <w:rsid w:val="723C28FC"/>
    <w:rsid w:val="723F0DBE"/>
    <w:rsid w:val="723F67BB"/>
    <w:rsid w:val="7245554A"/>
    <w:rsid w:val="72556D83"/>
    <w:rsid w:val="725839D3"/>
    <w:rsid w:val="72621A7F"/>
    <w:rsid w:val="726D6CAB"/>
    <w:rsid w:val="72700DF5"/>
    <w:rsid w:val="72705CB2"/>
    <w:rsid w:val="72711126"/>
    <w:rsid w:val="72732F9F"/>
    <w:rsid w:val="727A7C8D"/>
    <w:rsid w:val="727B1F2D"/>
    <w:rsid w:val="727B319C"/>
    <w:rsid w:val="727B6157"/>
    <w:rsid w:val="72811CEE"/>
    <w:rsid w:val="728E59A3"/>
    <w:rsid w:val="72945A53"/>
    <w:rsid w:val="72A74BD1"/>
    <w:rsid w:val="72B047B2"/>
    <w:rsid w:val="72C12C56"/>
    <w:rsid w:val="72C31B2D"/>
    <w:rsid w:val="72C60B6F"/>
    <w:rsid w:val="72C8493B"/>
    <w:rsid w:val="72CB2CD0"/>
    <w:rsid w:val="72CD144E"/>
    <w:rsid w:val="72D57966"/>
    <w:rsid w:val="72DD01BE"/>
    <w:rsid w:val="72DD1BDE"/>
    <w:rsid w:val="72E316E7"/>
    <w:rsid w:val="72E44DF3"/>
    <w:rsid w:val="72F73362"/>
    <w:rsid w:val="72FA752B"/>
    <w:rsid w:val="72FD6392"/>
    <w:rsid w:val="73155AC0"/>
    <w:rsid w:val="731A4C2B"/>
    <w:rsid w:val="73213812"/>
    <w:rsid w:val="732B1540"/>
    <w:rsid w:val="732B4BA6"/>
    <w:rsid w:val="732F34C5"/>
    <w:rsid w:val="73311416"/>
    <w:rsid w:val="733C60FD"/>
    <w:rsid w:val="7348540A"/>
    <w:rsid w:val="73495B32"/>
    <w:rsid w:val="734B54A4"/>
    <w:rsid w:val="735203F8"/>
    <w:rsid w:val="73552A46"/>
    <w:rsid w:val="735A3627"/>
    <w:rsid w:val="7364132F"/>
    <w:rsid w:val="73666F58"/>
    <w:rsid w:val="736953A2"/>
    <w:rsid w:val="736B56E0"/>
    <w:rsid w:val="73892637"/>
    <w:rsid w:val="738D49B5"/>
    <w:rsid w:val="738E14FD"/>
    <w:rsid w:val="73A527A7"/>
    <w:rsid w:val="73A6581B"/>
    <w:rsid w:val="73AE1BE5"/>
    <w:rsid w:val="73AF37DA"/>
    <w:rsid w:val="73B344B6"/>
    <w:rsid w:val="73BD1EB7"/>
    <w:rsid w:val="73C80D84"/>
    <w:rsid w:val="73CB1409"/>
    <w:rsid w:val="73CE790A"/>
    <w:rsid w:val="73D23222"/>
    <w:rsid w:val="73E003D1"/>
    <w:rsid w:val="73E23B6D"/>
    <w:rsid w:val="73E55492"/>
    <w:rsid w:val="73FB375D"/>
    <w:rsid w:val="740272D5"/>
    <w:rsid w:val="7406560F"/>
    <w:rsid w:val="740B3EAE"/>
    <w:rsid w:val="740C0D95"/>
    <w:rsid w:val="740D0733"/>
    <w:rsid w:val="740E228F"/>
    <w:rsid w:val="740E7F30"/>
    <w:rsid w:val="7416564C"/>
    <w:rsid w:val="741C0D36"/>
    <w:rsid w:val="741C619B"/>
    <w:rsid w:val="74221EBD"/>
    <w:rsid w:val="74295BD7"/>
    <w:rsid w:val="743562A5"/>
    <w:rsid w:val="7437463E"/>
    <w:rsid w:val="744B103D"/>
    <w:rsid w:val="74552352"/>
    <w:rsid w:val="745B0F15"/>
    <w:rsid w:val="74632A5E"/>
    <w:rsid w:val="746A283D"/>
    <w:rsid w:val="746E7D68"/>
    <w:rsid w:val="7470586B"/>
    <w:rsid w:val="7478139A"/>
    <w:rsid w:val="748162CE"/>
    <w:rsid w:val="748202F8"/>
    <w:rsid w:val="74827185"/>
    <w:rsid w:val="74834279"/>
    <w:rsid w:val="74877914"/>
    <w:rsid w:val="749642FF"/>
    <w:rsid w:val="749811BB"/>
    <w:rsid w:val="749D12D3"/>
    <w:rsid w:val="749D23FA"/>
    <w:rsid w:val="74B530B7"/>
    <w:rsid w:val="74BC310B"/>
    <w:rsid w:val="74BC781F"/>
    <w:rsid w:val="74BF4B59"/>
    <w:rsid w:val="74C65346"/>
    <w:rsid w:val="74D0590E"/>
    <w:rsid w:val="74D97635"/>
    <w:rsid w:val="74E10411"/>
    <w:rsid w:val="74E97B45"/>
    <w:rsid w:val="74EF2AE7"/>
    <w:rsid w:val="74F016BD"/>
    <w:rsid w:val="75066890"/>
    <w:rsid w:val="75091655"/>
    <w:rsid w:val="750E2891"/>
    <w:rsid w:val="750F1CF5"/>
    <w:rsid w:val="752000AC"/>
    <w:rsid w:val="75220300"/>
    <w:rsid w:val="752539F4"/>
    <w:rsid w:val="752C6330"/>
    <w:rsid w:val="752E727F"/>
    <w:rsid w:val="75337796"/>
    <w:rsid w:val="75381CB1"/>
    <w:rsid w:val="753C6ECE"/>
    <w:rsid w:val="754108DA"/>
    <w:rsid w:val="75453D02"/>
    <w:rsid w:val="754629E6"/>
    <w:rsid w:val="754A0877"/>
    <w:rsid w:val="75521659"/>
    <w:rsid w:val="75533FDA"/>
    <w:rsid w:val="75581C24"/>
    <w:rsid w:val="755C3532"/>
    <w:rsid w:val="756B7033"/>
    <w:rsid w:val="756C0ECD"/>
    <w:rsid w:val="75737679"/>
    <w:rsid w:val="757728D2"/>
    <w:rsid w:val="758634D2"/>
    <w:rsid w:val="758E2AA6"/>
    <w:rsid w:val="759115EC"/>
    <w:rsid w:val="75913ABF"/>
    <w:rsid w:val="759F3282"/>
    <w:rsid w:val="75A212FA"/>
    <w:rsid w:val="75A46D13"/>
    <w:rsid w:val="75A7723F"/>
    <w:rsid w:val="75AB1E72"/>
    <w:rsid w:val="75B60ECF"/>
    <w:rsid w:val="75B64F3F"/>
    <w:rsid w:val="75B908EE"/>
    <w:rsid w:val="75C87B64"/>
    <w:rsid w:val="75CA2C48"/>
    <w:rsid w:val="75D106D7"/>
    <w:rsid w:val="75D66DBB"/>
    <w:rsid w:val="75D831F0"/>
    <w:rsid w:val="75E1615B"/>
    <w:rsid w:val="75F2380A"/>
    <w:rsid w:val="75FE283B"/>
    <w:rsid w:val="760923D7"/>
    <w:rsid w:val="760D5CD0"/>
    <w:rsid w:val="761806BD"/>
    <w:rsid w:val="762251EF"/>
    <w:rsid w:val="76227E09"/>
    <w:rsid w:val="76276092"/>
    <w:rsid w:val="76295220"/>
    <w:rsid w:val="762A60A0"/>
    <w:rsid w:val="762A6A1E"/>
    <w:rsid w:val="762D0EFC"/>
    <w:rsid w:val="7634605A"/>
    <w:rsid w:val="76436971"/>
    <w:rsid w:val="76492863"/>
    <w:rsid w:val="764A3ADC"/>
    <w:rsid w:val="764D2D48"/>
    <w:rsid w:val="7652295A"/>
    <w:rsid w:val="765859FE"/>
    <w:rsid w:val="76591F00"/>
    <w:rsid w:val="765B28D5"/>
    <w:rsid w:val="765C6931"/>
    <w:rsid w:val="76621D63"/>
    <w:rsid w:val="76641FF3"/>
    <w:rsid w:val="766C76F7"/>
    <w:rsid w:val="76734F12"/>
    <w:rsid w:val="76760B78"/>
    <w:rsid w:val="767D1A60"/>
    <w:rsid w:val="76834910"/>
    <w:rsid w:val="76854545"/>
    <w:rsid w:val="768F064E"/>
    <w:rsid w:val="769E62A4"/>
    <w:rsid w:val="76A62318"/>
    <w:rsid w:val="76AD22C2"/>
    <w:rsid w:val="76AF7FDA"/>
    <w:rsid w:val="76CA2B96"/>
    <w:rsid w:val="76D654E3"/>
    <w:rsid w:val="76E11B21"/>
    <w:rsid w:val="76EC6B38"/>
    <w:rsid w:val="76F4274E"/>
    <w:rsid w:val="76F468C1"/>
    <w:rsid w:val="77057AC7"/>
    <w:rsid w:val="77091C1D"/>
    <w:rsid w:val="77176176"/>
    <w:rsid w:val="77184DBB"/>
    <w:rsid w:val="771A1755"/>
    <w:rsid w:val="771D4F43"/>
    <w:rsid w:val="7722255A"/>
    <w:rsid w:val="77273EF9"/>
    <w:rsid w:val="772B7C4A"/>
    <w:rsid w:val="772E7236"/>
    <w:rsid w:val="77304C77"/>
    <w:rsid w:val="77353F3A"/>
    <w:rsid w:val="77355FF8"/>
    <w:rsid w:val="773B3B6C"/>
    <w:rsid w:val="773E690B"/>
    <w:rsid w:val="77400703"/>
    <w:rsid w:val="77423A73"/>
    <w:rsid w:val="77481405"/>
    <w:rsid w:val="7756121A"/>
    <w:rsid w:val="7758133C"/>
    <w:rsid w:val="775B68E4"/>
    <w:rsid w:val="77606A50"/>
    <w:rsid w:val="77615853"/>
    <w:rsid w:val="7763584A"/>
    <w:rsid w:val="777668F5"/>
    <w:rsid w:val="777B48D8"/>
    <w:rsid w:val="777B6635"/>
    <w:rsid w:val="777E21DF"/>
    <w:rsid w:val="777F7BCB"/>
    <w:rsid w:val="77815231"/>
    <w:rsid w:val="7785679F"/>
    <w:rsid w:val="778F7D27"/>
    <w:rsid w:val="77A00DF4"/>
    <w:rsid w:val="77A03442"/>
    <w:rsid w:val="77A15356"/>
    <w:rsid w:val="77A87F21"/>
    <w:rsid w:val="77AE3264"/>
    <w:rsid w:val="77B935E5"/>
    <w:rsid w:val="77BC6466"/>
    <w:rsid w:val="77BF249E"/>
    <w:rsid w:val="77CE4490"/>
    <w:rsid w:val="77D777E8"/>
    <w:rsid w:val="77D77B93"/>
    <w:rsid w:val="77DC1C29"/>
    <w:rsid w:val="77EE0CEA"/>
    <w:rsid w:val="77EF091C"/>
    <w:rsid w:val="77F109E8"/>
    <w:rsid w:val="77F56FD2"/>
    <w:rsid w:val="77FE37C0"/>
    <w:rsid w:val="780E2EA0"/>
    <w:rsid w:val="78104469"/>
    <w:rsid w:val="781A6637"/>
    <w:rsid w:val="78213EEA"/>
    <w:rsid w:val="78252301"/>
    <w:rsid w:val="782A457F"/>
    <w:rsid w:val="78335386"/>
    <w:rsid w:val="78362761"/>
    <w:rsid w:val="783B305E"/>
    <w:rsid w:val="783D7A4E"/>
    <w:rsid w:val="783E55CA"/>
    <w:rsid w:val="784758CF"/>
    <w:rsid w:val="784937C3"/>
    <w:rsid w:val="784E3B4B"/>
    <w:rsid w:val="7857163D"/>
    <w:rsid w:val="785A41C8"/>
    <w:rsid w:val="785C7C68"/>
    <w:rsid w:val="7861169D"/>
    <w:rsid w:val="786609D2"/>
    <w:rsid w:val="78671B47"/>
    <w:rsid w:val="78683792"/>
    <w:rsid w:val="78693FFC"/>
    <w:rsid w:val="787709AC"/>
    <w:rsid w:val="787F34C3"/>
    <w:rsid w:val="78811BD8"/>
    <w:rsid w:val="78862191"/>
    <w:rsid w:val="78864B66"/>
    <w:rsid w:val="788823C6"/>
    <w:rsid w:val="78920B5A"/>
    <w:rsid w:val="78954C16"/>
    <w:rsid w:val="78981283"/>
    <w:rsid w:val="7898512E"/>
    <w:rsid w:val="78990247"/>
    <w:rsid w:val="789B6C35"/>
    <w:rsid w:val="78A75ED7"/>
    <w:rsid w:val="78B6638E"/>
    <w:rsid w:val="78C25DA2"/>
    <w:rsid w:val="78C347C2"/>
    <w:rsid w:val="78C410EC"/>
    <w:rsid w:val="78C62E83"/>
    <w:rsid w:val="78CE0448"/>
    <w:rsid w:val="78D05AFB"/>
    <w:rsid w:val="78D5211B"/>
    <w:rsid w:val="78E97A5B"/>
    <w:rsid w:val="78EB019C"/>
    <w:rsid w:val="78EC73CE"/>
    <w:rsid w:val="78ED0B84"/>
    <w:rsid w:val="78F9553C"/>
    <w:rsid w:val="78FD39FA"/>
    <w:rsid w:val="790B0C35"/>
    <w:rsid w:val="79182F53"/>
    <w:rsid w:val="791E5C47"/>
    <w:rsid w:val="792B1C50"/>
    <w:rsid w:val="792C0101"/>
    <w:rsid w:val="792D0F75"/>
    <w:rsid w:val="79375CA0"/>
    <w:rsid w:val="79443176"/>
    <w:rsid w:val="79447590"/>
    <w:rsid w:val="794637B7"/>
    <w:rsid w:val="79501B57"/>
    <w:rsid w:val="79511A1B"/>
    <w:rsid w:val="79595B42"/>
    <w:rsid w:val="7969495B"/>
    <w:rsid w:val="796E0E48"/>
    <w:rsid w:val="797A140D"/>
    <w:rsid w:val="797B0594"/>
    <w:rsid w:val="797D7D49"/>
    <w:rsid w:val="79846BBF"/>
    <w:rsid w:val="799D3504"/>
    <w:rsid w:val="799F0BFC"/>
    <w:rsid w:val="79A143D1"/>
    <w:rsid w:val="79A872C0"/>
    <w:rsid w:val="79B00387"/>
    <w:rsid w:val="79B13DC0"/>
    <w:rsid w:val="79B17F93"/>
    <w:rsid w:val="79B83952"/>
    <w:rsid w:val="79BE5D52"/>
    <w:rsid w:val="79CB4676"/>
    <w:rsid w:val="79CC73D5"/>
    <w:rsid w:val="79CD74FE"/>
    <w:rsid w:val="79D033A0"/>
    <w:rsid w:val="79D5076B"/>
    <w:rsid w:val="79D51B05"/>
    <w:rsid w:val="79D55C9B"/>
    <w:rsid w:val="79D87769"/>
    <w:rsid w:val="79DE28E7"/>
    <w:rsid w:val="79E13DCF"/>
    <w:rsid w:val="79E370AE"/>
    <w:rsid w:val="79E41D48"/>
    <w:rsid w:val="79E65A0C"/>
    <w:rsid w:val="79EB1840"/>
    <w:rsid w:val="79EC0EC1"/>
    <w:rsid w:val="79EF70E4"/>
    <w:rsid w:val="79F3603F"/>
    <w:rsid w:val="79FB0B3C"/>
    <w:rsid w:val="7A0348D0"/>
    <w:rsid w:val="7A0467B1"/>
    <w:rsid w:val="7A0744D1"/>
    <w:rsid w:val="7A0C60E7"/>
    <w:rsid w:val="7A1258C5"/>
    <w:rsid w:val="7A212F9C"/>
    <w:rsid w:val="7A260A8F"/>
    <w:rsid w:val="7A2D1941"/>
    <w:rsid w:val="7A3C369B"/>
    <w:rsid w:val="7A3F2AE4"/>
    <w:rsid w:val="7A436F7C"/>
    <w:rsid w:val="7A437B15"/>
    <w:rsid w:val="7A467EA8"/>
    <w:rsid w:val="7A4B1DC7"/>
    <w:rsid w:val="7A5A4E87"/>
    <w:rsid w:val="7A670DC1"/>
    <w:rsid w:val="7A6C57E5"/>
    <w:rsid w:val="7A774DAF"/>
    <w:rsid w:val="7A7F15E3"/>
    <w:rsid w:val="7A83138F"/>
    <w:rsid w:val="7A940F25"/>
    <w:rsid w:val="7A9462B6"/>
    <w:rsid w:val="7A961A4D"/>
    <w:rsid w:val="7A9E7181"/>
    <w:rsid w:val="7AA92120"/>
    <w:rsid w:val="7AB363D7"/>
    <w:rsid w:val="7AB54D14"/>
    <w:rsid w:val="7AB67D8C"/>
    <w:rsid w:val="7AB77180"/>
    <w:rsid w:val="7ABC77C9"/>
    <w:rsid w:val="7AC14589"/>
    <w:rsid w:val="7AC83FC8"/>
    <w:rsid w:val="7ACB43A1"/>
    <w:rsid w:val="7ACE310B"/>
    <w:rsid w:val="7ACE6E75"/>
    <w:rsid w:val="7AD0398B"/>
    <w:rsid w:val="7AD51092"/>
    <w:rsid w:val="7AE2272C"/>
    <w:rsid w:val="7AE82445"/>
    <w:rsid w:val="7AEB04AB"/>
    <w:rsid w:val="7AF0377F"/>
    <w:rsid w:val="7AF15D70"/>
    <w:rsid w:val="7AFD6738"/>
    <w:rsid w:val="7AFF72F6"/>
    <w:rsid w:val="7B106685"/>
    <w:rsid w:val="7B195822"/>
    <w:rsid w:val="7B1E559E"/>
    <w:rsid w:val="7B28118F"/>
    <w:rsid w:val="7B3F1555"/>
    <w:rsid w:val="7B4600E8"/>
    <w:rsid w:val="7B507E0D"/>
    <w:rsid w:val="7B51165F"/>
    <w:rsid w:val="7B5764AF"/>
    <w:rsid w:val="7B660E1E"/>
    <w:rsid w:val="7B6A39F0"/>
    <w:rsid w:val="7B714987"/>
    <w:rsid w:val="7B737828"/>
    <w:rsid w:val="7B744F90"/>
    <w:rsid w:val="7B7610C6"/>
    <w:rsid w:val="7B821168"/>
    <w:rsid w:val="7B8E1F50"/>
    <w:rsid w:val="7B903451"/>
    <w:rsid w:val="7B97514F"/>
    <w:rsid w:val="7B99368A"/>
    <w:rsid w:val="7B9E07F1"/>
    <w:rsid w:val="7BA040F1"/>
    <w:rsid w:val="7BA47084"/>
    <w:rsid w:val="7BA54215"/>
    <w:rsid w:val="7BAA1F2C"/>
    <w:rsid w:val="7BB35A59"/>
    <w:rsid w:val="7BB7779F"/>
    <w:rsid w:val="7BBE732B"/>
    <w:rsid w:val="7BCB0D94"/>
    <w:rsid w:val="7BD12079"/>
    <w:rsid w:val="7BD44407"/>
    <w:rsid w:val="7BE026AA"/>
    <w:rsid w:val="7BE15D82"/>
    <w:rsid w:val="7BE36225"/>
    <w:rsid w:val="7BE839B7"/>
    <w:rsid w:val="7BEB4059"/>
    <w:rsid w:val="7BED4CCC"/>
    <w:rsid w:val="7BEE1668"/>
    <w:rsid w:val="7BF04785"/>
    <w:rsid w:val="7BF214C1"/>
    <w:rsid w:val="7C1B4269"/>
    <w:rsid w:val="7C1C7EBF"/>
    <w:rsid w:val="7C1D1AC9"/>
    <w:rsid w:val="7C232DD9"/>
    <w:rsid w:val="7C240B22"/>
    <w:rsid w:val="7C2A55A2"/>
    <w:rsid w:val="7C314D89"/>
    <w:rsid w:val="7C3364BB"/>
    <w:rsid w:val="7C446A13"/>
    <w:rsid w:val="7C4934A5"/>
    <w:rsid w:val="7C4A0658"/>
    <w:rsid w:val="7C4B536B"/>
    <w:rsid w:val="7C58030D"/>
    <w:rsid w:val="7C5A2796"/>
    <w:rsid w:val="7C664EC1"/>
    <w:rsid w:val="7C78742B"/>
    <w:rsid w:val="7C873497"/>
    <w:rsid w:val="7C8768C5"/>
    <w:rsid w:val="7C8A5C27"/>
    <w:rsid w:val="7C8B5447"/>
    <w:rsid w:val="7C932453"/>
    <w:rsid w:val="7C934DE7"/>
    <w:rsid w:val="7C953BE3"/>
    <w:rsid w:val="7C9D54D2"/>
    <w:rsid w:val="7CA2449E"/>
    <w:rsid w:val="7CAD45BC"/>
    <w:rsid w:val="7CB116A9"/>
    <w:rsid w:val="7CB127A0"/>
    <w:rsid w:val="7CB2301F"/>
    <w:rsid w:val="7CB974BC"/>
    <w:rsid w:val="7CBD5B90"/>
    <w:rsid w:val="7CBE3A51"/>
    <w:rsid w:val="7CC05BC2"/>
    <w:rsid w:val="7CC87BC1"/>
    <w:rsid w:val="7CD132A4"/>
    <w:rsid w:val="7CD92172"/>
    <w:rsid w:val="7CDC13FD"/>
    <w:rsid w:val="7CE0772A"/>
    <w:rsid w:val="7CE25338"/>
    <w:rsid w:val="7CEB1193"/>
    <w:rsid w:val="7CF02985"/>
    <w:rsid w:val="7CF84B94"/>
    <w:rsid w:val="7D030A4F"/>
    <w:rsid w:val="7D056582"/>
    <w:rsid w:val="7D0C5E81"/>
    <w:rsid w:val="7D0D15B6"/>
    <w:rsid w:val="7D16490F"/>
    <w:rsid w:val="7D176B5E"/>
    <w:rsid w:val="7D276B1C"/>
    <w:rsid w:val="7D2C0077"/>
    <w:rsid w:val="7D2C0EC1"/>
    <w:rsid w:val="7D2C20B6"/>
    <w:rsid w:val="7D311748"/>
    <w:rsid w:val="7D332EF4"/>
    <w:rsid w:val="7D34140C"/>
    <w:rsid w:val="7D393DF7"/>
    <w:rsid w:val="7D3E6353"/>
    <w:rsid w:val="7D4352DB"/>
    <w:rsid w:val="7D4A7156"/>
    <w:rsid w:val="7D4B0519"/>
    <w:rsid w:val="7D4F5A86"/>
    <w:rsid w:val="7D5250FF"/>
    <w:rsid w:val="7D5721C5"/>
    <w:rsid w:val="7D5947FB"/>
    <w:rsid w:val="7D5A0C9F"/>
    <w:rsid w:val="7D5D262F"/>
    <w:rsid w:val="7D7A4997"/>
    <w:rsid w:val="7D7C34F2"/>
    <w:rsid w:val="7D843283"/>
    <w:rsid w:val="7D8B036D"/>
    <w:rsid w:val="7D8E1A04"/>
    <w:rsid w:val="7D91049C"/>
    <w:rsid w:val="7D925CA6"/>
    <w:rsid w:val="7D9D6767"/>
    <w:rsid w:val="7DA76092"/>
    <w:rsid w:val="7DAA5057"/>
    <w:rsid w:val="7DB62A23"/>
    <w:rsid w:val="7DC40AC5"/>
    <w:rsid w:val="7DC55815"/>
    <w:rsid w:val="7DC66D23"/>
    <w:rsid w:val="7DCA7547"/>
    <w:rsid w:val="7DD24A07"/>
    <w:rsid w:val="7DD412D2"/>
    <w:rsid w:val="7DD47685"/>
    <w:rsid w:val="7DD6794C"/>
    <w:rsid w:val="7DDC707F"/>
    <w:rsid w:val="7DE11004"/>
    <w:rsid w:val="7DE2584F"/>
    <w:rsid w:val="7DE37E98"/>
    <w:rsid w:val="7DEB5EEA"/>
    <w:rsid w:val="7DEE7639"/>
    <w:rsid w:val="7DF17F81"/>
    <w:rsid w:val="7DFF788D"/>
    <w:rsid w:val="7E01023E"/>
    <w:rsid w:val="7E0263DA"/>
    <w:rsid w:val="7E061337"/>
    <w:rsid w:val="7E0712F2"/>
    <w:rsid w:val="7E0B0110"/>
    <w:rsid w:val="7E0D5661"/>
    <w:rsid w:val="7E105CE8"/>
    <w:rsid w:val="7E1705C9"/>
    <w:rsid w:val="7E340F89"/>
    <w:rsid w:val="7E40364D"/>
    <w:rsid w:val="7E4048AC"/>
    <w:rsid w:val="7E48758C"/>
    <w:rsid w:val="7E49178E"/>
    <w:rsid w:val="7E4C2245"/>
    <w:rsid w:val="7E4E3093"/>
    <w:rsid w:val="7E4E42BE"/>
    <w:rsid w:val="7E510BDD"/>
    <w:rsid w:val="7E536C69"/>
    <w:rsid w:val="7E5D449D"/>
    <w:rsid w:val="7E5F3432"/>
    <w:rsid w:val="7E602721"/>
    <w:rsid w:val="7E607448"/>
    <w:rsid w:val="7E623997"/>
    <w:rsid w:val="7E6512BF"/>
    <w:rsid w:val="7E667BD9"/>
    <w:rsid w:val="7E675E9D"/>
    <w:rsid w:val="7E6D67B0"/>
    <w:rsid w:val="7E7136CC"/>
    <w:rsid w:val="7E740F7D"/>
    <w:rsid w:val="7E744041"/>
    <w:rsid w:val="7E76359A"/>
    <w:rsid w:val="7E763966"/>
    <w:rsid w:val="7E8055E4"/>
    <w:rsid w:val="7E815EE3"/>
    <w:rsid w:val="7E843AFA"/>
    <w:rsid w:val="7E852C56"/>
    <w:rsid w:val="7E873097"/>
    <w:rsid w:val="7E8A7EF6"/>
    <w:rsid w:val="7E8B67BF"/>
    <w:rsid w:val="7EA36676"/>
    <w:rsid w:val="7EA65DA5"/>
    <w:rsid w:val="7EAD2F22"/>
    <w:rsid w:val="7EAF7397"/>
    <w:rsid w:val="7EB07BF7"/>
    <w:rsid w:val="7EB67F24"/>
    <w:rsid w:val="7EBB57F9"/>
    <w:rsid w:val="7EBF106A"/>
    <w:rsid w:val="7EC07259"/>
    <w:rsid w:val="7EC60FC9"/>
    <w:rsid w:val="7ECA59B1"/>
    <w:rsid w:val="7ED766E8"/>
    <w:rsid w:val="7EDA0B2E"/>
    <w:rsid w:val="7EDB7D56"/>
    <w:rsid w:val="7EDD7534"/>
    <w:rsid w:val="7EE03426"/>
    <w:rsid w:val="7EE44903"/>
    <w:rsid w:val="7EE54599"/>
    <w:rsid w:val="7EEE656E"/>
    <w:rsid w:val="7EFA764E"/>
    <w:rsid w:val="7F011DF8"/>
    <w:rsid w:val="7F124A5E"/>
    <w:rsid w:val="7F157B66"/>
    <w:rsid w:val="7F1F284B"/>
    <w:rsid w:val="7F1F3163"/>
    <w:rsid w:val="7F257AF9"/>
    <w:rsid w:val="7F3215EA"/>
    <w:rsid w:val="7F334275"/>
    <w:rsid w:val="7F375567"/>
    <w:rsid w:val="7F4120DD"/>
    <w:rsid w:val="7F4332C0"/>
    <w:rsid w:val="7F4348EF"/>
    <w:rsid w:val="7F4412FD"/>
    <w:rsid w:val="7F4A32B5"/>
    <w:rsid w:val="7F4A651E"/>
    <w:rsid w:val="7F4E65E2"/>
    <w:rsid w:val="7F512408"/>
    <w:rsid w:val="7F5417F6"/>
    <w:rsid w:val="7F577F01"/>
    <w:rsid w:val="7F5C78AC"/>
    <w:rsid w:val="7F6D458E"/>
    <w:rsid w:val="7F700B74"/>
    <w:rsid w:val="7F7109D4"/>
    <w:rsid w:val="7F7973D7"/>
    <w:rsid w:val="7F7B4EFD"/>
    <w:rsid w:val="7F841B51"/>
    <w:rsid w:val="7F8504DC"/>
    <w:rsid w:val="7F864EF5"/>
    <w:rsid w:val="7F8E33B3"/>
    <w:rsid w:val="7F9B62CF"/>
    <w:rsid w:val="7FA0574E"/>
    <w:rsid w:val="7FA2124B"/>
    <w:rsid w:val="7FAC731C"/>
    <w:rsid w:val="7FBE6720"/>
    <w:rsid w:val="7FC134F1"/>
    <w:rsid w:val="7FCA5619"/>
    <w:rsid w:val="7FCF1612"/>
    <w:rsid w:val="7FD52433"/>
    <w:rsid w:val="7FD665D7"/>
    <w:rsid w:val="7FDB3C42"/>
    <w:rsid w:val="7FDF1520"/>
    <w:rsid w:val="7FDF3365"/>
    <w:rsid w:val="7FE06151"/>
    <w:rsid w:val="7FE2771A"/>
    <w:rsid w:val="7FE664E1"/>
    <w:rsid w:val="7FE81533"/>
    <w:rsid w:val="7FF42A9F"/>
    <w:rsid w:val="7FF54CA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 w:semiHidden="0" w:name="heading 4"/>
    <w:lsdException w:qFormat="1" w:unhideWhenUsed="0" w:uiPriority="1" w:semiHidden="0" w:name="heading 5"/>
    <w:lsdException w:qFormat="1" w:uiPriority="9" w:name="heading 6"/>
    <w:lsdException w:qFormat="1" w:unhideWhenUsed="0" w:uiPriority="1" w:semiHidden="0"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nhideWhenUsed="0" w:uiPriority="0" w:semiHidden="0"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宋体" w:cs="Times New Roman"/>
      <w:sz w:val="21"/>
      <w:szCs w:val="21"/>
      <w:lang w:val="en-US" w:eastAsia="zh-CN" w:bidi="ar-SA"/>
    </w:rPr>
  </w:style>
  <w:style w:type="paragraph" w:styleId="2">
    <w:name w:val="heading 1"/>
    <w:basedOn w:val="1"/>
    <w:next w:val="1"/>
    <w:link w:val="46"/>
    <w:qFormat/>
    <w:uiPriority w:val="99"/>
    <w:pPr>
      <w:keepNext/>
      <w:keepLines/>
      <w:widowControl w:val="0"/>
      <w:spacing w:before="340" w:after="330" w:line="576" w:lineRule="auto"/>
      <w:outlineLvl w:val="0"/>
    </w:pPr>
    <w:rPr>
      <w:b/>
      <w:bCs/>
      <w:kern w:val="44"/>
      <w:sz w:val="44"/>
      <w:szCs w:val="44"/>
    </w:rPr>
  </w:style>
  <w:style w:type="paragraph" w:styleId="3">
    <w:name w:val="heading 2"/>
    <w:basedOn w:val="1"/>
    <w:next w:val="1"/>
    <w:link w:val="47"/>
    <w:qFormat/>
    <w:uiPriority w:val="99"/>
    <w:pPr>
      <w:keepNext/>
      <w:keepLines/>
      <w:widowControl w:val="0"/>
      <w:spacing w:before="260" w:after="260" w:line="412" w:lineRule="auto"/>
      <w:outlineLvl w:val="1"/>
    </w:pPr>
    <w:rPr>
      <w:rFonts w:ascii="Arial" w:hAnsi="Arial" w:eastAsia="黑体"/>
      <w:b/>
      <w:bCs/>
      <w:sz w:val="32"/>
      <w:szCs w:val="32"/>
    </w:rPr>
  </w:style>
  <w:style w:type="paragraph" w:styleId="4">
    <w:name w:val="heading 3"/>
    <w:basedOn w:val="1"/>
    <w:next w:val="1"/>
    <w:link w:val="48"/>
    <w:qFormat/>
    <w:uiPriority w:val="99"/>
    <w:pPr>
      <w:keepNext/>
      <w:keepLines/>
      <w:widowControl w:val="0"/>
      <w:spacing w:before="380" w:after="380" w:line="412" w:lineRule="auto"/>
      <w:jc w:val="center"/>
      <w:outlineLvl w:val="2"/>
    </w:pPr>
    <w:rPr>
      <w:rFonts w:ascii="Times New Roman" w:hAnsi="Times New Roman" w:eastAsia="宋体"/>
      <w:b/>
      <w:bCs/>
      <w:sz w:val="28"/>
      <w:szCs w:val="32"/>
    </w:rPr>
  </w:style>
  <w:style w:type="paragraph" w:styleId="5">
    <w:name w:val="heading 4"/>
    <w:basedOn w:val="1"/>
    <w:next w:val="1"/>
    <w:qFormat/>
    <w:uiPriority w:val="9"/>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5"/>
    <w:basedOn w:val="1"/>
    <w:next w:val="1"/>
    <w:qFormat/>
    <w:uiPriority w:val="1"/>
    <w:pPr>
      <w:ind w:left="618"/>
      <w:outlineLvl w:val="4"/>
    </w:pPr>
    <w:rPr>
      <w:rFonts w:ascii="宋体" w:hAnsi="宋体" w:eastAsia="宋体" w:cs="宋体"/>
      <w:b/>
      <w:bCs/>
      <w:sz w:val="24"/>
      <w:szCs w:val="24"/>
      <w:lang w:val="zh-CN" w:eastAsia="zh-CN" w:bidi="zh-CN"/>
    </w:rPr>
  </w:style>
  <w:style w:type="paragraph" w:styleId="7">
    <w:name w:val="heading 7"/>
    <w:basedOn w:val="1"/>
    <w:next w:val="1"/>
    <w:qFormat/>
    <w:uiPriority w:val="1"/>
    <w:pPr>
      <w:ind w:left="756"/>
      <w:outlineLvl w:val="6"/>
    </w:pPr>
    <w:rPr>
      <w:rFonts w:ascii="宋体" w:hAnsi="宋体" w:eastAsia="宋体" w:cs="宋体"/>
      <w:b/>
      <w:bCs/>
      <w:sz w:val="21"/>
      <w:szCs w:val="21"/>
      <w:lang w:val="zh-CN" w:eastAsia="zh-CN" w:bidi="zh-CN"/>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8">
    <w:name w:val="toc 7"/>
    <w:basedOn w:val="1"/>
    <w:next w:val="1"/>
    <w:unhideWhenUsed/>
    <w:qFormat/>
    <w:uiPriority w:val="39"/>
    <w:pPr>
      <w:ind w:left="1260"/>
    </w:pPr>
    <w:rPr>
      <w:rFonts w:ascii="Calibri" w:hAnsi="Calibri" w:cs="Calibri"/>
      <w:sz w:val="18"/>
      <w:szCs w:val="18"/>
    </w:rPr>
  </w:style>
  <w:style w:type="paragraph" w:styleId="9">
    <w:name w:val="Normal Indent"/>
    <w:basedOn w:val="1"/>
    <w:unhideWhenUsed/>
    <w:qFormat/>
    <w:uiPriority w:val="0"/>
    <w:pPr>
      <w:ind w:firstLine="420" w:firstLineChars="200"/>
    </w:pPr>
  </w:style>
  <w:style w:type="paragraph" w:styleId="10">
    <w:name w:val="Document Map"/>
    <w:basedOn w:val="1"/>
    <w:link w:val="49"/>
    <w:unhideWhenUsed/>
    <w:qFormat/>
    <w:uiPriority w:val="99"/>
    <w:rPr>
      <w:rFonts w:ascii="宋体"/>
      <w:sz w:val="18"/>
      <w:szCs w:val="18"/>
    </w:rPr>
  </w:style>
  <w:style w:type="paragraph" w:styleId="11">
    <w:name w:val="toa heading"/>
    <w:basedOn w:val="1"/>
    <w:next w:val="1"/>
    <w:semiHidden/>
    <w:qFormat/>
    <w:uiPriority w:val="0"/>
    <w:pPr>
      <w:widowControl w:val="0"/>
      <w:spacing w:before="120"/>
      <w:jc w:val="both"/>
    </w:pPr>
    <w:rPr>
      <w:rFonts w:ascii="Arial" w:hAnsi="Arial" w:cs="Arial"/>
      <w:kern w:val="2"/>
      <w:sz w:val="24"/>
      <w:szCs w:val="24"/>
    </w:rPr>
  </w:style>
  <w:style w:type="paragraph" w:styleId="12">
    <w:name w:val="annotation text"/>
    <w:basedOn w:val="1"/>
    <w:link w:val="50"/>
    <w:unhideWhenUsed/>
    <w:qFormat/>
    <w:uiPriority w:val="99"/>
    <w:pPr>
      <w:jc w:val="left"/>
    </w:pPr>
  </w:style>
  <w:style w:type="paragraph" w:styleId="13">
    <w:name w:val="Body Text 3"/>
    <w:basedOn w:val="1"/>
    <w:link w:val="51"/>
    <w:unhideWhenUsed/>
    <w:qFormat/>
    <w:uiPriority w:val="99"/>
    <w:rPr>
      <w:rFonts w:ascii="宋体"/>
      <w:sz w:val="24"/>
      <w:szCs w:val="24"/>
    </w:rPr>
  </w:style>
  <w:style w:type="paragraph" w:styleId="14">
    <w:name w:val="Body Text"/>
    <w:basedOn w:val="1"/>
    <w:qFormat/>
    <w:uiPriority w:val="0"/>
    <w:pPr>
      <w:spacing w:line="360" w:lineRule="auto"/>
    </w:pPr>
    <w:rPr>
      <w:rFonts w:ascii="Times New Roman" w:hAnsi="Times New Roman"/>
      <w:kern w:val="2"/>
      <w:sz w:val="21"/>
      <w:szCs w:val="24"/>
    </w:rPr>
  </w:style>
  <w:style w:type="paragraph" w:styleId="15">
    <w:name w:val="Body Text Indent"/>
    <w:basedOn w:val="1"/>
    <w:next w:val="16"/>
    <w:link w:val="52"/>
    <w:unhideWhenUsed/>
    <w:qFormat/>
    <w:uiPriority w:val="99"/>
    <w:pPr>
      <w:spacing w:line="460" w:lineRule="exact"/>
      <w:ind w:firstLine="510"/>
    </w:pPr>
  </w:style>
  <w:style w:type="paragraph" w:styleId="16">
    <w:name w:val="Body Text First Indent 2"/>
    <w:basedOn w:val="15"/>
    <w:qFormat/>
    <w:uiPriority w:val="0"/>
    <w:pPr>
      <w:autoSpaceDE w:val="0"/>
      <w:autoSpaceDN w:val="0"/>
      <w:adjustRightInd w:val="0"/>
      <w:jc w:val="left"/>
    </w:pPr>
  </w:style>
  <w:style w:type="paragraph" w:styleId="17">
    <w:name w:val="toc 5"/>
    <w:basedOn w:val="1"/>
    <w:next w:val="1"/>
    <w:unhideWhenUsed/>
    <w:qFormat/>
    <w:uiPriority w:val="39"/>
    <w:pPr>
      <w:ind w:left="840"/>
    </w:pPr>
    <w:rPr>
      <w:rFonts w:ascii="Calibri" w:hAnsi="Calibri" w:cs="Calibri"/>
      <w:sz w:val="18"/>
      <w:szCs w:val="18"/>
    </w:rPr>
  </w:style>
  <w:style w:type="paragraph" w:styleId="18">
    <w:name w:val="toc 3"/>
    <w:basedOn w:val="1"/>
    <w:next w:val="1"/>
    <w:unhideWhenUsed/>
    <w:qFormat/>
    <w:uiPriority w:val="39"/>
    <w:pPr>
      <w:ind w:left="420"/>
    </w:pPr>
    <w:rPr>
      <w:rFonts w:ascii="Calibri" w:hAnsi="Calibri" w:cs="Calibri"/>
      <w:i/>
      <w:iCs/>
      <w:sz w:val="20"/>
      <w:szCs w:val="20"/>
    </w:rPr>
  </w:style>
  <w:style w:type="paragraph" w:styleId="19">
    <w:name w:val="Plain Text"/>
    <w:basedOn w:val="1"/>
    <w:qFormat/>
    <w:uiPriority w:val="0"/>
    <w:rPr>
      <w:rFonts w:ascii="宋体" w:hAnsi="Courier New"/>
      <w:szCs w:val="20"/>
    </w:rPr>
  </w:style>
  <w:style w:type="paragraph" w:styleId="20">
    <w:name w:val="toc 8"/>
    <w:basedOn w:val="1"/>
    <w:next w:val="1"/>
    <w:unhideWhenUsed/>
    <w:qFormat/>
    <w:uiPriority w:val="39"/>
    <w:pPr>
      <w:ind w:left="1470"/>
    </w:pPr>
    <w:rPr>
      <w:rFonts w:ascii="Calibri" w:hAnsi="Calibri" w:cs="Calibri"/>
      <w:sz w:val="18"/>
      <w:szCs w:val="18"/>
    </w:rPr>
  </w:style>
  <w:style w:type="paragraph" w:styleId="21">
    <w:name w:val="Balloon Text"/>
    <w:basedOn w:val="1"/>
    <w:link w:val="53"/>
    <w:unhideWhenUsed/>
    <w:qFormat/>
    <w:uiPriority w:val="99"/>
    <w:rPr>
      <w:sz w:val="18"/>
      <w:szCs w:val="18"/>
    </w:rPr>
  </w:style>
  <w:style w:type="paragraph" w:styleId="22">
    <w:name w:val="footer"/>
    <w:basedOn w:val="1"/>
    <w:link w:val="54"/>
    <w:unhideWhenUsed/>
    <w:qFormat/>
    <w:uiPriority w:val="99"/>
    <w:pPr>
      <w:tabs>
        <w:tab w:val="center" w:pos="4153"/>
        <w:tab w:val="right" w:pos="8306"/>
      </w:tabs>
      <w:snapToGrid w:val="0"/>
      <w:jc w:val="left"/>
    </w:pPr>
    <w:rPr>
      <w:sz w:val="18"/>
      <w:szCs w:val="18"/>
    </w:rPr>
  </w:style>
  <w:style w:type="paragraph" w:styleId="23">
    <w:name w:val="header"/>
    <w:basedOn w:val="1"/>
    <w:link w:val="55"/>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spacing w:before="120" w:after="120"/>
    </w:pPr>
    <w:rPr>
      <w:rFonts w:ascii="Calibri" w:hAnsi="Calibri" w:cs="Calibri"/>
      <w:b/>
      <w:bCs/>
      <w:caps/>
      <w:sz w:val="20"/>
      <w:szCs w:val="20"/>
    </w:rPr>
  </w:style>
  <w:style w:type="paragraph" w:styleId="25">
    <w:name w:val="toc 4"/>
    <w:basedOn w:val="1"/>
    <w:next w:val="1"/>
    <w:unhideWhenUsed/>
    <w:qFormat/>
    <w:uiPriority w:val="39"/>
    <w:pPr>
      <w:ind w:left="630"/>
    </w:pPr>
    <w:rPr>
      <w:rFonts w:ascii="Calibri" w:hAnsi="Calibri" w:cs="Calibri"/>
      <w:sz w:val="18"/>
      <w:szCs w:val="18"/>
    </w:rPr>
  </w:style>
  <w:style w:type="paragraph" w:styleId="26">
    <w:name w:val="footnote text"/>
    <w:basedOn w:val="1"/>
    <w:qFormat/>
    <w:uiPriority w:val="0"/>
    <w:pPr>
      <w:adjustRightInd w:val="0"/>
      <w:spacing w:line="312" w:lineRule="atLeast"/>
      <w:jc w:val="left"/>
      <w:textAlignment w:val="baseline"/>
    </w:pPr>
    <w:rPr>
      <w:kern w:val="0"/>
      <w:sz w:val="18"/>
      <w:szCs w:val="20"/>
    </w:rPr>
  </w:style>
  <w:style w:type="paragraph" w:styleId="27">
    <w:name w:val="toc 6"/>
    <w:basedOn w:val="1"/>
    <w:next w:val="1"/>
    <w:unhideWhenUsed/>
    <w:qFormat/>
    <w:uiPriority w:val="39"/>
    <w:pPr>
      <w:ind w:left="1050"/>
    </w:pPr>
    <w:rPr>
      <w:rFonts w:ascii="Calibri" w:hAnsi="Calibri" w:cs="Calibri"/>
      <w:sz w:val="18"/>
      <w:szCs w:val="18"/>
    </w:rPr>
  </w:style>
  <w:style w:type="paragraph" w:styleId="28">
    <w:name w:val="toc 2"/>
    <w:basedOn w:val="1"/>
    <w:next w:val="1"/>
    <w:unhideWhenUsed/>
    <w:qFormat/>
    <w:uiPriority w:val="39"/>
    <w:pPr>
      <w:ind w:left="210"/>
    </w:pPr>
    <w:rPr>
      <w:rFonts w:ascii="Calibri" w:hAnsi="Calibri" w:cs="Calibri"/>
      <w:smallCaps/>
      <w:sz w:val="20"/>
      <w:szCs w:val="20"/>
    </w:rPr>
  </w:style>
  <w:style w:type="paragraph" w:styleId="29">
    <w:name w:val="toc 9"/>
    <w:basedOn w:val="1"/>
    <w:next w:val="1"/>
    <w:unhideWhenUsed/>
    <w:qFormat/>
    <w:uiPriority w:val="39"/>
    <w:pPr>
      <w:ind w:left="1680"/>
    </w:pPr>
    <w:rPr>
      <w:rFonts w:ascii="Calibri" w:hAnsi="Calibri" w:cs="Calibri"/>
      <w:sz w:val="18"/>
      <w:szCs w:val="18"/>
    </w:rPr>
  </w:style>
  <w:style w:type="paragraph" w:styleId="30">
    <w:name w:val="Body Text 2"/>
    <w:basedOn w:val="1"/>
    <w:unhideWhenUsed/>
    <w:qFormat/>
    <w:uiPriority w:val="99"/>
    <w:pPr>
      <w:spacing w:after="120" w:line="480" w:lineRule="auto"/>
    </w:pPr>
  </w:style>
  <w:style w:type="paragraph" w:styleId="31">
    <w:name w:val="Normal (Web)"/>
    <w:basedOn w:val="1"/>
    <w:unhideWhenUsed/>
    <w:qFormat/>
    <w:uiPriority w:val="99"/>
    <w:pPr>
      <w:spacing w:before="100" w:beforeAutospacing="1" w:after="100" w:afterAutospacing="1"/>
    </w:pPr>
    <w:rPr>
      <w:sz w:val="24"/>
      <w:szCs w:val="24"/>
    </w:rPr>
  </w:style>
  <w:style w:type="paragraph" w:styleId="32">
    <w:name w:val="annotation subject"/>
    <w:basedOn w:val="12"/>
    <w:next w:val="12"/>
    <w:link w:val="56"/>
    <w:unhideWhenUsed/>
    <w:qFormat/>
    <w:uiPriority w:val="99"/>
    <w:rPr>
      <w:b/>
      <w:bCs/>
    </w:rPr>
  </w:style>
  <w:style w:type="paragraph" w:styleId="33">
    <w:name w:val="Body Text First Indent"/>
    <w:basedOn w:val="14"/>
    <w:unhideWhenUsed/>
    <w:qFormat/>
    <w:uiPriority w:val="99"/>
    <w:pPr>
      <w:ind w:firstLine="420" w:firstLineChars="100"/>
    </w:pPr>
  </w:style>
  <w:style w:type="table" w:styleId="35">
    <w:name w:val="Table Grid"/>
    <w:basedOn w:val="34"/>
    <w:unhideWhenUsed/>
    <w:qFormat/>
    <w:uiPriority w:val="99"/>
    <w:pPr>
      <w:widowControl w:val="0"/>
      <w:jc w:val="both"/>
    </w:pPr>
    <w:rPr>
      <w:rFonts w:ascii="Calibri" w:hAnsi="Calibri" w:eastAsia="Times New Roman" w:cs="Times New Roman"/>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qFormat/>
    <w:uiPriority w:val="0"/>
    <w:rPr>
      <w:rFonts w:ascii="Calibri" w:hAnsi="Calibri" w:eastAsia="宋体" w:cs="Times New Roman"/>
      <w:b/>
      <w:bCs/>
    </w:rPr>
  </w:style>
  <w:style w:type="character" w:styleId="38">
    <w:name w:val="FollowedHyperlink"/>
    <w:unhideWhenUsed/>
    <w:qFormat/>
    <w:uiPriority w:val="99"/>
    <w:rPr>
      <w:color w:val="333333"/>
      <w:u w:val="none"/>
    </w:rPr>
  </w:style>
  <w:style w:type="character" w:styleId="39">
    <w:name w:val="Emphasis"/>
    <w:qFormat/>
    <w:uiPriority w:val="20"/>
    <w:rPr>
      <w:i/>
    </w:rPr>
  </w:style>
  <w:style w:type="character" w:styleId="40">
    <w:name w:val="HTML Definition"/>
    <w:unhideWhenUsed/>
    <w:qFormat/>
    <w:uiPriority w:val="99"/>
    <w:rPr>
      <w:i/>
    </w:rPr>
  </w:style>
  <w:style w:type="character" w:styleId="41">
    <w:name w:val="Hyperlink"/>
    <w:unhideWhenUsed/>
    <w:qFormat/>
    <w:uiPriority w:val="99"/>
    <w:rPr>
      <w:color w:val="333333"/>
      <w:u w:val="none"/>
    </w:rPr>
  </w:style>
  <w:style w:type="character" w:styleId="42">
    <w:name w:val="HTML Code"/>
    <w:unhideWhenUsed/>
    <w:qFormat/>
    <w:uiPriority w:val="99"/>
    <w:rPr>
      <w:rFonts w:hint="default" w:ascii="Consolas" w:hAnsi="Consolas" w:eastAsia="Consolas" w:cs="Consolas"/>
      <w:color w:val="C7254E"/>
      <w:sz w:val="21"/>
      <w:szCs w:val="21"/>
      <w:shd w:val="clear" w:color="auto" w:fill="F9F2F4"/>
    </w:rPr>
  </w:style>
  <w:style w:type="character" w:styleId="43">
    <w:name w:val="annotation reference"/>
    <w:qFormat/>
    <w:uiPriority w:val="0"/>
    <w:rPr>
      <w:sz w:val="21"/>
      <w:szCs w:val="21"/>
    </w:rPr>
  </w:style>
  <w:style w:type="character" w:styleId="44">
    <w:name w:val="HTML Keyboard"/>
    <w:unhideWhenUsed/>
    <w:qFormat/>
    <w:uiPriority w:val="99"/>
    <w:rPr>
      <w:rFonts w:hint="default" w:ascii="Consolas" w:hAnsi="Consolas" w:eastAsia="Consolas" w:cs="Consolas"/>
      <w:color w:val="FFFFFF"/>
      <w:sz w:val="21"/>
      <w:szCs w:val="21"/>
      <w:shd w:val="clear" w:color="auto" w:fill="333333"/>
    </w:rPr>
  </w:style>
  <w:style w:type="character" w:styleId="45">
    <w:name w:val="HTML Sample"/>
    <w:unhideWhenUsed/>
    <w:qFormat/>
    <w:uiPriority w:val="99"/>
    <w:rPr>
      <w:rFonts w:ascii="Consolas" w:hAnsi="Consolas" w:eastAsia="Consolas" w:cs="Consolas"/>
      <w:sz w:val="21"/>
      <w:szCs w:val="21"/>
    </w:rPr>
  </w:style>
  <w:style w:type="character" w:customStyle="1" w:styleId="46">
    <w:name w:val="标题 1 字符"/>
    <w:link w:val="2"/>
    <w:qFormat/>
    <w:uiPriority w:val="99"/>
    <w:rPr>
      <w:rFonts w:ascii="Calibri" w:hAnsi="Calibri" w:eastAsia="宋体" w:cs="Times New Roman"/>
      <w:b/>
      <w:bCs/>
      <w:kern w:val="44"/>
      <w:sz w:val="44"/>
      <w:szCs w:val="44"/>
    </w:rPr>
  </w:style>
  <w:style w:type="character" w:customStyle="1" w:styleId="47">
    <w:name w:val="标题 2 字符"/>
    <w:link w:val="3"/>
    <w:qFormat/>
    <w:uiPriority w:val="99"/>
    <w:rPr>
      <w:rFonts w:ascii="Arial" w:hAnsi="Arial" w:eastAsia="黑体" w:cs="Times New Roman"/>
      <w:b/>
      <w:bCs/>
      <w:kern w:val="0"/>
      <w:sz w:val="32"/>
      <w:szCs w:val="32"/>
    </w:rPr>
  </w:style>
  <w:style w:type="character" w:customStyle="1" w:styleId="48">
    <w:name w:val="标题 3 字符"/>
    <w:link w:val="4"/>
    <w:qFormat/>
    <w:uiPriority w:val="99"/>
    <w:rPr>
      <w:rFonts w:ascii="Times New Roman" w:hAnsi="Times New Roman" w:eastAsia="宋体" w:cs="Times New Roman"/>
      <w:b/>
      <w:bCs/>
      <w:kern w:val="0"/>
      <w:sz w:val="28"/>
      <w:szCs w:val="32"/>
    </w:rPr>
  </w:style>
  <w:style w:type="character" w:customStyle="1" w:styleId="49">
    <w:name w:val="文档结构图 字符"/>
    <w:link w:val="10"/>
    <w:semiHidden/>
    <w:qFormat/>
    <w:uiPriority w:val="99"/>
    <w:rPr>
      <w:rFonts w:ascii="宋体"/>
      <w:sz w:val="18"/>
      <w:szCs w:val="18"/>
    </w:rPr>
  </w:style>
  <w:style w:type="character" w:customStyle="1" w:styleId="50">
    <w:name w:val="批注文字 字符"/>
    <w:link w:val="12"/>
    <w:qFormat/>
    <w:uiPriority w:val="99"/>
    <w:rPr>
      <w:sz w:val="21"/>
      <w:szCs w:val="21"/>
    </w:rPr>
  </w:style>
  <w:style w:type="character" w:customStyle="1" w:styleId="51">
    <w:name w:val="正文文本 3 字符"/>
    <w:link w:val="13"/>
    <w:qFormat/>
    <w:uiPriority w:val="99"/>
    <w:rPr>
      <w:rFonts w:ascii="宋体" w:hAnsi="Calibri" w:eastAsia="宋体" w:cs="Times New Roman"/>
      <w:kern w:val="0"/>
      <w:sz w:val="24"/>
      <w:szCs w:val="24"/>
    </w:rPr>
  </w:style>
  <w:style w:type="character" w:customStyle="1" w:styleId="52">
    <w:name w:val="正文文本缩进 字符"/>
    <w:link w:val="15"/>
    <w:qFormat/>
    <w:uiPriority w:val="99"/>
    <w:rPr>
      <w:rFonts w:ascii="Calibri" w:hAnsi="Calibri" w:eastAsia="宋体" w:cs="Times New Roman"/>
      <w:kern w:val="0"/>
      <w:szCs w:val="21"/>
    </w:rPr>
  </w:style>
  <w:style w:type="character" w:customStyle="1" w:styleId="53">
    <w:name w:val="批注框文本 字符"/>
    <w:link w:val="21"/>
    <w:semiHidden/>
    <w:qFormat/>
    <w:uiPriority w:val="99"/>
    <w:rPr>
      <w:sz w:val="18"/>
      <w:szCs w:val="18"/>
    </w:rPr>
  </w:style>
  <w:style w:type="character" w:customStyle="1" w:styleId="54">
    <w:name w:val="页脚 字符"/>
    <w:link w:val="22"/>
    <w:qFormat/>
    <w:uiPriority w:val="99"/>
    <w:rPr>
      <w:sz w:val="18"/>
      <w:szCs w:val="18"/>
    </w:rPr>
  </w:style>
  <w:style w:type="character" w:customStyle="1" w:styleId="55">
    <w:name w:val="页眉 字符"/>
    <w:link w:val="23"/>
    <w:qFormat/>
    <w:uiPriority w:val="99"/>
    <w:rPr>
      <w:sz w:val="18"/>
      <w:szCs w:val="18"/>
    </w:rPr>
  </w:style>
  <w:style w:type="character" w:customStyle="1" w:styleId="56">
    <w:name w:val="批注主题 字符"/>
    <w:link w:val="32"/>
    <w:semiHidden/>
    <w:qFormat/>
    <w:uiPriority w:val="99"/>
    <w:rPr>
      <w:b/>
      <w:bCs/>
      <w:sz w:val="21"/>
      <w:szCs w:val="21"/>
    </w:rPr>
  </w:style>
  <w:style w:type="character" w:customStyle="1" w:styleId="57">
    <w:name w:val="15"/>
    <w:qFormat/>
    <w:uiPriority w:val="0"/>
    <w:rPr>
      <w:rFonts w:hint="default" w:ascii="Times New Roman" w:hAnsi="Times New Roman" w:cs="Times New Roman"/>
      <w:b/>
      <w:bCs/>
      <w:kern w:val="44"/>
      <w:sz w:val="44"/>
      <w:szCs w:val="44"/>
    </w:rPr>
  </w:style>
  <w:style w:type="character" w:customStyle="1" w:styleId="58">
    <w:name w:val="hover1"/>
    <w:qFormat/>
    <w:uiPriority w:val="0"/>
    <w:rPr>
      <w:shd w:val="clear" w:color="auto" w:fill="EEEEEE"/>
    </w:rPr>
  </w:style>
  <w:style w:type="character" w:customStyle="1" w:styleId="59">
    <w:name w:val="old"/>
    <w:qFormat/>
    <w:uiPriority w:val="0"/>
    <w:rPr>
      <w:color w:val="999999"/>
    </w:rPr>
  </w:style>
  <w:style w:type="character" w:customStyle="1" w:styleId="60">
    <w:name w:val="hour_am"/>
    <w:qFormat/>
    <w:uiPriority w:val="0"/>
  </w:style>
  <w:style w:type="character" w:customStyle="1" w:styleId="61">
    <w:name w:val="hover"/>
    <w:qFormat/>
    <w:uiPriority w:val="0"/>
    <w:rPr>
      <w:shd w:val="clear" w:color="auto" w:fill="EEEEEE"/>
    </w:rPr>
  </w:style>
  <w:style w:type="character" w:customStyle="1" w:styleId="62">
    <w:name w:val="icon"/>
    <w:qFormat/>
    <w:uiPriority w:val="0"/>
  </w:style>
  <w:style w:type="character" w:customStyle="1" w:styleId="63">
    <w:name w:val="font11"/>
    <w:qFormat/>
    <w:uiPriority w:val="0"/>
    <w:rPr>
      <w:rFonts w:hint="default" w:ascii="华文中宋" w:hAnsi="华文中宋" w:eastAsia="华文中宋" w:cs="华文中宋"/>
      <w:color w:val="000000"/>
      <w:sz w:val="28"/>
      <w:szCs w:val="28"/>
      <w:u w:val="none"/>
    </w:rPr>
  </w:style>
  <w:style w:type="character" w:customStyle="1" w:styleId="64">
    <w:name w:val="glyphicon6"/>
    <w:qFormat/>
    <w:uiPriority w:val="0"/>
  </w:style>
  <w:style w:type="character" w:customStyle="1" w:styleId="65">
    <w:name w:val="indent"/>
    <w:qFormat/>
    <w:uiPriority w:val="0"/>
  </w:style>
  <w:style w:type="character" w:customStyle="1" w:styleId="66">
    <w:name w:val="16"/>
    <w:qFormat/>
    <w:uiPriority w:val="0"/>
    <w:rPr>
      <w:rFonts w:hint="default" w:ascii="Times New Roman" w:hAnsi="Times New Roman" w:cs="Times New Roman"/>
      <w:b/>
      <w:bCs/>
      <w:sz w:val="32"/>
      <w:szCs w:val="32"/>
    </w:rPr>
  </w:style>
  <w:style w:type="character" w:customStyle="1" w:styleId="67">
    <w:name w:val="hour_pm"/>
    <w:qFormat/>
    <w:uiPriority w:val="0"/>
  </w:style>
  <w:style w:type="character" w:customStyle="1" w:styleId="68">
    <w:name w:val="displayarti"/>
    <w:qFormat/>
    <w:uiPriority w:val="0"/>
    <w:rPr>
      <w:color w:val="FFFFFF"/>
      <w:shd w:val="clear" w:color="auto" w:fill="A00000"/>
    </w:rPr>
  </w:style>
  <w:style w:type="character" w:customStyle="1" w:styleId="69">
    <w:name w:val="glyphicon4"/>
    <w:qFormat/>
    <w:uiPriority w:val="0"/>
  </w:style>
  <w:style w:type="character" w:customStyle="1" w:styleId="70">
    <w:name w:val="font01"/>
    <w:qFormat/>
    <w:uiPriority w:val="0"/>
    <w:rPr>
      <w:rFonts w:hint="default" w:ascii="华文中宋" w:hAnsi="华文中宋" w:eastAsia="华文中宋" w:cs="华文中宋"/>
      <w:color w:val="000000"/>
      <w:sz w:val="28"/>
      <w:szCs w:val="28"/>
      <w:u w:val="none"/>
    </w:rPr>
  </w:style>
  <w:style w:type="paragraph" w:customStyle="1" w:styleId="71">
    <w:name w:val="_Style 2"/>
    <w:basedOn w:val="1"/>
    <w:qFormat/>
    <w:uiPriority w:val="0"/>
  </w:style>
  <w:style w:type="paragraph" w:customStyle="1" w:styleId="72">
    <w:name w:val="索引 11"/>
    <w:basedOn w:val="1"/>
    <w:next w:val="1"/>
    <w:qFormat/>
    <w:uiPriority w:val="0"/>
    <w:pPr>
      <w:spacing w:line="360" w:lineRule="auto"/>
    </w:pPr>
    <w:rPr>
      <w:rFonts w:ascii="仿宋_GB2312" w:eastAsia="仿宋_GB2312"/>
      <w:sz w:val="24"/>
      <w:szCs w:val="20"/>
    </w:rPr>
  </w:style>
  <w:style w:type="paragraph" w:customStyle="1" w:styleId="73">
    <w:name w:val="HTML Bottom of Form"/>
    <w:basedOn w:val="1"/>
    <w:next w:val="1"/>
    <w:qFormat/>
    <w:uiPriority w:val="0"/>
    <w:pPr>
      <w:pBdr>
        <w:top w:val="single" w:color="auto" w:sz="6" w:space="1"/>
      </w:pBdr>
      <w:jc w:val="center"/>
    </w:pPr>
    <w:rPr>
      <w:rFonts w:ascii="Arial" w:eastAsia="宋体"/>
      <w:vanish/>
      <w:sz w:val="16"/>
    </w:rPr>
  </w:style>
  <w:style w:type="paragraph" w:customStyle="1" w:styleId="74">
    <w:name w:val="正文1"/>
    <w:qFormat/>
    <w:uiPriority w:val="0"/>
    <w:pPr>
      <w:widowControl w:val="0"/>
      <w:adjustRightInd w:val="0"/>
      <w:spacing w:after="160" w:line="312" w:lineRule="atLeast"/>
      <w:jc w:val="both"/>
      <w:textAlignment w:val="baseline"/>
    </w:pPr>
    <w:rPr>
      <w:rFonts w:ascii="宋体" w:hAnsi="Calibri" w:eastAsia="宋体" w:cs="Times New Roman"/>
      <w:sz w:val="34"/>
      <w:szCs w:val="22"/>
      <w:lang w:val="en-US" w:eastAsia="zh-CN" w:bidi="ar-SA"/>
    </w:rPr>
  </w:style>
  <w:style w:type="paragraph" w:customStyle="1" w:styleId="75">
    <w:name w:val="正文缩进1"/>
    <w:basedOn w:val="1"/>
    <w:qFormat/>
    <w:uiPriority w:val="0"/>
    <w:pPr>
      <w:autoSpaceDE w:val="0"/>
      <w:autoSpaceDN w:val="0"/>
      <w:adjustRightInd w:val="0"/>
      <w:ind w:firstLine="420"/>
      <w:jc w:val="left"/>
    </w:pPr>
    <w:rPr>
      <w:rFonts w:ascii="宋体" w:hAnsi="Calibri" w:eastAsia="宋体" w:cs="Times New Roman"/>
      <w:sz w:val="24"/>
      <w:szCs w:val="22"/>
    </w:rPr>
  </w:style>
  <w:style w:type="paragraph" w:customStyle="1" w:styleId="76">
    <w:name w:val="纯文本1"/>
    <w:basedOn w:val="1"/>
    <w:qFormat/>
    <w:uiPriority w:val="0"/>
    <w:rPr>
      <w:rFonts w:ascii="宋体" w:hAnsi="Courier New" w:eastAsia="宋体" w:cs="Times New Roman"/>
      <w:szCs w:val="22"/>
    </w:rPr>
  </w:style>
  <w:style w:type="paragraph" w:customStyle="1" w:styleId="77">
    <w:name w:val="样式 样式 首行缩进:  2.57 字符 + 首行缩进:  2.57 字符"/>
    <w:basedOn w:val="1"/>
    <w:qFormat/>
    <w:uiPriority w:val="0"/>
    <w:pPr>
      <w:spacing w:line="360" w:lineRule="auto"/>
      <w:ind w:firstLine="771" w:firstLineChars="257"/>
    </w:pPr>
    <w:rPr>
      <w:rFonts w:eastAsia="仿宋" w:cs="宋体"/>
      <w:sz w:val="30"/>
      <w:szCs w:val="30"/>
    </w:rPr>
  </w:style>
  <w:style w:type="paragraph" w:customStyle="1" w:styleId="78">
    <w:name w:val="HTML Top of Form"/>
    <w:basedOn w:val="1"/>
    <w:next w:val="1"/>
    <w:qFormat/>
    <w:uiPriority w:val="0"/>
    <w:pPr>
      <w:pBdr>
        <w:bottom w:val="single" w:color="auto" w:sz="6" w:space="1"/>
      </w:pBdr>
      <w:jc w:val="center"/>
    </w:pPr>
    <w:rPr>
      <w:rFonts w:ascii="Arial" w:eastAsia="宋体"/>
      <w:vanish/>
      <w:sz w:val="16"/>
    </w:rPr>
  </w:style>
  <w:style w:type="paragraph" w:customStyle="1" w:styleId="7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80">
    <w:name w:val="List Paragraph1"/>
    <w:basedOn w:val="1"/>
    <w:qFormat/>
    <w:uiPriority w:val="0"/>
    <w:pPr>
      <w:ind w:firstLine="420" w:firstLineChars="200"/>
    </w:pPr>
    <w:rPr>
      <w:rFonts w:ascii="Cambria" w:hAnsi="Cambria" w:eastAsia="宋体" w:cs="Times New Roman"/>
      <w:sz w:val="24"/>
      <w:szCs w:val="24"/>
    </w:rPr>
  </w:style>
  <w:style w:type="paragraph" w:customStyle="1" w:styleId="81">
    <w:name w:val="Table Paragraph"/>
    <w:basedOn w:val="1"/>
    <w:qFormat/>
    <w:uiPriority w:val="1"/>
    <w:rPr>
      <w:rFonts w:ascii="宋体" w:hAnsi="宋体" w:eastAsia="宋体" w:cs="宋体"/>
      <w:lang w:val="zh-CN" w:eastAsia="zh-CN" w:bidi="zh-CN"/>
    </w:rPr>
  </w:style>
  <w:style w:type="paragraph" w:customStyle="1" w:styleId="82">
    <w:name w:val="p1"/>
    <w:basedOn w:val="1"/>
    <w:qFormat/>
    <w:uiPriority w:val="0"/>
    <w:pPr>
      <w:spacing w:before="0" w:beforeAutospacing="0" w:after="0" w:afterAutospacing="0" w:line="30" w:lineRule="atLeast"/>
      <w:ind w:left="0" w:right="0" w:firstLine="0"/>
      <w:jc w:val="center"/>
    </w:pPr>
    <w:rPr>
      <w:rFonts w:hint="eastAsia" w:ascii="宋体" w:hAnsi="宋体" w:eastAsia="宋体" w:cs="宋体"/>
      <w:kern w:val="0"/>
      <w:sz w:val="28"/>
      <w:szCs w:val="28"/>
      <w:lang w:val="en-US" w:eastAsia="zh-CN" w:bidi="ar"/>
    </w:rPr>
  </w:style>
  <w:style w:type="paragraph" w:customStyle="1" w:styleId="83">
    <w:name w:val="p2"/>
    <w:basedOn w:val="1"/>
    <w:qFormat/>
    <w:uiPriority w:val="0"/>
    <w:pPr>
      <w:spacing w:before="0" w:beforeAutospacing="0" w:after="0" w:afterAutospacing="0" w:line="30" w:lineRule="atLeast"/>
      <w:ind w:left="0" w:right="0" w:firstLine="420"/>
      <w:jc w:val="left"/>
    </w:pPr>
    <w:rPr>
      <w:rFonts w:hint="eastAsia" w:ascii="宋体" w:hAnsi="宋体" w:eastAsia="宋体" w:cs="宋体"/>
      <w:kern w:val="0"/>
      <w:sz w:val="21"/>
      <w:szCs w:val="21"/>
      <w:lang w:val="en-US" w:eastAsia="zh-CN" w:bidi="ar"/>
    </w:rPr>
  </w:style>
  <w:style w:type="character" w:customStyle="1" w:styleId="84">
    <w:name w:val="font41"/>
    <w:qFormat/>
    <w:uiPriority w:val="0"/>
    <w:rPr>
      <w:rFonts w:hint="eastAsia" w:ascii="宋体" w:hAnsi="宋体" w:eastAsia="宋体" w:cs="宋体"/>
      <w:color w:val="000000"/>
      <w:sz w:val="18"/>
      <w:szCs w:val="18"/>
      <w:u w:val="none"/>
    </w:rPr>
  </w:style>
  <w:style w:type="character" w:customStyle="1" w:styleId="85">
    <w:name w:val="font51"/>
    <w:qFormat/>
    <w:uiPriority w:val="0"/>
    <w:rPr>
      <w:rFonts w:ascii="Calibri" w:hAnsi="Calibri" w:cs="Calibri"/>
      <w:color w:val="000000"/>
      <w:sz w:val="18"/>
      <w:szCs w:val="18"/>
      <w:u w:val="none"/>
    </w:rPr>
  </w:style>
  <w:style w:type="character" w:customStyle="1" w:styleId="86">
    <w:name w:val="font31"/>
    <w:qFormat/>
    <w:uiPriority w:val="0"/>
    <w:rPr>
      <w:rFonts w:hint="eastAsia" w:ascii="宋体" w:hAnsi="宋体" w:eastAsia="宋体" w:cs="宋体"/>
      <w:color w:val="000000"/>
      <w:sz w:val="18"/>
      <w:szCs w:val="18"/>
      <w:u w:val="none"/>
    </w:rPr>
  </w:style>
  <w:style w:type="character" w:customStyle="1" w:styleId="87">
    <w:name w:val="font61"/>
    <w:qFormat/>
    <w:uiPriority w:val="0"/>
    <w:rPr>
      <w:rFonts w:ascii="Arial" w:hAnsi="Arial" w:cs="Arial"/>
      <w:color w:val="000000"/>
      <w:sz w:val="18"/>
      <w:szCs w:val="18"/>
      <w:u w:val="none"/>
    </w:rPr>
  </w:style>
  <w:style w:type="character" w:customStyle="1" w:styleId="88">
    <w:name w:val="font71"/>
    <w:qFormat/>
    <w:uiPriority w:val="0"/>
    <w:rPr>
      <w:rFonts w:hint="eastAsia" w:ascii="宋体" w:hAnsi="宋体" w:eastAsia="宋体" w:cs="宋体"/>
      <w:color w:val="000000"/>
      <w:sz w:val="18"/>
      <w:szCs w:val="18"/>
      <w:u w:val="none"/>
      <w:vertAlign w:val="superscript"/>
    </w:rPr>
  </w:style>
  <w:style w:type="character" w:customStyle="1" w:styleId="89">
    <w:name w:val="font21"/>
    <w:qFormat/>
    <w:uiPriority w:val="0"/>
    <w:rPr>
      <w:rFonts w:hint="eastAsia" w:ascii="宋体" w:hAnsi="宋体" w:eastAsia="宋体" w:cs="宋体"/>
      <w:b/>
      <w:bCs/>
      <w:color w:val="000000"/>
      <w:sz w:val="20"/>
      <w:szCs w:val="20"/>
      <w:u w:val="none"/>
    </w:rPr>
  </w:style>
  <w:style w:type="character" w:customStyle="1" w:styleId="90">
    <w:name w:val="font81"/>
    <w:qFormat/>
    <w:uiPriority w:val="0"/>
    <w:rPr>
      <w:rFonts w:hint="eastAsia" w:ascii="宋体" w:hAnsi="宋体" w:eastAsia="宋体" w:cs="宋体"/>
      <w:color w:val="FF0000"/>
      <w:sz w:val="20"/>
      <w:szCs w:val="20"/>
      <w:u w:val="none"/>
    </w:rPr>
  </w:style>
  <w:style w:type="character" w:customStyle="1" w:styleId="91">
    <w:name w:val="font91"/>
    <w:qFormat/>
    <w:uiPriority w:val="0"/>
    <w:rPr>
      <w:rFonts w:hint="eastAsia" w:ascii="宋体" w:hAnsi="宋体" w:eastAsia="宋体" w:cs="宋体"/>
      <w:color w:val="0000FF"/>
      <w:sz w:val="20"/>
      <w:szCs w:val="20"/>
      <w:u w:val="none"/>
    </w:rPr>
  </w:style>
  <w:style w:type="paragraph" w:styleId="92">
    <w:name w:val="List Paragraph"/>
    <w:basedOn w:val="1"/>
    <w:qFormat/>
    <w:uiPriority w:val="34"/>
    <w:pPr>
      <w:widowControl w:val="0"/>
      <w:ind w:firstLine="420"/>
      <w:jc w:val="both"/>
    </w:pPr>
    <w:rPr>
      <w:rFonts w:ascii="Calibri" w:hAnsi="Calibri" w:eastAsia="宋体" w:cs="Times New Roman"/>
      <w:kern w:val="2"/>
      <w:szCs w:val="24"/>
    </w:rPr>
  </w:style>
  <w:style w:type="paragraph" w:customStyle="1" w:styleId="93">
    <w:name w:val="正文缩进_3"/>
    <w:basedOn w:val="1"/>
    <w:unhideWhenUsed/>
    <w:qFormat/>
    <w:uiPriority w:val="99"/>
    <w:pPr>
      <w:widowControl w:val="0"/>
      <w:ind w:firstLine="420" w:firstLineChars="200"/>
      <w:jc w:val="both"/>
    </w:pPr>
    <w:rPr>
      <w:rFonts w:ascii="Calibri" w:hAnsi="Calibri" w:eastAsia="宋体" w:cs="Times New Roman"/>
      <w:kern w:val="2"/>
      <w:sz w:val="28"/>
      <w:szCs w:val="28"/>
    </w:rPr>
  </w:style>
  <w:style w:type="character" w:customStyle="1" w:styleId="94">
    <w:name w:val="fontstyle01"/>
    <w:qFormat/>
    <w:uiPriority w:val="0"/>
    <w:rPr>
      <w:rFonts w:hint="eastAsia" w:ascii="宋体" w:hAnsi="宋体" w:eastAsia="宋体"/>
      <w:color w:val="000000"/>
      <w:sz w:val="22"/>
      <w:szCs w:val="22"/>
    </w:rPr>
  </w:style>
  <w:style w:type="paragraph" w:customStyle="1" w:styleId="95">
    <w:name w:val="表格文字"/>
    <w:basedOn w:val="96"/>
    <w:next w:val="14"/>
    <w:qFormat/>
    <w:uiPriority w:val="0"/>
  </w:style>
  <w:style w:type="paragraph" w:customStyle="1" w:styleId="96">
    <w:name w:val="表格文字（两侧对齐）"/>
    <w:basedOn w:val="1"/>
    <w:qFormat/>
    <w:uiPriority w:val="0"/>
    <w:pPr>
      <w:snapToGrid w:val="0"/>
      <w:jc w:val="left"/>
    </w:pPr>
    <w:rPr>
      <w:rFonts w:ascii="Times New Roman" w:hAnsi="Times New Roman" w:eastAsia="宋体" w:cs="Times New Roman"/>
      <w:sz w:val="20"/>
      <w:szCs w:val="24"/>
    </w:rPr>
  </w:style>
  <w:style w:type="paragraph" w:customStyle="1" w:styleId="97">
    <w:name w:val="Normal_0"/>
    <w:qFormat/>
    <w:uiPriority w:val="0"/>
    <w:pPr>
      <w:widowControl w:val="0"/>
      <w:jc w:val="both"/>
    </w:pPr>
    <w:rPr>
      <w:rFonts w:ascii="Times New Roman" w:hAnsi="Times New Roman" w:eastAsia="宋体" w:cs="Times New Roman"/>
      <w:lang w:val="en-US" w:eastAsia="zh-CN" w:bidi="ar-SA"/>
    </w:rPr>
  </w:style>
  <w:style w:type="character" w:customStyle="1" w:styleId="98">
    <w:name w:val="NormalCharacter"/>
    <w:qFormat/>
    <w:uiPriority w:val="0"/>
    <w:rPr>
      <w:rFonts w:ascii="Calibri" w:hAnsi="Calibri" w:eastAsia="宋体" w:cs="Times New Roman"/>
      <w:kern w:val="2"/>
      <w:sz w:val="21"/>
      <w:szCs w:val="24"/>
      <w:lang w:val="en-US" w:eastAsia="zh-CN" w:bidi="ar-SA"/>
    </w:rPr>
  </w:style>
  <w:style w:type="paragraph" w:customStyle="1" w:styleId="99">
    <w:name w:val="正文 A"/>
    <w:qFormat/>
    <w:uiPriority w:val="0"/>
    <w:pPr>
      <w:widowControl w:val="0"/>
      <w:jc w:val="both"/>
    </w:pPr>
    <w:rPr>
      <w:rFonts w:ascii="Times New Roman" w:hAnsi="Times New Roman" w:eastAsia="黑体" w:cs="Times New Roman"/>
      <w:color w:val="000000"/>
      <w:kern w:val="2"/>
      <w:sz w:val="21"/>
      <w:szCs w:val="21"/>
      <w:u w:color="000000"/>
      <w:lang w:val="en-US" w:eastAsia="zh-CN" w:bidi="ar-SA"/>
    </w:rPr>
  </w:style>
  <w:style w:type="paragraph" w:customStyle="1" w:styleId="100">
    <w:name w:val="HTML 预设格式1"/>
    <w:basedOn w:val="1"/>
    <w:autoRedefine/>
    <w:qFormat/>
    <w:uiPriority w:val="0"/>
    <w:pPr>
      <w:widowControl/>
      <w:spacing w:line="330" w:lineRule="atLeast"/>
      <w:jc w:val="left"/>
    </w:pPr>
    <w:rPr>
      <w:rFonts w:ascii="Arial" w:hAnsi="Arial"/>
      <w:kern w:val="0"/>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65</Pages>
  <Words>3673</Words>
  <Characters>4103</Characters>
  <Lines>440</Lines>
  <Paragraphs>123</Paragraphs>
  <TotalTime>136</TotalTime>
  <ScaleCrop>false</ScaleCrop>
  <LinksUpToDate>false</LinksUpToDate>
  <CharactersWithSpaces>4181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2023-02-14T03:18:00Z</dcterms:created>
  <dc:creator>jsb</dc:creator>
  <cp:lastModifiedBy>〆 Azure ℡</cp:lastModifiedBy>
  <cp:lastPrinted>2025-05-15T08:24:00Z</cp:lastPrinted>
  <dcterms:modified xsi:type="dcterms:W3CDTF">2025-05-21T06:24:11Z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mondata">
    <vt:lpwstr>eyJoZGlkIjoiOTQ1ODRiOGZiMmI1YWE0ZWM5NjU4YzU2ZmNiMDhjMTgifQ==</vt:lpwstr>
  </property>
  <property fmtid="{D5CDD505-2E9C-101B-9397-08002B2CF9AE}" pid="3" name="ICV">
    <vt:lpwstr>665A153296B14E1DB9756FE8C075A379_13</vt:lpwstr>
  </property>
  <property fmtid="{D5CDD505-2E9C-101B-9397-08002B2CF9AE}" pid="4" name="KSOProductBuildVer">
    <vt:lpwstr>2052-12.1.0.20784</vt:lpwstr>
  </property>
  <property fmtid="{D5CDD505-2E9C-101B-9397-08002B2CF9AE}" pid="5" name="KSOTemplateDocerSaveRecord">
    <vt:lpwstr>eyJoZGlkIjoiMjFiNTBhNzE1MWFkMmUzNzk1YWQ4ZTQ0NGM3NjJjNWQiLCJ1c2VySWQiOiIzODQwODcwNTUifQ==</vt:lpwstr>
  </property>
</Properties>
</file>