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C68A04">
      <w:pPr>
        <w:pStyle w:val="4"/>
        <w:jc w:val="center"/>
        <w:outlineLvl w:val="1"/>
      </w:pPr>
      <w:r>
        <w:rPr>
          <w:rFonts w:hint="eastAsia" w:ascii="仿宋_GB2312" w:hAnsi="仿宋_GB2312" w:eastAsia="仿宋_GB2312" w:cs="仿宋_GB2312"/>
          <w:b/>
          <w:sz w:val="36"/>
          <w:lang w:val="en-US" w:eastAsia="zh-CN"/>
        </w:rPr>
        <w:t>采购需</w:t>
      </w:r>
      <w:bookmarkStart w:id="0" w:name="_GoBack"/>
      <w:bookmarkEnd w:id="0"/>
      <w:r>
        <w:rPr>
          <w:rFonts w:ascii="仿宋_GB2312" w:hAnsi="仿宋_GB2312" w:eastAsia="仿宋_GB2312" w:cs="仿宋_GB2312"/>
          <w:b/>
          <w:sz w:val="36"/>
        </w:rPr>
        <w:t>求</w:t>
      </w:r>
    </w:p>
    <w:p w14:paraId="42AE5AA9">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35493EB9">
      <w:pPr>
        <w:pStyle w:val="4"/>
        <w:jc w:val="left"/>
        <w:outlineLvl w:val="2"/>
      </w:pPr>
      <w:r>
        <w:rPr>
          <w:rFonts w:ascii="仿宋_GB2312" w:hAnsi="仿宋_GB2312" w:eastAsia="仿宋_GB2312" w:cs="仿宋_GB2312"/>
          <w:b/>
          <w:sz w:val="28"/>
        </w:rPr>
        <w:t>3.1.采购内容</w:t>
      </w:r>
    </w:p>
    <w:p w14:paraId="4A9ACCFA">
      <w:pPr>
        <w:pStyle w:val="4"/>
        <w:jc w:val="left"/>
      </w:pPr>
      <w:r>
        <w:rPr>
          <w:rFonts w:ascii="仿宋_GB2312" w:hAnsi="仿宋_GB2312" w:eastAsia="仿宋_GB2312" w:cs="仿宋_GB2312"/>
        </w:rPr>
        <w:t>采购包1：</w:t>
      </w:r>
    </w:p>
    <w:p w14:paraId="6FE28DA0">
      <w:pPr>
        <w:pStyle w:val="4"/>
        <w:jc w:val="left"/>
      </w:pPr>
      <w:r>
        <w:rPr>
          <w:rFonts w:ascii="仿宋_GB2312" w:hAnsi="仿宋_GB2312" w:eastAsia="仿宋_GB2312" w:cs="仿宋_GB2312"/>
        </w:rPr>
        <w:t>采购包预算金额（元）: 1,100,000.00</w:t>
      </w:r>
    </w:p>
    <w:p w14:paraId="3D0052E5">
      <w:pPr>
        <w:pStyle w:val="4"/>
        <w:jc w:val="left"/>
      </w:pPr>
      <w:r>
        <w:rPr>
          <w:rFonts w:ascii="仿宋_GB2312" w:hAnsi="仿宋_GB2312" w:eastAsia="仿宋_GB2312" w:cs="仿宋_GB2312"/>
        </w:rPr>
        <w:t>采购包最高限价（元）: 1,100,000.00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4"/>
        <w:gridCol w:w="1116"/>
        <w:gridCol w:w="762"/>
        <w:gridCol w:w="820"/>
        <w:gridCol w:w="1416"/>
        <w:gridCol w:w="704"/>
        <w:gridCol w:w="704"/>
        <w:gridCol w:w="704"/>
        <w:gridCol w:w="704"/>
        <w:gridCol w:w="574"/>
        <w:gridCol w:w="574"/>
      </w:tblGrid>
      <w:tr w14:paraId="147D85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BBDFECD">
            <w:pPr>
              <w:pStyle w:val="4"/>
              <w:jc w:val="center"/>
            </w:pPr>
            <w:r>
              <w:rPr>
                <w:rFonts w:ascii="仿宋_GB2312" w:hAnsi="仿宋_GB2312" w:eastAsia="仿宋_GB2312" w:cs="仿宋_GB2312"/>
              </w:rPr>
              <w:t>序号</w:t>
            </w:r>
          </w:p>
        </w:tc>
        <w:tc>
          <w:tcPr>
            <w:tcW w:w="821" w:type="dxa"/>
          </w:tcPr>
          <w:p w14:paraId="1B61BA50">
            <w:pPr>
              <w:pStyle w:val="4"/>
              <w:jc w:val="center"/>
            </w:pPr>
            <w:r>
              <w:rPr>
                <w:rFonts w:ascii="仿宋_GB2312" w:hAnsi="仿宋_GB2312" w:eastAsia="仿宋_GB2312" w:cs="仿宋_GB2312"/>
              </w:rPr>
              <w:t>采购品目名称</w:t>
            </w:r>
          </w:p>
        </w:tc>
        <w:tc>
          <w:tcPr>
            <w:tcW w:w="821" w:type="dxa"/>
          </w:tcPr>
          <w:p w14:paraId="33DAB402">
            <w:pPr>
              <w:pStyle w:val="4"/>
              <w:jc w:val="center"/>
            </w:pPr>
            <w:r>
              <w:rPr>
                <w:rFonts w:ascii="仿宋_GB2312" w:hAnsi="仿宋_GB2312" w:eastAsia="仿宋_GB2312" w:cs="仿宋_GB2312"/>
              </w:rPr>
              <w:t>标的名称</w:t>
            </w:r>
          </w:p>
        </w:tc>
        <w:tc>
          <w:tcPr>
            <w:tcW w:w="821" w:type="dxa"/>
          </w:tcPr>
          <w:p w14:paraId="5F003195">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C325D24">
            <w:pPr>
              <w:pStyle w:val="4"/>
              <w:jc w:val="center"/>
            </w:pPr>
            <w:r>
              <w:rPr>
                <w:rFonts w:ascii="仿宋_GB2312" w:hAnsi="仿宋_GB2312" w:eastAsia="仿宋_GB2312" w:cs="仿宋_GB2312"/>
              </w:rPr>
              <w:t>标的金额 （元）</w:t>
            </w:r>
          </w:p>
        </w:tc>
        <w:tc>
          <w:tcPr>
            <w:tcW w:w="821" w:type="dxa"/>
          </w:tcPr>
          <w:p w14:paraId="3092DBA1">
            <w:pPr>
              <w:pStyle w:val="4"/>
              <w:jc w:val="center"/>
            </w:pPr>
            <w:r>
              <w:rPr>
                <w:rFonts w:ascii="仿宋_GB2312" w:hAnsi="仿宋_GB2312" w:eastAsia="仿宋_GB2312" w:cs="仿宋_GB2312"/>
              </w:rPr>
              <w:t>所属行业</w:t>
            </w:r>
          </w:p>
        </w:tc>
        <w:tc>
          <w:tcPr>
            <w:tcW w:w="821" w:type="dxa"/>
          </w:tcPr>
          <w:p w14:paraId="25E98821">
            <w:pPr>
              <w:pStyle w:val="4"/>
              <w:jc w:val="center"/>
            </w:pPr>
            <w:r>
              <w:rPr>
                <w:rFonts w:ascii="仿宋_GB2312" w:hAnsi="仿宋_GB2312" w:eastAsia="仿宋_GB2312" w:cs="仿宋_GB2312"/>
              </w:rPr>
              <w:t>是否涉及核心产品</w:t>
            </w:r>
          </w:p>
        </w:tc>
        <w:tc>
          <w:tcPr>
            <w:tcW w:w="821" w:type="dxa"/>
          </w:tcPr>
          <w:p w14:paraId="5EE687C7">
            <w:pPr>
              <w:pStyle w:val="4"/>
              <w:jc w:val="center"/>
            </w:pPr>
            <w:r>
              <w:rPr>
                <w:rFonts w:ascii="仿宋_GB2312" w:hAnsi="仿宋_GB2312" w:eastAsia="仿宋_GB2312" w:cs="仿宋_GB2312"/>
              </w:rPr>
              <w:t>是否涉及采购进口产品</w:t>
            </w:r>
          </w:p>
        </w:tc>
        <w:tc>
          <w:tcPr>
            <w:tcW w:w="821" w:type="dxa"/>
          </w:tcPr>
          <w:p w14:paraId="5A7AA558">
            <w:pPr>
              <w:pStyle w:val="4"/>
              <w:jc w:val="center"/>
            </w:pPr>
            <w:r>
              <w:rPr>
                <w:rFonts w:ascii="仿宋_GB2312" w:hAnsi="仿宋_GB2312" w:eastAsia="仿宋_GB2312" w:cs="仿宋_GB2312"/>
              </w:rPr>
              <w:t>是否涉及强制采购节能产品</w:t>
            </w:r>
          </w:p>
        </w:tc>
        <w:tc>
          <w:tcPr>
            <w:tcW w:w="639" w:type="dxa"/>
          </w:tcPr>
          <w:p w14:paraId="75D9CA04">
            <w:pPr>
              <w:pStyle w:val="4"/>
              <w:jc w:val="center"/>
            </w:pPr>
            <w:r>
              <w:rPr>
                <w:rFonts w:ascii="仿宋_GB2312" w:hAnsi="仿宋_GB2312" w:eastAsia="仿宋_GB2312" w:cs="仿宋_GB2312"/>
              </w:rPr>
              <w:t>是否涉及优先采购节能产品</w:t>
            </w:r>
          </w:p>
        </w:tc>
        <w:tc>
          <w:tcPr>
            <w:tcW w:w="639" w:type="dxa"/>
          </w:tcPr>
          <w:p w14:paraId="0E132C63">
            <w:pPr>
              <w:pStyle w:val="4"/>
              <w:jc w:val="center"/>
            </w:pPr>
            <w:r>
              <w:rPr>
                <w:rFonts w:ascii="仿宋_GB2312" w:hAnsi="仿宋_GB2312" w:eastAsia="仿宋_GB2312" w:cs="仿宋_GB2312"/>
              </w:rPr>
              <w:t>是否涉及优先采购环境标志产品</w:t>
            </w:r>
          </w:p>
        </w:tc>
      </w:tr>
      <w:tr w14:paraId="0830F1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5B3D771">
            <w:pPr>
              <w:pStyle w:val="4"/>
              <w:jc w:val="left"/>
            </w:pPr>
            <w:r>
              <w:rPr>
                <w:rFonts w:ascii="仿宋_GB2312" w:hAnsi="仿宋_GB2312" w:eastAsia="仿宋_GB2312" w:cs="仿宋_GB2312"/>
              </w:rPr>
              <w:t>1</w:t>
            </w:r>
          </w:p>
        </w:tc>
        <w:tc>
          <w:tcPr>
            <w:tcW w:w="821" w:type="dxa"/>
          </w:tcPr>
          <w:p w14:paraId="0B5F16EE">
            <w:pPr>
              <w:pStyle w:val="4"/>
              <w:jc w:val="left"/>
            </w:pPr>
            <w:r>
              <w:rPr>
                <w:rFonts w:ascii="仿宋_GB2312" w:hAnsi="仿宋_GB2312" w:eastAsia="仿宋_GB2312" w:cs="仿宋_GB2312"/>
              </w:rPr>
              <w:t>A07029900 其他医药品</w:t>
            </w:r>
          </w:p>
        </w:tc>
        <w:tc>
          <w:tcPr>
            <w:tcW w:w="821" w:type="dxa"/>
          </w:tcPr>
          <w:p w14:paraId="3AA2F453">
            <w:pPr>
              <w:pStyle w:val="4"/>
              <w:jc w:val="left"/>
            </w:pPr>
            <w:r>
              <w:rPr>
                <w:rFonts w:ascii="仿宋_GB2312" w:hAnsi="仿宋_GB2312" w:eastAsia="仿宋_GB2312" w:cs="仿宋_GB2312"/>
              </w:rPr>
              <w:t>医用液氧、医用氧气和二氧化碳</w:t>
            </w:r>
          </w:p>
        </w:tc>
        <w:tc>
          <w:tcPr>
            <w:tcW w:w="821" w:type="dxa"/>
          </w:tcPr>
          <w:p w14:paraId="47C7CC2C">
            <w:pPr>
              <w:pStyle w:val="4"/>
              <w:jc w:val="right"/>
            </w:pPr>
            <w:r>
              <w:rPr>
                <w:rFonts w:ascii="仿宋_GB2312" w:hAnsi="仿宋_GB2312" w:eastAsia="仿宋_GB2312" w:cs="仿宋_GB2312"/>
              </w:rPr>
              <w:t>1.00（批）</w:t>
            </w:r>
          </w:p>
        </w:tc>
        <w:tc>
          <w:tcPr>
            <w:tcW w:w="821" w:type="dxa"/>
          </w:tcPr>
          <w:p w14:paraId="6FC5CE33">
            <w:pPr>
              <w:pStyle w:val="4"/>
              <w:jc w:val="right"/>
            </w:pPr>
            <w:r>
              <w:rPr>
                <w:rFonts w:ascii="仿宋_GB2312" w:hAnsi="仿宋_GB2312" w:eastAsia="仿宋_GB2312" w:cs="仿宋_GB2312"/>
              </w:rPr>
              <w:t>1,100,000.00</w:t>
            </w:r>
          </w:p>
        </w:tc>
        <w:tc>
          <w:tcPr>
            <w:tcW w:w="821" w:type="dxa"/>
          </w:tcPr>
          <w:p w14:paraId="741B106A">
            <w:pPr>
              <w:pStyle w:val="4"/>
              <w:jc w:val="left"/>
            </w:pPr>
            <w:r>
              <w:rPr>
                <w:rFonts w:ascii="仿宋_GB2312" w:hAnsi="仿宋_GB2312" w:eastAsia="仿宋_GB2312" w:cs="仿宋_GB2312"/>
              </w:rPr>
              <w:t>工业</w:t>
            </w:r>
          </w:p>
        </w:tc>
        <w:tc>
          <w:tcPr>
            <w:tcW w:w="821" w:type="dxa"/>
          </w:tcPr>
          <w:p w14:paraId="21F8A7D5">
            <w:pPr>
              <w:pStyle w:val="4"/>
              <w:jc w:val="left"/>
            </w:pPr>
            <w:r>
              <w:rPr>
                <w:rFonts w:ascii="仿宋_GB2312" w:hAnsi="仿宋_GB2312" w:eastAsia="仿宋_GB2312" w:cs="仿宋_GB2312"/>
              </w:rPr>
              <w:t>是</w:t>
            </w:r>
          </w:p>
        </w:tc>
        <w:tc>
          <w:tcPr>
            <w:tcW w:w="821" w:type="dxa"/>
          </w:tcPr>
          <w:p w14:paraId="36E3B354">
            <w:pPr>
              <w:pStyle w:val="4"/>
              <w:jc w:val="left"/>
            </w:pPr>
            <w:r>
              <w:rPr>
                <w:rFonts w:ascii="仿宋_GB2312" w:hAnsi="仿宋_GB2312" w:eastAsia="仿宋_GB2312" w:cs="仿宋_GB2312"/>
              </w:rPr>
              <w:t>否</w:t>
            </w:r>
          </w:p>
        </w:tc>
        <w:tc>
          <w:tcPr>
            <w:tcW w:w="821" w:type="dxa"/>
          </w:tcPr>
          <w:p w14:paraId="17F6F16E">
            <w:pPr>
              <w:pStyle w:val="4"/>
              <w:jc w:val="left"/>
            </w:pPr>
            <w:r>
              <w:rPr>
                <w:rFonts w:ascii="仿宋_GB2312" w:hAnsi="仿宋_GB2312" w:eastAsia="仿宋_GB2312" w:cs="仿宋_GB2312"/>
              </w:rPr>
              <w:t>否</w:t>
            </w:r>
          </w:p>
        </w:tc>
        <w:tc>
          <w:tcPr>
            <w:tcW w:w="639" w:type="dxa"/>
          </w:tcPr>
          <w:p w14:paraId="71F432F5">
            <w:pPr>
              <w:pStyle w:val="4"/>
              <w:jc w:val="left"/>
            </w:pPr>
            <w:r>
              <w:rPr>
                <w:rFonts w:ascii="仿宋_GB2312" w:hAnsi="仿宋_GB2312" w:eastAsia="仿宋_GB2312" w:cs="仿宋_GB2312"/>
              </w:rPr>
              <w:t>否</w:t>
            </w:r>
          </w:p>
        </w:tc>
        <w:tc>
          <w:tcPr>
            <w:tcW w:w="639" w:type="dxa"/>
          </w:tcPr>
          <w:p w14:paraId="14C4B9A8">
            <w:pPr>
              <w:pStyle w:val="4"/>
              <w:jc w:val="left"/>
            </w:pPr>
            <w:r>
              <w:rPr>
                <w:rFonts w:ascii="仿宋_GB2312" w:hAnsi="仿宋_GB2312" w:eastAsia="仿宋_GB2312" w:cs="仿宋_GB2312"/>
              </w:rPr>
              <w:t>否</w:t>
            </w:r>
          </w:p>
        </w:tc>
      </w:tr>
    </w:tbl>
    <w:p w14:paraId="08D88EF7">
      <w:pPr>
        <w:pStyle w:val="4"/>
        <w:jc w:val="left"/>
      </w:pPr>
      <w:r>
        <w:rPr>
          <w:rFonts w:ascii="仿宋_GB2312" w:hAnsi="仿宋_GB2312" w:eastAsia="仿宋_GB2312" w:cs="仿宋_GB2312"/>
        </w:rPr>
        <w:t>是否适用本国产品标准：是</w:t>
      </w:r>
    </w:p>
    <w:p w14:paraId="4DB8E387">
      <w:pPr>
        <w:pStyle w:val="4"/>
        <w:jc w:val="left"/>
        <w:outlineLvl w:val="3"/>
      </w:pPr>
      <w:r>
        <w:rPr>
          <w:rFonts w:ascii="仿宋_GB2312" w:hAnsi="仿宋_GB2312" w:eastAsia="仿宋_GB2312" w:cs="仿宋_GB2312"/>
          <w:b/>
          <w:sz w:val="24"/>
        </w:rPr>
        <w:t>报价要求</w:t>
      </w:r>
    </w:p>
    <w:p w14:paraId="5EDADF7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3F9196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2C75947E">
            <w:pPr>
              <w:pStyle w:val="4"/>
              <w:jc w:val="center"/>
            </w:pPr>
            <w:r>
              <w:rPr>
                <w:rFonts w:ascii="仿宋_GB2312" w:hAnsi="仿宋_GB2312" w:eastAsia="仿宋_GB2312" w:cs="仿宋_GB2312"/>
              </w:rPr>
              <w:t>序号</w:t>
            </w:r>
          </w:p>
        </w:tc>
        <w:tc>
          <w:tcPr>
            <w:tcW w:w="1759" w:type="dxa"/>
          </w:tcPr>
          <w:p w14:paraId="681F823D">
            <w:pPr>
              <w:pStyle w:val="4"/>
              <w:jc w:val="center"/>
            </w:pPr>
            <w:r>
              <w:rPr>
                <w:rFonts w:ascii="仿宋_GB2312" w:hAnsi="仿宋_GB2312" w:eastAsia="仿宋_GB2312" w:cs="仿宋_GB2312"/>
              </w:rPr>
              <w:t>报价内容</w:t>
            </w:r>
          </w:p>
        </w:tc>
        <w:tc>
          <w:tcPr>
            <w:tcW w:w="977" w:type="dxa"/>
          </w:tcPr>
          <w:p w14:paraId="75777265">
            <w:pPr>
              <w:pStyle w:val="4"/>
              <w:jc w:val="center"/>
            </w:pPr>
            <w:r>
              <w:rPr>
                <w:rFonts w:ascii="仿宋_GB2312" w:hAnsi="仿宋_GB2312" w:eastAsia="仿宋_GB2312" w:cs="仿宋_GB2312"/>
              </w:rPr>
              <w:t>计量单位</w:t>
            </w:r>
          </w:p>
        </w:tc>
        <w:tc>
          <w:tcPr>
            <w:tcW w:w="977" w:type="dxa"/>
          </w:tcPr>
          <w:p w14:paraId="5F7867C0">
            <w:pPr>
              <w:pStyle w:val="4"/>
              <w:jc w:val="center"/>
            </w:pPr>
            <w:r>
              <w:rPr>
                <w:rFonts w:ascii="仿宋_GB2312" w:hAnsi="仿宋_GB2312" w:eastAsia="仿宋_GB2312" w:cs="仿宋_GB2312"/>
              </w:rPr>
              <w:t>报价单位</w:t>
            </w:r>
          </w:p>
        </w:tc>
        <w:tc>
          <w:tcPr>
            <w:tcW w:w="1466" w:type="dxa"/>
          </w:tcPr>
          <w:p w14:paraId="0E8610FE">
            <w:pPr>
              <w:pStyle w:val="4"/>
              <w:jc w:val="center"/>
            </w:pPr>
            <w:r>
              <w:rPr>
                <w:rFonts w:ascii="仿宋_GB2312" w:hAnsi="仿宋_GB2312" w:eastAsia="仿宋_GB2312" w:cs="仿宋_GB2312"/>
              </w:rPr>
              <w:t>最高限价</w:t>
            </w:r>
          </w:p>
        </w:tc>
        <w:tc>
          <w:tcPr>
            <w:tcW w:w="977" w:type="dxa"/>
          </w:tcPr>
          <w:p w14:paraId="0E6AA33A">
            <w:pPr>
              <w:pStyle w:val="4"/>
              <w:jc w:val="center"/>
            </w:pPr>
            <w:r>
              <w:rPr>
                <w:rFonts w:ascii="仿宋_GB2312" w:hAnsi="仿宋_GB2312" w:eastAsia="仿宋_GB2312" w:cs="仿宋_GB2312"/>
              </w:rPr>
              <w:t>价款形式</w:t>
            </w:r>
          </w:p>
        </w:tc>
        <w:tc>
          <w:tcPr>
            <w:tcW w:w="1466" w:type="dxa"/>
          </w:tcPr>
          <w:p w14:paraId="6F98D43D">
            <w:pPr>
              <w:pStyle w:val="4"/>
              <w:jc w:val="center"/>
            </w:pPr>
            <w:r>
              <w:rPr>
                <w:rFonts w:ascii="仿宋_GB2312" w:hAnsi="仿宋_GB2312" w:eastAsia="仿宋_GB2312" w:cs="仿宋_GB2312"/>
              </w:rPr>
              <w:t>报价说明</w:t>
            </w:r>
          </w:p>
        </w:tc>
      </w:tr>
      <w:tr w14:paraId="5F9835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28C4AF08">
            <w:pPr>
              <w:pStyle w:val="4"/>
              <w:jc w:val="center"/>
            </w:pPr>
            <w:r>
              <w:rPr>
                <w:rFonts w:ascii="仿宋_GB2312" w:hAnsi="仿宋_GB2312" w:eastAsia="仿宋_GB2312" w:cs="仿宋_GB2312"/>
              </w:rPr>
              <w:t>1</w:t>
            </w:r>
          </w:p>
        </w:tc>
        <w:tc>
          <w:tcPr>
            <w:tcW w:w="1759" w:type="dxa"/>
          </w:tcPr>
          <w:p w14:paraId="38C475EC">
            <w:pPr>
              <w:pStyle w:val="4"/>
              <w:jc w:val="center"/>
            </w:pPr>
            <w:r>
              <w:rPr>
                <w:rFonts w:ascii="仿宋_GB2312" w:hAnsi="仿宋_GB2312" w:eastAsia="仿宋_GB2312" w:cs="仿宋_GB2312"/>
              </w:rPr>
              <w:t>医用液氧、医用氧气和二氧化碳</w:t>
            </w:r>
          </w:p>
        </w:tc>
        <w:tc>
          <w:tcPr>
            <w:tcW w:w="977" w:type="dxa"/>
          </w:tcPr>
          <w:p w14:paraId="2FF7DE55">
            <w:pPr>
              <w:pStyle w:val="4"/>
              <w:jc w:val="center"/>
            </w:pPr>
            <w:r>
              <w:rPr>
                <w:rFonts w:ascii="仿宋_GB2312" w:hAnsi="仿宋_GB2312" w:eastAsia="仿宋_GB2312" w:cs="仿宋_GB2312"/>
              </w:rPr>
              <w:t>批</w:t>
            </w:r>
          </w:p>
        </w:tc>
        <w:tc>
          <w:tcPr>
            <w:tcW w:w="977" w:type="dxa"/>
          </w:tcPr>
          <w:p w14:paraId="365EEDFD">
            <w:pPr>
              <w:pStyle w:val="4"/>
              <w:jc w:val="center"/>
            </w:pPr>
            <w:r>
              <w:rPr>
                <w:rFonts w:ascii="仿宋_GB2312" w:hAnsi="仿宋_GB2312" w:eastAsia="仿宋_GB2312" w:cs="仿宋_GB2312"/>
              </w:rPr>
              <w:t>%</w:t>
            </w:r>
          </w:p>
        </w:tc>
        <w:tc>
          <w:tcPr>
            <w:tcW w:w="1466" w:type="dxa"/>
          </w:tcPr>
          <w:p w14:paraId="2B99CCC5">
            <w:pPr>
              <w:pStyle w:val="4"/>
              <w:jc w:val="center"/>
            </w:pPr>
            <w:r>
              <w:rPr>
                <w:rFonts w:ascii="仿宋_GB2312" w:hAnsi="仿宋_GB2312" w:eastAsia="仿宋_GB2312" w:cs="仿宋_GB2312"/>
              </w:rPr>
              <w:t>100.00</w:t>
            </w:r>
          </w:p>
        </w:tc>
        <w:tc>
          <w:tcPr>
            <w:tcW w:w="977" w:type="dxa"/>
          </w:tcPr>
          <w:p w14:paraId="29405DEC">
            <w:pPr>
              <w:pStyle w:val="4"/>
              <w:jc w:val="center"/>
            </w:pPr>
            <w:r>
              <w:rPr>
                <w:rFonts w:ascii="仿宋_GB2312" w:hAnsi="仿宋_GB2312" w:eastAsia="仿宋_GB2312" w:cs="仿宋_GB2312"/>
              </w:rPr>
              <w:t>百分比</w:t>
            </w:r>
          </w:p>
        </w:tc>
        <w:tc>
          <w:tcPr>
            <w:tcW w:w="1466" w:type="dxa"/>
          </w:tcPr>
          <w:p w14:paraId="572213BC">
            <w:pPr>
              <w:pStyle w:val="4"/>
              <w:jc w:val="left"/>
            </w:pPr>
            <w:r>
              <w:rPr>
                <w:rFonts w:ascii="仿宋_GB2312" w:hAnsi="仿宋_GB2312" w:eastAsia="仿宋_GB2312" w:cs="仿宋_GB2312"/>
              </w:rPr>
              <w:t>注：1.本项目在招标文件已经规定的所有产品单价限价的基础上报统一折扣百分比。 2.供应商针对本次采购的产品报统一折扣百分比，在供货期内据实结算（产品单价结算价格=单价最高限价×中标折扣百分比。举例：某产品单价最高限价为10元，中标折扣百分比为90%，则该产品单价结算金额为10×90%=9元）。</w:t>
            </w:r>
          </w:p>
        </w:tc>
      </w:tr>
    </w:tbl>
    <w:p w14:paraId="2B02EF04">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3D9F0267">
      <w:pPr>
        <w:pStyle w:val="4"/>
        <w:jc w:val="left"/>
        <w:outlineLvl w:val="3"/>
      </w:pPr>
      <w:r>
        <w:rPr>
          <w:rFonts w:ascii="仿宋_GB2312" w:hAnsi="仿宋_GB2312" w:eastAsia="仿宋_GB2312" w:cs="仿宋_GB2312"/>
          <w:b/>
          <w:sz w:val="24"/>
        </w:rPr>
        <w:t>本项目涉及核心产品：</w:t>
      </w:r>
    </w:p>
    <w:p w14:paraId="3E059DE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F169D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60EC3BF">
            <w:pPr>
              <w:pStyle w:val="4"/>
              <w:jc w:val="center"/>
            </w:pPr>
            <w:r>
              <w:rPr>
                <w:rFonts w:ascii="仿宋_GB2312" w:hAnsi="仿宋_GB2312" w:eastAsia="仿宋_GB2312" w:cs="仿宋_GB2312"/>
              </w:rPr>
              <w:t>序号</w:t>
            </w:r>
          </w:p>
        </w:tc>
        <w:tc>
          <w:tcPr>
            <w:tcW w:w="2492" w:type="dxa"/>
          </w:tcPr>
          <w:p w14:paraId="2BD6A7EF">
            <w:pPr>
              <w:pStyle w:val="4"/>
              <w:jc w:val="center"/>
            </w:pPr>
            <w:r>
              <w:rPr>
                <w:rFonts w:ascii="仿宋_GB2312" w:hAnsi="仿宋_GB2312" w:eastAsia="仿宋_GB2312" w:cs="仿宋_GB2312"/>
              </w:rPr>
              <w:t>采购品目名称</w:t>
            </w:r>
          </w:p>
        </w:tc>
        <w:tc>
          <w:tcPr>
            <w:tcW w:w="2492" w:type="dxa"/>
          </w:tcPr>
          <w:p w14:paraId="67C374CA">
            <w:pPr>
              <w:pStyle w:val="4"/>
              <w:jc w:val="center"/>
            </w:pPr>
            <w:r>
              <w:rPr>
                <w:rFonts w:ascii="仿宋_GB2312" w:hAnsi="仿宋_GB2312" w:eastAsia="仿宋_GB2312" w:cs="仿宋_GB2312"/>
              </w:rPr>
              <w:t>标的名称</w:t>
            </w:r>
          </w:p>
        </w:tc>
        <w:tc>
          <w:tcPr>
            <w:tcW w:w="2492" w:type="dxa"/>
          </w:tcPr>
          <w:p w14:paraId="665631EF">
            <w:pPr>
              <w:pStyle w:val="4"/>
              <w:jc w:val="center"/>
            </w:pPr>
            <w:r>
              <w:rPr>
                <w:rFonts w:ascii="仿宋_GB2312" w:hAnsi="仿宋_GB2312" w:eastAsia="仿宋_GB2312" w:cs="仿宋_GB2312"/>
              </w:rPr>
              <w:t>产品名称</w:t>
            </w:r>
          </w:p>
        </w:tc>
      </w:tr>
      <w:tr w14:paraId="7DCAC8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DAA7150">
            <w:pPr>
              <w:pStyle w:val="4"/>
              <w:jc w:val="left"/>
            </w:pPr>
            <w:r>
              <w:rPr>
                <w:rFonts w:ascii="仿宋_GB2312" w:hAnsi="仿宋_GB2312" w:eastAsia="仿宋_GB2312" w:cs="仿宋_GB2312"/>
              </w:rPr>
              <w:t>1</w:t>
            </w:r>
          </w:p>
        </w:tc>
        <w:tc>
          <w:tcPr>
            <w:tcW w:w="2492" w:type="dxa"/>
          </w:tcPr>
          <w:p w14:paraId="53FE00F2">
            <w:pPr>
              <w:pStyle w:val="4"/>
              <w:jc w:val="left"/>
            </w:pPr>
            <w:r>
              <w:rPr>
                <w:rFonts w:ascii="仿宋_GB2312" w:hAnsi="仿宋_GB2312" w:eastAsia="仿宋_GB2312" w:cs="仿宋_GB2312"/>
              </w:rPr>
              <w:t>A07029900 其他医药品</w:t>
            </w:r>
          </w:p>
        </w:tc>
        <w:tc>
          <w:tcPr>
            <w:tcW w:w="2492" w:type="dxa"/>
          </w:tcPr>
          <w:p w14:paraId="54DD540B">
            <w:pPr>
              <w:pStyle w:val="4"/>
              <w:jc w:val="left"/>
            </w:pPr>
            <w:r>
              <w:rPr>
                <w:rFonts w:ascii="仿宋_GB2312" w:hAnsi="仿宋_GB2312" w:eastAsia="仿宋_GB2312" w:cs="仿宋_GB2312"/>
              </w:rPr>
              <w:t>医用液氧、医用氧气和二氧化碳</w:t>
            </w:r>
          </w:p>
        </w:tc>
        <w:tc>
          <w:tcPr>
            <w:tcW w:w="2492" w:type="dxa"/>
          </w:tcPr>
          <w:p w14:paraId="5CE9F8B9">
            <w:pPr>
              <w:pStyle w:val="4"/>
              <w:jc w:val="left"/>
            </w:pPr>
            <w:r>
              <w:rPr>
                <w:rFonts w:ascii="仿宋_GB2312" w:hAnsi="仿宋_GB2312" w:eastAsia="仿宋_GB2312" w:cs="仿宋_GB2312"/>
              </w:rPr>
              <w:t>医用液氧</w:t>
            </w:r>
          </w:p>
        </w:tc>
      </w:tr>
    </w:tbl>
    <w:p w14:paraId="2A21D0E6">
      <w:pPr>
        <w:pStyle w:val="4"/>
        <w:ind w:firstLine="480"/>
        <w:jc w:val="left"/>
      </w:pPr>
      <w:r>
        <w:rPr>
          <w:rFonts w:ascii="仿宋_GB2312" w:hAnsi="仿宋_GB2312" w:eastAsia="仿宋_GB2312" w:cs="仿宋_GB2312"/>
        </w:rPr>
        <w:t>注：涉及核心产品的，具体评审规定见第五章。</w:t>
      </w:r>
    </w:p>
    <w:p w14:paraId="4E85F77B">
      <w:pPr>
        <w:pStyle w:val="4"/>
        <w:jc w:val="left"/>
        <w:outlineLvl w:val="3"/>
      </w:pPr>
      <w:r>
        <w:rPr>
          <w:rFonts w:ascii="仿宋_GB2312" w:hAnsi="仿宋_GB2312" w:eastAsia="仿宋_GB2312" w:cs="仿宋_GB2312"/>
          <w:b/>
          <w:sz w:val="24"/>
        </w:rPr>
        <w:t>本项目涉及采购进口产品：</w:t>
      </w:r>
    </w:p>
    <w:p w14:paraId="2B2921F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03516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7E5240A9">
            <w:pPr>
              <w:pStyle w:val="4"/>
              <w:jc w:val="center"/>
            </w:pPr>
            <w:r>
              <w:rPr>
                <w:rFonts w:ascii="仿宋_GB2312" w:hAnsi="仿宋_GB2312" w:eastAsia="仿宋_GB2312" w:cs="仿宋_GB2312"/>
              </w:rPr>
              <w:t>序号</w:t>
            </w:r>
          </w:p>
        </w:tc>
        <w:tc>
          <w:tcPr>
            <w:tcW w:w="2492" w:type="dxa"/>
          </w:tcPr>
          <w:p w14:paraId="24ACA0A7">
            <w:pPr>
              <w:pStyle w:val="4"/>
              <w:jc w:val="center"/>
            </w:pPr>
            <w:r>
              <w:rPr>
                <w:rFonts w:ascii="仿宋_GB2312" w:hAnsi="仿宋_GB2312" w:eastAsia="仿宋_GB2312" w:cs="仿宋_GB2312"/>
              </w:rPr>
              <w:t>采购品目名称</w:t>
            </w:r>
          </w:p>
        </w:tc>
        <w:tc>
          <w:tcPr>
            <w:tcW w:w="2492" w:type="dxa"/>
          </w:tcPr>
          <w:p w14:paraId="61B89FBE">
            <w:pPr>
              <w:pStyle w:val="4"/>
              <w:jc w:val="center"/>
            </w:pPr>
            <w:r>
              <w:rPr>
                <w:rFonts w:ascii="仿宋_GB2312" w:hAnsi="仿宋_GB2312" w:eastAsia="仿宋_GB2312" w:cs="仿宋_GB2312"/>
              </w:rPr>
              <w:t>标的名称</w:t>
            </w:r>
          </w:p>
        </w:tc>
        <w:tc>
          <w:tcPr>
            <w:tcW w:w="2492" w:type="dxa"/>
          </w:tcPr>
          <w:p w14:paraId="5CB861E5">
            <w:pPr>
              <w:pStyle w:val="4"/>
              <w:jc w:val="center"/>
            </w:pPr>
            <w:r>
              <w:rPr>
                <w:rFonts w:ascii="仿宋_GB2312" w:hAnsi="仿宋_GB2312" w:eastAsia="仿宋_GB2312" w:cs="仿宋_GB2312"/>
              </w:rPr>
              <w:t>产品名称</w:t>
            </w:r>
          </w:p>
        </w:tc>
      </w:tr>
      <w:tr w14:paraId="67351D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878F01D">
            <w:pPr>
              <w:pStyle w:val="4"/>
              <w:jc w:val="center"/>
            </w:pPr>
            <w:r>
              <w:rPr>
                <w:rFonts w:ascii="仿宋_GB2312" w:hAnsi="仿宋_GB2312" w:eastAsia="仿宋_GB2312" w:cs="仿宋_GB2312"/>
              </w:rPr>
              <w:t>不涉及</w:t>
            </w:r>
          </w:p>
        </w:tc>
      </w:tr>
    </w:tbl>
    <w:p w14:paraId="2B489C15">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5A1A2C5A">
      <w:pPr>
        <w:pStyle w:val="4"/>
        <w:jc w:val="left"/>
        <w:outlineLvl w:val="3"/>
      </w:pPr>
      <w:r>
        <w:rPr>
          <w:rFonts w:ascii="仿宋_GB2312" w:hAnsi="仿宋_GB2312" w:eastAsia="仿宋_GB2312" w:cs="仿宋_GB2312"/>
          <w:b/>
          <w:sz w:val="24"/>
        </w:rPr>
        <w:t>本项目涉及强制采购节能产品：</w:t>
      </w:r>
    </w:p>
    <w:p w14:paraId="4570AEB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D6EB8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B37CCC2">
            <w:pPr>
              <w:pStyle w:val="4"/>
              <w:jc w:val="center"/>
            </w:pPr>
            <w:r>
              <w:rPr>
                <w:rFonts w:ascii="仿宋_GB2312" w:hAnsi="仿宋_GB2312" w:eastAsia="仿宋_GB2312" w:cs="仿宋_GB2312"/>
              </w:rPr>
              <w:t>序号</w:t>
            </w:r>
          </w:p>
        </w:tc>
        <w:tc>
          <w:tcPr>
            <w:tcW w:w="2492" w:type="dxa"/>
          </w:tcPr>
          <w:p w14:paraId="4C638019">
            <w:pPr>
              <w:pStyle w:val="4"/>
              <w:jc w:val="center"/>
            </w:pPr>
            <w:r>
              <w:rPr>
                <w:rFonts w:ascii="仿宋_GB2312" w:hAnsi="仿宋_GB2312" w:eastAsia="仿宋_GB2312" w:cs="仿宋_GB2312"/>
              </w:rPr>
              <w:t>采购品目名称</w:t>
            </w:r>
          </w:p>
        </w:tc>
        <w:tc>
          <w:tcPr>
            <w:tcW w:w="2492" w:type="dxa"/>
          </w:tcPr>
          <w:p w14:paraId="3E1A5949">
            <w:pPr>
              <w:pStyle w:val="4"/>
              <w:jc w:val="center"/>
            </w:pPr>
            <w:r>
              <w:rPr>
                <w:rFonts w:ascii="仿宋_GB2312" w:hAnsi="仿宋_GB2312" w:eastAsia="仿宋_GB2312" w:cs="仿宋_GB2312"/>
              </w:rPr>
              <w:t>标的名称</w:t>
            </w:r>
          </w:p>
        </w:tc>
        <w:tc>
          <w:tcPr>
            <w:tcW w:w="2492" w:type="dxa"/>
          </w:tcPr>
          <w:p w14:paraId="6ED0B280">
            <w:pPr>
              <w:pStyle w:val="4"/>
              <w:jc w:val="center"/>
            </w:pPr>
            <w:r>
              <w:rPr>
                <w:rFonts w:ascii="仿宋_GB2312" w:hAnsi="仿宋_GB2312" w:eastAsia="仿宋_GB2312" w:cs="仿宋_GB2312"/>
              </w:rPr>
              <w:t>产品名称</w:t>
            </w:r>
          </w:p>
        </w:tc>
      </w:tr>
      <w:tr w14:paraId="1D7AC5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EA27519">
            <w:pPr>
              <w:pStyle w:val="4"/>
              <w:jc w:val="center"/>
            </w:pPr>
            <w:r>
              <w:rPr>
                <w:rFonts w:ascii="仿宋_GB2312" w:hAnsi="仿宋_GB2312" w:eastAsia="仿宋_GB2312" w:cs="仿宋_GB2312"/>
              </w:rPr>
              <w:t>不涉及</w:t>
            </w:r>
          </w:p>
        </w:tc>
      </w:tr>
    </w:tbl>
    <w:p w14:paraId="74D735E5">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58C89F2C">
      <w:pPr>
        <w:pStyle w:val="4"/>
        <w:jc w:val="left"/>
      </w:pPr>
      <w:r>
        <w:rPr>
          <w:rFonts w:ascii="仿宋_GB2312" w:hAnsi="仿宋_GB2312" w:eastAsia="仿宋_GB2312" w:cs="仿宋_GB2312"/>
          <w:b/>
        </w:rPr>
        <w:t>本项目涉及优先采购节能产品：</w:t>
      </w:r>
    </w:p>
    <w:p w14:paraId="6D41CCB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14EA2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9FB6DF9">
            <w:pPr>
              <w:pStyle w:val="4"/>
              <w:jc w:val="center"/>
            </w:pPr>
            <w:r>
              <w:rPr>
                <w:rFonts w:ascii="仿宋_GB2312" w:hAnsi="仿宋_GB2312" w:eastAsia="仿宋_GB2312" w:cs="仿宋_GB2312"/>
              </w:rPr>
              <w:t>序号</w:t>
            </w:r>
          </w:p>
        </w:tc>
        <w:tc>
          <w:tcPr>
            <w:tcW w:w="2492" w:type="dxa"/>
          </w:tcPr>
          <w:p w14:paraId="1E073E68">
            <w:pPr>
              <w:pStyle w:val="4"/>
              <w:jc w:val="center"/>
            </w:pPr>
            <w:r>
              <w:rPr>
                <w:rFonts w:ascii="仿宋_GB2312" w:hAnsi="仿宋_GB2312" w:eastAsia="仿宋_GB2312" w:cs="仿宋_GB2312"/>
              </w:rPr>
              <w:t>采购品目名称</w:t>
            </w:r>
          </w:p>
        </w:tc>
        <w:tc>
          <w:tcPr>
            <w:tcW w:w="2492" w:type="dxa"/>
          </w:tcPr>
          <w:p w14:paraId="7579704B">
            <w:pPr>
              <w:pStyle w:val="4"/>
              <w:jc w:val="center"/>
            </w:pPr>
            <w:r>
              <w:rPr>
                <w:rFonts w:ascii="仿宋_GB2312" w:hAnsi="仿宋_GB2312" w:eastAsia="仿宋_GB2312" w:cs="仿宋_GB2312"/>
              </w:rPr>
              <w:t>标的名称</w:t>
            </w:r>
          </w:p>
        </w:tc>
        <w:tc>
          <w:tcPr>
            <w:tcW w:w="2492" w:type="dxa"/>
          </w:tcPr>
          <w:p w14:paraId="35C0E68B">
            <w:pPr>
              <w:pStyle w:val="4"/>
              <w:jc w:val="center"/>
            </w:pPr>
            <w:r>
              <w:rPr>
                <w:rFonts w:ascii="仿宋_GB2312" w:hAnsi="仿宋_GB2312" w:eastAsia="仿宋_GB2312" w:cs="仿宋_GB2312"/>
              </w:rPr>
              <w:t>产品名称</w:t>
            </w:r>
          </w:p>
        </w:tc>
      </w:tr>
      <w:tr w14:paraId="11D344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E7017C5">
            <w:pPr>
              <w:pStyle w:val="4"/>
              <w:jc w:val="center"/>
            </w:pPr>
            <w:r>
              <w:rPr>
                <w:rFonts w:ascii="仿宋_GB2312" w:hAnsi="仿宋_GB2312" w:eastAsia="仿宋_GB2312" w:cs="仿宋_GB2312"/>
              </w:rPr>
              <w:t>不涉及</w:t>
            </w:r>
          </w:p>
        </w:tc>
      </w:tr>
    </w:tbl>
    <w:p w14:paraId="33A8704E">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0676419D">
      <w:pPr>
        <w:pStyle w:val="4"/>
        <w:jc w:val="left"/>
        <w:outlineLvl w:val="3"/>
      </w:pPr>
      <w:r>
        <w:rPr>
          <w:rFonts w:ascii="仿宋_GB2312" w:hAnsi="仿宋_GB2312" w:eastAsia="仿宋_GB2312" w:cs="仿宋_GB2312"/>
          <w:b/>
          <w:sz w:val="24"/>
        </w:rPr>
        <w:t>本项目涉及优先采购环境标志产品：</w:t>
      </w:r>
    </w:p>
    <w:p w14:paraId="7218C96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A4FBC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7A517F">
            <w:pPr>
              <w:pStyle w:val="4"/>
              <w:jc w:val="center"/>
            </w:pPr>
            <w:r>
              <w:rPr>
                <w:rFonts w:ascii="仿宋_GB2312" w:hAnsi="仿宋_GB2312" w:eastAsia="仿宋_GB2312" w:cs="仿宋_GB2312"/>
              </w:rPr>
              <w:t>序号</w:t>
            </w:r>
          </w:p>
        </w:tc>
        <w:tc>
          <w:tcPr>
            <w:tcW w:w="2492" w:type="dxa"/>
          </w:tcPr>
          <w:p w14:paraId="45C0D593">
            <w:pPr>
              <w:pStyle w:val="4"/>
              <w:jc w:val="center"/>
            </w:pPr>
            <w:r>
              <w:rPr>
                <w:rFonts w:ascii="仿宋_GB2312" w:hAnsi="仿宋_GB2312" w:eastAsia="仿宋_GB2312" w:cs="仿宋_GB2312"/>
              </w:rPr>
              <w:t>采购品目名称</w:t>
            </w:r>
          </w:p>
        </w:tc>
        <w:tc>
          <w:tcPr>
            <w:tcW w:w="2492" w:type="dxa"/>
          </w:tcPr>
          <w:p w14:paraId="55451E95">
            <w:pPr>
              <w:pStyle w:val="4"/>
              <w:jc w:val="center"/>
            </w:pPr>
            <w:r>
              <w:rPr>
                <w:rFonts w:ascii="仿宋_GB2312" w:hAnsi="仿宋_GB2312" w:eastAsia="仿宋_GB2312" w:cs="仿宋_GB2312"/>
              </w:rPr>
              <w:t>标的名称</w:t>
            </w:r>
          </w:p>
        </w:tc>
        <w:tc>
          <w:tcPr>
            <w:tcW w:w="2492" w:type="dxa"/>
          </w:tcPr>
          <w:p w14:paraId="46ABCBBD">
            <w:pPr>
              <w:pStyle w:val="4"/>
              <w:jc w:val="center"/>
            </w:pPr>
            <w:r>
              <w:rPr>
                <w:rFonts w:ascii="仿宋_GB2312" w:hAnsi="仿宋_GB2312" w:eastAsia="仿宋_GB2312" w:cs="仿宋_GB2312"/>
              </w:rPr>
              <w:t>产品名称</w:t>
            </w:r>
          </w:p>
        </w:tc>
      </w:tr>
      <w:tr w14:paraId="13E202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D8AE5C4">
            <w:pPr>
              <w:pStyle w:val="4"/>
              <w:jc w:val="center"/>
            </w:pPr>
            <w:r>
              <w:rPr>
                <w:rFonts w:ascii="仿宋_GB2312" w:hAnsi="仿宋_GB2312" w:eastAsia="仿宋_GB2312" w:cs="仿宋_GB2312"/>
              </w:rPr>
              <w:t>不涉及</w:t>
            </w:r>
          </w:p>
        </w:tc>
      </w:tr>
    </w:tbl>
    <w:p w14:paraId="689D811C">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7053E6EB">
      <w:pPr>
        <w:pStyle w:val="4"/>
        <w:jc w:val="left"/>
        <w:outlineLvl w:val="2"/>
      </w:pPr>
      <w:r>
        <w:rPr>
          <w:rFonts w:ascii="仿宋_GB2312" w:hAnsi="仿宋_GB2312" w:eastAsia="仿宋_GB2312" w:cs="仿宋_GB2312"/>
          <w:b/>
          <w:sz w:val="28"/>
        </w:rPr>
        <w:t>3.2.技术要求</w:t>
      </w:r>
    </w:p>
    <w:p w14:paraId="24A608E3">
      <w:pPr>
        <w:pStyle w:val="4"/>
        <w:jc w:val="left"/>
      </w:pPr>
      <w:r>
        <w:rPr>
          <w:rFonts w:ascii="仿宋_GB2312" w:hAnsi="仿宋_GB2312" w:eastAsia="仿宋_GB2312" w:cs="仿宋_GB2312"/>
        </w:rPr>
        <w:t>采购包1：</w:t>
      </w:r>
    </w:p>
    <w:p w14:paraId="505B4338">
      <w:pPr>
        <w:pStyle w:val="4"/>
        <w:jc w:val="left"/>
      </w:pPr>
      <w:r>
        <w:rPr>
          <w:rFonts w:ascii="仿宋_GB2312" w:hAnsi="仿宋_GB2312" w:eastAsia="仿宋_GB2312" w:cs="仿宋_GB2312"/>
        </w:rPr>
        <w:t>标的名称：医用液氧、医用氧气和二氧化碳</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0209F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E15894">
            <w:pPr>
              <w:pStyle w:val="4"/>
              <w:jc w:val="center"/>
            </w:pPr>
            <w:r>
              <w:rPr>
                <w:rFonts w:ascii="仿宋_GB2312" w:hAnsi="仿宋_GB2312" w:eastAsia="仿宋_GB2312" w:cs="仿宋_GB2312"/>
              </w:rPr>
              <w:t>序号</w:t>
            </w:r>
          </w:p>
        </w:tc>
        <w:tc>
          <w:tcPr>
            <w:tcW w:w="581" w:type="dxa"/>
          </w:tcPr>
          <w:p w14:paraId="40261990">
            <w:pPr>
              <w:pStyle w:val="4"/>
              <w:jc w:val="center"/>
            </w:pPr>
            <w:r>
              <w:rPr>
                <w:rFonts w:ascii="仿宋_GB2312" w:hAnsi="仿宋_GB2312" w:eastAsia="仿宋_GB2312" w:cs="仿宋_GB2312"/>
              </w:rPr>
              <w:t>符号标识</w:t>
            </w:r>
          </w:p>
        </w:tc>
        <w:tc>
          <w:tcPr>
            <w:tcW w:w="1495" w:type="dxa"/>
          </w:tcPr>
          <w:p w14:paraId="1EB078A2">
            <w:pPr>
              <w:pStyle w:val="4"/>
              <w:jc w:val="center"/>
            </w:pPr>
            <w:r>
              <w:rPr>
                <w:rFonts w:ascii="仿宋_GB2312" w:hAnsi="仿宋_GB2312" w:eastAsia="仿宋_GB2312" w:cs="仿宋_GB2312"/>
              </w:rPr>
              <w:t>技术要求名称</w:t>
            </w:r>
          </w:p>
        </w:tc>
        <w:tc>
          <w:tcPr>
            <w:tcW w:w="5814" w:type="dxa"/>
          </w:tcPr>
          <w:p w14:paraId="08910107">
            <w:pPr>
              <w:pStyle w:val="4"/>
              <w:jc w:val="center"/>
            </w:pPr>
            <w:r>
              <w:rPr>
                <w:rFonts w:ascii="仿宋_GB2312" w:hAnsi="仿宋_GB2312" w:eastAsia="仿宋_GB2312" w:cs="仿宋_GB2312"/>
              </w:rPr>
              <w:t>技术参数与性能指标</w:t>
            </w:r>
          </w:p>
        </w:tc>
      </w:tr>
      <w:tr w14:paraId="720BE9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DD97AA">
            <w:pPr>
              <w:pStyle w:val="4"/>
              <w:jc w:val="center"/>
            </w:pPr>
            <w:r>
              <w:rPr>
                <w:rFonts w:ascii="仿宋_GB2312" w:hAnsi="仿宋_GB2312" w:eastAsia="仿宋_GB2312" w:cs="仿宋_GB2312"/>
              </w:rPr>
              <w:t>1</w:t>
            </w:r>
          </w:p>
        </w:tc>
        <w:tc>
          <w:tcPr>
            <w:tcW w:w="581" w:type="dxa"/>
          </w:tcPr>
          <w:p w14:paraId="7761FAB8">
            <w:pPr>
              <w:pStyle w:val="4"/>
              <w:jc w:val="center"/>
            </w:pPr>
            <w:r>
              <w:rPr>
                <w:rFonts w:ascii="仿宋_GB2312" w:hAnsi="仿宋_GB2312" w:eastAsia="仿宋_GB2312" w:cs="仿宋_GB2312"/>
              </w:rPr>
              <w:t>★</w:t>
            </w:r>
          </w:p>
        </w:tc>
        <w:tc>
          <w:tcPr>
            <w:tcW w:w="1495" w:type="dxa"/>
          </w:tcPr>
          <w:p w14:paraId="36DF5545">
            <w:pPr>
              <w:pStyle w:val="4"/>
              <w:jc w:val="left"/>
            </w:pPr>
            <w:r>
              <w:rPr>
                <w:rFonts w:ascii="仿宋_GB2312" w:hAnsi="仿宋_GB2312" w:eastAsia="仿宋_GB2312" w:cs="仿宋_GB2312"/>
              </w:rPr>
              <w:t>技术参数与性能指标</w:t>
            </w:r>
          </w:p>
        </w:tc>
        <w:tc>
          <w:tcPr>
            <w:tcW w:w="5814" w:type="dxa"/>
          </w:tcPr>
          <w:p w14:paraId="25B0502D">
            <w:pPr>
              <w:pStyle w:val="4"/>
              <w:jc w:val="left"/>
            </w:pPr>
            <w:r>
              <w:rPr>
                <w:rFonts w:ascii="仿宋_GB2312" w:hAnsi="仿宋_GB2312" w:eastAsia="仿宋_GB2312" w:cs="仿宋_GB2312"/>
                <w:sz w:val="21"/>
              </w:rPr>
              <w:t>一、采购清单与单价限价：</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78"/>
              <w:gridCol w:w="655"/>
              <w:gridCol w:w="2107"/>
              <w:gridCol w:w="569"/>
              <w:gridCol w:w="467"/>
              <w:gridCol w:w="660"/>
              <w:gridCol w:w="537"/>
            </w:tblGrid>
            <w:tr w14:paraId="424435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05E13B59">
                  <w:pPr>
                    <w:pStyle w:val="4"/>
                    <w:jc w:val="center"/>
                  </w:pPr>
                  <w:r>
                    <w:rPr>
                      <w:rFonts w:ascii="仿宋_GB2312" w:hAnsi="仿宋_GB2312" w:eastAsia="仿宋_GB2312" w:cs="仿宋_GB2312"/>
                      <w:sz w:val="21"/>
                    </w:rPr>
                    <w:t>序号</w:t>
                  </w:r>
                </w:p>
              </w:tc>
              <w:tc>
                <w:tcPr>
                  <w:tcW w:w="698"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751F385E">
                  <w:pPr>
                    <w:pStyle w:val="4"/>
                    <w:jc w:val="center"/>
                  </w:pPr>
                  <w:r>
                    <w:rPr>
                      <w:rFonts w:ascii="仿宋_GB2312" w:hAnsi="仿宋_GB2312" w:eastAsia="仿宋_GB2312" w:cs="仿宋_GB2312"/>
                      <w:sz w:val="21"/>
                    </w:rPr>
                    <w:t>标的名称</w:t>
                  </w:r>
                </w:p>
              </w:tc>
              <w:tc>
                <w:tcPr>
                  <w:tcW w:w="2159"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3B31AC72">
                  <w:pPr>
                    <w:pStyle w:val="4"/>
                    <w:jc w:val="center"/>
                  </w:pPr>
                  <w:r>
                    <w:rPr>
                      <w:rFonts w:ascii="仿宋_GB2312" w:hAnsi="仿宋_GB2312" w:eastAsia="仿宋_GB2312" w:cs="仿宋_GB2312"/>
                      <w:sz w:val="21"/>
                    </w:rPr>
                    <w:t>质量标准</w:t>
                  </w:r>
                </w:p>
              </w:tc>
              <w:tc>
                <w:tcPr>
                  <w:tcW w:w="581"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59A504CA">
                  <w:pPr>
                    <w:pStyle w:val="4"/>
                    <w:jc w:val="center"/>
                  </w:pPr>
                  <w:r>
                    <w:rPr>
                      <w:rFonts w:ascii="仿宋_GB2312" w:hAnsi="仿宋_GB2312" w:eastAsia="仿宋_GB2312" w:cs="仿宋_GB2312"/>
                      <w:sz w:val="21"/>
                    </w:rPr>
                    <w:t>规格</w:t>
                  </w:r>
                </w:p>
              </w:tc>
              <w:tc>
                <w:tcPr>
                  <w:tcW w:w="491"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7A8A1B59">
                  <w:pPr>
                    <w:pStyle w:val="4"/>
                    <w:jc w:val="center"/>
                  </w:pPr>
                  <w:r>
                    <w:rPr>
                      <w:rFonts w:ascii="仿宋_GB2312" w:hAnsi="仿宋_GB2312" w:eastAsia="仿宋_GB2312" w:cs="仿宋_GB2312"/>
                      <w:sz w:val="21"/>
                    </w:rPr>
                    <w:t>单位</w:t>
                  </w:r>
                </w:p>
              </w:tc>
              <w:tc>
                <w:tcPr>
                  <w:tcW w:w="568"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1410CCBD">
                  <w:pPr>
                    <w:pStyle w:val="4"/>
                    <w:jc w:val="center"/>
                  </w:pPr>
                  <w:r>
                    <w:rPr>
                      <w:rFonts w:ascii="仿宋_GB2312" w:hAnsi="仿宋_GB2312" w:eastAsia="仿宋_GB2312" w:cs="仿宋_GB2312"/>
                      <w:sz w:val="21"/>
                    </w:rPr>
                    <w:t>单价限价（元）</w:t>
                  </w:r>
                </w:p>
              </w:tc>
              <w:tc>
                <w:tcPr>
                  <w:tcW w:w="568"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35BF0ECD">
                  <w:pPr>
                    <w:pStyle w:val="4"/>
                    <w:jc w:val="center"/>
                  </w:pPr>
                  <w:r>
                    <w:rPr>
                      <w:rFonts w:ascii="仿宋_GB2312" w:hAnsi="仿宋_GB2312" w:eastAsia="仿宋_GB2312" w:cs="仿宋_GB2312"/>
                      <w:sz w:val="21"/>
                    </w:rPr>
                    <w:t>是否属于药品</w:t>
                  </w:r>
                </w:p>
              </w:tc>
            </w:tr>
            <w:tr w14:paraId="51C6B5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4"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492288E9">
                  <w:pPr>
                    <w:pStyle w:val="4"/>
                    <w:jc w:val="center"/>
                  </w:pPr>
                  <w:r>
                    <w:rPr>
                      <w:rFonts w:ascii="仿宋_GB2312" w:hAnsi="仿宋_GB2312" w:eastAsia="仿宋_GB2312" w:cs="仿宋_GB2312"/>
                      <w:sz w:val="21"/>
                    </w:rPr>
                    <w:t>1</w:t>
                  </w:r>
                </w:p>
              </w:tc>
              <w:tc>
                <w:tcPr>
                  <w:tcW w:w="698" w:type="dxa"/>
                  <w:tcBorders>
                    <w:top w:val="nil"/>
                    <w:left w:val="nil"/>
                    <w:bottom w:val="single" w:color="000000" w:sz="4" w:space="0"/>
                    <w:right w:val="single" w:color="000000" w:sz="4" w:space="0"/>
                  </w:tcBorders>
                  <w:tcMar>
                    <w:top w:w="15" w:type="dxa"/>
                    <w:left w:w="15" w:type="dxa"/>
                    <w:bottom w:w="0" w:type="dxa"/>
                    <w:right w:w="15" w:type="dxa"/>
                  </w:tcMar>
                  <w:vAlign w:val="top"/>
                </w:tcPr>
                <w:p w14:paraId="43033855">
                  <w:pPr>
                    <w:pStyle w:val="4"/>
                    <w:jc w:val="center"/>
                  </w:pPr>
                  <w:r>
                    <w:rPr>
                      <w:rFonts w:ascii="仿宋_GB2312" w:hAnsi="仿宋_GB2312" w:eastAsia="仿宋_GB2312" w:cs="仿宋_GB2312"/>
                      <w:sz w:val="21"/>
                    </w:rPr>
                    <w:t>医用液氧</w:t>
                  </w:r>
                </w:p>
              </w:tc>
              <w:tc>
                <w:tcPr>
                  <w:tcW w:w="2159" w:type="dxa"/>
                  <w:tcBorders>
                    <w:top w:val="nil"/>
                    <w:left w:val="nil"/>
                    <w:bottom w:val="single" w:color="000000" w:sz="4" w:space="0"/>
                    <w:right w:val="single" w:color="000000" w:sz="4" w:space="0"/>
                  </w:tcBorders>
                  <w:tcMar>
                    <w:top w:w="15" w:type="dxa"/>
                    <w:left w:w="15" w:type="dxa"/>
                    <w:bottom w:w="0" w:type="dxa"/>
                    <w:right w:w="15" w:type="dxa"/>
                  </w:tcMar>
                  <w:vAlign w:val="top"/>
                </w:tcPr>
                <w:p w14:paraId="413448EE">
                  <w:pPr>
                    <w:pStyle w:val="4"/>
                    <w:jc w:val="left"/>
                  </w:pPr>
                  <w:r>
                    <w:rPr>
                      <w:rFonts w:ascii="仿宋_GB2312" w:hAnsi="仿宋_GB2312" w:eastAsia="仿宋_GB2312" w:cs="仿宋_GB2312"/>
                      <w:sz w:val="21"/>
                    </w:rPr>
                    <w:t>1、符合《中国药典》2025版第二部</w:t>
                  </w:r>
                  <w:r>
                    <w:br w:type="textWrapping"/>
                  </w:r>
                  <w:r>
                    <w:rPr>
                      <w:rFonts w:ascii="仿宋_GB2312" w:hAnsi="仿宋_GB2312" w:eastAsia="仿宋_GB2312" w:cs="仿宋_GB2312"/>
                      <w:sz w:val="21"/>
                    </w:rPr>
                    <w:t>2、纯度≥99.5%</w:t>
                  </w:r>
                </w:p>
              </w:tc>
              <w:tc>
                <w:tcPr>
                  <w:tcW w:w="581" w:type="dxa"/>
                  <w:tcBorders>
                    <w:top w:val="nil"/>
                    <w:left w:val="nil"/>
                    <w:bottom w:val="single" w:color="000000" w:sz="4" w:space="0"/>
                    <w:right w:val="single" w:color="000000" w:sz="4" w:space="0"/>
                  </w:tcBorders>
                  <w:tcMar>
                    <w:top w:w="15" w:type="dxa"/>
                    <w:left w:w="15" w:type="dxa"/>
                    <w:bottom w:w="0" w:type="dxa"/>
                    <w:right w:w="15" w:type="dxa"/>
                  </w:tcMar>
                  <w:vAlign w:val="top"/>
                </w:tcPr>
                <w:p w14:paraId="23E96154">
                  <w:pPr>
                    <w:pStyle w:val="4"/>
                    <w:jc w:val="center"/>
                  </w:pPr>
                  <w:r>
                    <w:rPr>
                      <w:rFonts w:ascii="仿宋_GB2312" w:hAnsi="仿宋_GB2312" w:eastAsia="仿宋_GB2312" w:cs="仿宋_GB2312"/>
                      <w:sz w:val="21"/>
                    </w:rPr>
                    <w:t>m³</w:t>
                  </w:r>
                </w:p>
              </w:tc>
              <w:tc>
                <w:tcPr>
                  <w:tcW w:w="491" w:type="dxa"/>
                  <w:tcBorders>
                    <w:top w:val="nil"/>
                    <w:left w:val="nil"/>
                    <w:bottom w:val="single" w:color="000000" w:sz="4" w:space="0"/>
                    <w:right w:val="single" w:color="000000" w:sz="4" w:space="0"/>
                  </w:tcBorders>
                  <w:tcMar>
                    <w:top w:w="15" w:type="dxa"/>
                    <w:left w:w="15" w:type="dxa"/>
                    <w:bottom w:w="0" w:type="dxa"/>
                    <w:right w:w="15" w:type="dxa"/>
                  </w:tcMar>
                  <w:vAlign w:val="top"/>
                </w:tcPr>
                <w:p w14:paraId="48EA779C">
                  <w:pPr>
                    <w:pStyle w:val="4"/>
                    <w:jc w:val="center"/>
                  </w:pPr>
                  <w:r>
                    <w:rPr>
                      <w:rFonts w:ascii="仿宋_GB2312" w:hAnsi="仿宋_GB2312" w:eastAsia="仿宋_GB2312" w:cs="仿宋_GB2312"/>
                      <w:sz w:val="21"/>
                    </w:rPr>
                    <w:t>m³</w:t>
                  </w:r>
                </w:p>
              </w:tc>
              <w:tc>
                <w:tcPr>
                  <w:tcW w:w="568" w:type="dxa"/>
                  <w:tcBorders>
                    <w:top w:val="nil"/>
                    <w:left w:val="nil"/>
                    <w:bottom w:val="single" w:color="000000" w:sz="4" w:space="0"/>
                    <w:right w:val="single" w:color="000000" w:sz="4" w:space="0"/>
                  </w:tcBorders>
                  <w:tcMar>
                    <w:top w:w="15" w:type="dxa"/>
                    <w:left w:w="15" w:type="dxa"/>
                    <w:bottom w:w="0" w:type="dxa"/>
                    <w:right w:w="15" w:type="dxa"/>
                  </w:tcMar>
                  <w:vAlign w:val="top"/>
                </w:tcPr>
                <w:p w14:paraId="4BA78481">
                  <w:pPr>
                    <w:pStyle w:val="4"/>
                    <w:jc w:val="center"/>
                  </w:pPr>
                  <w:r>
                    <w:rPr>
                      <w:rFonts w:ascii="仿宋_GB2312" w:hAnsi="仿宋_GB2312" w:eastAsia="仿宋_GB2312" w:cs="仿宋_GB2312"/>
                      <w:sz w:val="21"/>
                    </w:rPr>
                    <w:t>1150</w:t>
                  </w:r>
                </w:p>
              </w:tc>
              <w:tc>
                <w:tcPr>
                  <w:tcW w:w="568" w:type="dxa"/>
                  <w:tcBorders>
                    <w:top w:val="nil"/>
                    <w:left w:val="nil"/>
                    <w:bottom w:val="single" w:color="000000" w:sz="4" w:space="0"/>
                    <w:right w:val="single" w:color="000000" w:sz="4" w:space="0"/>
                  </w:tcBorders>
                  <w:tcMar>
                    <w:top w:w="15" w:type="dxa"/>
                    <w:left w:w="15" w:type="dxa"/>
                    <w:bottom w:w="0" w:type="dxa"/>
                    <w:right w:w="15" w:type="dxa"/>
                  </w:tcMar>
                  <w:vAlign w:val="top"/>
                </w:tcPr>
                <w:p w14:paraId="09465CFE">
                  <w:pPr>
                    <w:pStyle w:val="4"/>
                    <w:jc w:val="center"/>
                  </w:pPr>
                  <w:r>
                    <w:rPr>
                      <w:rFonts w:ascii="仿宋_GB2312" w:hAnsi="仿宋_GB2312" w:eastAsia="仿宋_GB2312" w:cs="仿宋_GB2312"/>
                      <w:sz w:val="21"/>
                    </w:rPr>
                    <w:t>是</w:t>
                  </w:r>
                </w:p>
              </w:tc>
            </w:tr>
            <w:tr w14:paraId="467DCC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4"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5D296AF6">
                  <w:pPr>
                    <w:pStyle w:val="4"/>
                    <w:jc w:val="center"/>
                  </w:pPr>
                  <w:r>
                    <w:rPr>
                      <w:rFonts w:ascii="仿宋_GB2312" w:hAnsi="仿宋_GB2312" w:eastAsia="仿宋_GB2312" w:cs="仿宋_GB2312"/>
                      <w:sz w:val="21"/>
                    </w:rPr>
                    <w:t>2</w:t>
                  </w:r>
                </w:p>
              </w:tc>
              <w:tc>
                <w:tcPr>
                  <w:tcW w:w="698" w:type="dxa"/>
                  <w:tcBorders>
                    <w:top w:val="nil"/>
                    <w:left w:val="nil"/>
                    <w:bottom w:val="single" w:color="000000" w:sz="4" w:space="0"/>
                    <w:right w:val="single" w:color="000000" w:sz="4" w:space="0"/>
                  </w:tcBorders>
                  <w:tcMar>
                    <w:top w:w="15" w:type="dxa"/>
                    <w:left w:w="15" w:type="dxa"/>
                    <w:bottom w:w="0" w:type="dxa"/>
                    <w:right w:w="15" w:type="dxa"/>
                  </w:tcMar>
                  <w:vAlign w:val="top"/>
                </w:tcPr>
                <w:p w14:paraId="770334F0">
                  <w:pPr>
                    <w:pStyle w:val="4"/>
                    <w:jc w:val="center"/>
                  </w:pPr>
                  <w:r>
                    <w:rPr>
                      <w:rFonts w:ascii="仿宋_GB2312" w:hAnsi="仿宋_GB2312" w:eastAsia="仿宋_GB2312" w:cs="仿宋_GB2312"/>
                      <w:sz w:val="21"/>
                    </w:rPr>
                    <w:t>医用氧气</w:t>
                  </w:r>
                </w:p>
              </w:tc>
              <w:tc>
                <w:tcPr>
                  <w:tcW w:w="2159" w:type="dxa"/>
                  <w:tcBorders>
                    <w:top w:val="nil"/>
                    <w:left w:val="nil"/>
                    <w:bottom w:val="single" w:color="000000" w:sz="4" w:space="0"/>
                    <w:right w:val="single" w:color="000000" w:sz="4" w:space="0"/>
                  </w:tcBorders>
                  <w:tcMar>
                    <w:top w:w="15" w:type="dxa"/>
                    <w:left w:w="15" w:type="dxa"/>
                    <w:bottom w:w="0" w:type="dxa"/>
                    <w:right w:w="15" w:type="dxa"/>
                  </w:tcMar>
                  <w:vAlign w:val="top"/>
                </w:tcPr>
                <w:p w14:paraId="6C2EA2C2">
                  <w:pPr>
                    <w:pStyle w:val="4"/>
                    <w:jc w:val="left"/>
                  </w:pPr>
                  <w:r>
                    <w:rPr>
                      <w:rFonts w:ascii="仿宋_GB2312" w:hAnsi="仿宋_GB2312" w:eastAsia="仿宋_GB2312" w:cs="仿宋_GB2312"/>
                      <w:sz w:val="21"/>
                    </w:rPr>
                    <w:t>1、符合《中国药典》2025版第二部</w:t>
                  </w:r>
                  <w:r>
                    <w:br w:type="textWrapping"/>
                  </w:r>
                  <w:r>
                    <w:rPr>
                      <w:rFonts w:ascii="仿宋_GB2312" w:hAnsi="仿宋_GB2312" w:eastAsia="仿宋_GB2312" w:cs="仿宋_GB2312"/>
                      <w:sz w:val="21"/>
                    </w:rPr>
                    <w:t>2、纯度≥99.5%</w:t>
                  </w:r>
                </w:p>
              </w:tc>
              <w:tc>
                <w:tcPr>
                  <w:tcW w:w="581" w:type="dxa"/>
                  <w:tcBorders>
                    <w:top w:val="nil"/>
                    <w:left w:val="nil"/>
                    <w:bottom w:val="single" w:color="000000" w:sz="4" w:space="0"/>
                    <w:right w:val="single" w:color="000000" w:sz="4" w:space="0"/>
                  </w:tcBorders>
                  <w:tcMar>
                    <w:top w:w="15" w:type="dxa"/>
                    <w:left w:w="15" w:type="dxa"/>
                    <w:bottom w:w="0" w:type="dxa"/>
                    <w:right w:w="15" w:type="dxa"/>
                  </w:tcMar>
                  <w:vAlign w:val="top"/>
                </w:tcPr>
                <w:p w14:paraId="7DE15A66">
                  <w:pPr>
                    <w:pStyle w:val="4"/>
                    <w:jc w:val="center"/>
                  </w:pPr>
                  <w:r>
                    <w:rPr>
                      <w:rFonts w:ascii="仿宋_GB2312" w:hAnsi="仿宋_GB2312" w:eastAsia="仿宋_GB2312" w:cs="仿宋_GB2312"/>
                      <w:sz w:val="21"/>
                    </w:rPr>
                    <w:t>40L/瓶</w:t>
                  </w:r>
                </w:p>
              </w:tc>
              <w:tc>
                <w:tcPr>
                  <w:tcW w:w="491" w:type="dxa"/>
                  <w:tcBorders>
                    <w:top w:val="nil"/>
                    <w:left w:val="nil"/>
                    <w:bottom w:val="single" w:color="000000" w:sz="4" w:space="0"/>
                    <w:right w:val="single" w:color="000000" w:sz="4" w:space="0"/>
                  </w:tcBorders>
                  <w:tcMar>
                    <w:top w:w="15" w:type="dxa"/>
                    <w:left w:w="15" w:type="dxa"/>
                    <w:bottom w:w="0" w:type="dxa"/>
                    <w:right w:w="15" w:type="dxa"/>
                  </w:tcMar>
                  <w:vAlign w:val="top"/>
                </w:tcPr>
                <w:p w14:paraId="352AE5E9">
                  <w:pPr>
                    <w:pStyle w:val="4"/>
                    <w:jc w:val="center"/>
                  </w:pPr>
                  <w:r>
                    <w:rPr>
                      <w:rFonts w:ascii="仿宋_GB2312" w:hAnsi="仿宋_GB2312" w:eastAsia="仿宋_GB2312" w:cs="仿宋_GB2312"/>
                      <w:sz w:val="21"/>
                    </w:rPr>
                    <w:t>瓶</w:t>
                  </w:r>
                </w:p>
              </w:tc>
              <w:tc>
                <w:tcPr>
                  <w:tcW w:w="568" w:type="dxa"/>
                  <w:tcBorders>
                    <w:top w:val="nil"/>
                    <w:left w:val="nil"/>
                    <w:bottom w:val="single" w:color="000000" w:sz="4" w:space="0"/>
                    <w:right w:val="single" w:color="000000" w:sz="4" w:space="0"/>
                  </w:tcBorders>
                  <w:tcMar>
                    <w:top w:w="15" w:type="dxa"/>
                    <w:left w:w="15" w:type="dxa"/>
                    <w:bottom w:w="0" w:type="dxa"/>
                    <w:right w:w="15" w:type="dxa"/>
                  </w:tcMar>
                  <w:vAlign w:val="top"/>
                </w:tcPr>
                <w:p w14:paraId="670E96F9">
                  <w:pPr>
                    <w:pStyle w:val="4"/>
                    <w:jc w:val="center"/>
                  </w:pPr>
                  <w:r>
                    <w:rPr>
                      <w:rFonts w:ascii="仿宋_GB2312" w:hAnsi="仿宋_GB2312" w:eastAsia="仿宋_GB2312" w:cs="仿宋_GB2312"/>
                      <w:sz w:val="21"/>
                    </w:rPr>
                    <w:t>48</w:t>
                  </w:r>
                </w:p>
              </w:tc>
              <w:tc>
                <w:tcPr>
                  <w:tcW w:w="568" w:type="dxa"/>
                  <w:tcBorders>
                    <w:top w:val="nil"/>
                    <w:left w:val="nil"/>
                    <w:bottom w:val="single" w:color="000000" w:sz="4" w:space="0"/>
                    <w:right w:val="single" w:color="000000" w:sz="4" w:space="0"/>
                  </w:tcBorders>
                  <w:tcMar>
                    <w:top w:w="15" w:type="dxa"/>
                    <w:left w:w="15" w:type="dxa"/>
                    <w:bottom w:w="0" w:type="dxa"/>
                    <w:right w:w="15" w:type="dxa"/>
                  </w:tcMar>
                  <w:vAlign w:val="top"/>
                </w:tcPr>
                <w:p w14:paraId="401AFCA9">
                  <w:pPr>
                    <w:pStyle w:val="4"/>
                    <w:jc w:val="center"/>
                  </w:pPr>
                  <w:r>
                    <w:rPr>
                      <w:rFonts w:ascii="仿宋_GB2312" w:hAnsi="仿宋_GB2312" w:eastAsia="仿宋_GB2312" w:cs="仿宋_GB2312"/>
                      <w:sz w:val="21"/>
                    </w:rPr>
                    <w:t>是</w:t>
                  </w:r>
                </w:p>
              </w:tc>
            </w:tr>
            <w:tr w14:paraId="4A4823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4"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39F46383">
                  <w:pPr>
                    <w:pStyle w:val="4"/>
                    <w:jc w:val="center"/>
                  </w:pPr>
                  <w:r>
                    <w:rPr>
                      <w:rFonts w:ascii="仿宋_GB2312" w:hAnsi="仿宋_GB2312" w:eastAsia="仿宋_GB2312" w:cs="仿宋_GB2312"/>
                      <w:sz w:val="21"/>
                    </w:rPr>
                    <w:t>3</w:t>
                  </w:r>
                </w:p>
              </w:tc>
              <w:tc>
                <w:tcPr>
                  <w:tcW w:w="698" w:type="dxa"/>
                  <w:tcBorders>
                    <w:top w:val="nil"/>
                    <w:left w:val="nil"/>
                    <w:bottom w:val="single" w:color="000000" w:sz="4" w:space="0"/>
                    <w:right w:val="single" w:color="000000" w:sz="4" w:space="0"/>
                  </w:tcBorders>
                  <w:tcMar>
                    <w:top w:w="15" w:type="dxa"/>
                    <w:left w:w="15" w:type="dxa"/>
                    <w:bottom w:w="0" w:type="dxa"/>
                    <w:right w:w="15" w:type="dxa"/>
                  </w:tcMar>
                  <w:vAlign w:val="top"/>
                </w:tcPr>
                <w:p w14:paraId="515E3BAA">
                  <w:pPr>
                    <w:pStyle w:val="4"/>
                    <w:jc w:val="center"/>
                  </w:pPr>
                  <w:r>
                    <w:rPr>
                      <w:rFonts w:ascii="仿宋_GB2312" w:hAnsi="仿宋_GB2312" w:eastAsia="仿宋_GB2312" w:cs="仿宋_GB2312"/>
                      <w:sz w:val="21"/>
                    </w:rPr>
                    <w:t>医用氧气</w:t>
                  </w:r>
                </w:p>
              </w:tc>
              <w:tc>
                <w:tcPr>
                  <w:tcW w:w="2159" w:type="dxa"/>
                  <w:tcBorders>
                    <w:top w:val="nil"/>
                    <w:left w:val="nil"/>
                    <w:bottom w:val="single" w:color="000000" w:sz="4" w:space="0"/>
                    <w:right w:val="single" w:color="000000" w:sz="4" w:space="0"/>
                  </w:tcBorders>
                  <w:tcMar>
                    <w:top w:w="15" w:type="dxa"/>
                    <w:left w:w="15" w:type="dxa"/>
                    <w:bottom w:w="0" w:type="dxa"/>
                    <w:right w:w="15" w:type="dxa"/>
                  </w:tcMar>
                  <w:vAlign w:val="top"/>
                </w:tcPr>
                <w:p w14:paraId="328018A4">
                  <w:pPr>
                    <w:pStyle w:val="4"/>
                    <w:jc w:val="left"/>
                  </w:pPr>
                  <w:r>
                    <w:rPr>
                      <w:rFonts w:ascii="仿宋_GB2312" w:hAnsi="仿宋_GB2312" w:eastAsia="仿宋_GB2312" w:cs="仿宋_GB2312"/>
                      <w:sz w:val="21"/>
                    </w:rPr>
                    <w:t>1、符合《中国药典》2025版第二部</w:t>
                  </w:r>
                  <w:r>
                    <w:br w:type="textWrapping"/>
                  </w:r>
                  <w:r>
                    <w:rPr>
                      <w:rFonts w:ascii="仿宋_GB2312" w:hAnsi="仿宋_GB2312" w:eastAsia="仿宋_GB2312" w:cs="仿宋_GB2312"/>
                      <w:sz w:val="21"/>
                    </w:rPr>
                    <w:t>2、纯度≥99.5%</w:t>
                  </w:r>
                </w:p>
              </w:tc>
              <w:tc>
                <w:tcPr>
                  <w:tcW w:w="581" w:type="dxa"/>
                  <w:tcBorders>
                    <w:top w:val="nil"/>
                    <w:left w:val="nil"/>
                    <w:bottom w:val="single" w:color="000000" w:sz="4" w:space="0"/>
                    <w:right w:val="single" w:color="000000" w:sz="4" w:space="0"/>
                  </w:tcBorders>
                  <w:tcMar>
                    <w:top w:w="15" w:type="dxa"/>
                    <w:left w:w="15" w:type="dxa"/>
                    <w:bottom w:w="0" w:type="dxa"/>
                    <w:right w:w="15" w:type="dxa"/>
                  </w:tcMar>
                  <w:vAlign w:val="top"/>
                </w:tcPr>
                <w:p w14:paraId="20DF9529">
                  <w:pPr>
                    <w:pStyle w:val="4"/>
                    <w:jc w:val="center"/>
                  </w:pPr>
                  <w:r>
                    <w:rPr>
                      <w:rFonts w:ascii="仿宋_GB2312" w:hAnsi="仿宋_GB2312" w:eastAsia="仿宋_GB2312" w:cs="仿宋_GB2312"/>
                      <w:sz w:val="21"/>
                    </w:rPr>
                    <w:t>10L/瓶</w:t>
                  </w:r>
                </w:p>
              </w:tc>
              <w:tc>
                <w:tcPr>
                  <w:tcW w:w="491" w:type="dxa"/>
                  <w:tcBorders>
                    <w:top w:val="nil"/>
                    <w:left w:val="nil"/>
                    <w:bottom w:val="single" w:color="000000" w:sz="4" w:space="0"/>
                    <w:right w:val="single" w:color="000000" w:sz="4" w:space="0"/>
                  </w:tcBorders>
                  <w:tcMar>
                    <w:top w:w="15" w:type="dxa"/>
                    <w:left w:w="15" w:type="dxa"/>
                    <w:bottom w:w="0" w:type="dxa"/>
                    <w:right w:w="15" w:type="dxa"/>
                  </w:tcMar>
                  <w:vAlign w:val="top"/>
                </w:tcPr>
                <w:p w14:paraId="520F5FA9">
                  <w:pPr>
                    <w:pStyle w:val="4"/>
                    <w:jc w:val="center"/>
                  </w:pPr>
                  <w:r>
                    <w:rPr>
                      <w:rFonts w:ascii="仿宋_GB2312" w:hAnsi="仿宋_GB2312" w:eastAsia="仿宋_GB2312" w:cs="仿宋_GB2312"/>
                      <w:sz w:val="21"/>
                    </w:rPr>
                    <w:t>瓶</w:t>
                  </w:r>
                </w:p>
              </w:tc>
              <w:tc>
                <w:tcPr>
                  <w:tcW w:w="568" w:type="dxa"/>
                  <w:tcBorders>
                    <w:top w:val="nil"/>
                    <w:left w:val="nil"/>
                    <w:bottom w:val="single" w:color="000000" w:sz="4" w:space="0"/>
                    <w:right w:val="single" w:color="000000" w:sz="4" w:space="0"/>
                  </w:tcBorders>
                  <w:tcMar>
                    <w:top w:w="15" w:type="dxa"/>
                    <w:left w:w="15" w:type="dxa"/>
                    <w:bottom w:w="0" w:type="dxa"/>
                    <w:right w:w="15" w:type="dxa"/>
                  </w:tcMar>
                  <w:vAlign w:val="top"/>
                </w:tcPr>
                <w:p w14:paraId="45BC892C">
                  <w:pPr>
                    <w:pStyle w:val="4"/>
                    <w:jc w:val="center"/>
                  </w:pPr>
                  <w:r>
                    <w:rPr>
                      <w:rFonts w:ascii="仿宋_GB2312" w:hAnsi="仿宋_GB2312" w:eastAsia="仿宋_GB2312" w:cs="仿宋_GB2312"/>
                      <w:sz w:val="21"/>
                    </w:rPr>
                    <w:t>28</w:t>
                  </w:r>
                </w:p>
              </w:tc>
              <w:tc>
                <w:tcPr>
                  <w:tcW w:w="568" w:type="dxa"/>
                  <w:tcBorders>
                    <w:top w:val="nil"/>
                    <w:left w:val="nil"/>
                    <w:bottom w:val="single" w:color="000000" w:sz="4" w:space="0"/>
                    <w:right w:val="single" w:color="000000" w:sz="4" w:space="0"/>
                  </w:tcBorders>
                  <w:tcMar>
                    <w:top w:w="15" w:type="dxa"/>
                    <w:left w:w="15" w:type="dxa"/>
                    <w:bottom w:w="0" w:type="dxa"/>
                    <w:right w:w="15" w:type="dxa"/>
                  </w:tcMar>
                  <w:vAlign w:val="top"/>
                </w:tcPr>
                <w:p w14:paraId="5CD47E12">
                  <w:pPr>
                    <w:pStyle w:val="4"/>
                    <w:jc w:val="center"/>
                  </w:pPr>
                  <w:r>
                    <w:rPr>
                      <w:rFonts w:ascii="仿宋_GB2312" w:hAnsi="仿宋_GB2312" w:eastAsia="仿宋_GB2312" w:cs="仿宋_GB2312"/>
                      <w:sz w:val="21"/>
                    </w:rPr>
                    <w:t>是</w:t>
                  </w:r>
                </w:p>
              </w:tc>
            </w:tr>
            <w:tr w14:paraId="0138BA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4"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677D2881">
                  <w:pPr>
                    <w:pStyle w:val="4"/>
                    <w:jc w:val="center"/>
                  </w:pPr>
                  <w:r>
                    <w:rPr>
                      <w:rFonts w:ascii="仿宋_GB2312" w:hAnsi="仿宋_GB2312" w:eastAsia="仿宋_GB2312" w:cs="仿宋_GB2312"/>
                      <w:sz w:val="21"/>
                    </w:rPr>
                    <w:t>4</w:t>
                  </w:r>
                </w:p>
              </w:tc>
              <w:tc>
                <w:tcPr>
                  <w:tcW w:w="698" w:type="dxa"/>
                  <w:tcBorders>
                    <w:top w:val="nil"/>
                    <w:left w:val="nil"/>
                    <w:bottom w:val="single" w:color="000000" w:sz="4" w:space="0"/>
                    <w:right w:val="single" w:color="000000" w:sz="4" w:space="0"/>
                  </w:tcBorders>
                  <w:tcMar>
                    <w:top w:w="15" w:type="dxa"/>
                    <w:left w:w="15" w:type="dxa"/>
                    <w:bottom w:w="0" w:type="dxa"/>
                    <w:right w:w="15" w:type="dxa"/>
                  </w:tcMar>
                  <w:vAlign w:val="top"/>
                </w:tcPr>
                <w:p w14:paraId="475CC95A">
                  <w:pPr>
                    <w:pStyle w:val="4"/>
                    <w:jc w:val="center"/>
                  </w:pPr>
                  <w:r>
                    <w:rPr>
                      <w:rFonts w:ascii="仿宋_GB2312" w:hAnsi="仿宋_GB2312" w:eastAsia="仿宋_GB2312" w:cs="仿宋_GB2312"/>
                      <w:sz w:val="21"/>
                    </w:rPr>
                    <w:t>医用氧气</w:t>
                  </w:r>
                </w:p>
              </w:tc>
              <w:tc>
                <w:tcPr>
                  <w:tcW w:w="2159" w:type="dxa"/>
                  <w:tcBorders>
                    <w:top w:val="nil"/>
                    <w:left w:val="nil"/>
                    <w:bottom w:val="single" w:color="000000" w:sz="4" w:space="0"/>
                    <w:right w:val="single" w:color="000000" w:sz="4" w:space="0"/>
                  </w:tcBorders>
                  <w:tcMar>
                    <w:top w:w="15" w:type="dxa"/>
                    <w:left w:w="15" w:type="dxa"/>
                    <w:bottom w:w="0" w:type="dxa"/>
                    <w:right w:w="15" w:type="dxa"/>
                  </w:tcMar>
                  <w:vAlign w:val="top"/>
                </w:tcPr>
                <w:p w14:paraId="68B5B811">
                  <w:pPr>
                    <w:pStyle w:val="4"/>
                    <w:jc w:val="left"/>
                  </w:pPr>
                  <w:r>
                    <w:rPr>
                      <w:rFonts w:ascii="仿宋_GB2312" w:hAnsi="仿宋_GB2312" w:eastAsia="仿宋_GB2312" w:cs="仿宋_GB2312"/>
                      <w:sz w:val="21"/>
                    </w:rPr>
                    <w:t>1、符合《中国药典》2025版第二部</w:t>
                  </w:r>
                  <w:r>
                    <w:br w:type="textWrapping"/>
                  </w:r>
                  <w:r>
                    <w:rPr>
                      <w:rFonts w:ascii="仿宋_GB2312" w:hAnsi="仿宋_GB2312" w:eastAsia="仿宋_GB2312" w:cs="仿宋_GB2312"/>
                      <w:sz w:val="21"/>
                    </w:rPr>
                    <w:t>2、纯度≥99.5%</w:t>
                  </w:r>
                </w:p>
              </w:tc>
              <w:tc>
                <w:tcPr>
                  <w:tcW w:w="581" w:type="dxa"/>
                  <w:tcBorders>
                    <w:top w:val="nil"/>
                    <w:left w:val="nil"/>
                    <w:bottom w:val="single" w:color="000000" w:sz="4" w:space="0"/>
                    <w:right w:val="single" w:color="000000" w:sz="4" w:space="0"/>
                  </w:tcBorders>
                  <w:tcMar>
                    <w:top w:w="15" w:type="dxa"/>
                    <w:left w:w="15" w:type="dxa"/>
                    <w:bottom w:w="0" w:type="dxa"/>
                    <w:right w:w="15" w:type="dxa"/>
                  </w:tcMar>
                  <w:vAlign w:val="top"/>
                </w:tcPr>
                <w:p w14:paraId="0EBC8651">
                  <w:pPr>
                    <w:pStyle w:val="4"/>
                    <w:jc w:val="center"/>
                  </w:pPr>
                  <w:r>
                    <w:rPr>
                      <w:rFonts w:ascii="仿宋_GB2312" w:hAnsi="仿宋_GB2312" w:eastAsia="仿宋_GB2312" w:cs="仿宋_GB2312"/>
                      <w:sz w:val="21"/>
                    </w:rPr>
                    <w:t>4L/瓶</w:t>
                  </w:r>
                </w:p>
              </w:tc>
              <w:tc>
                <w:tcPr>
                  <w:tcW w:w="491" w:type="dxa"/>
                  <w:tcBorders>
                    <w:top w:val="nil"/>
                    <w:left w:val="nil"/>
                    <w:bottom w:val="single" w:color="000000" w:sz="4" w:space="0"/>
                    <w:right w:val="single" w:color="000000" w:sz="4" w:space="0"/>
                  </w:tcBorders>
                  <w:tcMar>
                    <w:top w:w="15" w:type="dxa"/>
                    <w:left w:w="15" w:type="dxa"/>
                    <w:bottom w:w="0" w:type="dxa"/>
                    <w:right w:w="15" w:type="dxa"/>
                  </w:tcMar>
                  <w:vAlign w:val="top"/>
                </w:tcPr>
                <w:p w14:paraId="2988ACF7">
                  <w:pPr>
                    <w:pStyle w:val="4"/>
                    <w:jc w:val="center"/>
                  </w:pPr>
                  <w:r>
                    <w:rPr>
                      <w:rFonts w:ascii="仿宋_GB2312" w:hAnsi="仿宋_GB2312" w:eastAsia="仿宋_GB2312" w:cs="仿宋_GB2312"/>
                      <w:sz w:val="21"/>
                    </w:rPr>
                    <w:t>瓶</w:t>
                  </w:r>
                </w:p>
              </w:tc>
              <w:tc>
                <w:tcPr>
                  <w:tcW w:w="568" w:type="dxa"/>
                  <w:tcBorders>
                    <w:top w:val="nil"/>
                    <w:left w:val="nil"/>
                    <w:bottom w:val="single" w:color="000000" w:sz="4" w:space="0"/>
                    <w:right w:val="single" w:color="000000" w:sz="4" w:space="0"/>
                  </w:tcBorders>
                  <w:tcMar>
                    <w:top w:w="15" w:type="dxa"/>
                    <w:left w:w="15" w:type="dxa"/>
                    <w:bottom w:w="0" w:type="dxa"/>
                    <w:right w:w="15" w:type="dxa"/>
                  </w:tcMar>
                  <w:vAlign w:val="top"/>
                </w:tcPr>
                <w:p w14:paraId="35BA96C2">
                  <w:pPr>
                    <w:pStyle w:val="4"/>
                    <w:jc w:val="center"/>
                  </w:pPr>
                  <w:r>
                    <w:rPr>
                      <w:rFonts w:ascii="仿宋_GB2312" w:hAnsi="仿宋_GB2312" w:eastAsia="仿宋_GB2312" w:cs="仿宋_GB2312"/>
                      <w:sz w:val="21"/>
                    </w:rPr>
                    <w:t>25</w:t>
                  </w:r>
                </w:p>
              </w:tc>
              <w:tc>
                <w:tcPr>
                  <w:tcW w:w="568" w:type="dxa"/>
                  <w:tcBorders>
                    <w:top w:val="nil"/>
                    <w:left w:val="nil"/>
                    <w:bottom w:val="single" w:color="000000" w:sz="4" w:space="0"/>
                    <w:right w:val="single" w:color="000000" w:sz="4" w:space="0"/>
                  </w:tcBorders>
                  <w:tcMar>
                    <w:top w:w="15" w:type="dxa"/>
                    <w:left w:w="15" w:type="dxa"/>
                    <w:bottom w:w="0" w:type="dxa"/>
                    <w:right w:w="15" w:type="dxa"/>
                  </w:tcMar>
                  <w:vAlign w:val="top"/>
                </w:tcPr>
                <w:p w14:paraId="31F6BDD9">
                  <w:pPr>
                    <w:pStyle w:val="4"/>
                    <w:jc w:val="center"/>
                  </w:pPr>
                  <w:r>
                    <w:rPr>
                      <w:rFonts w:ascii="仿宋_GB2312" w:hAnsi="仿宋_GB2312" w:eastAsia="仿宋_GB2312" w:cs="仿宋_GB2312"/>
                      <w:sz w:val="21"/>
                    </w:rPr>
                    <w:t>是</w:t>
                  </w:r>
                </w:p>
              </w:tc>
            </w:tr>
            <w:tr w14:paraId="127C14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4"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7516B0ED">
                  <w:pPr>
                    <w:pStyle w:val="4"/>
                    <w:jc w:val="center"/>
                  </w:pPr>
                  <w:r>
                    <w:rPr>
                      <w:rFonts w:ascii="仿宋_GB2312" w:hAnsi="仿宋_GB2312" w:eastAsia="仿宋_GB2312" w:cs="仿宋_GB2312"/>
                      <w:sz w:val="21"/>
                    </w:rPr>
                    <w:t>5</w:t>
                  </w:r>
                </w:p>
              </w:tc>
              <w:tc>
                <w:tcPr>
                  <w:tcW w:w="698" w:type="dxa"/>
                  <w:tcBorders>
                    <w:top w:val="nil"/>
                    <w:left w:val="nil"/>
                    <w:bottom w:val="single" w:color="000000" w:sz="4" w:space="0"/>
                    <w:right w:val="single" w:color="000000" w:sz="4" w:space="0"/>
                  </w:tcBorders>
                  <w:tcMar>
                    <w:top w:w="15" w:type="dxa"/>
                    <w:left w:w="15" w:type="dxa"/>
                    <w:bottom w:w="0" w:type="dxa"/>
                    <w:right w:w="15" w:type="dxa"/>
                  </w:tcMar>
                  <w:vAlign w:val="top"/>
                </w:tcPr>
                <w:p w14:paraId="4DCBC0AE">
                  <w:pPr>
                    <w:pStyle w:val="4"/>
                    <w:jc w:val="center"/>
                  </w:pPr>
                  <w:r>
                    <w:rPr>
                      <w:rFonts w:ascii="仿宋_GB2312" w:hAnsi="仿宋_GB2312" w:eastAsia="仿宋_GB2312" w:cs="仿宋_GB2312"/>
                      <w:sz w:val="21"/>
                    </w:rPr>
                    <w:t>二氧化碳</w:t>
                  </w:r>
                </w:p>
              </w:tc>
              <w:tc>
                <w:tcPr>
                  <w:tcW w:w="2159" w:type="dxa"/>
                  <w:tcBorders>
                    <w:top w:val="nil"/>
                    <w:left w:val="nil"/>
                    <w:bottom w:val="single" w:color="000000" w:sz="4" w:space="0"/>
                    <w:right w:val="single" w:color="000000" w:sz="4" w:space="0"/>
                  </w:tcBorders>
                  <w:tcMar>
                    <w:top w:w="15" w:type="dxa"/>
                    <w:left w:w="15" w:type="dxa"/>
                    <w:bottom w:w="0" w:type="dxa"/>
                    <w:right w:w="15" w:type="dxa"/>
                  </w:tcMar>
                  <w:vAlign w:val="top"/>
                </w:tcPr>
                <w:p w14:paraId="4B45F98B">
                  <w:pPr>
                    <w:pStyle w:val="4"/>
                    <w:jc w:val="left"/>
                  </w:pPr>
                  <w:r>
                    <w:rPr>
                      <w:rFonts w:ascii="仿宋_GB2312" w:hAnsi="仿宋_GB2312" w:eastAsia="仿宋_GB2312" w:cs="仿宋_GB2312"/>
                      <w:sz w:val="21"/>
                    </w:rPr>
                    <w:t>1、符合GB1886.228-2016</w:t>
                  </w:r>
                  <w:r>
                    <w:br w:type="textWrapping"/>
                  </w:r>
                  <w:r>
                    <w:rPr>
                      <w:rFonts w:ascii="仿宋_GB2312" w:hAnsi="仿宋_GB2312" w:eastAsia="仿宋_GB2312" w:cs="仿宋_GB2312"/>
                      <w:sz w:val="21"/>
                    </w:rPr>
                    <w:t>2、纯度≥99.9%</w:t>
                  </w:r>
                </w:p>
              </w:tc>
              <w:tc>
                <w:tcPr>
                  <w:tcW w:w="581" w:type="dxa"/>
                  <w:tcBorders>
                    <w:top w:val="nil"/>
                    <w:left w:val="nil"/>
                    <w:bottom w:val="single" w:color="000000" w:sz="4" w:space="0"/>
                    <w:right w:val="single" w:color="000000" w:sz="4" w:space="0"/>
                  </w:tcBorders>
                  <w:tcMar>
                    <w:top w:w="15" w:type="dxa"/>
                    <w:left w:w="15" w:type="dxa"/>
                    <w:bottom w:w="0" w:type="dxa"/>
                    <w:right w:w="15" w:type="dxa"/>
                  </w:tcMar>
                  <w:vAlign w:val="top"/>
                </w:tcPr>
                <w:p w14:paraId="5B9DB5B8">
                  <w:pPr>
                    <w:pStyle w:val="4"/>
                    <w:jc w:val="center"/>
                  </w:pPr>
                  <w:r>
                    <w:rPr>
                      <w:rFonts w:ascii="仿宋_GB2312" w:hAnsi="仿宋_GB2312" w:eastAsia="仿宋_GB2312" w:cs="仿宋_GB2312"/>
                      <w:sz w:val="21"/>
                    </w:rPr>
                    <w:t>40L/瓶</w:t>
                  </w:r>
                </w:p>
              </w:tc>
              <w:tc>
                <w:tcPr>
                  <w:tcW w:w="491" w:type="dxa"/>
                  <w:tcBorders>
                    <w:top w:val="nil"/>
                    <w:left w:val="nil"/>
                    <w:bottom w:val="single" w:color="000000" w:sz="4" w:space="0"/>
                    <w:right w:val="single" w:color="000000" w:sz="4" w:space="0"/>
                  </w:tcBorders>
                  <w:tcMar>
                    <w:top w:w="15" w:type="dxa"/>
                    <w:left w:w="15" w:type="dxa"/>
                    <w:bottom w:w="0" w:type="dxa"/>
                    <w:right w:w="15" w:type="dxa"/>
                  </w:tcMar>
                  <w:vAlign w:val="top"/>
                </w:tcPr>
                <w:p w14:paraId="622061B3">
                  <w:pPr>
                    <w:pStyle w:val="4"/>
                    <w:jc w:val="center"/>
                  </w:pPr>
                  <w:r>
                    <w:rPr>
                      <w:rFonts w:ascii="仿宋_GB2312" w:hAnsi="仿宋_GB2312" w:eastAsia="仿宋_GB2312" w:cs="仿宋_GB2312"/>
                      <w:sz w:val="21"/>
                    </w:rPr>
                    <w:t>瓶</w:t>
                  </w:r>
                </w:p>
              </w:tc>
              <w:tc>
                <w:tcPr>
                  <w:tcW w:w="568" w:type="dxa"/>
                  <w:tcBorders>
                    <w:top w:val="nil"/>
                    <w:left w:val="nil"/>
                    <w:bottom w:val="single" w:color="000000" w:sz="4" w:space="0"/>
                    <w:right w:val="single" w:color="000000" w:sz="4" w:space="0"/>
                  </w:tcBorders>
                  <w:tcMar>
                    <w:top w:w="15" w:type="dxa"/>
                    <w:left w:w="15" w:type="dxa"/>
                    <w:bottom w:w="0" w:type="dxa"/>
                    <w:right w:w="15" w:type="dxa"/>
                  </w:tcMar>
                  <w:vAlign w:val="top"/>
                </w:tcPr>
                <w:p w14:paraId="02FFFE18">
                  <w:pPr>
                    <w:pStyle w:val="4"/>
                    <w:jc w:val="center"/>
                  </w:pPr>
                  <w:r>
                    <w:rPr>
                      <w:rFonts w:ascii="仿宋_GB2312" w:hAnsi="仿宋_GB2312" w:eastAsia="仿宋_GB2312" w:cs="仿宋_GB2312"/>
                      <w:sz w:val="21"/>
                    </w:rPr>
                    <w:t>98</w:t>
                  </w:r>
                </w:p>
              </w:tc>
              <w:tc>
                <w:tcPr>
                  <w:tcW w:w="568" w:type="dxa"/>
                  <w:tcBorders>
                    <w:top w:val="nil"/>
                    <w:left w:val="nil"/>
                    <w:bottom w:val="single" w:color="000000" w:sz="4" w:space="0"/>
                    <w:right w:val="single" w:color="000000" w:sz="4" w:space="0"/>
                  </w:tcBorders>
                  <w:tcMar>
                    <w:top w:w="15" w:type="dxa"/>
                    <w:left w:w="15" w:type="dxa"/>
                    <w:bottom w:w="0" w:type="dxa"/>
                    <w:right w:w="15" w:type="dxa"/>
                  </w:tcMar>
                  <w:vAlign w:val="top"/>
                </w:tcPr>
                <w:p w14:paraId="20C98372">
                  <w:pPr>
                    <w:pStyle w:val="4"/>
                    <w:jc w:val="center"/>
                  </w:pPr>
                  <w:r>
                    <w:rPr>
                      <w:rFonts w:ascii="仿宋_GB2312" w:hAnsi="仿宋_GB2312" w:eastAsia="仿宋_GB2312" w:cs="仿宋_GB2312"/>
                      <w:sz w:val="21"/>
                    </w:rPr>
                    <w:t>否</w:t>
                  </w:r>
                </w:p>
              </w:tc>
            </w:tr>
          </w:tbl>
          <w:p w14:paraId="157CD717">
            <w:pPr>
              <w:pStyle w:val="4"/>
              <w:jc w:val="left"/>
            </w:pPr>
            <w:r>
              <w:rPr>
                <w:rFonts w:ascii="仿宋_GB2312" w:hAnsi="仿宋_GB2312" w:eastAsia="仿宋_GB2312" w:cs="仿宋_GB2312"/>
                <w:sz w:val="21"/>
              </w:rPr>
              <w:t>说明（因系统固化原因，本条说明仅做告知说明，投标人无需单独应答，按本条说明要求编制投标文件内容即可）：①本项目涉及的“标的名称、规格、单位、限价”以上表中信息为准。 ②投标人需填报《中小企业声明函》的，需按上表中的标的名称进行逐项填报。未按要求填报的，所填报《中小企业声明函》视为无效。如投标文件格式-《中小企业声明函》中对于标的信息无法新增的，投标人须按照《中小企业声明函》的格式，自行制作《中小企业声明函》相应内容并补充在投标文件中。</w:t>
            </w:r>
          </w:p>
        </w:tc>
      </w:tr>
      <w:tr w14:paraId="60562D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49E9AA">
            <w:pPr>
              <w:pStyle w:val="4"/>
              <w:jc w:val="center"/>
            </w:pPr>
            <w:r>
              <w:rPr>
                <w:rFonts w:ascii="仿宋_GB2312" w:hAnsi="仿宋_GB2312" w:eastAsia="仿宋_GB2312" w:cs="仿宋_GB2312"/>
              </w:rPr>
              <w:t>2</w:t>
            </w:r>
          </w:p>
        </w:tc>
        <w:tc>
          <w:tcPr>
            <w:tcW w:w="581" w:type="dxa"/>
          </w:tcPr>
          <w:p w14:paraId="7B2D3191"/>
        </w:tc>
        <w:tc>
          <w:tcPr>
            <w:tcW w:w="1495" w:type="dxa"/>
          </w:tcPr>
          <w:p w14:paraId="6AA345EC">
            <w:pPr>
              <w:pStyle w:val="4"/>
              <w:jc w:val="left"/>
            </w:pPr>
            <w:r>
              <w:rPr>
                <w:rFonts w:ascii="仿宋_GB2312" w:hAnsi="仿宋_GB2312" w:eastAsia="仿宋_GB2312" w:cs="仿宋_GB2312"/>
              </w:rPr>
              <w:t>服务要求</w:t>
            </w:r>
          </w:p>
        </w:tc>
        <w:tc>
          <w:tcPr>
            <w:tcW w:w="5814" w:type="dxa"/>
          </w:tcPr>
          <w:p w14:paraId="2D82FD7D">
            <w:pPr>
              <w:pStyle w:val="4"/>
              <w:jc w:val="both"/>
            </w:pPr>
            <w:r>
              <w:rPr>
                <w:rFonts w:ascii="仿宋_GB2312" w:hAnsi="仿宋_GB2312" w:eastAsia="仿宋_GB2312" w:cs="仿宋_GB2312"/>
                <w:sz w:val="21"/>
              </w:rPr>
              <w:t>★1、投标人需至少提供液氧贮槽1个，容积≥5m³；耐压：0.8MPa，可供24小时365天连续使用；投标人需至少提供空温式汽化器2个，容积≥200Nm³/h，耐压：≥3.5MPa，可供24小时365天连续使用。投标人需至少提供调压装置1个，单回路带旁通。工作压力≥3.5Mpa，输出压力：0.5Mpa-0.8Mpa。投标人需提供站内管道一条，直径DN25，材质为304不锈钢。气站设备供氧能力满足实际院区用氧需求。（该设备为单个院区所需，本项目涉及三个院区使用</w:t>
            </w:r>
            <w:r>
              <w:rPr>
                <w:rFonts w:ascii="仿宋_GB2312" w:hAnsi="仿宋_GB2312" w:eastAsia="仿宋_GB2312" w:cs="仿宋_GB2312"/>
              </w:rPr>
              <w:t>，</w:t>
            </w:r>
            <w:r>
              <w:rPr>
                <w:rFonts w:ascii="仿宋_GB2312" w:hAnsi="仿宋_GB2312" w:eastAsia="仿宋_GB2312" w:cs="仿宋_GB2312"/>
                <w:sz w:val="21"/>
              </w:rPr>
              <w:t>三个院区均需配置一套。后期可能涉及院区搬迁（后期个别院区可能停止使用），投标人须配合拆除相关设备，并自行承担相关费用。）</w:t>
            </w:r>
          </w:p>
          <w:p w14:paraId="4C079137">
            <w:pPr>
              <w:pStyle w:val="4"/>
              <w:jc w:val="both"/>
            </w:pPr>
            <w:r>
              <w:rPr>
                <w:rFonts w:ascii="仿宋_GB2312" w:hAnsi="仿宋_GB2312" w:eastAsia="仿宋_GB2312" w:cs="仿宋_GB2312"/>
                <w:sz w:val="21"/>
              </w:rPr>
              <w:t>★2、投标人须确保液氧站选址及设备符合采购人要求。投标人应按采购人要求协助采购单位完善液氧站环境规范化管理，提供相关警示提示标识、操作规程、注意事项以及操作流程资料。投标人须远程监控液氧罐内的液氧数量及周边安全监控，每年校验压力表\安全阀\真空度检测。</w:t>
            </w:r>
          </w:p>
          <w:p w14:paraId="3E55BDAE">
            <w:pPr>
              <w:pStyle w:val="4"/>
              <w:jc w:val="both"/>
            </w:pPr>
            <w:r>
              <w:rPr>
                <w:rFonts w:ascii="仿宋_GB2312" w:hAnsi="仿宋_GB2312" w:eastAsia="仿宋_GB2312" w:cs="仿宋_GB2312"/>
                <w:sz w:val="21"/>
              </w:rPr>
              <w:t>★3、投标人所提供的设备所有权归投标人所有，设备使用费已包含在投标人报价中。液氧站（含液氧罐及站内所有相关附属设施）的设备管理、维护和维修（含安全附件、管道的更换、压力表、防雷设施等）费用由投标人负责。（提供单独承诺函）</w:t>
            </w:r>
          </w:p>
          <w:p w14:paraId="333F6212">
            <w:pPr>
              <w:pStyle w:val="4"/>
              <w:jc w:val="both"/>
            </w:pPr>
            <w:r>
              <w:rPr>
                <w:rFonts w:ascii="仿宋_GB2312" w:hAnsi="仿宋_GB2312" w:eastAsia="仿宋_GB2312" w:cs="仿宋_GB2312"/>
                <w:sz w:val="21"/>
              </w:rPr>
              <w:t>4、投标人须保证提供的货物及设备是全新的、未使用过的，具有稳定性、可靠性、安全性,并完全符合国家、行业规定的质量、规格和性能要求等技术标准。</w:t>
            </w:r>
          </w:p>
          <w:p w14:paraId="55CBA71D">
            <w:pPr>
              <w:pStyle w:val="4"/>
              <w:jc w:val="both"/>
            </w:pPr>
            <w:r>
              <w:rPr>
                <w:rFonts w:ascii="仿宋_GB2312" w:hAnsi="仿宋_GB2312" w:eastAsia="仿宋_GB2312" w:cs="仿宋_GB2312"/>
                <w:sz w:val="21"/>
              </w:rPr>
              <w:t>★5、投标人需全年365天值班响应，满足24小时内配送，紧急情况下4小时内配送，能及时保证采购人的用氧需求与供应。投标人须保证液氧供给（除不可抗力因素外），若发生非不可抗力因素导致不能满足液氧供给的情形，投标人承揽所有责任及承担所有经济损失，并立即终止合同。（提供单独承诺函）</w:t>
            </w:r>
          </w:p>
          <w:p w14:paraId="45965511">
            <w:pPr>
              <w:pStyle w:val="4"/>
              <w:jc w:val="both"/>
            </w:pPr>
            <w:r>
              <w:rPr>
                <w:rFonts w:ascii="仿宋_GB2312" w:hAnsi="仿宋_GB2312" w:eastAsia="仿宋_GB2312" w:cs="仿宋_GB2312"/>
                <w:sz w:val="21"/>
              </w:rPr>
              <w:t>★6、投标人自行承担运输过程及充装过程的全部安全责任，包括车辆进入院区至离开院区期间在院区内的行驶安全、气体充装安全、气体卸载安全、卸载人员安全、卸载环境安全相关安全责任及所造成或引发的安全事故均由供应单位自行负责（提供单独承诺函）。</w:t>
            </w:r>
          </w:p>
          <w:p w14:paraId="6D8C0C92">
            <w:pPr>
              <w:pStyle w:val="4"/>
              <w:jc w:val="both"/>
            </w:pPr>
            <w:r>
              <w:rPr>
                <w:rFonts w:ascii="仿宋_GB2312" w:hAnsi="仿宋_GB2312" w:eastAsia="仿宋_GB2312" w:cs="仿宋_GB2312"/>
                <w:sz w:val="21"/>
              </w:rPr>
              <w:t>★7、投标人充装人员在充装完液氧后，为保证采购人中心供氧压力稳定，需要现场监测20分钟以上，监测内容包括中心供氧压力情况、压力表显示情况、阀门开关情况等在正常范围内，且临床用氧正常。</w:t>
            </w:r>
          </w:p>
          <w:p w14:paraId="40107A24">
            <w:pPr>
              <w:pStyle w:val="4"/>
              <w:jc w:val="both"/>
            </w:pPr>
            <w:r>
              <w:rPr>
                <w:rFonts w:ascii="仿宋_GB2312" w:hAnsi="仿宋_GB2312" w:eastAsia="仿宋_GB2312" w:cs="仿宋_GB2312"/>
                <w:sz w:val="21"/>
              </w:rPr>
              <w:t>★8、报价包含气体和气瓶的使用费及运输费，投标人根据采购人所需气瓶数量和规格大小(气瓶应按相关标准和要求灌满气体，气瓶的所有权归投标人）进行瓶装医用氧气、二氧化碳的配送，提供的气瓶须在质检合格期内。</w:t>
            </w:r>
          </w:p>
          <w:p w14:paraId="1419CEDD">
            <w:pPr>
              <w:pStyle w:val="4"/>
              <w:jc w:val="both"/>
            </w:pPr>
            <w:r>
              <w:rPr>
                <w:rFonts w:ascii="仿宋_GB2312" w:hAnsi="仿宋_GB2312" w:eastAsia="仿宋_GB2312" w:cs="仿宋_GB2312"/>
                <w:sz w:val="21"/>
              </w:rPr>
              <w:t>9、投标人工作人员在采购人现场送货时须遵循采购人相关安全和管理规定，如有违章作业和野蛮装卸，采购人可以向投标人管理人员进行投诉和要求整改，严重时可以向有关部门进行投诉。投标人工作人员在采购人现场违章作业和野蛮装卸导致安全责任事故的，投标人应承担由此造成的一切法律责任。</w:t>
            </w:r>
          </w:p>
          <w:p w14:paraId="0A0DB870">
            <w:pPr>
              <w:pStyle w:val="4"/>
              <w:jc w:val="both"/>
            </w:pPr>
            <w:r>
              <w:rPr>
                <w:rFonts w:ascii="仿宋_GB2312" w:hAnsi="仿宋_GB2312" w:eastAsia="仿宋_GB2312" w:cs="仿宋_GB2312"/>
                <w:sz w:val="21"/>
              </w:rPr>
              <w:t>★10、合同履行期间由投标人负责液氧储罐及管道维护，一月巡检一次及隐患排查并完成隐患排除，包括储罐的压力阀、安全阀、管道密封性等，并出具安全巡检报告，内容应包含巡检内容明细、巡检发现的安全隐患点、整改措施、优化方案。投标人对钢瓶及附件（安全阀、压力表、液位计、管道、接头、阀门等）定期（每月不少于一次）进行监测、维护、保养工作。</w:t>
            </w:r>
          </w:p>
          <w:p w14:paraId="770540C9">
            <w:pPr>
              <w:pStyle w:val="4"/>
              <w:jc w:val="both"/>
            </w:pPr>
            <w:r>
              <w:rPr>
                <w:rFonts w:ascii="仿宋_GB2312" w:hAnsi="仿宋_GB2312" w:eastAsia="仿宋_GB2312" w:cs="仿宋_GB2312"/>
                <w:sz w:val="21"/>
              </w:rPr>
              <w:t>★11、由投标人每半年开展计量器具的检定/校准工作，并向采购人提供合法有效的检定/校准证书。开展检定/校准期间，不能影响医院开展正常诊疗工作。（提供单独承诺函）</w:t>
            </w:r>
          </w:p>
          <w:p w14:paraId="7D76776D">
            <w:pPr>
              <w:pStyle w:val="4"/>
              <w:jc w:val="both"/>
            </w:pPr>
            <w:r>
              <w:rPr>
                <w:rFonts w:ascii="仿宋_GB2312" w:hAnsi="仿宋_GB2312" w:eastAsia="仿宋_GB2312" w:cs="仿宋_GB2312"/>
                <w:sz w:val="21"/>
              </w:rPr>
              <w:t>12、投标人提供远程液位监控系统及氧气泄露报警装置给采购人使用，氧气泄露报警装置连接至医院监控室，产权归投标人所有。如液站配件出现故障,投标人应提供备用部件供采购人使用至恢复正常(待更换好损坏部件后) ，一般故障须在24小时完成恢复，维修时间最高不超过48小时。不得影响采购人正常的医疗工作，此费用己包含在报价中，采购人不再另行支付。</w:t>
            </w:r>
          </w:p>
          <w:p w14:paraId="135150EA">
            <w:pPr>
              <w:pStyle w:val="4"/>
              <w:jc w:val="both"/>
            </w:pPr>
            <w:r>
              <w:rPr>
                <w:rFonts w:ascii="仿宋_GB2312" w:hAnsi="仿宋_GB2312" w:eastAsia="仿宋_GB2312" w:cs="仿宋_GB2312"/>
                <w:sz w:val="21"/>
              </w:rPr>
              <w:t>★13、投标人为本项目配置的配送驾驶员应具备中华人民共和国道路运输从业人员从业资格证 , 从业资格类别含：道路危险货物运输驾驶员；为本项目配置的配送押运人员应具备中华人民共和国道路运输从业人员从业资格证，从业资格类别含：道路危险货物押运人员。（提供单独承诺函）</w:t>
            </w:r>
          </w:p>
          <w:p w14:paraId="59A78776">
            <w:pPr>
              <w:pStyle w:val="4"/>
              <w:jc w:val="both"/>
            </w:pPr>
            <w:r>
              <w:rPr>
                <w:rFonts w:ascii="仿宋_GB2312" w:hAnsi="仿宋_GB2312" w:eastAsia="仿宋_GB2312" w:cs="仿宋_GB2312"/>
                <w:sz w:val="21"/>
              </w:rPr>
              <w:t>14、合同履行期间投标人须派专业技术人员到采购人指定的地点对医院的相关人员进行使用操作、使用安全注意事项等进行现场培训，直到操作人员能熟练进行产品使用操作流程，应急处理程序，工程技术人员能熟练独立工作，同时能完成一般常见故障的维修工作，另投标人需提供专业技术支持协助采购人处理故障。</w:t>
            </w:r>
          </w:p>
          <w:p w14:paraId="7EE16D73">
            <w:pPr>
              <w:pStyle w:val="4"/>
              <w:jc w:val="both"/>
            </w:pPr>
            <w:r>
              <w:rPr>
                <w:rFonts w:ascii="仿宋_GB2312" w:hAnsi="仿宋_GB2312" w:eastAsia="仿宋_GB2312" w:cs="仿宋_GB2312"/>
                <w:sz w:val="21"/>
              </w:rPr>
              <w:t>15、合同履行期间投标人负责协助采购人进行液氧站应急演练，演练专业设备由投标人提供，投标人不少于3人参加演练。出现紧急情况供应商响应时间不超过2小时。</w:t>
            </w:r>
          </w:p>
          <w:p w14:paraId="3B282E2A">
            <w:pPr>
              <w:pStyle w:val="4"/>
              <w:jc w:val="both"/>
            </w:pPr>
            <w:r>
              <w:rPr>
                <w:rFonts w:ascii="仿宋_GB2312" w:hAnsi="仿宋_GB2312" w:eastAsia="仿宋_GB2312" w:cs="仿宋_GB2312"/>
                <w:sz w:val="21"/>
              </w:rPr>
              <w:t>★16、产品出现质量问题，投标人必须24小时内收回并更换合格产品；由于药检部门抽检出现产品不合格的，产生的一切经济和法律责任由投标人承担；如因产品质量问题引起药政管理方面的问题，投标人必须承担全部责任；由于产品质量引起医疗纠纷，投标人必须承担全部法律责任，采购人因产品质量引起的医疗纠纷而向第三人进行赔偿、补偿的，有权向投标人追偿。（提供单独承诺函）</w:t>
            </w:r>
          </w:p>
          <w:p w14:paraId="4B593A46">
            <w:pPr>
              <w:pStyle w:val="4"/>
              <w:jc w:val="both"/>
            </w:pPr>
            <w:r>
              <w:rPr>
                <w:rFonts w:ascii="仿宋_GB2312" w:hAnsi="仿宋_GB2312" w:eastAsia="仿宋_GB2312" w:cs="仿宋_GB2312"/>
                <w:sz w:val="21"/>
              </w:rPr>
              <w:t>★17、投标人在签订合同之日起至投标人协助采购人完成办理压力容器使用证之前，应保障采购人液氧供应服务，在项目实施过程中一切安全责任由投标人全权负责。（提供单独承诺函）</w:t>
            </w:r>
          </w:p>
          <w:p w14:paraId="47C235CB">
            <w:pPr>
              <w:pStyle w:val="4"/>
              <w:jc w:val="left"/>
            </w:pPr>
            <w:r>
              <w:rPr>
                <w:rFonts w:ascii="仿宋_GB2312" w:hAnsi="仿宋_GB2312" w:eastAsia="仿宋_GB2312" w:cs="仿宋_GB2312"/>
                <w:sz w:val="21"/>
              </w:rPr>
              <w:t>★18、招标合同签订后，投标人应提供气站供气设备及配套气站设施以保证临床用气需求，投标人可新建或与原有的供应商协商购买现有的供气设备及配套气站设施，新建或购买的设施设备所有权为投标人，采购人不支付新建或购买的设施设备费用。投标人不得以任何理由影响临床用气需求。（提供单独承诺函）</w:t>
            </w:r>
          </w:p>
        </w:tc>
      </w:tr>
    </w:tbl>
    <w:p w14:paraId="41E3D104">
      <w:pPr>
        <w:pStyle w:val="4"/>
        <w:jc w:val="left"/>
        <w:outlineLvl w:val="2"/>
      </w:pPr>
      <w:r>
        <w:rPr>
          <w:rFonts w:ascii="仿宋_GB2312" w:hAnsi="仿宋_GB2312" w:eastAsia="仿宋_GB2312" w:cs="仿宋_GB2312"/>
          <w:b/>
          <w:sz w:val="28"/>
        </w:rPr>
        <w:t>3.3.服务要求</w:t>
      </w:r>
    </w:p>
    <w:p w14:paraId="336F38BC">
      <w:pPr>
        <w:pStyle w:val="4"/>
        <w:jc w:val="left"/>
        <w:outlineLvl w:val="3"/>
      </w:pPr>
      <w:r>
        <w:rPr>
          <w:rFonts w:ascii="仿宋_GB2312" w:hAnsi="仿宋_GB2312" w:eastAsia="仿宋_GB2312" w:cs="仿宋_GB2312"/>
          <w:b/>
          <w:sz w:val="24"/>
        </w:rPr>
        <w:t>3.3.1.服务内容要求</w:t>
      </w:r>
    </w:p>
    <w:p w14:paraId="437CFB8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DC589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194F59">
            <w:pPr>
              <w:pStyle w:val="4"/>
              <w:jc w:val="center"/>
            </w:pPr>
            <w:r>
              <w:rPr>
                <w:rFonts w:ascii="仿宋_GB2312" w:hAnsi="仿宋_GB2312" w:eastAsia="仿宋_GB2312" w:cs="仿宋_GB2312"/>
              </w:rPr>
              <w:t xml:space="preserve"> 序号</w:t>
            </w:r>
          </w:p>
        </w:tc>
        <w:tc>
          <w:tcPr>
            <w:tcW w:w="581" w:type="dxa"/>
          </w:tcPr>
          <w:p w14:paraId="44D26A63">
            <w:pPr>
              <w:pStyle w:val="4"/>
              <w:jc w:val="center"/>
            </w:pPr>
            <w:r>
              <w:rPr>
                <w:rFonts w:ascii="仿宋_GB2312" w:hAnsi="仿宋_GB2312" w:eastAsia="仿宋_GB2312" w:cs="仿宋_GB2312"/>
              </w:rPr>
              <w:t xml:space="preserve"> 符号标识</w:t>
            </w:r>
          </w:p>
        </w:tc>
        <w:tc>
          <w:tcPr>
            <w:tcW w:w="1495" w:type="dxa"/>
          </w:tcPr>
          <w:p w14:paraId="215FEB41">
            <w:pPr>
              <w:pStyle w:val="4"/>
              <w:jc w:val="center"/>
            </w:pPr>
            <w:r>
              <w:rPr>
                <w:rFonts w:ascii="仿宋_GB2312" w:hAnsi="仿宋_GB2312" w:eastAsia="仿宋_GB2312" w:cs="仿宋_GB2312"/>
              </w:rPr>
              <w:t xml:space="preserve"> 服务要求名称</w:t>
            </w:r>
          </w:p>
        </w:tc>
        <w:tc>
          <w:tcPr>
            <w:tcW w:w="5814" w:type="dxa"/>
          </w:tcPr>
          <w:p w14:paraId="3DD4DC8F">
            <w:pPr>
              <w:pStyle w:val="4"/>
              <w:jc w:val="center"/>
            </w:pPr>
            <w:r>
              <w:rPr>
                <w:rFonts w:ascii="仿宋_GB2312" w:hAnsi="仿宋_GB2312" w:eastAsia="仿宋_GB2312" w:cs="仿宋_GB2312"/>
              </w:rPr>
              <w:t xml:space="preserve"> 服务要求内容</w:t>
            </w:r>
          </w:p>
        </w:tc>
      </w:tr>
      <w:tr w14:paraId="579CE7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50DC07">
            <w:pPr>
              <w:pStyle w:val="4"/>
              <w:jc w:val="center"/>
            </w:pPr>
            <w:r>
              <w:rPr>
                <w:rFonts w:ascii="仿宋_GB2312" w:hAnsi="仿宋_GB2312" w:eastAsia="仿宋_GB2312" w:cs="仿宋_GB2312"/>
              </w:rPr>
              <w:t>1</w:t>
            </w:r>
          </w:p>
        </w:tc>
        <w:tc>
          <w:tcPr>
            <w:tcW w:w="581" w:type="dxa"/>
          </w:tcPr>
          <w:p w14:paraId="23A91426">
            <w:pPr>
              <w:pStyle w:val="4"/>
              <w:jc w:val="center"/>
            </w:pPr>
            <w:r>
              <w:rPr>
                <w:rFonts w:ascii="仿宋_GB2312" w:hAnsi="仿宋_GB2312" w:eastAsia="仿宋_GB2312" w:cs="仿宋_GB2312"/>
              </w:rPr>
              <w:t>★</w:t>
            </w:r>
          </w:p>
        </w:tc>
        <w:tc>
          <w:tcPr>
            <w:tcW w:w="1495" w:type="dxa"/>
          </w:tcPr>
          <w:p w14:paraId="459C1891">
            <w:pPr>
              <w:pStyle w:val="4"/>
              <w:jc w:val="left"/>
            </w:pPr>
            <w:r>
              <w:rPr>
                <w:rFonts w:ascii="仿宋_GB2312" w:hAnsi="仿宋_GB2312" w:eastAsia="仿宋_GB2312" w:cs="仿宋_GB2312"/>
              </w:rPr>
              <w:t>付款进度安排（以此为准）</w:t>
            </w:r>
          </w:p>
        </w:tc>
        <w:tc>
          <w:tcPr>
            <w:tcW w:w="5814" w:type="dxa"/>
          </w:tcPr>
          <w:p w14:paraId="14B70C1C">
            <w:pPr>
              <w:pStyle w:val="4"/>
              <w:jc w:val="both"/>
            </w:pPr>
            <w:r>
              <w:rPr>
                <w:rFonts w:ascii="仿宋_GB2312" w:hAnsi="仿宋_GB2312" w:eastAsia="仿宋_GB2312" w:cs="仿宋_GB2312"/>
                <w:b/>
                <w:sz w:val="21"/>
              </w:rPr>
              <w:t>（因系统固化原因，3.3.2.商务要求中的付款进度安排不适用本项目，具体付款进度安排以此为准；投标人应答“付款进度安排”时，可仅应答本条要求即可，对于3.3.2商务要求中“付款进度安排”要求的应答不作强制要求）</w:t>
            </w:r>
          </w:p>
          <w:p w14:paraId="2601CD82">
            <w:pPr>
              <w:pStyle w:val="4"/>
              <w:jc w:val="both"/>
            </w:pPr>
            <w:r>
              <w:rPr>
                <w:rFonts w:ascii="仿宋_GB2312" w:hAnsi="仿宋_GB2312" w:eastAsia="仿宋_GB2312" w:cs="仿宋_GB2312"/>
                <w:sz w:val="21"/>
              </w:rPr>
              <w:t>1、按月结算，以当月实际供货为准，次月10日前投标人与采购人核对合格供货数量无误后开具正规发票，采购人收到发票后在10个工作日内支付，最终结算金额以单价*实际发生的数量进行结算，在合同履行期间最终的结算金额不得超过本项目预算金额110万元。</w:t>
            </w:r>
          </w:p>
          <w:p w14:paraId="63E76076">
            <w:pPr>
              <w:pStyle w:val="4"/>
              <w:jc w:val="both"/>
            </w:pPr>
            <w:r>
              <w:rPr>
                <w:rFonts w:ascii="仿宋_GB2312" w:hAnsi="仿宋_GB2312" w:eastAsia="仿宋_GB2312" w:cs="仿宋_GB2312"/>
                <w:sz w:val="21"/>
              </w:rPr>
              <w:t>2、如采购的货物总价达到预算金额的90%，投标人有义务书面提醒采购人；如采购的货物总价达到预算金额的100%，投标人应拒绝再配送货物；如采购的货物总价超过预算金额的100%，采购人对超过部分有权利不支付。</w:t>
            </w:r>
          </w:p>
        </w:tc>
      </w:tr>
      <w:tr w14:paraId="4BAEF3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F7AB01">
            <w:pPr>
              <w:pStyle w:val="4"/>
              <w:jc w:val="center"/>
            </w:pPr>
            <w:r>
              <w:rPr>
                <w:rFonts w:ascii="仿宋_GB2312" w:hAnsi="仿宋_GB2312" w:eastAsia="仿宋_GB2312" w:cs="仿宋_GB2312"/>
              </w:rPr>
              <w:t>2</w:t>
            </w:r>
          </w:p>
        </w:tc>
        <w:tc>
          <w:tcPr>
            <w:tcW w:w="581" w:type="dxa"/>
          </w:tcPr>
          <w:p w14:paraId="3B70B916">
            <w:pPr>
              <w:pStyle w:val="4"/>
              <w:jc w:val="center"/>
            </w:pPr>
            <w:r>
              <w:rPr>
                <w:rFonts w:ascii="仿宋_GB2312" w:hAnsi="仿宋_GB2312" w:eastAsia="仿宋_GB2312" w:cs="仿宋_GB2312"/>
              </w:rPr>
              <w:t>★</w:t>
            </w:r>
          </w:p>
        </w:tc>
        <w:tc>
          <w:tcPr>
            <w:tcW w:w="1495" w:type="dxa"/>
          </w:tcPr>
          <w:p w14:paraId="0C5358EE">
            <w:pPr>
              <w:pStyle w:val="4"/>
              <w:jc w:val="left"/>
            </w:pPr>
            <w:r>
              <w:rPr>
                <w:rFonts w:ascii="仿宋_GB2312" w:hAnsi="仿宋_GB2312" w:eastAsia="仿宋_GB2312" w:cs="仿宋_GB2312"/>
              </w:rPr>
              <w:t>其他要求</w:t>
            </w:r>
          </w:p>
        </w:tc>
        <w:tc>
          <w:tcPr>
            <w:tcW w:w="5814" w:type="dxa"/>
          </w:tcPr>
          <w:p w14:paraId="0C2449D4">
            <w:pPr>
              <w:pStyle w:val="4"/>
              <w:jc w:val="left"/>
            </w:pPr>
            <w:r>
              <w:rPr>
                <w:rFonts w:ascii="仿宋_GB2312" w:hAnsi="仿宋_GB2312" w:eastAsia="仿宋_GB2312" w:cs="仿宋_GB2312"/>
                <w:sz w:val="21"/>
              </w:rPr>
              <w:t>1.投标人的报价应包括材料、运输、利润、税费、人工费、设施设备租金以及与本项目相关的一切其他费用。</w:t>
            </w:r>
          </w:p>
          <w:p w14:paraId="0B281596">
            <w:pPr>
              <w:pStyle w:val="4"/>
              <w:jc w:val="left"/>
            </w:pPr>
            <w:r>
              <w:rPr>
                <w:rFonts w:ascii="仿宋_GB2312" w:hAnsi="仿宋_GB2312" w:eastAsia="仿宋_GB2312" w:cs="仿宋_GB2312"/>
                <w:sz w:val="21"/>
              </w:rPr>
              <w:t>2.投标人应在合同中或在氧气站建成后签订的补充协议中据实列明所提供的设施设备（含医用液氧、医用氧气、二氧化碳所涉及的设施设备）数量、单价和总价。</w:t>
            </w:r>
          </w:p>
          <w:p w14:paraId="35310D7C">
            <w:pPr>
              <w:pStyle w:val="4"/>
              <w:jc w:val="left"/>
            </w:pPr>
            <w:r>
              <w:rPr>
                <w:rFonts w:ascii="仿宋_GB2312" w:hAnsi="仿宋_GB2312" w:eastAsia="仿宋_GB2312" w:cs="仿宋_GB2312"/>
                <w:sz w:val="21"/>
              </w:rPr>
              <w:t>3.未尽事宜由采购人及投标人在签订合同时协商解决。</w:t>
            </w:r>
          </w:p>
          <w:p w14:paraId="285A57F4">
            <w:pPr>
              <w:pStyle w:val="4"/>
              <w:jc w:val="left"/>
            </w:pPr>
            <w:r>
              <w:rPr>
                <w:rFonts w:ascii="仿宋_GB2312" w:hAnsi="仿宋_GB2312" w:eastAsia="仿宋_GB2312" w:cs="仿宋_GB2312"/>
                <w:sz w:val="21"/>
              </w:rPr>
              <w:t>4.购买的产品属于药品的，投标人所投产品须具有主管部门颁发的《药品注册证》或《药品注册批件》或药品补充申请批件。（提供有效证明材料）</w:t>
            </w:r>
          </w:p>
        </w:tc>
      </w:tr>
      <w:tr w14:paraId="5C77EA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11211E">
            <w:pPr>
              <w:pStyle w:val="4"/>
              <w:jc w:val="center"/>
            </w:pPr>
            <w:r>
              <w:rPr>
                <w:rFonts w:ascii="仿宋_GB2312" w:hAnsi="仿宋_GB2312" w:eastAsia="仿宋_GB2312" w:cs="仿宋_GB2312"/>
              </w:rPr>
              <w:t>3</w:t>
            </w:r>
          </w:p>
        </w:tc>
        <w:tc>
          <w:tcPr>
            <w:tcW w:w="581" w:type="dxa"/>
          </w:tcPr>
          <w:p w14:paraId="01B1C270"/>
        </w:tc>
        <w:tc>
          <w:tcPr>
            <w:tcW w:w="1495" w:type="dxa"/>
          </w:tcPr>
          <w:p w14:paraId="6BC456FF">
            <w:pPr>
              <w:pStyle w:val="4"/>
              <w:jc w:val="left"/>
            </w:pPr>
            <w:r>
              <w:rPr>
                <w:rFonts w:ascii="仿宋_GB2312" w:hAnsi="仿宋_GB2312" w:eastAsia="仿宋_GB2312" w:cs="仿宋_GB2312"/>
              </w:rPr>
              <w:t>应急措施</w:t>
            </w:r>
          </w:p>
        </w:tc>
        <w:tc>
          <w:tcPr>
            <w:tcW w:w="5814" w:type="dxa"/>
          </w:tcPr>
          <w:p w14:paraId="534B13F2">
            <w:pPr>
              <w:pStyle w:val="4"/>
              <w:jc w:val="left"/>
            </w:pPr>
            <w:r>
              <w:rPr>
                <w:rFonts w:ascii="仿宋_GB2312" w:hAnsi="仿宋_GB2312" w:eastAsia="仿宋_GB2312" w:cs="仿宋_GB2312"/>
                <w:sz w:val="21"/>
              </w:rPr>
              <w:t>投标人针对本项目编制的应急措施：①提供危险因素应急措施；②提供液氧泄漏应急措施；③提供液氧预防燃烧应急措施；④提供人员救援应急措施。</w:t>
            </w:r>
            <w:r>
              <w:rPr>
                <w:rFonts w:ascii="仿宋_GB2312" w:hAnsi="仿宋_GB2312" w:eastAsia="仿宋_GB2312" w:cs="仿宋_GB2312"/>
                <w:sz w:val="24"/>
              </w:rPr>
              <w:t>所提供的内容将作为本项目评审依据，也将作为中标后履约过程中的监督及验收依据。</w:t>
            </w:r>
          </w:p>
        </w:tc>
      </w:tr>
      <w:tr w14:paraId="68B68A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33AB32">
            <w:pPr>
              <w:pStyle w:val="4"/>
              <w:jc w:val="center"/>
            </w:pPr>
            <w:r>
              <w:rPr>
                <w:rFonts w:ascii="仿宋_GB2312" w:hAnsi="仿宋_GB2312" w:eastAsia="仿宋_GB2312" w:cs="仿宋_GB2312"/>
              </w:rPr>
              <w:t>4</w:t>
            </w:r>
          </w:p>
        </w:tc>
        <w:tc>
          <w:tcPr>
            <w:tcW w:w="581" w:type="dxa"/>
          </w:tcPr>
          <w:p w14:paraId="202811AA"/>
        </w:tc>
        <w:tc>
          <w:tcPr>
            <w:tcW w:w="1495" w:type="dxa"/>
          </w:tcPr>
          <w:p w14:paraId="3537C77D">
            <w:pPr>
              <w:pStyle w:val="4"/>
              <w:jc w:val="left"/>
            </w:pPr>
            <w:r>
              <w:rPr>
                <w:rFonts w:ascii="仿宋_GB2312" w:hAnsi="仿宋_GB2312" w:eastAsia="仿宋_GB2312" w:cs="仿宋_GB2312"/>
              </w:rPr>
              <w:t>售后服务方案</w:t>
            </w:r>
          </w:p>
        </w:tc>
        <w:tc>
          <w:tcPr>
            <w:tcW w:w="5814" w:type="dxa"/>
          </w:tcPr>
          <w:p w14:paraId="605D9BEC">
            <w:pPr>
              <w:pStyle w:val="4"/>
              <w:jc w:val="left"/>
            </w:pPr>
            <w:r>
              <w:rPr>
                <w:rFonts w:ascii="仿宋_GB2312" w:hAnsi="仿宋_GB2312" w:eastAsia="仿宋_GB2312" w:cs="仿宋_GB2312"/>
                <w:sz w:val="21"/>
              </w:rPr>
              <w:t>投标人针对本项目提供售后服务方案，包括：①售后服务计划及售后服务内容和承诺；②液氧设施设备维护方案；③人员培训方案。所提供的内容将作为本项目评审依据，也将作为中标后履约过程中的监督及验收依据。</w:t>
            </w:r>
          </w:p>
        </w:tc>
      </w:tr>
      <w:tr w14:paraId="6F4BEC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D9CFE5">
            <w:pPr>
              <w:pStyle w:val="4"/>
              <w:jc w:val="center"/>
            </w:pPr>
            <w:r>
              <w:rPr>
                <w:rFonts w:ascii="仿宋_GB2312" w:hAnsi="仿宋_GB2312" w:eastAsia="仿宋_GB2312" w:cs="仿宋_GB2312"/>
              </w:rPr>
              <w:t>5</w:t>
            </w:r>
          </w:p>
        </w:tc>
        <w:tc>
          <w:tcPr>
            <w:tcW w:w="581" w:type="dxa"/>
          </w:tcPr>
          <w:p w14:paraId="31D82FC1"/>
        </w:tc>
        <w:tc>
          <w:tcPr>
            <w:tcW w:w="1495" w:type="dxa"/>
          </w:tcPr>
          <w:p w14:paraId="2C8A8278">
            <w:pPr>
              <w:pStyle w:val="4"/>
              <w:jc w:val="left"/>
            </w:pPr>
            <w:r>
              <w:rPr>
                <w:rFonts w:ascii="仿宋_GB2312" w:hAnsi="仿宋_GB2312" w:eastAsia="仿宋_GB2312" w:cs="仿宋_GB2312"/>
              </w:rPr>
              <w:t>履约能力</w:t>
            </w:r>
          </w:p>
        </w:tc>
        <w:tc>
          <w:tcPr>
            <w:tcW w:w="5814" w:type="dxa"/>
          </w:tcPr>
          <w:p w14:paraId="295839D3">
            <w:pPr>
              <w:pStyle w:val="4"/>
              <w:jc w:val="left"/>
            </w:pPr>
            <w:r>
              <w:rPr>
                <w:rFonts w:ascii="仿宋_GB2312" w:hAnsi="仿宋_GB2312" w:eastAsia="仿宋_GB2312" w:cs="仿宋_GB2312"/>
                <w:sz w:val="21"/>
              </w:rPr>
              <w:t>投标人自2023年1月1日（含）至今，具有类似项目业绩证明材料。所提供的内容将作为本项目评审依据，也将作为中标后履约过程中的监督及验收依据。</w:t>
            </w:r>
          </w:p>
        </w:tc>
      </w:tr>
    </w:tbl>
    <w:p w14:paraId="21F1E646">
      <w:pPr>
        <w:pStyle w:val="4"/>
        <w:jc w:val="left"/>
        <w:outlineLvl w:val="3"/>
      </w:pPr>
      <w:r>
        <w:rPr>
          <w:rFonts w:ascii="仿宋_GB2312" w:hAnsi="仿宋_GB2312" w:eastAsia="仿宋_GB2312" w:cs="仿宋_GB2312"/>
          <w:b/>
          <w:sz w:val="24"/>
        </w:rPr>
        <w:t>3.3.2.商务要求</w:t>
      </w:r>
    </w:p>
    <w:p w14:paraId="7DDD47D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92722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C079A59">
            <w:pPr>
              <w:pStyle w:val="4"/>
              <w:jc w:val="left"/>
            </w:pPr>
            <w:r>
              <w:rPr>
                <w:rFonts w:ascii="仿宋_GB2312" w:hAnsi="仿宋_GB2312" w:eastAsia="仿宋_GB2312" w:cs="仿宋_GB2312"/>
              </w:rPr>
              <w:t>序号</w:t>
            </w:r>
          </w:p>
        </w:tc>
        <w:tc>
          <w:tcPr>
            <w:tcW w:w="2076" w:type="dxa"/>
          </w:tcPr>
          <w:p w14:paraId="39931A88">
            <w:pPr>
              <w:pStyle w:val="4"/>
              <w:jc w:val="left"/>
            </w:pPr>
            <w:r>
              <w:rPr>
                <w:rFonts w:ascii="仿宋_GB2312" w:hAnsi="仿宋_GB2312" w:eastAsia="仿宋_GB2312" w:cs="仿宋_GB2312"/>
              </w:rPr>
              <w:t>符号标识</w:t>
            </w:r>
          </w:p>
        </w:tc>
        <w:tc>
          <w:tcPr>
            <w:tcW w:w="2076" w:type="dxa"/>
          </w:tcPr>
          <w:p w14:paraId="04AC8DBC">
            <w:pPr>
              <w:pStyle w:val="4"/>
              <w:jc w:val="left"/>
            </w:pPr>
            <w:r>
              <w:rPr>
                <w:rFonts w:ascii="仿宋_GB2312" w:hAnsi="仿宋_GB2312" w:eastAsia="仿宋_GB2312" w:cs="仿宋_GB2312"/>
              </w:rPr>
              <w:t>商务要求名称</w:t>
            </w:r>
          </w:p>
        </w:tc>
        <w:tc>
          <w:tcPr>
            <w:tcW w:w="2076" w:type="dxa"/>
          </w:tcPr>
          <w:p w14:paraId="25D3A2B7">
            <w:pPr>
              <w:pStyle w:val="4"/>
              <w:jc w:val="left"/>
            </w:pPr>
            <w:r>
              <w:rPr>
                <w:rFonts w:ascii="仿宋_GB2312" w:hAnsi="仿宋_GB2312" w:eastAsia="仿宋_GB2312" w:cs="仿宋_GB2312"/>
              </w:rPr>
              <w:t>商务要求内容</w:t>
            </w:r>
          </w:p>
        </w:tc>
      </w:tr>
      <w:tr w14:paraId="0D298A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893F317">
            <w:pPr>
              <w:pStyle w:val="4"/>
              <w:jc w:val="left"/>
            </w:pPr>
            <w:r>
              <w:rPr>
                <w:rFonts w:ascii="仿宋_GB2312" w:hAnsi="仿宋_GB2312" w:eastAsia="仿宋_GB2312" w:cs="仿宋_GB2312"/>
              </w:rPr>
              <w:t>1</w:t>
            </w:r>
          </w:p>
        </w:tc>
        <w:tc>
          <w:tcPr>
            <w:tcW w:w="2076" w:type="dxa"/>
          </w:tcPr>
          <w:p w14:paraId="55836DE7">
            <w:pPr>
              <w:pStyle w:val="4"/>
              <w:jc w:val="left"/>
            </w:pPr>
            <w:r>
              <w:rPr>
                <w:rFonts w:ascii="仿宋_GB2312" w:hAnsi="仿宋_GB2312" w:eastAsia="仿宋_GB2312" w:cs="仿宋_GB2312"/>
              </w:rPr>
              <w:t>★</w:t>
            </w:r>
          </w:p>
        </w:tc>
        <w:tc>
          <w:tcPr>
            <w:tcW w:w="2076" w:type="dxa"/>
          </w:tcPr>
          <w:p w14:paraId="55B1206A">
            <w:pPr>
              <w:pStyle w:val="4"/>
              <w:jc w:val="left"/>
            </w:pPr>
            <w:r>
              <w:rPr>
                <w:rFonts w:ascii="仿宋_GB2312" w:hAnsi="仿宋_GB2312" w:eastAsia="仿宋_GB2312" w:cs="仿宋_GB2312"/>
              </w:rPr>
              <w:t>交货时间</w:t>
            </w:r>
          </w:p>
        </w:tc>
        <w:tc>
          <w:tcPr>
            <w:tcW w:w="2076" w:type="dxa"/>
          </w:tcPr>
          <w:p w14:paraId="64A7FF63">
            <w:pPr>
              <w:pStyle w:val="4"/>
              <w:jc w:val="left"/>
            </w:pPr>
            <w:r>
              <w:rPr>
                <w:rFonts w:ascii="仿宋_GB2312" w:hAnsi="仿宋_GB2312" w:eastAsia="仿宋_GB2312" w:cs="仿宋_GB2312"/>
              </w:rPr>
              <w:t>每批次交货时间：投标人须在接到采购人通知后24小时内完成采购人要求配送的标的。</w:t>
            </w:r>
          </w:p>
        </w:tc>
      </w:tr>
      <w:tr w14:paraId="26D7C9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28723FD">
            <w:pPr>
              <w:pStyle w:val="4"/>
              <w:jc w:val="left"/>
            </w:pPr>
            <w:r>
              <w:rPr>
                <w:rFonts w:ascii="仿宋_GB2312" w:hAnsi="仿宋_GB2312" w:eastAsia="仿宋_GB2312" w:cs="仿宋_GB2312"/>
              </w:rPr>
              <w:t>2</w:t>
            </w:r>
          </w:p>
        </w:tc>
        <w:tc>
          <w:tcPr>
            <w:tcW w:w="2076" w:type="dxa"/>
          </w:tcPr>
          <w:p w14:paraId="4BA3C04C">
            <w:pPr>
              <w:pStyle w:val="4"/>
              <w:jc w:val="left"/>
            </w:pPr>
            <w:r>
              <w:rPr>
                <w:rFonts w:ascii="仿宋_GB2312" w:hAnsi="仿宋_GB2312" w:eastAsia="仿宋_GB2312" w:cs="仿宋_GB2312"/>
              </w:rPr>
              <w:t>★</w:t>
            </w:r>
          </w:p>
        </w:tc>
        <w:tc>
          <w:tcPr>
            <w:tcW w:w="2076" w:type="dxa"/>
          </w:tcPr>
          <w:p w14:paraId="7E1BEE9F">
            <w:pPr>
              <w:pStyle w:val="4"/>
              <w:jc w:val="left"/>
            </w:pPr>
            <w:r>
              <w:rPr>
                <w:rFonts w:ascii="仿宋_GB2312" w:hAnsi="仿宋_GB2312" w:eastAsia="仿宋_GB2312" w:cs="仿宋_GB2312"/>
              </w:rPr>
              <w:t>交货地点</w:t>
            </w:r>
          </w:p>
        </w:tc>
        <w:tc>
          <w:tcPr>
            <w:tcW w:w="2076" w:type="dxa"/>
          </w:tcPr>
          <w:p w14:paraId="11441031">
            <w:pPr>
              <w:pStyle w:val="4"/>
              <w:jc w:val="left"/>
            </w:pPr>
            <w:r>
              <w:rPr>
                <w:rFonts w:ascii="仿宋_GB2312" w:hAnsi="仿宋_GB2312" w:eastAsia="仿宋_GB2312" w:cs="仿宋_GB2312"/>
              </w:rPr>
              <w:t>大邑县人民医院。</w:t>
            </w:r>
          </w:p>
        </w:tc>
      </w:tr>
      <w:tr w14:paraId="607996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E42CEB4">
            <w:pPr>
              <w:pStyle w:val="4"/>
              <w:jc w:val="left"/>
            </w:pPr>
            <w:r>
              <w:rPr>
                <w:rFonts w:ascii="仿宋_GB2312" w:hAnsi="仿宋_GB2312" w:eastAsia="仿宋_GB2312" w:cs="仿宋_GB2312"/>
              </w:rPr>
              <w:t>3</w:t>
            </w:r>
          </w:p>
        </w:tc>
        <w:tc>
          <w:tcPr>
            <w:tcW w:w="2076" w:type="dxa"/>
          </w:tcPr>
          <w:p w14:paraId="63A61380">
            <w:pPr>
              <w:pStyle w:val="4"/>
              <w:jc w:val="left"/>
            </w:pPr>
            <w:r>
              <w:rPr>
                <w:rFonts w:ascii="仿宋_GB2312" w:hAnsi="仿宋_GB2312" w:eastAsia="仿宋_GB2312" w:cs="仿宋_GB2312"/>
              </w:rPr>
              <w:t>★</w:t>
            </w:r>
          </w:p>
        </w:tc>
        <w:tc>
          <w:tcPr>
            <w:tcW w:w="2076" w:type="dxa"/>
          </w:tcPr>
          <w:p w14:paraId="0A5805C0">
            <w:pPr>
              <w:pStyle w:val="4"/>
              <w:jc w:val="left"/>
            </w:pPr>
            <w:r>
              <w:rPr>
                <w:rFonts w:ascii="仿宋_GB2312" w:hAnsi="仿宋_GB2312" w:eastAsia="仿宋_GB2312" w:cs="仿宋_GB2312"/>
              </w:rPr>
              <w:t>支付方式</w:t>
            </w:r>
          </w:p>
        </w:tc>
        <w:tc>
          <w:tcPr>
            <w:tcW w:w="2076" w:type="dxa"/>
          </w:tcPr>
          <w:p w14:paraId="3FBA5BFD">
            <w:pPr>
              <w:pStyle w:val="4"/>
              <w:jc w:val="left"/>
            </w:pPr>
            <w:r>
              <w:rPr>
                <w:rFonts w:ascii="仿宋_GB2312" w:hAnsi="仿宋_GB2312" w:eastAsia="仿宋_GB2312" w:cs="仿宋_GB2312"/>
              </w:rPr>
              <w:t>分期付款</w:t>
            </w:r>
          </w:p>
        </w:tc>
      </w:tr>
      <w:tr w14:paraId="6B5E03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D784BCD">
            <w:pPr>
              <w:pStyle w:val="4"/>
              <w:jc w:val="left"/>
            </w:pPr>
            <w:r>
              <w:rPr>
                <w:rFonts w:ascii="仿宋_GB2312" w:hAnsi="仿宋_GB2312" w:eastAsia="仿宋_GB2312" w:cs="仿宋_GB2312"/>
              </w:rPr>
              <w:t>4</w:t>
            </w:r>
          </w:p>
        </w:tc>
        <w:tc>
          <w:tcPr>
            <w:tcW w:w="2076" w:type="dxa"/>
          </w:tcPr>
          <w:p w14:paraId="658EEAA1"/>
        </w:tc>
        <w:tc>
          <w:tcPr>
            <w:tcW w:w="2076" w:type="dxa"/>
          </w:tcPr>
          <w:p w14:paraId="73D974C5">
            <w:pPr>
              <w:pStyle w:val="4"/>
              <w:jc w:val="left"/>
            </w:pPr>
            <w:r>
              <w:rPr>
                <w:rFonts w:ascii="仿宋_GB2312" w:hAnsi="仿宋_GB2312" w:eastAsia="仿宋_GB2312" w:cs="仿宋_GB2312"/>
              </w:rPr>
              <w:t>付款进度安排</w:t>
            </w:r>
          </w:p>
        </w:tc>
        <w:tc>
          <w:tcPr>
            <w:tcW w:w="2076" w:type="dxa"/>
          </w:tcPr>
          <w:p w14:paraId="7AD62677">
            <w:pPr>
              <w:pStyle w:val="4"/>
              <w:jc w:val="left"/>
            </w:pPr>
            <w:r>
              <w:rPr>
                <w:rFonts w:ascii="仿宋_GB2312" w:hAnsi="仿宋_GB2312" w:eastAsia="仿宋_GB2312" w:cs="仿宋_GB2312"/>
              </w:rPr>
              <w:t>1、自定义付款条件：按月结算，以当月实际供货为准，次月10日前投标人与采购人核对合格供货数量无误后开具正规发票，采购人收到发票后。达到该付款条件起10个工作日内，据实情况为最终结算金额以单价*实际发生的数量进行结算，在合同履行期间最终的结算金额不得超过本项目预算金额110万元</w:t>
            </w:r>
            <w:r>
              <w:br w:type="textWrapping"/>
            </w:r>
          </w:p>
        </w:tc>
      </w:tr>
      <w:tr w14:paraId="3ED744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709C2BB">
            <w:pPr>
              <w:pStyle w:val="4"/>
              <w:jc w:val="left"/>
            </w:pPr>
            <w:r>
              <w:rPr>
                <w:rFonts w:ascii="仿宋_GB2312" w:hAnsi="仿宋_GB2312" w:eastAsia="仿宋_GB2312" w:cs="仿宋_GB2312"/>
              </w:rPr>
              <w:t>5</w:t>
            </w:r>
          </w:p>
        </w:tc>
        <w:tc>
          <w:tcPr>
            <w:tcW w:w="2076" w:type="dxa"/>
          </w:tcPr>
          <w:p w14:paraId="5498C9D3">
            <w:pPr>
              <w:pStyle w:val="4"/>
              <w:jc w:val="left"/>
            </w:pPr>
            <w:r>
              <w:rPr>
                <w:rFonts w:ascii="仿宋_GB2312" w:hAnsi="仿宋_GB2312" w:eastAsia="仿宋_GB2312" w:cs="仿宋_GB2312"/>
              </w:rPr>
              <w:t>★</w:t>
            </w:r>
          </w:p>
        </w:tc>
        <w:tc>
          <w:tcPr>
            <w:tcW w:w="2076" w:type="dxa"/>
          </w:tcPr>
          <w:p w14:paraId="69339617">
            <w:pPr>
              <w:pStyle w:val="4"/>
              <w:jc w:val="left"/>
            </w:pPr>
            <w:r>
              <w:rPr>
                <w:rFonts w:ascii="仿宋_GB2312" w:hAnsi="仿宋_GB2312" w:eastAsia="仿宋_GB2312" w:cs="仿宋_GB2312"/>
              </w:rPr>
              <w:t>验收、交付标准和方法</w:t>
            </w:r>
          </w:p>
        </w:tc>
        <w:tc>
          <w:tcPr>
            <w:tcW w:w="2076" w:type="dxa"/>
          </w:tcPr>
          <w:p w14:paraId="3E1EDFEF">
            <w:pPr>
              <w:pStyle w:val="4"/>
              <w:jc w:val="left"/>
            </w:pPr>
            <w:r>
              <w:rPr>
                <w:rFonts w:ascii="仿宋_GB2312" w:hAnsi="仿宋_GB2312" w:eastAsia="仿宋_GB2312" w:cs="仿宋_GB2312"/>
              </w:rPr>
              <w:t>详见第二章2.6.6.履约验收方案（以供应商提供的《投标（响应）函》中“我单位完全接受和理解本项目采购文件规定的实质性要求”即视为响应。）</w:t>
            </w:r>
          </w:p>
        </w:tc>
      </w:tr>
      <w:tr w14:paraId="54D751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92E33E6">
            <w:pPr>
              <w:pStyle w:val="4"/>
              <w:jc w:val="left"/>
            </w:pPr>
            <w:r>
              <w:rPr>
                <w:rFonts w:ascii="仿宋_GB2312" w:hAnsi="仿宋_GB2312" w:eastAsia="仿宋_GB2312" w:cs="仿宋_GB2312"/>
              </w:rPr>
              <w:t>6</w:t>
            </w:r>
          </w:p>
        </w:tc>
        <w:tc>
          <w:tcPr>
            <w:tcW w:w="2076" w:type="dxa"/>
          </w:tcPr>
          <w:p w14:paraId="2A9C70ED">
            <w:pPr>
              <w:pStyle w:val="4"/>
              <w:jc w:val="left"/>
            </w:pPr>
            <w:r>
              <w:rPr>
                <w:rFonts w:ascii="仿宋_GB2312" w:hAnsi="仿宋_GB2312" w:eastAsia="仿宋_GB2312" w:cs="仿宋_GB2312"/>
              </w:rPr>
              <w:t>★</w:t>
            </w:r>
          </w:p>
        </w:tc>
        <w:tc>
          <w:tcPr>
            <w:tcW w:w="2076" w:type="dxa"/>
          </w:tcPr>
          <w:p w14:paraId="36EBCA62">
            <w:pPr>
              <w:pStyle w:val="4"/>
              <w:jc w:val="left"/>
            </w:pPr>
            <w:r>
              <w:rPr>
                <w:rFonts w:ascii="仿宋_GB2312" w:hAnsi="仿宋_GB2312" w:eastAsia="仿宋_GB2312" w:cs="仿宋_GB2312"/>
              </w:rPr>
              <w:t>包装方式及运输</w:t>
            </w:r>
          </w:p>
        </w:tc>
        <w:tc>
          <w:tcPr>
            <w:tcW w:w="2076" w:type="dxa"/>
          </w:tcPr>
          <w:p w14:paraId="21698D02">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413AAD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81481B6">
            <w:pPr>
              <w:pStyle w:val="4"/>
              <w:jc w:val="left"/>
            </w:pPr>
            <w:r>
              <w:rPr>
                <w:rFonts w:ascii="仿宋_GB2312" w:hAnsi="仿宋_GB2312" w:eastAsia="仿宋_GB2312" w:cs="仿宋_GB2312"/>
              </w:rPr>
              <w:t>7</w:t>
            </w:r>
          </w:p>
        </w:tc>
        <w:tc>
          <w:tcPr>
            <w:tcW w:w="2076" w:type="dxa"/>
          </w:tcPr>
          <w:p w14:paraId="79B94A8D">
            <w:pPr>
              <w:pStyle w:val="4"/>
              <w:jc w:val="left"/>
            </w:pPr>
            <w:r>
              <w:rPr>
                <w:rFonts w:ascii="仿宋_GB2312" w:hAnsi="仿宋_GB2312" w:eastAsia="仿宋_GB2312" w:cs="仿宋_GB2312"/>
              </w:rPr>
              <w:t>★</w:t>
            </w:r>
          </w:p>
        </w:tc>
        <w:tc>
          <w:tcPr>
            <w:tcW w:w="2076" w:type="dxa"/>
          </w:tcPr>
          <w:p w14:paraId="57059766">
            <w:pPr>
              <w:pStyle w:val="4"/>
              <w:jc w:val="left"/>
            </w:pPr>
            <w:r>
              <w:rPr>
                <w:rFonts w:ascii="仿宋_GB2312" w:hAnsi="仿宋_GB2312" w:eastAsia="仿宋_GB2312" w:cs="仿宋_GB2312"/>
              </w:rPr>
              <w:t>质量保修范围和保修期</w:t>
            </w:r>
          </w:p>
        </w:tc>
        <w:tc>
          <w:tcPr>
            <w:tcW w:w="2076" w:type="dxa"/>
          </w:tcPr>
          <w:p w14:paraId="3B10F55C">
            <w:pPr>
              <w:pStyle w:val="4"/>
              <w:jc w:val="left"/>
            </w:pPr>
            <w:r>
              <w:rPr>
                <w:rFonts w:ascii="仿宋_GB2312" w:hAnsi="仿宋_GB2312" w:eastAsia="仿宋_GB2312" w:cs="仿宋_GB2312"/>
              </w:rPr>
              <w:t>每批次质保期不少于6个月（自该批次货物经采购人验收合格之日起算）。</w:t>
            </w:r>
          </w:p>
        </w:tc>
      </w:tr>
      <w:tr w14:paraId="7B2C58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615F9A2">
            <w:pPr>
              <w:pStyle w:val="4"/>
              <w:jc w:val="left"/>
            </w:pPr>
            <w:r>
              <w:rPr>
                <w:rFonts w:ascii="仿宋_GB2312" w:hAnsi="仿宋_GB2312" w:eastAsia="仿宋_GB2312" w:cs="仿宋_GB2312"/>
              </w:rPr>
              <w:t>8</w:t>
            </w:r>
          </w:p>
        </w:tc>
        <w:tc>
          <w:tcPr>
            <w:tcW w:w="2076" w:type="dxa"/>
          </w:tcPr>
          <w:p w14:paraId="166061C0">
            <w:pPr>
              <w:pStyle w:val="4"/>
              <w:jc w:val="left"/>
            </w:pPr>
            <w:r>
              <w:rPr>
                <w:rFonts w:ascii="仿宋_GB2312" w:hAnsi="仿宋_GB2312" w:eastAsia="仿宋_GB2312" w:cs="仿宋_GB2312"/>
              </w:rPr>
              <w:t>★</w:t>
            </w:r>
          </w:p>
        </w:tc>
        <w:tc>
          <w:tcPr>
            <w:tcW w:w="2076" w:type="dxa"/>
          </w:tcPr>
          <w:p w14:paraId="0C627C24">
            <w:pPr>
              <w:pStyle w:val="4"/>
              <w:jc w:val="left"/>
            </w:pPr>
            <w:r>
              <w:rPr>
                <w:rFonts w:ascii="仿宋_GB2312" w:hAnsi="仿宋_GB2312" w:eastAsia="仿宋_GB2312" w:cs="仿宋_GB2312"/>
              </w:rPr>
              <w:t>违约责任与解决争议的方法</w:t>
            </w:r>
          </w:p>
        </w:tc>
        <w:tc>
          <w:tcPr>
            <w:tcW w:w="2076" w:type="dxa"/>
          </w:tcPr>
          <w:p w14:paraId="4B0B68B6">
            <w:pPr>
              <w:pStyle w:val="4"/>
              <w:jc w:val="left"/>
            </w:pPr>
            <w:r>
              <w:rPr>
                <w:rFonts w:ascii="仿宋_GB2312" w:hAnsi="仿宋_GB2312" w:eastAsia="仿宋_GB2312" w:cs="仿宋_GB2312"/>
              </w:rPr>
              <w:t>以双方签订的采购合同为准。</w:t>
            </w:r>
          </w:p>
        </w:tc>
      </w:tr>
    </w:tbl>
    <w:p w14:paraId="3DD18D50">
      <w:pPr>
        <w:pStyle w:val="4"/>
        <w:jc w:val="left"/>
        <w:outlineLvl w:val="2"/>
      </w:pPr>
      <w:r>
        <w:rPr>
          <w:rFonts w:ascii="仿宋_GB2312" w:hAnsi="仿宋_GB2312" w:eastAsia="仿宋_GB2312" w:cs="仿宋_GB2312"/>
          <w:b/>
          <w:sz w:val="28"/>
        </w:rPr>
        <w:t>3.4.其他要求</w:t>
      </w:r>
    </w:p>
    <w:p w14:paraId="2904E2D4">
      <w:pPr>
        <w:pStyle w:val="4"/>
        <w:jc w:val="left"/>
      </w:pPr>
      <w:r>
        <w:rPr>
          <w:rFonts w:ascii="仿宋_GB2312" w:hAnsi="仿宋_GB2312" w:eastAsia="仿宋_GB2312" w:cs="仿宋_GB2312"/>
        </w:rPr>
        <w:t>采购包1： 1、未载明或者载明的标的名称、数量、计量单位及其他政府采购合同实质性内容与采购文件要求不一致，且采购单位无法接受的，属于无效响应。 2、非特定美国企业生产产品（实质性要求）：根据《关于在政府采购活动中对有关美国企业采取相关措施的通知》（财库〔2026〕10号）规定，供应商不得提供该通知中所列46家美国企业（不包括在华美资企业）生产的产品，否则投标（响应）无效。 3、系统固化原因说明（本条说明无需投标人单独进行应答，投标人按本条要求编制投标文件即可）： 本项目为货物采购项目，拟分包内容为本项目产品的运输服务，不属于本项目中小企业认定范畴，供应商无需对该服务内容或该服务内容承接单位进行中小企业响应声明，故招标文件第一章 1.5.二、落实政府采购政策需满足的资格要求 中“供应商合同分包的，分包意向协议中分包意向供应商应当为中小企业。接受分包合同的中小企业与分包企业之间不得存在直接控股、管理关系。”和招标文件第二章“2.6.3.1.合同分包 注：3.中小企业依据《政府采购促进中小企业发展管理办法》（财库〔2020〕46号）规定的政策获取政府采购合同后，小型、微型企业不得将合同分包给大型、中型企业，中型企业不得将合同分包给大型企业。”不适用本次采购项目。（因系统固化原因，特此说明）</w:t>
      </w:r>
    </w:p>
    <w:p w14:paraId="1C4295D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153D29"/>
    <w:rsid w:val="21153D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2026-08-24T08:49:00Z</dcterms:created>
  <dc:creator>Yu</dc:creator>
  <cp:lastModifiedBy>Yu</cp:lastModifiedBy>
  <dcterms:modified xsi:type="dcterms:W3CDTF">2026-08-24T08:50:19Z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C5C1F678039246A39F829028E1F54D75_11</vt:lpwstr>
  </property>
  <property fmtid="{D5CDD505-2E9C-101B-9397-08002B2CF9AE}" pid="4" name="KSOTemplateDocerSaveRecord">
    <vt:lpwstr>eyJoZGlkIjoiMWY1ZjQxY2JhYzdmN2MxZGU0Zjk3Nzk5MzJiZWVhMGQiLCJ1c2VySWQiOiI1MDQxNDc4ODMifQ==</vt:lpwstr>
  </property>
</Properties>
</file>