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F82EA">
      <w:pPr>
        <w:widowControl w:val="0"/>
        <w:kinsoku/>
        <w:autoSpaceDE/>
        <w:autoSpaceDN/>
        <w:adjustRightInd/>
        <w:snapToGrid/>
        <w:spacing w:line="360" w:lineRule="auto"/>
        <w:jc w:val="center"/>
        <w:rPr>
          <w:rFonts w:ascii="宋体" w:hAnsi="宋体" w:eastAsia="宋体" w:cs="宋体"/>
          <w:b/>
          <w:bCs/>
          <w:color w:val="auto"/>
          <w:sz w:val="44"/>
          <w:szCs w:val="44"/>
          <w:highlight w:val="none"/>
          <w:lang w:eastAsia="zh-CN"/>
        </w:rPr>
      </w:pPr>
      <w:bookmarkStart w:id="0" w:name="_GoBack"/>
      <w:r>
        <w:rPr>
          <w:rFonts w:hint="eastAsia" w:ascii="宋体" w:hAnsi="宋体" w:eastAsia="宋体" w:cs="宋体"/>
          <w:b/>
          <w:bCs/>
          <w:color w:val="auto"/>
          <w:sz w:val="44"/>
          <w:szCs w:val="44"/>
          <w:highlight w:val="none"/>
          <w:lang w:eastAsia="zh-CN"/>
        </w:rPr>
        <w:t>医疗设备采购合同</w:t>
      </w:r>
    </w:p>
    <w:bookmarkEnd w:id="0"/>
    <w:p w14:paraId="627D2DC3">
      <w:pPr>
        <w:widowControl w:val="0"/>
        <w:kinsoku/>
        <w:autoSpaceDE/>
        <w:autoSpaceDN/>
        <w:adjustRightInd/>
        <w:snapToGrid/>
        <w:spacing w:line="360" w:lineRule="auto"/>
        <w:rPr>
          <w:rFonts w:ascii="宋体" w:hAnsi="宋体" w:eastAsia="宋体" w:cs="宋体"/>
          <w:color w:val="auto"/>
          <w:sz w:val="24"/>
          <w:szCs w:val="24"/>
          <w:highlight w:val="none"/>
          <w:lang w:eastAsia="zh-CN"/>
        </w:rPr>
      </w:pPr>
    </w:p>
    <w:p w14:paraId="5FBA3D39">
      <w:pPr>
        <w:widowControl w:val="0"/>
        <w:kinsoku/>
        <w:autoSpaceDE/>
        <w:autoSpaceDN/>
        <w:adjustRightInd/>
        <w:snapToGrid/>
        <w:spacing w:line="360" w:lineRule="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合同编号：</w:t>
      </w:r>
    </w:p>
    <w:p w14:paraId="57720C74">
      <w:pPr>
        <w:widowControl w:val="0"/>
        <w:kinsoku/>
        <w:autoSpaceDE/>
        <w:autoSpaceDN/>
        <w:adjustRightInd/>
        <w:snapToGrid/>
        <w:spacing w:line="360" w:lineRule="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签订地点：</w:t>
      </w:r>
      <w:r>
        <w:rPr>
          <w:rFonts w:hint="eastAsia" w:ascii="宋体" w:hAnsi="宋体" w:eastAsia="宋体" w:cs="宋体"/>
          <w:color w:val="auto"/>
          <w:sz w:val="24"/>
          <w:szCs w:val="24"/>
          <w:highlight w:val="none"/>
          <w:u w:val="single"/>
          <w:lang w:eastAsia="zh-CN"/>
        </w:rPr>
        <w:t>广元市第一人民医院</w:t>
      </w:r>
    </w:p>
    <w:p w14:paraId="307B641C">
      <w:pPr>
        <w:widowControl w:val="0"/>
        <w:kinsoku/>
        <w:autoSpaceDE/>
        <w:autoSpaceDN/>
        <w:adjustRightInd/>
        <w:snapToGrid/>
        <w:spacing w:line="360" w:lineRule="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采购人(采购人):</w:t>
      </w:r>
      <w:r>
        <w:rPr>
          <w:rFonts w:hint="eastAsia" w:ascii="宋体" w:hAnsi="宋体" w:eastAsia="宋体" w:cs="宋体"/>
          <w:color w:val="auto"/>
          <w:sz w:val="24"/>
          <w:szCs w:val="24"/>
          <w:highlight w:val="none"/>
          <w:u w:val="single"/>
          <w:lang w:eastAsia="zh-CN"/>
        </w:rPr>
        <w:t>广元市第一人民医院</w:t>
      </w:r>
      <w:r>
        <w:rPr>
          <w:rFonts w:hint="eastAsia" w:ascii="宋体" w:hAnsi="宋体" w:eastAsia="宋体" w:cs="宋体"/>
          <w:color w:val="auto"/>
          <w:sz w:val="24"/>
          <w:szCs w:val="24"/>
          <w:highlight w:val="none"/>
          <w:lang w:eastAsia="zh-CN"/>
        </w:rPr>
        <w:t xml:space="preserve">  </w:t>
      </w:r>
    </w:p>
    <w:p w14:paraId="745695D7">
      <w:pPr>
        <w:widowControl w:val="0"/>
        <w:kinsoku/>
        <w:autoSpaceDE/>
        <w:autoSpaceDN/>
        <w:adjustRightInd/>
        <w:snapToGrid/>
        <w:spacing w:line="360" w:lineRule="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投标人(中标人): </w:t>
      </w:r>
    </w:p>
    <w:p w14:paraId="20BD9197">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根据《中华人民共和国政府采购法》、《中华人民共和国民法典》与项目行业有关法律法规，以及     采购项目(项目编号：    )的《招标文件》、中标人的《投标文件》及《中标通知书》,甲、乙双方同意签订本合同。详细技术说明及其他有关合同项目的特定信息由合同附件予以说明，合同附件及本项目的《招标文件》、 《投标文件》、《中标通知书》等均为本合同不可分割的部分。</w:t>
      </w:r>
      <w:r>
        <w:rPr>
          <w:rFonts w:hint="eastAsia" w:ascii="宋体" w:hAnsi="宋体" w:eastAsia="宋体" w:cs="宋体"/>
          <w:color w:val="auto"/>
          <w:sz w:val="24"/>
          <w:szCs w:val="24"/>
          <w:highlight w:val="none"/>
        </w:rPr>
        <w:t>双方同意共同遵守如下条款：</w:t>
      </w:r>
    </w:p>
    <w:p w14:paraId="74941CC5">
      <w:pPr>
        <w:widowControl w:val="0"/>
        <w:kinsoku/>
        <w:autoSpaceDE/>
        <w:autoSpaceDN/>
        <w:adjustRightInd/>
        <w:snapToGrid/>
        <w:spacing w:line="360" w:lineRule="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 、合同货物</w:t>
      </w:r>
    </w:p>
    <w:tbl>
      <w:tblPr>
        <w:tblStyle w:val="3"/>
        <w:tblW w:w="10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
        <w:gridCol w:w="435"/>
        <w:gridCol w:w="1320"/>
        <w:gridCol w:w="1356"/>
        <w:gridCol w:w="774"/>
        <w:gridCol w:w="1260"/>
        <w:gridCol w:w="1650"/>
        <w:gridCol w:w="591"/>
        <w:gridCol w:w="452"/>
        <w:gridCol w:w="990"/>
        <w:gridCol w:w="1005"/>
      </w:tblGrid>
      <w:tr w14:paraId="3C58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dxa"/>
            <w:vAlign w:val="center"/>
          </w:tcPr>
          <w:p w14:paraId="1585BF67">
            <w:pPr>
              <w:widowControl w:val="0"/>
              <w:kinsoku/>
              <w:autoSpaceDE/>
              <w:autoSpaceDN/>
              <w:adjustRightInd/>
              <w:snapToGrid/>
              <w:spacing w:line="360" w:lineRule="auto"/>
              <w:jc w:val="center"/>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包号</w:t>
            </w:r>
          </w:p>
        </w:tc>
        <w:tc>
          <w:tcPr>
            <w:tcW w:w="435" w:type="dxa"/>
            <w:vAlign w:val="center"/>
          </w:tcPr>
          <w:p w14:paraId="61673017">
            <w:pPr>
              <w:widowControl w:val="0"/>
              <w:kinsoku/>
              <w:autoSpaceDE/>
              <w:autoSpaceDN/>
              <w:adjustRightInd/>
              <w:snapToGrid/>
              <w:spacing w:line="360" w:lineRule="auto"/>
              <w:jc w:val="center"/>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1320" w:type="dxa"/>
            <w:vAlign w:val="center"/>
          </w:tcPr>
          <w:p w14:paraId="4239B9B9">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货物名称</w:t>
            </w:r>
          </w:p>
        </w:tc>
        <w:tc>
          <w:tcPr>
            <w:tcW w:w="1356" w:type="dxa"/>
            <w:vAlign w:val="center"/>
          </w:tcPr>
          <w:p w14:paraId="10018E49">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注册证(备 案)名称</w:t>
            </w:r>
          </w:p>
        </w:tc>
        <w:tc>
          <w:tcPr>
            <w:tcW w:w="774" w:type="dxa"/>
            <w:vAlign w:val="center"/>
          </w:tcPr>
          <w:p w14:paraId="282CFFF2">
            <w:pPr>
              <w:widowControl w:val="0"/>
              <w:kinsoku/>
              <w:autoSpaceDE/>
              <w:autoSpaceDN/>
              <w:adjustRightInd/>
              <w:snapToGrid/>
              <w:spacing w:line="360" w:lineRule="auto"/>
              <w:jc w:val="center"/>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260" w:type="dxa"/>
            <w:vAlign w:val="center"/>
          </w:tcPr>
          <w:p w14:paraId="14CE9C2A">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规格型号</w:t>
            </w:r>
          </w:p>
        </w:tc>
        <w:tc>
          <w:tcPr>
            <w:tcW w:w="1650" w:type="dxa"/>
            <w:vAlign w:val="center"/>
          </w:tcPr>
          <w:p w14:paraId="25F10096">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生产厂家</w:t>
            </w:r>
          </w:p>
        </w:tc>
        <w:tc>
          <w:tcPr>
            <w:tcW w:w="591" w:type="dxa"/>
            <w:vAlign w:val="center"/>
          </w:tcPr>
          <w:p w14:paraId="49A5AF63">
            <w:pPr>
              <w:widowControl w:val="0"/>
              <w:kinsoku/>
              <w:autoSpaceDE/>
              <w:autoSpaceDN/>
              <w:adjustRightInd/>
              <w:snapToGrid/>
              <w:spacing w:line="360" w:lineRule="auto"/>
              <w:jc w:val="center"/>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数量</w:t>
            </w:r>
          </w:p>
        </w:tc>
        <w:tc>
          <w:tcPr>
            <w:tcW w:w="452" w:type="dxa"/>
            <w:vAlign w:val="center"/>
          </w:tcPr>
          <w:p w14:paraId="10E255BE">
            <w:pPr>
              <w:widowControl w:val="0"/>
              <w:kinsoku/>
              <w:autoSpaceDE/>
              <w:autoSpaceDN/>
              <w:adjustRightInd/>
              <w:snapToGrid/>
              <w:spacing w:line="360" w:lineRule="auto"/>
              <w:jc w:val="center"/>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单位</w:t>
            </w:r>
          </w:p>
        </w:tc>
        <w:tc>
          <w:tcPr>
            <w:tcW w:w="990" w:type="dxa"/>
            <w:vAlign w:val="center"/>
          </w:tcPr>
          <w:p w14:paraId="4C7BDE13">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单价(</w:t>
            </w:r>
            <w:r>
              <w:rPr>
                <w:rFonts w:hint="eastAsia" w:ascii="宋体" w:hAnsi="宋体" w:eastAsia="宋体" w:cs="宋体"/>
                <w:b/>
                <w:bCs/>
                <w:color w:val="auto"/>
                <w:sz w:val="24"/>
                <w:szCs w:val="24"/>
                <w:highlight w:val="none"/>
                <w:lang w:eastAsia="zh-CN"/>
              </w:rPr>
              <w:t>万</w:t>
            </w:r>
            <w:r>
              <w:rPr>
                <w:rFonts w:hint="eastAsia" w:ascii="宋体" w:hAnsi="宋体" w:eastAsia="宋体" w:cs="宋体"/>
                <w:b/>
                <w:bCs/>
                <w:color w:val="auto"/>
                <w:sz w:val="24"/>
                <w:szCs w:val="24"/>
                <w:highlight w:val="none"/>
              </w:rPr>
              <w:t>元)</w:t>
            </w:r>
          </w:p>
        </w:tc>
        <w:tc>
          <w:tcPr>
            <w:tcW w:w="1005" w:type="dxa"/>
            <w:vAlign w:val="center"/>
          </w:tcPr>
          <w:p w14:paraId="7A359712">
            <w:pPr>
              <w:widowControl w:val="0"/>
              <w:kinsoku/>
              <w:autoSpaceDE/>
              <w:autoSpaceDN/>
              <w:adjustRightInd/>
              <w:snapToGrid/>
              <w:spacing w:line="36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金额(</w:t>
            </w:r>
            <w:r>
              <w:rPr>
                <w:rFonts w:hint="eastAsia" w:ascii="宋体" w:hAnsi="宋体" w:eastAsia="宋体" w:cs="宋体"/>
                <w:b/>
                <w:bCs/>
                <w:color w:val="auto"/>
                <w:sz w:val="24"/>
                <w:szCs w:val="24"/>
                <w:highlight w:val="none"/>
                <w:lang w:eastAsia="zh-CN"/>
              </w:rPr>
              <w:t>万</w:t>
            </w:r>
            <w:r>
              <w:rPr>
                <w:rFonts w:hint="eastAsia" w:ascii="宋体" w:hAnsi="宋体" w:eastAsia="宋体" w:cs="宋体"/>
                <w:b/>
                <w:bCs/>
                <w:color w:val="auto"/>
                <w:sz w:val="24"/>
                <w:szCs w:val="24"/>
                <w:highlight w:val="none"/>
              </w:rPr>
              <w:t>元)</w:t>
            </w:r>
          </w:p>
        </w:tc>
      </w:tr>
      <w:tr w14:paraId="5F43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dxa"/>
            <w:vMerge w:val="restart"/>
            <w:vAlign w:val="center"/>
          </w:tcPr>
          <w:p w14:paraId="5F9098EE">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35" w:type="dxa"/>
            <w:vAlign w:val="center"/>
          </w:tcPr>
          <w:p w14:paraId="04A71486">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320" w:type="dxa"/>
            <w:vAlign w:val="center"/>
          </w:tcPr>
          <w:p w14:paraId="50BC77C7">
            <w:pPr>
              <w:widowControl w:val="0"/>
              <w:kinsoku/>
              <w:autoSpaceDE/>
              <w:autoSpaceDN/>
              <w:adjustRightInd/>
              <w:snapToGrid/>
              <w:spacing w:line="360" w:lineRule="auto"/>
              <w:jc w:val="center"/>
              <w:rPr>
                <w:rFonts w:ascii="宋体" w:hAnsi="宋体" w:eastAsia="宋体" w:cs="宋体"/>
                <w:color w:val="auto"/>
                <w:highlight w:val="none"/>
              </w:rPr>
            </w:pPr>
          </w:p>
        </w:tc>
        <w:tc>
          <w:tcPr>
            <w:tcW w:w="1356" w:type="dxa"/>
            <w:vAlign w:val="center"/>
          </w:tcPr>
          <w:p w14:paraId="3E04E555">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774" w:type="dxa"/>
            <w:vAlign w:val="center"/>
          </w:tcPr>
          <w:p w14:paraId="1EBF92F9">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260" w:type="dxa"/>
            <w:vAlign w:val="center"/>
          </w:tcPr>
          <w:p w14:paraId="22178C11">
            <w:pPr>
              <w:widowControl w:val="0"/>
              <w:kinsoku/>
              <w:autoSpaceDE/>
              <w:autoSpaceDN/>
              <w:adjustRightInd/>
              <w:snapToGrid/>
              <w:spacing w:line="360" w:lineRule="auto"/>
              <w:jc w:val="center"/>
              <w:rPr>
                <w:rFonts w:ascii="宋体" w:hAnsi="宋体" w:eastAsia="宋体" w:cs="宋体"/>
                <w:color w:val="auto"/>
                <w:highlight w:val="none"/>
              </w:rPr>
            </w:pPr>
          </w:p>
        </w:tc>
        <w:tc>
          <w:tcPr>
            <w:tcW w:w="1650" w:type="dxa"/>
            <w:vAlign w:val="center"/>
          </w:tcPr>
          <w:p w14:paraId="7A34B6D5">
            <w:pPr>
              <w:widowControl w:val="0"/>
              <w:kinsoku/>
              <w:autoSpaceDE/>
              <w:autoSpaceDN/>
              <w:adjustRightInd/>
              <w:snapToGrid/>
              <w:spacing w:line="360" w:lineRule="auto"/>
              <w:jc w:val="center"/>
              <w:rPr>
                <w:rFonts w:ascii="宋体" w:hAnsi="宋体" w:eastAsia="宋体" w:cs="宋体"/>
                <w:color w:val="auto"/>
                <w:highlight w:val="none"/>
              </w:rPr>
            </w:pPr>
          </w:p>
        </w:tc>
        <w:tc>
          <w:tcPr>
            <w:tcW w:w="591" w:type="dxa"/>
            <w:vAlign w:val="center"/>
          </w:tcPr>
          <w:p w14:paraId="4FFBFE95">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52" w:type="dxa"/>
            <w:vAlign w:val="center"/>
          </w:tcPr>
          <w:p w14:paraId="7C230D31">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990" w:type="dxa"/>
            <w:vAlign w:val="center"/>
          </w:tcPr>
          <w:p w14:paraId="26ABF1C2">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005" w:type="dxa"/>
            <w:vAlign w:val="center"/>
          </w:tcPr>
          <w:p w14:paraId="16A17971">
            <w:pPr>
              <w:widowControl w:val="0"/>
              <w:kinsoku/>
              <w:autoSpaceDE/>
              <w:autoSpaceDN/>
              <w:adjustRightInd/>
              <w:snapToGrid/>
              <w:spacing w:line="360" w:lineRule="auto"/>
              <w:jc w:val="center"/>
              <w:rPr>
                <w:rFonts w:ascii="宋体" w:hAnsi="宋体" w:eastAsia="宋体" w:cs="宋体"/>
                <w:color w:val="auto"/>
                <w:highlight w:val="none"/>
                <w:lang w:eastAsia="zh-CN"/>
              </w:rPr>
            </w:pPr>
          </w:p>
        </w:tc>
      </w:tr>
      <w:tr w14:paraId="1E9A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dxa"/>
            <w:vMerge w:val="continue"/>
            <w:vAlign w:val="center"/>
          </w:tcPr>
          <w:p w14:paraId="52AFEDCC">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35" w:type="dxa"/>
            <w:vAlign w:val="center"/>
          </w:tcPr>
          <w:p w14:paraId="6EB4BBD7">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320" w:type="dxa"/>
            <w:vAlign w:val="center"/>
          </w:tcPr>
          <w:p w14:paraId="4A07BF29">
            <w:pPr>
              <w:widowControl w:val="0"/>
              <w:kinsoku/>
              <w:autoSpaceDE/>
              <w:autoSpaceDN/>
              <w:adjustRightInd/>
              <w:snapToGrid/>
              <w:spacing w:line="360" w:lineRule="auto"/>
              <w:jc w:val="center"/>
              <w:rPr>
                <w:rFonts w:ascii="宋体" w:hAnsi="宋体" w:eastAsia="宋体" w:cs="宋体"/>
                <w:color w:val="auto"/>
                <w:highlight w:val="none"/>
              </w:rPr>
            </w:pPr>
          </w:p>
        </w:tc>
        <w:tc>
          <w:tcPr>
            <w:tcW w:w="1356" w:type="dxa"/>
            <w:vAlign w:val="center"/>
          </w:tcPr>
          <w:p w14:paraId="3B7EE158">
            <w:pPr>
              <w:widowControl w:val="0"/>
              <w:kinsoku/>
              <w:autoSpaceDE/>
              <w:autoSpaceDN/>
              <w:adjustRightInd/>
              <w:snapToGrid/>
              <w:spacing w:line="360" w:lineRule="auto"/>
              <w:jc w:val="center"/>
              <w:rPr>
                <w:rFonts w:ascii="宋体" w:hAnsi="宋体" w:eastAsia="宋体" w:cs="宋体"/>
                <w:color w:val="auto"/>
                <w:highlight w:val="none"/>
              </w:rPr>
            </w:pPr>
          </w:p>
        </w:tc>
        <w:tc>
          <w:tcPr>
            <w:tcW w:w="774" w:type="dxa"/>
            <w:vAlign w:val="center"/>
          </w:tcPr>
          <w:p w14:paraId="54ED4B70">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260" w:type="dxa"/>
            <w:vAlign w:val="center"/>
          </w:tcPr>
          <w:p w14:paraId="352064B1">
            <w:pPr>
              <w:widowControl w:val="0"/>
              <w:kinsoku/>
              <w:autoSpaceDE/>
              <w:autoSpaceDN/>
              <w:adjustRightInd/>
              <w:snapToGrid/>
              <w:spacing w:line="360" w:lineRule="auto"/>
              <w:jc w:val="center"/>
              <w:rPr>
                <w:rFonts w:ascii="宋体" w:hAnsi="宋体" w:eastAsia="宋体" w:cs="宋体"/>
                <w:color w:val="auto"/>
                <w:highlight w:val="none"/>
              </w:rPr>
            </w:pPr>
          </w:p>
        </w:tc>
        <w:tc>
          <w:tcPr>
            <w:tcW w:w="1650" w:type="dxa"/>
            <w:vAlign w:val="center"/>
          </w:tcPr>
          <w:p w14:paraId="7E821035">
            <w:pPr>
              <w:widowControl w:val="0"/>
              <w:kinsoku/>
              <w:autoSpaceDE/>
              <w:autoSpaceDN/>
              <w:adjustRightInd/>
              <w:snapToGrid/>
              <w:spacing w:line="360" w:lineRule="auto"/>
              <w:jc w:val="center"/>
              <w:rPr>
                <w:rFonts w:ascii="宋体" w:hAnsi="宋体" w:eastAsia="宋体" w:cs="宋体"/>
                <w:color w:val="auto"/>
                <w:highlight w:val="none"/>
              </w:rPr>
            </w:pPr>
          </w:p>
        </w:tc>
        <w:tc>
          <w:tcPr>
            <w:tcW w:w="591" w:type="dxa"/>
            <w:vAlign w:val="center"/>
          </w:tcPr>
          <w:p w14:paraId="2C904FC3">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52" w:type="dxa"/>
            <w:vAlign w:val="center"/>
          </w:tcPr>
          <w:p w14:paraId="20BAA575">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990" w:type="dxa"/>
            <w:vAlign w:val="center"/>
          </w:tcPr>
          <w:p w14:paraId="6FB3511A">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005" w:type="dxa"/>
            <w:vAlign w:val="center"/>
          </w:tcPr>
          <w:p w14:paraId="71D5C6E9">
            <w:pPr>
              <w:widowControl w:val="0"/>
              <w:kinsoku/>
              <w:autoSpaceDE/>
              <w:autoSpaceDN/>
              <w:adjustRightInd/>
              <w:snapToGrid/>
              <w:spacing w:line="360" w:lineRule="auto"/>
              <w:jc w:val="center"/>
              <w:rPr>
                <w:rFonts w:ascii="宋体" w:hAnsi="宋体" w:eastAsia="宋体" w:cs="宋体"/>
                <w:color w:val="auto"/>
                <w:highlight w:val="none"/>
                <w:lang w:eastAsia="zh-CN"/>
              </w:rPr>
            </w:pPr>
          </w:p>
        </w:tc>
      </w:tr>
      <w:tr w14:paraId="5997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dxa"/>
            <w:vMerge w:val="continue"/>
            <w:vAlign w:val="center"/>
          </w:tcPr>
          <w:p w14:paraId="16E858BF">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35" w:type="dxa"/>
            <w:vAlign w:val="center"/>
          </w:tcPr>
          <w:p w14:paraId="238CB8BD">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320" w:type="dxa"/>
            <w:vAlign w:val="center"/>
          </w:tcPr>
          <w:p w14:paraId="2B309393">
            <w:pPr>
              <w:widowControl w:val="0"/>
              <w:kinsoku/>
              <w:autoSpaceDE/>
              <w:autoSpaceDN/>
              <w:adjustRightInd/>
              <w:snapToGrid/>
              <w:spacing w:line="360" w:lineRule="auto"/>
              <w:jc w:val="center"/>
              <w:rPr>
                <w:rFonts w:ascii="宋体" w:hAnsi="宋体" w:eastAsia="宋体" w:cs="宋体"/>
                <w:color w:val="auto"/>
                <w:highlight w:val="none"/>
              </w:rPr>
            </w:pPr>
          </w:p>
        </w:tc>
        <w:tc>
          <w:tcPr>
            <w:tcW w:w="1356" w:type="dxa"/>
            <w:vAlign w:val="center"/>
          </w:tcPr>
          <w:p w14:paraId="5B6A788E">
            <w:pPr>
              <w:widowControl w:val="0"/>
              <w:kinsoku/>
              <w:autoSpaceDE/>
              <w:autoSpaceDN/>
              <w:adjustRightInd/>
              <w:snapToGrid/>
              <w:spacing w:line="360" w:lineRule="auto"/>
              <w:jc w:val="center"/>
              <w:rPr>
                <w:rFonts w:ascii="宋体" w:hAnsi="宋体" w:eastAsia="宋体" w:cs="宋体"/>
                <w:color w:val="auto"/>
                <w:highlight w:val="none"/>
              </w:rPr>
            </w:pPr>
          </w:p>
        </w:tc>
        <w:tc>
          <w:tcPr>
            <w:tcW w:w="774" w:type="dxa"/>
            <w:vAlign w:val="center"/>
          </w:tcPr>
          <w:p w14:paraId="35F8EC80">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260" w:type="dxa"/>
            <w:vAlign w:val="center"/>
          </w:tcPr>
          <w:p w14:paraId="684B888F">
            <w:pPr>
              <w:widowControl w:val="0"/>
              <w:kinsoku/>
              <w:autoSpaceDE/>
              <w:autoSpaceDN/>
              <w:adjustRightInd/>
              <w:snapToGrid/>
              <w:spacing w:line="360" w:lineRule="auto"/>
              <w:jc w:val="center"/>
              <w:rPr>
                <w:rFonts w:ascii="宋体" w:hAnsi="宋体" w:eastAsia="宋体" w:cs="宋体"/>
                <w:color w:val="auto"/>
                <w:highlight w:val="none"/>
              </w:rPr>
            </w:pPr>
          </w:p>
        </w:tc>
        <w:tc>
          <w:tcPr>
            <w:tcW w:w="1650" w:type="dxa"/>
            <w:vAlign w:val="center"/>
          </w:tcPr>
          <w:p w14:paraId="2B4D79B8">
            <w:pPr>
              <w:widowControl w:val="0"/>
              <w:kinsoku/>
              <w:autoSpaceDE/>
              <w:autoSpaceDN/>
              <w:adjustRightInd/>
              <w:snapToGrid/>
              <w:spacing w:line="360" w:lineRule="auto"/>
              <w:jc w:val="center"/>
              <w:rPr>
                <w:rFonts w:ascii="宋体" w:hAnsi="宋体" w:eastAsia="宋体" w:cs="宋体"/>
                <w:color w:val="auto"/>
                <w:highlight w:val="none"/>
              </w:rPr>
            </w:pPr>
          </w:p>
        </w:tc>
        <w:tc>
          <w:tcPr>
            <w:tcW w:w="591" w:type="dxa"/>
            <w:vAlign w:val="center"/>
          </w:tcPr>
          <w:p w14:paraId="43D344B2">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452" w:type="dxa"/>
            <w:vAlign w:val="center"/>
          </w:tcPr>
          <w:p w14:paraId="2DD7D4D8">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990" w:type="dxa"/>
            <w:vAlign w:val="center"/>
          </w:tcPr>
          <w:p w14:paraId="2E7AC0AF">
            <w:pPr>
              <w:widowControl w:val="0"/>
              <w:kinsoku/>
              <w:autoSpaceDE/>
              <w:autoSpaceDN/>
              <w:adjustRightInd/>
              <w:snapToGrid/>
              <w:spacing w:line="360" w:lineRule="auto"/>
              <w:jc w:val="center"/>
              <w:rPr>
                <w:rFonts w:ascii="宋体" w:hAnsi="宋体" w:eastAsia="宋体" w:cs="宋体"/>
                <w:color w:val="auto"/>
                <w:highlight w:val="none"/>
                <w:lang w:eastAsia="zh-CN"/>
              </w:rPr>
            </w:pPr>
          </w:p>
        </w:tc>
        <w:tc>
          <w:tcPr>
            <w:tcW w:w="1005" w:type="dxa"/>
            <w:vAlign w:val="center"/>
          </w:tcPr>
          <w:p w14:paraId="76388457">
            <w:pPr>
              <w:widowControl w:val="0"/>
              <w:kinsoku/>
              <w:autoSpaceDE/>
              <w:autoSpaceDN/>
              <w:adjustRightInd/>
              <w:snapToGrid/>
              <w:spacing w:line="360" w:lineRule="auto"/>
              <w:jc w:val="center"/>
              <w:rPr>
                <w:rFonts w:ascii="宋体" w:hAnsi="宋体" w:eastAsia="宋体" w:cs="宋体"/>
                <w:color w:val="auto"/>
                <w:highlight w:val="none"/>
                <w:lang w:eastAsia="zh-CN"/>
              </w:rPr>
            </w:pPr>
          </w:p>
        </w:tc>
      </w:tr>
      <w:tr w14:paraId="3663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gridSpan w:val="3"/>
            <w:vAlign w:val="center"/>
          </w:tcPr>
          <w:p w14:paraId="1A4F80DA">
            <w:pPr>
              <w:widowControl w:val="0"/>
              <w:kinsoku/>
              <w:autoSpaceDE/>
              <w:autoSpaceDN/>
              <w:adjustRightInd/>
              <w:snapToGrid/>
              <w:spacing w:line="360" w:lineRule="auto"/>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合计金额</w:t>
            </w:r>
          </w:p>
        </w:tc>
        <w:tc>
          <w:tcPr>
            <w:tcW w:w="8078" w:type="dxa"/>
            <w:gridSpan w:val="8"/>
            <w:vAlign w:val="center"/>
          </w:tcPr>
          <w:p w14:paraId="1A22F538">
            <w:pPr>
              <w:widowControl w:val="0"/>
              <w:kinsoku/>
              <w:autoSpaceDE/>
              <w:autoSpaceDN/>
              <w:adjustRightInd/>
              <w:snapToGrid/>
              <w:spacing w:line="360" w:lineRule="auto"/>
              <w:jc w:val="center"/>
              <w:rPr>
                <w:rFonts w:ascii="宋体" w:hAnsi="宋体" w:eastAsia="宋体" w:cs="宋体"/>
                <w:color w:val="auto"/>
                <w:highlight w:val="none"/>
                <w:lang w:eastAsia="zh-CN"/>
              </w:rPr>
            </w:pPr>
          </w:p>
        </w:tc>
      </w:tr>
    </w:tbl>
    <w:p w14:paraId="195ADF4C">
      <w:pPr>
        <w:widowControl w:val="0"/>
        <w:kinsoku/>
        <w:autoSpaceDE/>
        <w:autoSpaceDN/>
        <w:adjustRightInd/>
        <w:snapToGrid/>
        <w:spacing w:line="360" w:lineRule="auto"/>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 、合同总价</w:t>
      </w:r>
    </w:p>
    <w:p w14:paraId="1DFCDF8F">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合同总价为人民币大写：</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，即</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元； 该合同总价已包括货物设计、材料、制造、包装、运输、安装、调试、检测、验收合格交付使用之前及保修期内保修服务与备用物件等所有其他有关各项的含税费用。本合同执行期间合同总价不变，采购人无须另向中标人支付本合同规定之外的其他任何费用。</w:t>
      </w:r>
    </w:p>
    <w:p w14:paraId="3B1C4E1E">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 、质量要求</w:t>
      </w:r>
    </w:p>
    <w:p w14:paraId="20B2286D">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1.中标人须提供全新的货物(含零部件、配件等),表面无划伤、无碰撞痕迹，且权属清楚，不得侵害他人的知识产权。</w:t>
      </w:r>
    </w:p>
    <w:p w14:paraId="3D446FA3">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2.货物必须符合或优于国家(行业)相关标准，以及本项目采购文件的质量要求和技术指标与出厂标准。</w:t>
      </w:r>
    </w:p>
    <w:p w14:paraId="261B72B0">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3.货物制造质量出现问题，中标人应负责三包(包修、包换、包退),费用由中标人负担。</w:t>
      </w:r>
    </w:p>
    <w:p w14:paraId="2EF8AEE0">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4.货到现场后，项目验收并移交前的保管工作由中标人负责。</w:t>
      </w:r>
    </w:p>
    <w:p w14:paraId="4928970A">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5.若验收、检测时中标人提供的货物不符合采购文件要求，中标人必须无条件退换货物，相关费用及延期造成的一切损失，由中标人承担。</w:t>
      </w:r>
    </w:p>
    <w:p w14:paraId="01707666">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6.中标人所提供设备的出厂日期/生产日期，自合同签定之日前国产产品在6个月内。</w:t>
      </w:r>
    </w:p>
    <w:p w14:paraId="65F713CB">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四、交货及验收</w:t>
      </w:r>
    </w:p>
    <w:p w14:paraId="08ECB67E">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中标人投标人负责设备安装、调试，直至采购人能正常使用，凡采购文件中未提及的设备配件、附件、安装材料、调试验收所需的附属配件及中标人应向采购人提供设备安装、维修所需的专用工具和仪器，该价格包括在合同总价内。</w:t>
      </w:r>
    </w:p>
    <w:p w14:paraId="3E9AF730">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2.中标人负责将中标设备送货到采购人指定地点，负责卸货、搬运等事宜。</w:t>
      </w:r>
    </w:p>
    <w:p w14:paraId="07FC7758">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3.交货期限：合同签订生效后国产产品</w:t>
      </w:r>
      <w:r>
        <w:rPr>
          <w:rFonts w:hint="eastAsia" w:ascii="宋体" w:hAnsi="宋体" w:eastAsia="宋体" w:cs="宋体"/>
          <w:color w:val="auto"/>
          <w:sz w:val="24"/>
          <w:szCs w:val="24"/>
          <w:highlight w:val="none"/>
          <w:u w:val="single"/>
          <w:lang w:eastAsia="zh-CN"/>
        </w:rPr>
        <w:t>60</w:t>
      </w:r>
      <w:r>
        <w:rPr>
          <w:rFonts w:hint="eastAsia" w:ascii="宋体" w:hAnsi="宋体" w:eastAsia="宋体" w:cs="宋体"/>
          <w:color w:val="auto"/>
          <w:sz w:val="24"/>
          <w:szCs w:val="24"/>
          <w:highlight w:val="none"/>
          <w:lang w:eastAsia="zh-CN"/>
        </w:rPr>
        <w:t>天内交货到采购人指定地点完成安装调试交付使用。</w:t>
      </w:r>
    </w:p>
    <w:p w14:paraId="5EA028BD">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备到达采购人现场，中标人接到采购人通知后安排工程技术人员在3日内进行安装调试。协助采购人完成安装新设备所涉及的基建改造等工作(如需场地改造)。安装标准：符合我国国家有关技术规范要求和技术标准</w:t>
      </w:r>
    </w:p>
    <w:p w14:paraId="13D6B948">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5.验收由采购人组织，中标人配合进行：</w:t>
      </w:r>
    </w:p>
    <w:p w14:paraId="380749F2">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验收标准：按国家有关规定以及采购人采购文件的质量要求和技术指标、中标人的投标文件及承诺与本合同约定标准进行验收；甲乙双方如对质量要求和技术指标的约定标准有相互抵触或异议的事项，由采购人在招标与投标文件中按质量要求和技术指标比较优胜的原则确定该项的约定标准进行验收。</w:t>
      </w:r>
    </w:p>
    <w:p w14:paraId="36EA1027">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(2)货物安装、调试、培训完成并交付使用后</w:t>
      </w:r>
      <w:r>
        <w:rPr>
          <w:rFonts w:hint="eastAsia" w:ascii="宋体" w:hAnsi="宋体" w:eastAsia="宋体" w:cs="宋体"/>
          <w:color w:val="auto"/>
          <w:sz w:val="24"/>
          <w:szCs w:val="24"/>
          <w:highlight w:val="none"/>
          <w:u w:val="single"/>
          <w:lang w:eastAsia="zh-CN"/>
        </w:rPr>
        <w:t xml:space="preserve"> 30 </w:t>
      </w:r>
      <w:r>
        <w:rPr>
          <w:rFonts w:hint="eastAsia" w:ascii="宋体" w:hAnsi="宋体" w:eastAsia="宋体" w:cs="宋体"/>
          <w:color w:val="auto"/>
          <w:sz w:val="24"/>
          <w:szCs w:val="24"/>
          <w:highlight w:val="none"/>
          <w:lang w:eastAsia="zh-CN"/>
        </w:rPr>
        <w:t>日内，采购人按程序组织验收，中标人及采购人工程技术人员应积极配合。</w:t>
      </w:r>
    </w:p>
    <w:p w14:paraId="01A7994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验收时如发现所交付的货物有短装、次品、损坏或其它不符合标准及本合同规定之情形者，采购人应做出详尽的现场记录，或由甲乙双方签署备忘录，此现场记录或备忘录可用作补充、缺失和更换损坏部件的有效证据，由此产生的时间延误与有关费用由中标人承担，验收期限相应顺延。</w:t>
      </w:r>
    </w:p>
    <w:p w14:paraId="50CF4FA0">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(4)如质量验收合格，签署政府采购验收报告。</w:t>
      </w:r>
    </w:p>
    <w:p w14:paraId="6FEFCE2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6.中标人应将所提供货物的装箱清单、配件、随机工具、用户使用手册、原厂保修卡等资料交付给采购人；中标人不能完整交付货物及本款规定的单证和工具的，必须负责补齐，否则视为未按合同约定交货。</w:t>
      </w:r>
    </w:p>
    <w:p w14:paraId="31FE75C8">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7.其他未尽事宜严格按照《财政部关于进一步加强政府采购需求和履约验收管理的指导意见》(财库〔2016〕205 号)和《政府采购需求管理办法》的通知(财库〔2021〕22 号)以及合同、招投标文件的约定及要求、相关法律法规的规定和国家(行业)标准的要求进行验收。</w:t>
      </w:r>
    </w:p>
    <w:p w14:paraId="3A6B080A">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8.验收不合格的处置：</w:t>
      </w:r>
    </w:p>
    <w:p w14:paraId="5077757C">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(1)采购人负责组织对中标设备严格按相关要求进行验收，因设备未达到采购文件或者合同约定的标准等原因未能通过验收，采购人可单方解除合同，并按虚假投标中标处理报相关财政部门备案作出相关处罚。</w:t>
      </w:r>
    </w:p>
    <w:p w14:paraId="1FD68AF7">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(2)对未通过验收的设备的安全(损坏、丢失等)采购人不负任何责任。</w:t>
      </w:r>
    </w:p>
    <w:p w14:paraId="045EDA8C">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(3)中标人须全额退还采购人已支付的合同预付款等。</w:t>
      </w:r>
    </w:p>
    <w:p w14:paraId="72EB7504">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(4)按成交金额的10%支付违约金以后，中标人才能将不合格的产品从医院撤走。</w:t>
      </w:r>
    </w:p>
    <w:p w14:paraId="2B9F50CD">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五、付款方式</w:t>
      </w:r>
    </w:p>
    <w:p w14:paraId="0FFF6D92">
      <w:pPr>
        <w:widowControl w:val="0"/>
        <w:kinsoku/>
        <w:autoSpaceDE/>
        <w:autoSpaceDN/>
        <w:adjustRightInd/>
        <w:snapToGrid/>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1、预付款支付，合同签订后，达到付款条件起5日内，支付合同总金额的30.00%。</w:t>
      </w:r>
    </w:p>
    <w:p w14:paraId="56940D3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highlight w:val="none"/>
          <w:lang w:eastAsia="zh-CN"/>
        </w:rPr>
        <w:t>2、托管账户资金支付，采购人、中标人、托管人(采购人指定的工商银行)签订托管协议，开设托管账户。采购人向托管账户支付合同总金额的70%作为交易保证。设备安装、调试验收合格后，中标人提交付款申请，采购人配合将托管账户资金划转至中标人指定账户，达到付款条件起10日内，支付合同总金额的70.00%。</w:t>
      </w:r>
    </w:p>
    <w:p w14:paraId="23057153">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六、售后服务</w:t>
      </w:r>
    </w:p>
    <w:p w14:paraId="521D491E">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1.投标产品质保期≥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年，自采购人验收合格签字起12个月内连续使用良好。涉及软件的，提供软件终身升级服务，费用包含在投标总价中。</w:t>
      </w:r>
    </w:p>
    <w:p w14:paraId="109A8140">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保期内中标人应负责产品的维修及抢修。2小时内作出维修方案决定，如4小时内无法电话解决问题，维修工程师必须在接到故障报告后48小时内到达采购人现场修理和更换零件，费用（包括材料及零配件）由中标人承担。</w:t>
      </w:r>
    </w:p>
    <w:p w14:paraId="3CFBFA2A">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3.中标人保证年使用率大于95％（365天/年计算），若≤95％则相应延长保修期。</w:t>
      </w:r>
    </w:p>
    <w:p w14:paraId="12FC8B4C">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4.备件送达期限：在产品的使用寿命期内，中标人应保证国内不超过7天，国外不超过21天。</w:t>
      </w:r>
    </w:p>
    <w:p w14:paraId="285C5B1A">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5.终身零配件供应：中标人应保证产品停产后的备件供应保证10年，并以成本价提供该设备所需的维修零配件。</w:t>
      </w:r>
    </w:p>
    <w:p w14:paraId="050E694E">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6.中标人在国内应有24小时电话维修系统，并列出工程师名单、联系电话、通讯地址。</w:t>
      </w:r>
    </w:p>
    <w:p w14:paraId="232CA34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保期后，中标人应向用户提供及时的、优质的、价格优惠的技术服务和备品备件供应。质保期结束后的维修维护，除材料费由采购人按照成本价支付外，其余所有费用由中标人自行承担，即保证终身上门维修维护。售后服务部门在接到电话后2小时内响应，24小时内派专业技术人员到达现场解决问题，最迟在2个工作日内修复。如不能修复应采取提供采购物品的备用件或整机等措施，以保证使用方的正常工作（费用包含在投标总价中），中标人有其它服务承诺的，一并履行。在保修期内中标人不得以任何理由影响正常使用。</w:t>
      </w:r>
    </w:p>
    <w:p w14:paraId="5E1F726E">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8.中标人售后服务机构必须派有资质的售后技术维护人员每年不少于两次对成交产品进行免费预防性维护保养。</w:t>
      </w:r>
    </w:p>
    <w:p w14:paraId="6603A05C">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培训：设备安装调试完毕后，由设备中标人负责就设备的安装、调试、操作、维修、保养等对采购人操作人员、维修技术人员进行培训。对采购人的操作人员进行操作培训，使其能对设备进行熟练的操作；对维修人员进行培训，使其能对设备进行日常的维护保养及能对一般故障进行维修，并向维修人员提供维修图纸、维修密码及软件备份。</w:t>
      </w:r>
    </w:p>
    <w:p w14:paraId="6D542282">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10.中标人必须遵守采购合同并执行合同中的各项规定，保证采购合同的正常履行。</w:t>
      </w:r>
    </w:p>
    <w:p w14:paraId="2B8A0A9C">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w:t>
      </w:r>
    </w:p>
    <w:p w14:paraId="4E7313DD">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七、违约责任</w:t>
      </w:r>
    </w:p>
    <w:p w14:paraId="2DC2EBFB">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1.采购人违约责任</w:t>
      </w:r>
    </w:p>
    <w:p w14:paraId="6091F098">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(1)采购人无正当理由拒收货物的，采购人应偿付合同总价百分之十的违约金。</w:t>
      </w:r>
    </w:p>
    <w:p w14:paraId="6C4E4E26">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(2)采购人逾期支付货款的，除应及时付足货款外，应向中标人偿付欠款总额万分之五/天的违约金；逾期付款超过90个工作日的，中标人有权终止合同。</w:t>
      </w:r>
    </w:p>
    <w:p w14:paraId="731B0474">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(3)采购人偿付的违约金不足以弥补中标人损失的，还应按中标人损失尚未弥补的部分，支付赔偿金给中标人。</w:t>
      </w:r>
    </w:p>
    <w:p w14:paraId="2C9E36B7">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2.中标人违约责任</w:t>
      </w:r>
    </w:p>
    <w:p w14:paraId="7E191F5D">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(1)中标人交付的货物质量不符合合同规定的，中标人应向采购人支付中标金额的百分之十的违约金。</w:t>
      </w:r>
    </w:p>
    <w:p w14:paraId="7A755723">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中标人因自身原因不能交付货物或逾期交付货物而违约的，除应及时交足货物外，应向采购人支付合同总额万分之五/天的违约金。因中标人原因逾期交货超过二十天，采购人有权解除合同，中标人则应按合同总价的百分之十的款额向采购人偿付赔偿金，并须全额退还采购人已经付给中标人的货款及其利息。</w:t>
      </w:r>
    </w:p>
    <w:p w14:paraId="2B41F28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(3)中标人货物经采购人送交具有法定资格条件的质量技术监督机构检测后，如检测结果认定货物质量不符合本合同规定标准的，则视为中标人没有按时交货而违约。</w:t>
      </w:r>
    </w:p>
    <w:p w14:paraId="6A96180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百分之十向采购人支付违约金并赔偿因此给采购人造成的一切损失。</w:t>
      </w:r>
    </w:p>
    <w:p w14:paraId="53FEF36A">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(5)中标人偿付的违约金不足以弥补采购人损失的，还应按采购人损失尚未弥补的部分，支付赔偿金给采购人。</w:t>
      </w:r>
    </w:p>
    <w:p w14:paraId="6C225EBD">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经过调查核实或者检测检验，中标人投标产品的实际技术参数与其投标文件、投标文件中提供的投标产品的宣传资料标注的技术参数不一致的，或者投标文件中投标的技术参数与宣传资料标注的参数不一致，或者投标文件中投标的技术参数与产品实际参数不一致的，按照《中华人民共和国政府采购法》第七十七条第一款第(一)项以“提供虚假材料谋取中标、成交的”规定进行处罚。</w:t>
      </w:r>
    </w:p>
    <w:p w14:paraId="495007F4">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八、争议解决办法</w:t>
      </w:r>
    </w:p>
    <w:p w14:paraId="1A188328">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1.因货物的质量问题发生争议，由质量技术监督部门或其指定的质量鉴定机构进行质量鉴定。货物符合标准的，鉴定费由采购人承担；货物不符合质量标准的，鉴定费由中标人承担。</w:t>
      </w:r>
    </w:p>
    <w:p w14:paraId="31465009">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2.合同履行期间，若双方发生争议，可协商或由有关部门调解解决，协商或调解不成的，由采购人所在地的人民法院依法处理。</w:t>
      </w:r>
    </w:p>
    <w:p w14:paraId="7A83C774">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九、包装方式及运输</w:t>
      </w:r>
    </w:p>
    <w:p w14:paraId="62C8EE7D">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涉及的商品包装和快递包装，均应符合《商品包装政府采购需求标准(试行)》 《快递包装政府采购需求标准(试行)》的要求，包装应适应于远距离运输、防潮、 防震、防锈和防野蛮装卸，以确保货物安全无损运抵指定地点。采购人也应当按照财办库【2020】123号文和采购文件规定的具体包装要求进行验收，必要时可要求中标人在履约验收环节出具检测报告。</w:t>
      </w:r>
    </w:p>
    <w:p w14:paraId="4A1B604E">
      <w:pPr>
        <w:widowControl w:val="0"/>
        <w:kinsoku/>
        <w:autoSpaceDE/>
        <w:autoSpaceDN/>
        <w:adjustRightInd/>
        <w:snapToGrid/>
        <w:spacing w:line="360" w:lineRule="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十、其 他</w:t>
      </w:r>
    </w:p>
    <w:p w14:paraId="60E76747">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1.如有未尽事宜，以采购文件及中标人投标文件投标内容为准。</w:t>
      </w:r>
    </w:p>
    <w:p w14:paraId="06350D81">
      <w:pPr>
        <w:widowControl w:val="0"/>
        <w:kinsoku/>
        <w:autoSpaceDE/>
        <w:autoSpaceDN/>
        <w:adjustRightInd/>
        <w:snapToGrid/>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2.本合同一式七份，自双方签章之日起生效。采购人五份，中标人及采购代理机构各一份。</w:t>
      </w:r>
    </w:p>
    <w:p w14:paraId="11470E12">
      <w:pPr>
        <w:widowControl w:val="0"/>
        <w:kinsoku/>
        <w:autoSpaceDE/>
        <w:autoSpaceDN/>
        <w:adjustRightInd/>
        <w:snapToGrid/>
        <w:spacing w:line="360" w:lineRule="auto"/>
        <w:rPr>
          <w:rFonts w:ascii="宋体" w:hAnsi="宋体" w:eastAsia="宋体" w:cs="宋体"/>
          <w:color w:val="auto"/>
          <w:sz w:val="24"/>
          <w:szCs w:val="24"/>
          <w:highlight w:val="none"/>
          <w:lang w:eastAsia="zh-CN"/>
        </w:rPr>
      </w:pPr>
    </w:p>
    <w:tbl>
      <w:tblPr>
        <w:tblStyle w:val="2"/>
        <w:tblW w:w="9409" w:type="dxa"/>
        <w:tblInd w:w="108" w:type="dxa"/>
        <w:tblLayout w:type="fixed"/>
        <w:tblCellMar>
          <w:top w:w="0" w:type="dxa"/>
          <w:left w:w="108" w:type="dxa"/>
          <w:bottom w:w="0" w:type="dxa"/>
          <w:right w:w="108" w:type="dxa"/>
        </w:tblCellMar>
      </w:tblPr>
      <w:tblGrid>
        <w:gridCol w:w="4156"/>
        <w:gridCol w:w="5253"/>
      </w:tblGrid>
      <w:tr w14:paraId="716453ED">
        <w:tblPrEx>
          <w:tblCellMar>
            <w:top w:w="0" w:type="dxa"/>
            <w:left w:w="108" w:type="dxa"/>
            <w:bottom w:w="0" w:type="dxa"/>
            <w:right w:w="108" w:type="dxa"/>
          </w:tblCellMar>
        </w:tblPrEx>
        <w:trPr>
          <w:trHeight w:val="708" w:hRule="atLeast"/>
        </w:trPr>
        <w:tc>
          <w:tcPr>
            <w:tcW w:w="4156" w:type="dxa"/>
          </w:tcPr>
          <w:p w14:paraId="0416E0E9">
            <w:pPr>
              <w:spacing w:line="360" w:lineRule="auto"/>
              <w:rPr>
                <w:color w:val="auto"/>
                <w:sz w:val="24"/>
                <w:highlight w:val="none"/>
                <w:lang w:eastAsia="zh-CN"/>
              </w:rPr>
            </w:pPr>
            <w:r>
              <w:rPr>
                <w:rFonts w:hint="eastAsia"/>
                <w:color w:val="auto"/>
                <w:sz w:val="24"/>
                <w:highlight w:val="none"/>
                <w:lang w:eastAsia="zh-CN"/>
              </w:rPr>
              <w:t>采购人：</w:t>
            </w:r>
            <w:r>
              <w:rPr>
                <w:rFonts w:hint="eastAsia" w:ascii="宋体" w:hAnsi="宋体" w:eastAsia="宋体" w:cs="宋体"/>
                <w:color w:val="auto"/>
                <w:sz w:val="24"/>
                <w:highlight w:val="none"/>
                <w:lang w:eastAsia="zh-CN"/>
              </w:rPr>
              <w:t>广元市第一人民医院</w:t>
            </w:r>
            <w:r>
              <w:rPr>
                <w:rFonts w:hint="eastAsia"/>
                <w:color w:val="auto"/>
                <w:sz w:val="24"/>
                <w:highlight w:val="none"/>
                <w:lang w:eastAsia="zh-CN"/>
              </w:rPr>
              <w:tab/>
            </w:r>
          </w:p>
        </w:tc>
        <w:tc>
          <w:tcPr>
            <w:tcW w:w="5253" w:type="dxa"/>
          </w:tcPr>
          <w:p w14:paraId="2EE7CF69">
            <w:pPr>
              <w:spacing w:line="360" w:lineRule="auto"/>
              <w:rPr>
                <w:rFonts w:eastAsiaTheme="minorEastAsia"/>
                <w:color w:val="auto"/>
                <w:sz w:val="24"/>
                <w:highlight w:val="none"/>
                <w:lang w:eastAsia="zh-CN"/>
              </w:rPr>
            </w:pPr>
            <w:r>
              <w:rPr>
                <w:rFonts w:hint="eastAsia" w:eastAsia="宋体"/>
                <w:color w:val="auto"/>
                <w:sz w:val="24"/>
                <w:highlight w:val="none"/>
                <w:lang w:eastAsia="zh-CN"/>
              </w:rPr>
              <w:t>中标人</w:t>
            </w:r>
            <w:r>
              <w:rPr>
                <w:rFonts w:hint="eastAsia"/>
                <w:color w:val="auto"/>
                <w:sz w:val="24"/>
                <w:highlight w:val="none"/>
              </w:rPr>
              <w:t>：</w:t>
            </w:r>
            <w:r>
              <w:rPr>
                <w:rFonts w:hint="eastAsia"/>
                <w:color w:val="auto"/>
                <w:sz w:val="24"/>
                <w:highlight w:val="none"/>
                <w:lang w:eastAsia="zh-CN"/>
              </w:rPr>
              <w:t xml:space="preserve"> </w:t>
            </w:r>
          </w:p>
        </w:tc>
      </w:tr>
      <w:tr w14:paraId="00CAE728">
        <w:tblPrEx>
          <w:tblCellMar>
            <w:top w:w="0" w:type="dxa"/>
            <w:left w:w="108" w:type="dxa"/>
            <w:bottom w:w="0" w:type="dxa"/>
            <w:right w:w="108" w:type="dxa"/>
          </w:tblCellMar>
        </w:tblPrEx>
        <w:trPr>
          <w:trHeight w:val="903" w:hRule="atLeast"/>
        </w:trPr>
        <w:tc>
          <w:tcPr>
            <w:tcW w:w="4156" w:type="dxa"/>
          </w:tcPr>
          <w:p w14:paraId="5A54E9D2">
            <w:pPr>
              <w:spacing w:line="360" w:lineRule="auto"/>
              <w:rPr>
                <w:color w:val="auto"/>
                <w:sz w:val="24"/>
                <w:highlight w:val="none"/>
                <w:lang w:eastAsia="zh-CN"/>
              </w:rPr>
            </w:pPr>
            <w:r>
              <w:rPr>
                <w:rFonts w:hint="eastAsia" w:ascii="宋体" w:hAnsi="宋体"/>
                <w:color w:val="auto"/>
                <w:sz w:val="24"/>
                <w:highlight w:val="none"/>
                <w:lang w:eastAsia="zh-CN"/>
              </w:rPr>
              <w:t>法定代表人/授权代表人：</w:t>
            </w:r>
          </w:p>
        </w:tc>
        <w:tc>
          <w:tcPr>
            <w:tcW w:w="5253" w:type="dxa"/>
          </w:tcPr>
          <w:p w14:paraId="34CA7683">
            <w:pPr>
              <w:spacing w:line="360" w:lineRule="auto"/>
              <w:rPr>
                <w:color w:val="auto"/>
                <w:sz w:val="24"/>
                <w:highlight w:val="none"/>
                <w:lang w:eastAsia="zh-CN"/>
              </w:rPr>
            </w:pPr>
            <w:r>
              <w:rPr>
                <w:rFonts w:hint="eastAsia" w:ascii="宋体" w:hAnsi="宋体"/>
                <w:color w:val="auto"/>
                <w:sz w:val="24"/>
                <w:highlight w:val="none"/>
                <w:lang w:eastAsia="zh-CN"/>
              </w:rPr>
              <w:t>法定代表人/授权代表人：</w:t>
            </w:r>
          </w:p>
        </w:tc>
      </w:tr>
      <w:tr w14:paraId="31FC66B8">
        <w:tblPrEx>
          <w:tblCellMar>
            <w:top w:w="0" w:type="dxa"/>
            <w:left w:w="108" w:type="dxa"/>
            <w:bottom w:w="0" w:type="dxa"/>
            <w:right w:w="108" w:type="dxa"/>
          </w:tblCellMar>
        </w:tblPrEx>
        <w:trPr>
          <w:trHeight w:val="786" w:hRule="atLeast"/>
        </w:trPr>
        <w:tc>
          <w:tcPr>
            <w:tcW w:w="4156" w:type="dxa"/>
          </w:tcPr>
          <w:p w14:paraId="7582AEBA">
            <w:pPr>
              <w:spacing w:line="360" w:lineRule="auto"/>
              <w:rPr>
                <w:color w:val="auto"/>
                <w:sz w:val="24"/>
                <w:highlight w:val="none"/>
              </w:rPr>
            </w:pPr>
            <w:r>
              <w:rPr>
                <w:rFonts w:hint="eastAsia" w:ascii="宋体" w:hAnsi="宋体"/>
                <w:color w:val="auto"/>
                <w:sz w:val="24"/>
                <w:highlight w:val="none"/>
              </w:rPr>
              <w:t>地     址：广元市苴国路</w:t>
            </w:r>
          </w:p>
        </w:tc>
        <w:tc>
          <w:tcPr>
            <w:tcW w:w="5253" w:type="dxa"/>
          </w:tcPr>
          <w:p w14:paraId="45911F83">
            <w:pPr>
              <w:spacing w:line="360" w:lineRule="auto"/>
              <w:rPr>
                <w:rFonts w:eastAsiaTheme="minorEastAsia"/>
                <w:color w:val="auto"/>
                <w:sz w:val="24"/>
                <w:highlight w:val="none"/>
                <w:lang w:eastAsia="zh-CN"/>
              </w:rPr>
            </w:pPr>
            <w:r>
              <w:rPr>
                <w:rFonts w:hint="eastAsia" w:ascii="宋体" w:hAnsi="宋体"/>
                <w:color w:val="auto"/>
                <w:sz w:val="24"/>
                <w:highlight w:val="none"/>
              </w:rPr>
              <w:t>地 址：</w:t>
            </w:r>
          </w:p>
        </w:tc>
      </w:tr>
      <w:tr w14:paraId="729D192E">
        <w:tblPrEx>
          <w:tblCellMar>
            <w:top w:w="0" w:type="dxa"/>
            <w:left w:w="108" w:type="dxa"/>
            <w:bottom w:w="0" w:type="dxa"/>
            <w:right w:w="108" w:type="dxa"/>
          </w:tblCellMar>
        </w:tblPrEx>
        <w:trPr>
          <w:trHeight w:val="591" w:hRule="atLeast"/>
        </w:trPr>
        <w:tc>
          <w:tcPr>
            <w:tcW w:w="4156" w:type="dxa"/>
          </w:tcPr>
          <w:p w14:paraId="67814C3E">
            <w:pPr>
              <w:spacing w:line="360" w:lineRule="auto"/>
              <w:rPr>
                <w:rFonts w:eastAsiaTheme="minorEastAsia"/>
                <w:color w:val="auto"/>
                <w:sz w:val="24"/>
                <w:highlight w:val="none"/>
                <w:lang w:eastAsia="zh-CN"/>
              </w:rPr>
            </w:pPr>
            <w:r>
              <w:rPr>
                <w:rFonts w:hint="eastAsia"/>
                <w:color w:val="auto"/>
                <w:sz w:val="24"/>
                <w:highlight w:val="none"/>
                <w:lang w:eastAsia="zh-CN"/>
              </w:rPr>
              <w:t>开户银行：工商银行广元苴国路支行</w:t>
            </w:r>
          </w:p>
        </w:tc>
        <w:tc>
          <w:tcPr>
            <w:tcW w:w="5253" w:type="dxa"/>
          </w:tcPr>
          <w:p w14:paraId="56480FC9">
            <w:pPr>
              <w:spacing w:line="360" w:lineRule="auto"/>
              <w:rPr>
                <w:rFonts w:eastAsiaTheme="minorEastAsia"/>
                <w:color w:val="auto"/>
                <w:sz w:val="24"/>
                <w:highlight w:val="none"/>
                <w:lang w:eastAsia="zh-CN"/>
              </w:rPr>
            </w:pPr>
            <w:r>
              <w:rPr>
                <w:rFonts w:hint="eastAsia" w:ascii="宋体" w:hAnsi="宋体"/>
                <w:color w:val="auto"/>
                <w:sz w:val="24"/>
                <w:highlight w:val="none"/>
              </w:rPr>
              <w:t>开户银行：</w:t>
            </w:r>
          </w:p>
        </w:tc>
      </w:tr>
      <w:tr w14:paraId="33FA2954">
        <w:tblPrEx>
          <w:tblCellMar>
            <w:top w:w="0" w:type="dxa"/>
            <w:left w:w="108" w:type="dxa"/>
            <w:bottom w:w="0" w:type="dxa"/>
            <w:right w:w="108" w:type="dxa"/>
          </w:tblCellMar>
        </w:tblPrEx>
        <w:trPr>
          <w:trHeight w:val="633" w:hRule="atLeast"/>
        </w:trPr>
        <w:tc>
          <w:tcPr>
            <w:tcW w:w="4156" w:type="dxa"/>
          </w:tcPr>
          <w:p w14:paraId="188A3262">
            <w:pPr>
              <w:spacing w:line="360" w:lineRule="auto"/>
              <w:rPr>
                <w:rFonts w:eastAsiaTheme="minorEastAsia"/>
                <w:color w:val="auto"/>
                <w:sz w:val="24"/>
                <w:highlight w:val="none"/>
                <w:lang w:eastAsia="zh-CN"/>
              </w:rPr>
            </w:pPr>
            <w:r>
              <w:rPr>
                <w:rFonts w:hint="eastAsia"/>
                <w:color w:val="auto"/>
                <w:sz w:val="24"/>
                <w:highlight w:val="none"/>
                <w:lang w:eastAsia="zh-CN"/>
              </w:rPr>
              <w:t>账号：</w:t>
            </w:r>
            <w:r>
              <w:rPr>
                <w:rFonts w:hint="eastAsia" w:ascii="宋体" w:hAnsi="宋体" w:eastAsia="宋体" w:cs="宋体"/>
                <w:color w:val="auto"/>
                <w:sz w:val="24"/>
                <w:highlight w:val="none"/>
                <w:lang w:eastAsia="zh-CN"/>
              </w:rPr>
              <w:t>2309008009020102883</w:t>
            </w:r>
          </w:p>
        </w:tc>
        <w:tc>
          <w:tcPr>
            <w:tcW w:w="5253" w:type="dxa"/>
          </w:tcPr>
          <w:p w14:paraId="3A5341A4">
            <w:pPr>
              <w:spacing w:line="360" w:lineRule="auto"/>
              <w:rPr>
                <w:rFonts w:eastAsiaTheme="minorEastAsia"/>
                <w:color w:val="auto"/>
                <w:sz w:val="24"/>
                <w:highlight w:val="none"/>
                <w:lang w:eastAsia="zh-CN"/>
              </w:rPr>
            </w:pPr>
            <w:r>
              <w:rPr>
                <w:rFonts w:hint="eastAsia" w:ascii="宋体" w:hAnsi="宋体"/>
                <w:color w:val="auto"/>
                <w:sz w:val="24"/>
                <w:highlight w:val="none"/>
              </w:rPr>
              <w:t>账号：</w:t>
            </w:r>
          </w:p>
        </w:tc>
      </w:tr>
      <w:tr w14:paraId="12EB0DEF">
        <w:tblPrEx>
          <w:tblCellMar>
            <w:top w:w="0" w:type="dxa"/>
            <w:left w:w="108" w:type="dxa"/>
            <w:bottom w:w="0" w:type="dxa"/>
            <w:right w:w="108" w:type="dxa"/>
          </w:tblCellMar>
        </w:tblPrEx>
        <w:trPr>
          <w:trHeight w:val="528" w:hRule="atLeast"/>
        </w:trPr>
        <w:tc>
          <w:tcPr>
            <w:tcW w:w="4156" w:type="dxa"/>
          </w:tcPr>
          <w:p w14:paraId="33408F89">
            <w:pPr>
              <w:spacing w:line="360" w:lineRule="auto"/>
              <w:rPr>
                <w:color w:val="auto"/>
                <w:sz w:val="24"/>
                <w:highlight w:val="none"/>
              </w:rPr>
            </w:pPr>
            <w:r>
              <w:rPr>
                <w:rFonts w:hint="eastAsia" w:ascii="宋体" w:hAnsi="宋体"/>
                <w:color w:val="auto"/>
                <w:sz w:val="24"/>
                <w:highlight w:val="none"/>
              </w:rPr>
              <w:t>电    话：0839-</w:t>
            </w:r>
            <w:r>
              <w:rPr>
                <w:rFonts w:hint="eastAsia" w:ascii="宋体" w:hAnsi="宋体"/>
                <w:color w:val="auto"/>
                <w:sz w:val="24"/>
                <w:highlight w:val="none"/>
                <w:lang w:eastAsia="zh-CN"/>
              </w:rPr>
              <w:t>3314508</w:t>
            </w:r>
            <w:r>
              <w:rPr>
                <w:rFonts w:hint="eastAsia" w:ascii="宋体" w:hAnsi="宋体"/>
                <w:color w:val="auto"/>
                <w:sz w:val="24"/>
                <w:highlight w:val="none"/>
              </w:rPr>
              <w:t xml:space="preserve">  </w:t>
            </w:r>
          </w:p>
        </w:tc>
        <w:tc>
          <w:tcPr>
            <w:tcW w:w="5253" w:type="dxa"/>
          </w:tcPr>
          <w:p w14:paraId="7916FE23">
            <w:pPr>
              <w:spacing w:line="360" w:lineRule="auto"/>
              <w:rPr>
                <w:rFonts w:ascii="宋体" w:hAnsi="宋体" w:eastAsiaTheme="minorEastAsia"/>
                <w:color w:val="auto"/>
                <w:sz w:val="24"/>
                <w:highlight w:val="none"/>
                <w:lang w:eastAsia="zh-CN"/>
              </w:rPr>
            </w:pPr>
            <w:r>
              <w:rPr>
                <w:rFonts w:hint="eastAsia" w:ascii="宋体" w:hAnsi="宋体"/>
                <w:color w:val="auto"/>
                <w:sz w:val="24"/>
                <w:highlight w:val="none"/>
              </w:rPr>
              <w:t>电    话：</w:t>
            </w:r>
          </w:p>
        </w:tc>
      </w:tr>
      <w:tr w14:paraId="08246A8A">
        <w:tblPrEx>
          <w:tblCellMar>
            <w:top w:w="0" w:type="dxa"/>
            <w:left w:w="108" w:type="dxa"/>
            <w:bottom w:w="0" w:type="dxa"/>
            <w:right w:w="108" w:type="dxa"/>
          </w:tblCellMar>
        </w:tblPrEx>
        <w:tc>
          <w:tcPr>
            <w:tcW w:w="4156" w:type="dxa"/>
          </w:tcPr>
          <w:p w14:paraId="28F8911E">
            <w:pPr>
              <w:spacing w:line="360" w:lineRule="auto"/>
              <w:rPr>
                <w:color w:val="auto"/>
                <w:sz w:val="24"/>
                <w:highlight w:val="none"/>
              </w:rPr>
            </w:pPr>
            <w:r>
              <w:rPr>
                <w:rFonts w:hint="eastAsia"/>
                <w:color w:val="auto"/>
                <w:sz w:val="24"/>
                <w:highlight w:val="none"/>
              </w:rPr>
              <w:t>签约日期：    年    月    日</w:t>
            </w:r>
          </w:p>
        </w:tc>
        <w:tc>
          <w:tcPr>
            <w:tcW w:w="5253" w:type="dxa"/>
          </w:tcPr>
          <w:p w14:paraId="582DF206">
            <w:pPr>
              <w:spacing w:line="360" w:lineRule="auto"/>
              <w:rPr>
                <w:rFonts w:ascii="宋体" w:hAnsi="宋体"/>
                <w:color w:val="auto"/>
                <w:sz w:val="24"/>
                <w:highlight w:val="none"/>
              </w:rPr>
            </w:pPr>
            <w:r>
              <w:rPr>
                <w:rFonts w:hint="eastAsia"/>
                <w:color w:val="auto"/>
                <w:sz w:val="24"/>
                <w:highlight w:val="none"/>
              </w:rPr>
              <w:t>签约日期：     年    月    日</w:t>
            </w:r>
          </w:p>
        </w:tc>
      </w:tr>
    </w:tbl>
    <w:p w14:paraId="0FE66D5D">
      <w:pPr>
        <w:pStyle w:val="5"/>
        <w:spacing w:line="360" w:lineRule="auto"/>
        <w:rPr>
          <w:rFonts w:hint="default" w:ascii="宋体" w:hAnsi="宋体" w:cs="宋体"/>
          <w:color w:val="auto"/>
          <w:sz w:val="22"/>
          <w:szCs w:val="22"/>
          <w:highlight w:val="none"/>
          <w:lang w:eastAsia="zh-CN" w:bidi="ar"/>
        </w:rPr>
      </w:pPr>
    </w:p>
    <w:p w14:paraId="60440D0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5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pPr>
    <w:rPr>
      <w:rFonts w:ascii="Arial" w:hAnsi="Arial" w:eastAsia="Arial" w:cs="Arial"/>
      <w:color w:val="000000"/>
      <w:sz w:val="21"/>
      <w:szCs w:val="21"/>
      <w:lang w:val="en-US" w:eastAsia="en-US"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2026-03-25T07:19:21Z</dcterms:created>
  <dc:creator>admin</dc:creator>
  <cp:lastModifiedBy>1</cp:lastModifiedBy>
  <dcterms:modified xsi:type="dcterms:W3CDTF">2026-03-25T07:19:31Z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eyJoZGlkIjoiZjJjMTg3YTMzOGNmMDAwM2YxY2U1YzYzODEwZmU5NWUiLCJ1c2VySWQiOiIxMjExMDE3OTg5In0=</vt:lpwstr>
  </property>
  <property fmtid="{D5CDD505-2E9C-101B-9397-08002B2CF9AE}" pid="4" name="ICV">
    <vt:lpwstr>7AE08DD9E9B44CB28E0E97AEB1C14FC6_12</vt:lpwstr>
  </property>
</Properties>
</file>