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E41AF2">
      <w:pPr>
        <w:tabs>
          <w:tab w:val="left" w:pos="4620"/>
        </w:tabs>
        <w:spacing w:line="480" w:lineRule="auto"/>
        <w:rPr>
          <w:rFonts w:ascii="华文中宋" w:hAnsi="华文中宋" w:eastAsia="华文中宋"/>
          <w:color w:val="auto"/>
          <w:sz w:val="36"/>
          <w:highlight w:val="none"/>
        </w:rPr>
      </w:pPr>
      <w:r>
        <w:rPr>
          <w:rFonts w:ascii="华文中宋" w:hAnsi="华文中宋" w:eastAsia="华文中宋" w:cs="Times New Roman"/>
          <w:color w:val="auto"/>
          <w:kern w:val="2"/>
          <w:sz w:val="36"/>
          <w:szCs w:val="24"/>
          <w:highlight w:val="none"/>
          <w:lang w:val="en-US" w:eastAsia="zh-CN" w:bidi="ar-SA"/>
        </w:rPr>
        <w:drawing>
          <wp:inline distT="0" distB="0" distL="114300" distR="114300">
            <wp:extent cx="685800" cy="5429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lum/>
                    </a:blip>
                    <a:stretch>
                      <a:fillRect/>
                    </a:stretch>
                  </pic:blipFill>
                  <pic:spPr>
                    <a:xfrm>
                      <a:off x="0" y="0"/>
                      <a:ext cx="685800" cy="542925"/>
                    </a:xfrm>
                    <a:prstGeom prst="rect">
                      <a:avLst/>
                    </a:prstGeom>
                    <a:noFill/>
                    <a:ln>
                      <a:noFill/>
                    </a:ln>
                  </pic:spPr>
                </pic:pic>
              </a:graphicData>
            </a:graphic>
          </wp:inline>
        </w:drawing>
      </w:r>
    </w:p>
    <w:p w14:paraId="43298357">
      <w:pPr>
        <w:pStyle w:val="15"/>
        <w:ind w:firstLine="0" w:firstLineChars="0"/>
        <w:jc w:val="left"/>
        <w:rPr>
          <w:rFonts w:ascii="黑体"/>
          <w:b w:val="0"/>
          <w:color w:val="auto"/>
          <w:sz w:val="52"/>
          <w:highlight w:val="none"/>
        </w:rPr>
      </w:pPr>
      <w:r>
        <w:rPr>
          <w:color w:val="auto"/>
          <w:highlight w:val="none"/>
        </w:rPr>
        <w:t>GXTC</w:t>
      </w:r>
    </w:p>
    <w:p w14:paraId="7824592E">
      <w:pPr>
        <w:jc w:val="left"/>
        <w:rPr>
          <w:rFonts w:eastAsia="黑体"/>
          <w:b/>
          <w:bCs/>
          <w:color w:val="auto"/>
          <w:sz w:val="28"/>
          <w:szCs w:val="28"/>
          <w:highlight w:val="none"/>
        </w:rPr>
      </w:pPr>
    </w:p>
    <w:p w14:paraId="6A9C28E3">
      <w:pPr>
        <w:jc w:val="left"/>
        <w:rPr>
          <w:rFonts w:eastAsia="黑体"/>
          <w:b/>
          <w:bCs/>
          <w:color w:val="auto"/>
          <w:sz w:val="28"/>
          <w:szCs w:val="28"/>
          <w:highlight w:val="none"/>
        </w:rPr>
      </w:pPr>
    </w:p>
    <w:p w14:paraId="76060A4B">
      <w:pPr>
        <w:jc w:val="center"/>
        <w:rPr>
          <w:rFonts w:eastAsia="黑体"/>
          <w:b/>
          <w:bCs/>
          <w:color w:val="auto"/>
          <w:sz w:val="84"/>
          <w:highlight w:val="none"/>
        </w:rPr>
      </w:pPr>
      <w:r>
        <w:rPr>
          <w:rFonts w:hint="eastAsia" w:eastAsia="黑体"/>
          <w:b/>
          <w:bCs/>
          <w:color w:val="auto"/>
          <w:sz w:val="84"/>
          <w:highlight w:val="none"/>
        </w:rPr>
        <w:t>招 标 文 件</w:t>
      </w:r>
    </w:p>
    <w:p w14:paraId="1F5936FF">
      <w:pPr>
        <w:adjustRightInd w:val="0"/>
        <w:spacing w:line="360" w:lineRule="auto"/>
        <w:ind w:left="0" w:leftChars="0" w:firstLine="1670" w:firstLineChars="462"/>
        <w:jc w:val="left"/>
        <w:textAlignment w:val="baseline"/>
        <w:rPr>
          <w:rFonts w:hint="eastAsia" w:ascii="黑体" w:hAnsi="黑体" w:eastAsia="黑体" w:cs="黑体"/>
          <w:b/>
          <w:bCs/>
          <w:color w:val="auto"/>
          <w:sz w:val="36"/>
          <w:szCs w:val="36"/>
          <w:highlight w:val="none"/>
        </w:rPr>
      </w:pPr>
    </w:p>
    <w:p w14:paraId="12C9E8C2">
      <w:pPr>
        <w:adjustRightInd w:val="0"/>
        <w:spacing w:line="360" w:lineRule="auto"/>
        <w:ind w:left="0" w:leftChars="0" w:firstLine="1670" w:firstLineChars="462"/>
        <w:jc w:val="left"/>
        <w:textAlignment w:val="baseline"/>
        <w:rPr>
          <w:rFonts w:hint="eastAsia" w:ascii="黑体" w:hAnsi="黑体" w:eastAsia="黑体" w:cs="黑体"/>
          <w:b/>
          <w:bCs/>
          <w:color w:val="auto"/>
          <w:sz w:val="36"/>
          <w:szCs w:val="36"/>
          <w:highlight w:val="none"/>
        </w:rPr>
      </w:pPr>
    </w:p>
    <w:p w14:paraId="5DD1C10A">
      <w:pPr>
        <w:keepNext w:val="0"/>
        <w:keepLines w:val="0"/>
        <w:pageBreakBefore w:val="0"/>
        <w:widowControl w:val="0"/>
        <w:kinsoku/>
        <w:wordWrap/>
        <w:overflowPunct/>
        <w:topLinePunct w:val="0"/>
        <w:autoSpaceDE w:val="0"/>
        <w:autoSpaceDN w:val="0"/>
        <w:bidi w:val="0"/>
        <w:adjustRightInd w:val="0"/>
        <w:snapToGrid w:val="0"/>
        <w:spacing w:line="360" w:lineRule="auto"/>
        <w:ind w:left="420" w:leftChars="200" w:right="-307" w:rightChars="-146" w:firstLine="0" w:firstLineChars="0"/>
        <w:jc w:val="left"/>
        <w:textAlignment w:val="auto"/>
        <w:outlineLvl w:val="9"/>
        <w:rPr>
          <w:rFonts w:hint="eastAsia" w:ascii="黑体" w:hAnsi="黑体" w:eastAsia="黑体" w:cs="黑体"/>
          <w:b/>
          <w:bCs/>
          <w:color w:val="auto"/>
          <w:kern w:val="0"/>
          <w:sz w:val="28"/>
          <w:szCs w:val="28"/>
          <w:highlight w:val="none"/>
          <w:lang w:val="en-US" w:eastAsia="zh-CN"/>
        </w:rPr>
      </w:pPr>
      <w:bookmarkStart w:id="0" w:name="_Toc15321"/>
      <w:bookmarkStart w:id="1" w:name="_Toc21859"/>
      <w:r>
        <w:rPr>
          <w:rFonts w:hint="eastAsia" w:ascii="黑体" w:hAnsi="黑体" w:eastAsia="黑体" w:cs="黑体"/>
          <w:b/>
          <w:bCs/>
          <w:color w:val="auto"/>
          <w:kern w:val="0"/>
          <w:sz w:val="36"/>
          <w:szCs w:val="36"/>
          <w:highlight w:val="none"/>
          <w:lang w:val="en-US" w:eastAsia="zh-CN"/>
        </w:rPr>
        <w:t>项目编号：</w:t>
      </w:r>
      <w:bookmarkEnd w:id="0"/>
      <w:bookmarkEnd w:id="1"/>
      <w:r>
        <w:rPr>
          <w:rFonts w:hint="eastAsia" w:ascii="黑体" w:hAnsi="黑体" w:eastAsia="黑体" w:cs="黑体"/>
          <w:b/>
          <w:bCs/>
          <w:color w:val="auto"/>
          <w:kern w:val="0"/>
          <w:sz w:val="36"/>
          <w:szCs w:val="36"/>
          <w:highlight w:val="none"/>
          <w:lang w:val="en-US" w:eastAsia="zh-CN"/>
        </w:rPr>
        <w:t>YNZC2025-G3-05635-GXZB-0147/GXTC-C-25290549</w:t>
      </w:r>
    </w:p>
    <w:p w14:paraId="1D5C38C4">
      <w:pPr>
        <w:keepNext w:val="0"/>
        <w:keepLines w:val="0"/>
        <w:pageBreakBefore w:val="0"/>
        <w:widowControl w:val="0"/>
        <w:kinsoku/>
        <w:wordWrap/>
        <w:overflowPunct/>
        <w:topLinePunct w:val="0"/>
        <w:autoSpaceDE w:val="0"/>
        <w:autoSpaceDN w:val="0"/>
        <w:bidi w:val="0"/>
        <w:adjustRightInd w:val="0"/>
        <w:snapToGrid w:val="0"/>
        <w:spacing w:line="360" w:lineRule="auto"/>
        <w:ind w:left="2428" w:leftChars="200" w:hanging="2008" w:hangingChars="500"/>
        <w:jc w:val="left"/>
        <w:textAlignment w:val="auto"/>
        <w:outlineLvl w:val="0"/>
        <w:rPr>
          <w:rFonts w:hint="eastAsia" w:ascii="黑体" w:hAnsi="黑体" w:eastAsia="黑体" w:cs="黑体"/>
          <w:b/>
          <w:bCs/>
          <w:color w:val="auto"/>
          <w:kern w:val="0"/>
          <w:sz w:val="40"/>
          <w:szCs w:val="40"/>
          <w:highlight w:val="none"/>
          <w:lang w:val="zh-CN" w:eastAsia="zh-CN"/>
        </w:rPr>
      </w:pPr>
      <w:bookmarkStart w:id="2" w:name="_Toc28688"/>
      <w:bookmarkStart w:id="3" w:name="_Toc8945"/>
      <w:bookmarkStart w:id="4" w:name="_Toc7675"/>
      <w:r>
        <w:rPr>
          <w:rFonts w:hint="eastAsia" w:ascii="黑体" w:hAnsi="黑体" w:eastAsia="黑体" w:cs="黑体"/>
          <w:b/>
          <w:bCs/>
          <w:color w:val="auto"/>
          <w:kern w:val="0"/>
          <w:sz w:val="40"/>
          <w:szCs w:val="40"/>
          <w:highlight w:val="none"/>
          <w:lang w:val="en-US" w:eastAsia="zh-CN"/>
        </w:rPr>
        <w:t>项目名称：</w:t>
      </w:r>
      <w:bookmarkEnd w:id="2"/>
      <w:bookmarkEnd w:id="3"/>
      <w:bookmarkEnd w:id="4"/>
      <w:r>
        <w:rPr>
          <w:rFonts w:hint="eastAsia" w:ascii="黑体" w:hAnsi="黑体" w:eastAsia="黑体" w:cs="黑体"/>
          <w:b/>
          <w:bCs/>
          <w:color w:val="auto"/>
          <w:kern w:val="0"/>
          <w:sz w:val="40"/>
          <w:szCs w:val="40"/>
          <w:highlight w:val="none"/>
          <w:lang w:val="en-US" w:eastAsia="zh-CN"/>
        </w:rPr>
        <w:t>西南林业大学工会2025至2027年教职工健康体检服务（第一年）</w:t>
      </w:r>
    </w:p>
    <w:p w14:paraId="0A8EAF29">
      <w:pPr>
        <w:autoSpaceDE w:val="0"/>
        <w:autoSpaceDN w:val="0"/>
        <w:adjustRightInd w:val="0"/>
        <w:snapToGrid w:val="0"/>
        <w:spacing w:afterLines="50"/>
        <w:jc w:val="center"/>
        <w:rPr>
          <w:rFonts w:hint="eastAsia" w:ascii="黑体" w:hAnsi="黑体" w:eastAsia="黑体" w:cs="黑体"/>
          <w:b/>
          <w:bCs/>
          <w:color w:val="auto"/>
          <w:kern w:val="0"/>
          <w:sz w:val="40"/>
          <w:szCs w:val="40"/>
          <w:highlight w:val="none"/>
        </w:rPr>
      </w:pPr>
    </w:p>
    <w:p w14:paraId="5B01B8C7">
      <w:pPr>
        <w:autoSpaceDE w:val="0"/>
        <w:autoSpaceDN w:val="0"/>
        <w:adjustRightInd w:val="0"/>
        <w:snapToGrid w:val="0"/>
        <w:spacing w:afterLines="50"/>
        <w:jc w:val="center"/>
        <w:rPr>
          <w:rFonts w:hint="eastAsia" w:ascii="黑体" w:hAnsi="黑体" w:eastAsia="黑体" w:cs="黑体"/>
          <w:b/>
          <w:bCs/>
          <w:color w:val="auto"/>
          <w:kern w:val="0"/>
          <w:sz w:val="40"/>
          <w:szCs w:val="40"/>
          <w:highlight w:val="none"/>
          <w:lang w:val="en-US" w:eastAsia="zh-CN"/>
        </w:rPr>
      </w:pPr>
    </w:p>
    <w:p w14:paraId="04AFB8F1">
      <w:pPr>
        <w:autoSpaceDE w:val="0"/>
        <w:autoSpaceDN w:val="0"/>
        <w:adjustRightInd w:val="0"/>
        <w:snapToGrid w:val="0"/>
        <w:spacing w:afterLines="50"/>
        <w:jc w:val="center"/>
        <w:rPr>
          <w:rFonts w:hint="eastAsia" w:ascii="黑体" w:hAnsi="黑体" w:eastAsia="黑体" w:cs="黑体"/>
          <w:b/>
          <w:bCs/>
          <w:color w:val="auto"/>
          <w:kern w:val="0"/>
          <w:sz w:val="40"/>
          <w:szCs w:val="40"/>
          <w:highlight w:val="none"/>
        </w:rPr>
      </w:pPr>
    </w:p>
    <w:p w14:paraId="6E4EC8E7">
      <w:pPr>
        <w:pStyle w:val="56"/>
        <w:ind w:left="0" w:leftChars="0" w:firstLine="0" w:firstLineChars="0"/>
        <w:jc w:val="center"/>
        <w:rPr>
          <w:rFonts w:hint="eastAsia"/>
          <w:b/>
          <w:bCs/>
          <w:color w:val="auto"/>
          <w:sz w:val="32"/>
          <w:szCs w:val="32"/>
          <w:highlight w:val="none"/>
          <w:lang w:val="en-US" w:eastAsia="zh-CN"/>
        </w:rPr>
      </w:pPr>
    </w:p>
    <w:p w14:paraId="631559D3">
      <w:pPr>
        <w:autoSpaceDE w:val="0"/>
        <w:autoSpaceDN w:val="0"/>
        <w:adjustRightInd w:val="0"/>
        <w:snapToGrid w:val="0"/>
        <w:spacing w:afterLines="50"/>
        <w:jc w:val="center"/>
        <w:rPr>
          <w:rFonts w:hint="eastAsia" w:ascii="黑体" w:hAnsi="黑体" w:eastAsia="黑体" w:cs="黑体"/>
          <w:b/>
          <w:bCs/>
          <w:color w:val="auto"/>
          <w:kern w:val="0"/>
          <w:sz w:val="40"/>
          <w:szCs w:val="40"/>
          <w:highlight w:val="none"/>
          <w:lang w:val="en-US" w:eastAsia="zh-CN"/>
        </w:rPr>
      </w:pPr>
      <w:bookmarkStart w:id="5" w:name="_Toc10116"/>
    </w:p>
    <w:p w14:paraId="4A3BB186">
      <w:pPr>
        <w:autoSpaceDE w:val="0"/>
        <w:autoSpaceDN w:val="0"/>
        <w:adjustRightInd w:val="0"/>
        <w:snapToGrid w:val="0"/>
        <w:spacing w:afterLines="50"/>
        <w:jc w:val="center"/>
        <w:outlineLvl w:val="0"/>
        <w:rPr>
          <w:rFonts w:hint="eastAsia" w:ascii="黑体" w:hAnsi="黑体" w:eastAsia="黑体" w:cs="黑体"/>
          <w:b/>
          <w:bCs/>
          <w:color w:val="auto"/>
          <w:kern w:val="0"/>
          <w:sz w:val="40"/>
          <w:szCs w:val="40"/>
          <w:highlight w:val="none"/>
          <w:lang w:val="en-US" w:eastAsia="zh-CN"/>
        </w:rPr>
      </w:pPr>
      <w:bookmarkStart w:id="6" w:name="_Toc10606"/>
      <w:bookmarkStart w:id="7" w:name="_Toc24647"/>
      <w:r>
        <w:rPr>
          <w:rFonts w:hint="eastAsia" w:ascii="黑体" w:hAnsi="黑体" w:eastAsia="黑体" w:cs="黑体"/>
          <w:b/>
          <w:bCs/>
          <w:color w:val="auto"/>
          <w:kern w:val="0"/>
          <w:sz w:val="40"/>
          <w:szCs w:val="40"/>
          <w:highlight w:val="none"/>
          <w:lang w:val="en-US" w:eastAsia="zh-CN"/>
        </w:rPr>
        <w:t>采购人：</w:t>
      </w:r>
      <w:bookmarkEnd w:id="5"/>
      <w:bookmarkEnd w:id="6"/>
      <w:bookmarkEnd w:id="7"/>
      <w:r>
        <w:rPr>
          <w:rFonts w:hint="eastAsia" w:ascii="黑体" w:hAnsi="黑体" w:eastAsia="黑体" w:cs="黑体"/>
          <w:b/>
          <w:bCs/>
          <w:color w:val="auto"/>
          <w:kern w:val="0"/>
          <w:sz w:val="40"/>
          <w:szCs w:val="40"/>
          <w:highlight w:val="none"/>
          <w:lang w:val="en-US" w:eastAsia="zh-CN"/>
        </w:rPr>
        <w:t>西南林业大学</w:t>
      </w:r>
    </w:p>
    <w:p w14:paraId="730BB57E">
      <w:pPr>
        <w:autoSpaceDE w:val="0"/>
        <w:autoSpaceDN w:val="0"/>
        <w:adjustRightInd w:val="0"/>
        <w:snapToGrid w:val="0"/>
        <w:spacing w:afterLines="50"/>
        <w:jc w:val="center"/>
        <w:outlineLvl w:val="0"/>
        <w:rPr>
          <w:rFonts w:hint="eastAsia" w:ascii="黑体" w:hAnsi="黑体" w:eastAsia="黑体" w:cs="黑体"/>
          <w:b/>
          <w:bCs/>
          <w:color w:val="auto"/>
          <w:kern w:val="0"/>
          <w:sz w:val="40"/>
          <w:szCs w:val="40"/>
          <w:highlight w:val="none"/>
          <w:lang w:val="en-US" w:eastAsia="zh-CN"/>
        </w:rPr>
      </w:pPr>
      <w:bookmarkStart w:id="8" w:name="_Toc2686"/>
      <w:bookmarkStart w:id="9" w:name="_Toc25026"/>
      <w:r>
        <w:rPr>
          <w:rFonts w:hint="eastAsia" w:ascii="黑体" w:hAnsi="黑体" w:eastAsia="黑体" w:cs="黑体"/>
          <w:b/>
          <w:bCs/>
          <w:color w:val="auto"/>
          <w:kern w:val="0"/>
          <w:sz w:val="40"/>
          <w:szCs w:val="40"/>
          <w:highlight w:val="none"/>
          <w:lang w:val="en-US" w:eastAsia="zh-CN"/>
        </w:rPr>
        <w:t>采购代理机构：国信招标集团股份有限公司</w:t>
      </w:r>
      <w:bookmarkEnd w:id="8"/>
      <w:bookmarkEnd w:id="9"/>
    </w:p>
    <w:p w14:paraId="7A9F6C54">
      <w:pPr>
        <w:autoSpaceDE w:val="0"/>
        <w:autoSpaceDN w:val="0"/>
        <w:adjustRightInd w:val="0"/>
        <w:snapToGrid w:val="0"/>
        <w:spacing w:afterLines="50"/>
        <w:jc w:val="center"/>
        <w:rPr>
          <w:rFonts w:hint="eastAsia" w:ascii="黑体" w:hAnsi="黑体" w:eastAsia="黑体" w:cs="黑体"/>
          <w:color w:val="auto"/>
          <w:kern w:val="0"/>
          <w:sz w:val="40"/>
          <w:szCs w:val="40"/>
          <w:highlight w:val="none"/>
          <w:lang w:val="en-US" w:eastAsia="zh-CN"/>
        </w:rPr>
        <w:sectPr>
          <w:headerReference r:id="rId3" w:type="default"/>
          <w:pgSz w:w="11906" w:h="16838"/>
          <w:pgMar w:top="1587" w:right="1417" w:bottom="1417" w:left="1587" w:header="851" w:footer="992" w:gutter="0"/>
          <w:pgNumType w:fmt="decimal"/>
          <w:cols w:space="0" w:num="1"/>
          <w:rtlGutter w:val="0"/>
          <w:docGrid w:linePitch="312" w:charSpace="0"/>
        </w:sectPr>
      </w:pPr>
      <w:r>
        <w:rPr>
          <w:rFonts w:hint="eastAsia" w:ascii="黑体" w:hAnsi="黑体" w:eastAsia="黑体" w:cs="黑体"/>
          <w:b/>
          <w:bCs/>
          <w:color w:val="auto"/>
          <w:kern w:val="0"/>
          <w:sz w:val="40"/>
          <w:szCs w:val="40"/>
          <w:highlight w:val="none"/>
          <w:lang w:val="en-US" w:eastAsia="zh-CN"/>
        </w:rPr>
        <w:t>2025年09月</w:t>
      </w:r>
    </w:p>
    <w:p w14:paraId="1359156B">
      <w:pPr>
        <w:widowControl/>
        <w:jc w:val="left"/>
        <w:rPr>
          <w:rFonts w:hint="eastAsia"/>
          <w:color w:val="auto"/>
          <w:highlight w:val="none"/>
        </w:rPr>
      </w:pPr>
    </w:p>
    <w:p w14:paraId="280E2F51">
      <w:pPr>
        <w:spacing w:before="0" w:beforeLines="0" w:after="0" w:afterLines="0" w:line="240" w:lineRule="auto"/>
        <w:ind w:left="0" w:leftChars="0" w:right="0" w:rightChars="0" w:firstLine="0" w:firstLineChars="0"/>
        <w:jc w:val="center"/>
        <w:rPr>
          <w:rFonts w:hint="eastAsia" w:ascii="黑体" w:hAnsi="黑体" w:eastAsia="黑体" w:cs="黑体"/>
          <w:color w:val="auto"/>
          <w:sz w:val="36"/>
          <w:szCs w:val="44"/>
          <w:highlight w:val="none"/>
        </w:rPr>
      </w:pPr>
      <w:r>
        <w:rPr>
          <w:rFonts w:hint="eastAsia" w:ascii="黑体" w:hAnsi="黑体" w:eastAsia="黑体" w:cs="黑体"/>
          <w:color w:val="auto"/>
          <w:sz w:val="36"/>
          <w:szCs w:val="44"/>
          <w:highlight w:val="none"/>
        </w:rPr>
        <w:t>目</w:t>
      </w:r>
      <w:r>
        <w:rPr>
          <w:rFonts w:hint="eastAsia" w:ascii="黑体" w:hAnsi="黑体" w:eastAsia="黑体" w:cs="黑体"/>
          <w:color w:val="auto"/>
          <w:sz w:val="36"/>
          <w:szCs w:val="44"/>
          <w:highlight w:val="none"/>
          <w:lang w:val="en-US" w:eastAsia="zh-CN"/>
        </w:rPr>
        <w:t xml:space="preserve"> </w:t>
      </w:r>
      <w:r>
        <w:rPr>
          <w:rFonts w:hint="eastAsia" w:ascii="黑体" w:hAnsi="黑体" w:eastAsia="黑体" w:cs="黑体"/>
          <w:color w:val="auto"/>
          <w:sz w:val="36"/>
          <w:szCs w:val="44"/>
          <w:highlight w:val="none"/>
        </w:rPr>
        <w:t>录</w:t>
      </w:r>
    </w:p>
    <w:p w14:paraId="6FFBB9D9">
      <w:pPr>
        <w:pStyle w:val="32"/>
        <w:tabs>
          <w:tab w:val="right" w:leader="dot" w:pos="8902"/>
          <w:tab w:val="clear" w:pos="8778"/>
        </w:tabs>
      </w:pP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TOC \o "1-1" \h \u </w:instrText>
      </w:r>
      <w:r>
        <w:rPr>
          <w:rFonts w:hint="eastAsia" w:ascii="黑体" w:hAnsi="黑体" w:eastAsia="黑体" w:cs="黑体"/>
          <w:color w:val="auto"/>
          <w:highlight w:val="none"/>
        </w:rPr>
        <w:fldChar w:fldCharType="separate"/>
      </w:r>
    </w:p>
    <w:p w14:paraId="5B9FB6F5">
      <w:pPr>
        <w:pStyle w:val="32"/>
        <w:keepNext w:val="0"/>
        <w:keepLines w:val="0"/>
        <w:pageBreakBefore w:val="0"/>
        <w:widowControl w:val="0"/>
        <w:tabs>
          <w:tab w:val="right" w:leader="dot" w:pos="8902"/>
          <w:tab w:val="clear" w:pos="8778"/>
        </w:tabs>
        <w:kinsoku/>
        <w:wordWrap/>
        <w:overflowPunct/>
        <w:topLinePunct w:val="0"/>
        <w:autoSpaceDE/>
        <w:autoSpaceDN/>
        <w:bidi w:val="0"/>
        <w:adjustRightInd/>
        <w:snapToGrid w:val="0"/>
        <w:textAlignment w:val="auto"/>
        <w:rPr>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_Toc17963 </w:instrText>
      </w:r>
      <w:r>
        <w:rPr>
          <w:rFonts w:hint="eastAsia" w:ascii="黑体" w:hAnsi="黑体" w:eastAsia="黑体" w:cs="黑体"/>
          <w:sz w:val="24"/>
          <w:szCs w:val="24"/>
          <w:highlight w:val="none"/>
        </w:rPr>
        <w:fldChar w:fldCharType="separate"/>
      </w:r>
      <w:r>
        <w:rPr>
          <w:rFonts w:hint="eastAsia" w:ascii="黑体" w:hAnsi="黑体" w:eastAsia="黑体"/>
          <w:bCs w:val="0"/>
          <w:sz w:val="24"/>
          <w:szCs w:val="24"/>
          <w:highlight w:val="none"/>
          <w:lang w:val="en-US" w:eastAsia="zh-CN"/>
        </w:rPr>
        <w:t xml:space="preserve">第一章 </w:t>
      </w:r>
      <w:r>
        <w:rPr>
          <w:rFonts w:hint="eastAsia" w:ascii="黑体" w:hAnsi="黑体" w:eastAsia="黑体"/>
          <w:bCs w:val="0"/>
          <w:sz w:val="24"/>
          <w:szCs w:val="24"/>
          <w:highlight w:val="none"/>
        </w:rPr>
        <w:t>招标公告</w:t>
      </w:r>
      <w:r>
        <w:rPr>
          <w:sz w:val="24"/>
          <w:szCs w:val="24"/>
        </w:rPr>
        <w:tab/>
      </w:r>
      <w:r>
        <w:rPr>
          <w:sz w:val="24"/>
          <w:szCs w:val="24"/>
        </w:rPr>
        <w:fldChar w:fldCharType="begin"/>
      </w:r>
      <w:r>
        <w:rPr>
          <w:sz w:val="24"/>
          <w:szCs w:val="24"/>
        </w:rPr>
        <w:instrText xml:space="preserve"> PAGEREF _Toc17963 \h </w:instrText>
      </w:r>
      <w:r>
        <w:rPr>
          <w:sz w:val="24"/>
          <w:szCs w:val="24"/>
        </w:rPr>
        <w:fldChar w:fldCharType="separate"/>
      </w:r>
      <w:r>
        <w:rPr>
          <w:sz w:val="24"/>
          <w:szCs w:val="24"/>
        </w:rPr>
        <w:t>2</w:t>
      </w:r>
      <w:r>
        <w:rPr>
          <w:sz w:val="24"/>
          <w:szCs w:val="24"/>
        </w:rPr>
        <w:fldChar w:fldCharType="end"/>
      </w:r>
      <w:r>
        <w:rPr>
          <w:rFonts w:hint="eastAsia" w:ascii="黑体" w:hAnsi="黑体" w:eastAsia="黑体" w:cs="黑体"/>
          <w:color w:val="auto"/>
          <w:sz w:val="24"/>
          <w:szCs w:val="24"/>
          <w:highlight w:val="none"/>
        </w:rPr>
        <w:fldChar w:fldCharType="end"/>
      </w:r>
    </w:p>
    <w:p w14:paraId="7B92AD70">
      <w:pPr>
        <w:pStyle w:val="32"/>
        <w:keepNext w:val="0"/>
        <w:keepLines w:val="0"/>
        <w:pageBreakBefore w:val="0"/>
        <w:widowControl w:val="0"/>
        <w:tabs>
          <w:tab w:val="right" w:leader="dot" w:pos="8902"/>
          <w:tab w:val="clear" w:pos="8778"/>
        </w:tabs>
        <w:kinsoku/>
        <w:wordWrap/>
        <w:overflowPunct/>
        <w:topLinePunct w:val="0"/>
        <w:autoSpaceDE/>
        <w:autoSpaceDN/>
        <w:bidi w:val="0"/>
        <w:adjustRightInd/>
        <w:snapToGrid w:val="0"/>
        <w:textAlignment w:val="auto"/>
        <w:rPr>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_Toc180 </w:instrText>
      </w:r>
      <w:r>
        <w:rPr>
          <w:rFonts w:hint="eastAsia" w:ascii="黑体" w:hAnsi="黑体" w:eastAsia="黑体" w:cs="黑体"/>
          <w:sz w:val="24"/>
          <w:szCs w:val="24"/>
          <w:highlight w:val="none"/>
        </w:rPr>
        <w:fldChar w:fldCharType="separate"/>
      </w:r>
      <w:r>
        <w:rPr>
          <w:rFonts w:hint="eastAsia" w:ascii="黑体" w:hAnsi="黑体" w:eastAsia="黑体"/>
          <w:bCs w:val="0"/>
          <w:sz w:val="24"/>
          <w:szCs w:val="24"/>
          <w:highlight w:val="none"/>
          <w:lang w:val="en-US" w:eastAsia="zh-CN"/>
        </w:rPr>
        <w:t>第二章 投标人须知</w:t>
      </w:r>
      <w:r>
        <w:rPr>
          <w:sz w:val="24"/>
          <w:szCs w:val="24"/>
        </w:rPr>
        <w:tab/>
      </w:r>
      <w:r>
        <w:rPr>
          <w:sz w:val="24"/>
          <w:szCs w:val="24"/>
        </w:rPr>
        <w:fldChar w:fldCharType="begin"/>
      </w:r>
      <w:r>
        <w:rPr>
          <w:sz w:val="24"/>
          <w:szCs w:val="24"/>
        </w:rPr>
        <w:instrText xml:space="preserve"> PAGEREF _Toc180 \h </w:instrText>
      </w:r>
      <w:r>
        <w:rPr>
          <w:sz w:val="24"/>
          <w:szCs w:val="24"/>
        </w:rPr>
        <w:fldChar w:fldCharType="separate"/>
      </w:r>
      <w:r>
        <w:rPr>
          <w:sz w:val="24"/>
          <w:szCs w:val="24"/>
        </w:rPr>
        <w:t>13</w:t>
      </w:r>
      <w:r>
        <w:rPr>
          <w:sz w:val="24"/>
          <w:szCs w:val="24"/>
        </w:rPr>
        <w:fldChar w:fldCharType="end"/>
      </w:r>
      <w:r>
        <w:rPr>
          <w:rFonts w:hint="eastAsia" w:ascii="黑体" w:hAnsi="黑体" w:eastAsia="黑体" w:cs="黑体"/>
          <w:color w:val="auto"/>
          <w:sz w:val="24"/>
          <w:szCs w:val="24"/>
          <w:highlight w:val="none"/>
        </w:rPr>
        <w:fldChar w:fldCharType="end"/>
      </w:r>
    </w:p>
    <w:p w14:paraId="2DF93EDE">
      <w:pPr>
        <w:pStyle w:val="32"/>
        <w:keepNext w:val="0"/>
        <w:keepLines w:val="0"/>
        <w:pageBreakBefore w:val="0"/>
        <w:widowControl w:val="0"/>
        <w:tabs>
          <w:tab w:val="right" w:leader="dot" w:pos="8902"/>
          <w:tab w:val="clear" w:pos="8778"/>
        </w:tabs>
        <w:kinsoku/>
        <w:wordWrap/>
        <w:overflowPunct/>
        <w:topLinePunct w:val="0"/>
        <w:autoSpaceDE/>
        <w:autoSpaceDN/>
        <w:bidi w:val="0"/>
        <w:adjustRightInd/>
        <w:snapToGrid w:val="0"/>
        <w:textAlignment w:val="auto"/>
        <w:rPr>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_Toc31916 </w:instrText>
      </w:r>
      <w:r>
        <w:rPr>
          <w:rFonts w:hint="eastAsia" w:ascii="黑体" w:hAnsi="黑体" w:eastAsia="黑体" w:cs="黑体"/>
          <w:sz w:val="24"/>
          <w:szCs w:val="24"/>
          <w:highlight w:val="none"/>
        </w:rPr>
        <w:fldChar w:fldCharType="separate"/>
      </w:r>
      <w:r>
        <w:rPr>
          <w:rFonts w:hint="eastAsia" w:ascii="黑体" w:hAnsi="黑体" w:eastAsia="黑体" w:cs="Times New Roman"/>
          <w:bCs/>
          <w:kern w:val="44"/>
          <w:sz w:val="24"/>
          <w:szCs w:val="24"/>
          <w:highlight w:val="none"/>
          <w:lang w:val="en-US" w:eastAsia="zh-CN" w:bidi="ar-SA"/>
        </w:rPr>
        <w:t>第三章 资格审查、评标办法和标准</w:t>
      </w:r>
      <w:r>
        <w:rPr>
          <w:sz w:val="24"/>
          <w:szCs w:val="24"/>
        </w:rPr>
        <w:tab/>
      </w:r>
      <w:r>
        <w:rPr>
          <w:sz w:val="24"/>
          <w:szCs w:val="24"/>
        </w:rPr>
        <w:fldChar w:fldCharType="begin"/>
      </w:r>
      <w:r>
        <w:rPr>
          <w:sz w:val="24"/>
          <w:szCs w:val="24"/>
        </w:rPr>
        <w:instrText xml:space="preserve"> PAGEREF _Toc31916 \h </w:instrText>
      </w:r>
      <w:r>
        <w:rPr>
          <w:sz w:val="24"/>
          <w:szCs w:val="24"/>
        </w:rPr>
        <w:fldChar w:fldCharType="separate"/>
      </w:r>
      <w:r>
        <w:rPr>
          <w:sz w:val="24"/>
          <w:szCs w:val="24"/>
        </w:rPr>
        <w:t>33</w:t>
      </w:r>
      <w:r>
        <w:rPr>
          <w:sz w:val="24"/>
          <w:szCs w:val="24"/>
        </w:rPr>
        <w:fldChar w:fldCharType="end"/>
      </w:r>
      <w:r>
        <w:rPr>
          <w:rFonts w:hint="eastAsia" w:ascii="黑体" w:hAnsi="黑体" w:eastAsia="黑体" w:cs="黑体"/>
          <w:color w:val="auto"/>
          <w:sz w:val="24"/>
          <w:szCs w:val="24"/>
          <w:highlight w:val="none"/>
        </w:rPr>
        <w:fldChar w:fldCharType="end"/>
      </w:r>
    </w:p>
    <w:p w14:paraId="305587F9">
      <w:pPr>
        <w:pStyle w:val="32"/>
        <w:keepNext w:val="0"/>
        <w:keepLines w:val="0"/>
        <w:pageBreakBefore w:val="0"/>
        <w:widowControl w:val="0"/>
        <w:tabs>
          <w:tab w:val="right" w:leader="dot" w:pos="8902"/>
          <w:tab w:val="clear" w:pos="8778"/>
        </w:tabs>
        <w:kinsoku/>
        <w:wordWrap/>
        <w:overflowPunct/>
        <w:topLinePunct w:val="0"/>
        <w:autoSpaceDE/>
        <w:autoSpaceDN/>
        <w:bidi w:val="0"/>
        <w:adjustRightInd/>
        <w:snapToGrid w:val="0"/>
        <w:textAlignment w:val="auto"/>
        <w:rPr>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_Toc30076 </w:instrText>
      </w:r>
      <w:r>
        <w:rPr>
          <w:rFonts w:hint="eastAsia" w:ascii="黑体" w:hAnsi="黑体" w:eastAsia="黑体" w:cs="黑体"/>
          <w:sz w:val="24"/>
          <w:szCs w:val="24"/>
          <w:highlight w:val="none"/>
        </w:rPr>
        <w:fldChar w:fldCharType="separate"/>
      </w:r>
      <w:r>
        <w:rPr>
          <w:rFonts w:hint="eastAsia" w:ascii="黑体" w:hAnsi="黑体" w:eastAsia="黑体" w:cs="黑体"/>
          <w:bCs w:val="0"/>
          <w:sz w:val="24"/>
          <w:szCs w:val="24"/>
          <w:highlight w:val="none"/>
          <w:lang w:val="en-US" w:eastAsia="zh-CN"/>
        </w:rPr>
        <w:t xml:space="preserve">第五章 </w:t>
      </w:r>
      <w:r>
        <w:rPr>
          <w:rFonts w:hint="eastAsia" w:ascii="黑体" w:hAnsi="黑体" w:eastAsia="黑体" w:cs="黑体"/>
          <w:bCs w:val="0"/>
          <w:kern w:val="44"/>
          <w:sz w:val="24"/>
          <w:szCs w:val="24"/>
          <w:highlight w:val="none"/>
          <w:lang w:val="en-US" w:eastAsia="zh-CN" w:bidi="ar-SA"/>
        </w:rPr>
        <w:t>采购需求</w:t>
      </w:r>
      <w:r>
        <w:rPr>
          <w:sz w:val="24"/>
          <w:szCs w:val="24"/>
        </w:rPr>
        <w:tab/>
      </w:r>
      <w:r>
        <w:rPr>
          <w:sz w:val="24"/>
          <w:szCs w:val="24"/>
        </w:rPr>
        <w:fldChar w:fldCharType="begin"/>
      </w:r>
      <w:r>
        <w:rPr>
          <w:sz w:val="24"/>
          <w:szCs w:val="24"/>
        </w:rPr>
        <w:instrText xml:space="preserve"> PAGEREF _Toc30076 \h </w:instrText>
      </w:r>
      <w:r>
        <w:rPr>
          <w:sz w:val="24"/>
          <w:szCs w:val="24"/>
        </w:rPr>
        <w:fldChar w:fldCharType="separate"/>
      </w:r>
      <w:r>
        <w:rPr>
          <w:sz w:val="24"/>
          <w:szCs w:val="24"/>
        </w:rPr>
        <w:t>54</w:t>
      </w:r>
      <w:r>
        <w:rPr>
          <w:sz w:val="24"/>
          <w:szCs w:val="24"/>
        </w:rPr>
        <w:fldChar w:fldCharType="end"/>
      </w:r>
      <w:r>
        <w:rPr>
          <w:rFonts w:hint="eastAsia" w:ascii="黑体" w:hAnsi="黑体" w:eastAsia="黑体" w:cs="黑体"/>
          <w:color w:val="auto"/>
          <w:sz w:val="24"/>
          <w:szCs w:val="24"/>
          <w:highlight w:val="none"/>
        </w:rPr>
        <w:fldChar w:fldCharType="end"/>
      </w:r>
    </w:p>
    <w:p w14:paraId="05120F64">
      <w:pPr>
        <w:pStyle w:val="32"/>
        <w:keepNext w:val="0"/>
        <w:keepLines w:val="0"/>
        <w:pageBreakBefore w:val="0"/>
        <w:widowControl w:val="0"/>
        <w:tabs>
          <w:tab w:val="right" w:leader="dot" w:pos="8902"/>
          <w:tab w:val="clear" w:pos="8778"/>
        </w:tabs>
        <w:kinsoku/>
        <w:wordWrap/>
        <w:overflowPunct/>
        <w:topLinePunct w:val="0"/>
        <w:autoSpaceDE/>
        <w:autoSpaceDN/>
        <w:bidi w:val="0"/>
        <w:adjustRightInd/>
        <w:snapToGrid w:val="0"/>
        <w:textAlignment w:val="auto"/>
        <w:rPr>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_Toc4844 </w:instrText>
      </w:r>
      <w:r>
        <w:rPr>
          <w:rFonts w:hint="eastAsia" w:ascii="黑体" w:hAnsi="黑体" w:eastAsia="黑体" w:cs="黑体"/>
          <w:sz w:val="24"/>
          <w:szCs w:val="24"/>
          <w:highlight w:val="none"/>
        </w:rPr>
        <w:fldChar w:fldCharType="separate"/>
      </w:r>
      <w:r>
        <w:rPr>
          <w:rFonts w:hint="eastAsia" w:ascii="黑体" w:hAnsi="黑体" w:eastAsia="黑体" w:cs="Times New Roman"/>
          <w:bCs/>
          <w:kern w:val="44"/>
          <w:sz w:val="24"/>
          <w:szCs w:val="24"/>
          <w:highlight w:val="none"/>
          <w:lang w:val="en-US" w:eastAsia="zh-CN" w:bidi="ar-SA"/>
        </w:rPr>
        <w:t>第六章 投标</w:t>
      </w:r>
      <w:r>
        <w:rPr>
          <w:rFonts w:hint="eastAsia" w:ascii="黑体" w:hAnsi="黑体" w:eastAsia="黑体"/>
          <w:bCs/>
          <w:sz w:val="24"/>
          <w:szCs w:val="24"/>
          <w:highlight w:val="none"/>
          <w:lang w:val="en-US" w:eastAsia="zh-CN"/>
        </w:rPr>
        <w:t>文件</w:t>
      </w:r>
      <w:r>
        <w:rPr>
          <w:rFonts w:hint="eastAsia" w:ascii="黑体" w:hAnsi="黑体" w:eastAsia="黑体" w:cs="Times New Roman"/>
          <w:bCs/>
          <w:kern w:val="44"/>
          <w:sz w:val="24"/>
          <w:szCs w:val="24"/>
          <w:highlight w:val="none"/>
          <w:lang w:val="en-US" w:eastAsia="zh-CN" w:bidi="ar-SA"/>
        </w:rPr>
        <w:t>格式</w:t>
      </w:r>
      <w:r>
        <w:rPr>
          <w:sz w:val="24"/>
          <w:szCs w:val="24"/>
        </w:rPr>
        <w:tab/>
      </w:r>
      <w:r>
        <w:rPr>
          <w:sz w:val="24"/>
          <w:szCs w:val="24"/>
        </w:rPr>
        <w:fldChar w:fldCharType="begin"/>
      </w:r>
      <w:r>
        <w:rPr>
          <w:sz w:val="24"/>
          <w:szCs w:val="24"/>
        </w:rPr>
        <w:instrText xml:space="preserve"> PAGEREF _Toc4844 \h </w:instrText>
      </w:r>
      <w:r>
        <w:rPr>
          <w:sz w:val="24"/>
          <w:szCs w:val="24"/>
        </w:rPr>
        <w:fldChar w:fldCharType="separate"/>
      </w:r>
      <w:r>
        <w:rPr>
          <w:sz w:val="24"/>
          <w:szCs w:val="24"/>
        </w:rPr>
        <w:t>64</w:t>
      </w:r>
      <w:r>
        <w:rPr>
          <w:sz w:val="24"/>
          <w:szCs w:val="24"/>
        </w:rPr>
        <w:fldChar w:fldCharType="end"/>
      </w:r>
      <w:r>
        <w:rPr>
          <w:rFonts w:hint="eastAsia" w:ascii="黑体" w:hAnsi="黑体" w:eastAsia="黑体" w:cs="黑体"/>
          <w:color w:val="auto"/>
          <w:sz w:val="24"/>
          <w:szCs w:val="24"/>
          <w:highlight w:val="none"/>
        </w:rPr>
        <w:fldChar w:fldCharType="end"/>
      </w:r>
    </w:p>
    <w:p w14:paraId="5BE2F2DB">
      <w:pPr>
        <w:pStyle w:val="32"/>
        <w:keepNext w:val="0"/>
        <w:keepLines w:val="0"/>
        <w:pageBreakBefore w:val="0"/>
        <w:widowControl w:val="0"/>
        <w:tabs>
          <w:tab w:val="right" w:leader="dot" w:pos="8902"/>
          <w:tab w:val="clear" w:pos="8778"/>
        </w:tabs>
        <w:kinsoku/>
        <w:wordWrap/>
        <w:overflowPunct/>
        <w:topLinePunct w:val="0"/>
        <w:autoSpaceDE/>
        <w:autoSpaceDN/>
        <w:bidi w:val="0"/>
        <w:adjustRightInd/>
        <w:snapToGrid w:val="0"/>
        <w:textAlignment w:val="auto"/>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_Toc7598 </w:instrText>
      </w:r>
      <w:r>
        <w:rPr>
          <w:rFonts w:hint="eastAsia" w:ascii="黑体" w:hAnsi="黑体" w:eastAsia="黑体" w:cs="黑体"/>
          <w:sz w:val="24"/>
          <w:szCs w:val="24"/>
          <w:highlight w:val="none"/>
        </w:rPr>
        <w:fldChar w:fldCharType="separate"/>
      </w:r>
      <w:r>
        <w:rPr>
          <w:rFonts w:hint="eastAsia" w:ascii="黑体" w:hAnsi="黑体" w:eastAsia="黑体"/>
          <w:sz w:val="24"/>
          <w:szCs w:val="24"/>
          <w:highlight w:val="none"/>
        </w:rPr>
        <w:t>第七章 其它</w:t>
      </w:r>
      <w:r>
        <w:rPr>
          <w:sz w:val="24"/>
          <w:szCs w:val="24"/>
        </w:rPr>
        <w:tab/>
      </w:r>
      <w:r>
        <w:rPr>
          <w:sz w:val="24"/>
          <w:szCs w:val="24"/>
        </w:rPr>
        <w:fldChar w:fldCharType="begin"/>
      </w:r>
      <w:r>
        <w:rPr>
          <w:sz w:val="24"/>
          <w:szCs w:val="24"/>
        </w:rPr>
        <w:instrText xml:space="preserve"> PAGEREF _Toc7598 \h </w:instrText>
      </w:r>
      <w:r>
        <w:rPr>
          <w:sz w:val="24"/>
          <w:szCs w:val="24"/>
        </w:rPr>
        <w:fldChar w:fldCharType="separate"/>
      </w:r>
      <w:r>
        <w:rPr>
          <w:sz w:val="24"/>
          <w:szCs w:val="24"/>
        </w:rPr>
        <w:t>90</w:t>
      </w:r>
      <w:r>
        <w:rPr>
          <w:sz w:val="24"/>
          <w:szCs w:val="24"/>
        </w:rPr>
        <w:fldChar w:fldCharType="end"/>
      </w:r>
      <w:r>
        <w:rPr>
          <w:rFonts w:hint="eastAsia" w:ascii="黑体" w:hAnsi="黑体" w:eastAsia="黑体" w:cs="黑体"/>
          <w:color w:val="auto"/>
          <w:sz w:val="24"/>
          <w:szCs w:val="24"/>
          <w:highlight w:val="none"/>
        </w:rPr>
        <w:fldChar w:fldCharType="end"/>
      </w:r>
    </w:p>
    <w:p w14:paraId="3DF0A30E">
      <w:pPr>
        <w:autoSpaceDE w:val="0"/>
        <w:autoSpaceDN w:val="0"/>
        <w:adjustRightInd w:val="0"/>
        <w:snapToGrid w:val="0"/>
        <w:spacing w:afterLines="50"/>
        <w:jc w:val="center"/>
        <w:outlineLvl w:val="9"/>
        <w:rPr>
          <w:color w:val="auto"/>
          <w:highlight w:val="none"/>
        </w:rPr>
        <w:sectPr>
          <w:headerReference r:id="rId4" w:type="default"/>
          <w:footerReference r:id="rId5" w:type="default"/>
          <w:pgSz w:w="11906" w:h="16838"/>
          <w:pgMar w:top="1587" w:right="1417" w:bottom="1417" w:left="1587" w:header="1020" w:footer="992" w:gutter="0"/>
          <w:pgNumType w:fmt="decimal" w:start="1"/>
          <w:cols w:space="0" w:num="1"/>
          <w:rtlGutter w:val="0"/>
          <w:docGrid w:linePitch="312" w:charSpace="0"/>
        </w:sectPr>
      </w:pPr>
      <w:r>
        <w:rPr>
          <w:rFonts w:hint="eastAsia" w:ascii="黑体" w:hAnsi="黑体" w:eastAsia="黑体" w:cs="黑体"/>
          <w:color w:val="auto"/>
          <w:highlight w:val="none"/>
        </w:rPr>
        <w:fldChar w:fldCharType="end"/>
      </w:r>
    </w:p>
    <w:p w14:paraId="2140A3DE">
      <w:pPr>
        <w:pStyle w:val="2"/>
        <w:numPr>
          <w:ilvl w:val="0"/>
          <w:numId w:val="0"/>
        </w:numPr>
        <w:spacing w:line="360" w:lineRule="auto"/>
        <w:jc w:val="center"/>
        <w:rPr>
          <w:rFonts w:ascii="黑体" w:hAnsi="黑体" w:eastAsia="黑体"/>
          <w:b/>
          <w:bCs w:val="0"/>
          <w:color w:val="auto"/>
          <w:sz w:val="36"/>
          <w:szCs w:val="36"/>
          <w:highlight w:val="none"/>
        </w:rPr>
      </w:pPr>
      <w:bookmarkStart w:id="10" w:name="_Toc17963"/>
      <w:bookmarkStart w:id="11" w:name="_Toc3813142"/>
      <w:bookmarkStart w:id="12" w:name="_Toc30450"/>
      <w:r>
        <w:rPr>
          <w:rFonts w:hint="eastAsia" w:ascii="黑体" w:hAnsi="黑体" w:eastAsia="黑体"/>
          <w:b/>
          <w:bCs w:val="0"/>
          <w:color w:val="auto"/>
          <w:sz w:val="36"/>
          <w:szCs w:val="36"/>
          <w:highlight w:val="none"/>
          <w:lang w:val="en-US" w:eastAsia="zh-CN"/>
        </w:rPr>
        <w:t xml:space="preserve">第一章 </w:t>
      </w:r>
      <w:r>
        <w:rPr>
          <w:rFonts w:hint="eastAsia" w:ascii="黑体" w:hAnsi="黑体" w:eastAsia="黑体"/>
          <w:b/>
          <w:bCs w:val="0"/>
          <w:color w:val="auto"/>
          <w:sz w:val="36"/>
          <w:szCs w:val="36"/>
          <w:highlight w:val="none"/>
        </w:rPr>
        <w:t>招标公告</w:t>
      </w:r>
      <w:bookmarkEnd w:id="10"/>
      <w:bookmarkEnd w:id="11"/>
      <w:bookmarkEnd w:id="12"/>
    </w:p>
    <w:p w14:paraId="636141FC">
      <w:pPr>
        <w:spacing w:line="360" w:lineRule="auto"/>
        <w:jc w:val="center"/>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lang w:eastAsia="zh-CN"/>
        </w:rPr>
        <w:t>西南林业大学工会2025至2027年教职工健康体检服务（第一年）</w:t>
      </w:r>
    </w:p>
    <w:p w14:paraId="1CA51329">
      <w:pPr>
        <w:spacing w:line="360" w:lineRule="auto"/>
        <w:jc w:val="cente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（项目编号：</w:t>
      </w:r>
      <w:r>
        <w:rPr>
          <w:rFonts w:hint="eastAsia" w:ascii="黑体" w:hAnsi="黑体" w:eastAsia="黑体"/>
          <w:b/>
          <w:bCs/>
          <w:color w:val="auto"/>
          <w:sz w:val="32"/>
          <w:szCs w:val="32"/>
          <w:highlight w:val="none"/>
          <w:lang w:eastAsia="zh-CN"/>
        </w:rPr>
        <w:t>YNZC2025-G3-05635-GXZB-0147/GXTC-C-25290549</w:t>
      </w:r>
      <w:r>
        <w:rPr>
          <w:rFonts w:hint="eastAsia" w:ascii="黑体" w:hAnsi="黑体" w:eastAsia="黑体"/>
          <w:b/>
          <w:bCs/>
          <w:color w:val="auto"/>
          <w:sz w:val="32"/>
          <w:szCs w:val="32"/>
          <w:highlight w:val="none"/>
        </w:rPr>
        <w:t>）</w:t>
      </w:r>
    </w:p>
    <w:p w14:paraId="1B67C8FC">
      <w:pPr>
        <w:spacing w:line="360" w:lineRule="auto"/>
        <w:jc w:val="cente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招标公告</w:t>
      </w:r>
    </w:p>
    <w:p w14:paraId="4D3DF55B">
      <w:pPr>
        <w:pageBreakBefore w:val="0"/>
        <w:widowControl w:val="0"/>
        <w:tabs>
          <w:tab w:val="left" w:pos="709"/>
        </w:tabs>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根据《中华人民共和国政府采购法》《中华人民共和国政府采购法实施条例》《政府采购货物和服务招投标管理办法〔财政部令第87号〕》等有关规定，受</w:t>
      </w:r>
      <w:r>
        <w:rPr>
          <w:rFonts w:hint="eastAsia" w:asciiTheme="minorEastAsia" w:hAnsiTheme="minorEastAsia" w:eastAsiaTheme="minorEastAsia" w:cstheme="minorEastAsia"/>
          <w:b/>
          <w:bCs/>
          <w:color w:val="auto"/>
          <w:kern w:val="0"/>
          <w:sz w:val="24"/>
          <w:szCs w:val="24"/>
          <w:highlight w:val="none"/>
          <w:u w:val="single"/>
          <w:lang w:eastAsia="zh-CN"/>
        </w:rPr>
        <w:t>西南林业大学</w:t>
      </w:r>
      <w:r>
        <w:rPr>
          <w:rFonts w:hint="eastAsia" w:asciiTheme="minorEastAsia" w:hAnsiTheme="minorEastAsia" w:eastAsiaTheme="minorEastAsia" w:cstheme="minorEastAsia"/>
          <w:color w:val="auto"/>
          <w:kern w:val="0"/>
          <w:sz w:val="24"/>
          <w:szCs w:val="24"/>
          <w:highlight w:val="none"/>
        </w:rPr>
        <w:t>委托，</w:t>
      </w:r>
      <w:r>
        <w:rPr>
          <w:rFonts w:hint="eastAsia" w:asciiTheme="minorEastAsia" w:hAnsiTheme="minorEastAsia" w:eastAsiaTheme="minorEastAsia" w:cstheme="minorEastAsia"/>
          <w:b/>
          <w:bCs/>
          <w:color w:val="auto"/>
          <w:kern w:val="0"/>
          <w:sz w:val="24"/>
          <w:szCs w:val="24"/>
          <w:highlight w:val="none"/>
          <w:u w:val="single"/>
        </w:rPr>
        <w:t>国信招标集团股份有限公司</w:t>
      </w:r>
      <w:r>
        <w:rPr>
          <w:rFonts w:hint="eastAsia" w:asciiTheme="minorEastAsia" w:hAnsiTheme="minorEastAsia" w:eastAsiaTheme="minorEastAsia" w:cstheme="minorEastAsia"/>
          <w:color w:val="auto"/>
          <w:kern w:val="0"/>
          <w:sz w:val="24"/>
          <w:szCs w:val="24"/>
          <w:highlight w:val="none"/>
        </w:rPr>
        <w:t>代理</w:t>
      </w:r>
      <w:r>
        <w:rPr>
          <w:rFonts w:hint="eastAsia" w:asciiTheme="minorEastAsia" w:hAnsiTheme="minorEastAsia" w:eastAsiaTheme="minorEastAsia" w:cstheme="minorEastAsia"/>
          <w:b/>
          <w:bCs/>
          <w:color w:val="auto"/>
          <w:kern w:val="0"/>
          <w:sz w:val="24"/>
          <w:szCs w:val="24"/>
          <w:highlight w:val="none"/>
          <w:u w:val="single"/>
          <w:lang w:eastAsia="zh-CN"/>
        </w:rPr>
        <w:t>西南林业大学工会2025至2027年教职工健康体检服务（第一年）</w:t>
      </w:r>
      <w:r>
        <w:rPr>
          <w:rFonts w:hint="eastAsia" w:asciiTheme="minorEastAsia" w:hAnsiTheme="minorEastAsia" w:eastAsiaTheme="minorEastAsia" w:cstheme="minorEastAsia"/>
          <w:color w:val="auto"/>
          <w:kern w:val="0"/>
          <w:sz w:val="24"/>
          <w:szCs w:val="24"/>
          <w:highlight w:val="none"/>
        </w:rPr>
        <w:t>的招标工作，现进行国内公开招标。欢迎国内合格的投标人参加投标。</w:t>
      </w:r>
    </w:p>
    <w:p w14:paraId="40BAD8E9">
      <w:pPr>
        <w:pStyle w:val="3"/>
        <w:pageBreakBefore w:val="0"/>
        <w:widowControl w:val="0"/>
        <w:numPr>
          <w:ilvl w:val="0"/>
          <w:numId w:val="2"/>
        </w:numPr>
        <w:kinsoku/>
        <w:wordWrap/>
        <w:overflowPunct/>
        <w:topLinePunct w:val="0"/>
        <w:bidi w:val="0"/>
        <w:spacing w:before="0" w:after="0" w:line="360" w:lineRule="auto"/>
        <w:ind w:left="0" w:lef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项目基本情况</w:t>
      </w:r>
    </w:p>
    <w:p w14:paraId="61F336E8">
      <w:pPr>
        <w:pageBreakBefore w:val="0"/>
        <w:widowControl w:val="0"/>
        <w:tabs>
          <w:tab w:val="left" w:pos="709"/>
        </w:tabs>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1.1项目编号：</w:t>
      </w:r>
      <w:r>
        <w:rPr>
          <w:rFonts w:hint="eastAsia" w:asciiTheme="minorEastAsia" w:hAnsiTheme="minorEastAsia" w:eastAsiaTheme="minorEastAsia" w:cstheme="minorEastAsia"/>
          <w:color w:val="auto"/>
          <w:kern w:val="0"/>
          <w:sz w:val="24"/>
          <w:szCs w:val="24"/>
          <w:highlight w:val="none"/>
          <w:lang w:eastAsia="zh-CN"/>
        </w:rPr>
        <w:t>YNZC2025-G3-05635-GXZB-0147/GXTC-C-25290549</w:t>
      </w:r>
      <w:r>
        <w:rPr>
          <w:rFonts w:hint="eastAsia" w:asciiTheme="minorEastAsia" w:hAnsiTheme="minorEastAsia" w:eastAsiaTheme="minorEastAsia" w:cstheme="minorEastAsia"/>
          <w:color w:val="auto"/>
          <w:kern w:val="0"/>
          <w:sz w:val="24"/>
          <w:szCs w:val="24"/>
          <w:highlight w:val="none"/>
        </w:rPr>
        <w:t>。</w:t>
      </w:r>
    </w:p>
    <w:p w14:paraId="6FBB2344">
      <w:pPr>
        <w:pageBreakBefore w:val="0"/>
        <w:widowControl w:val="0"/>
        <w:tabs>
          <w:tab w:val="left" w:pos="709"/>
        </w:tabs>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1.2项目名称：</w:t>
      </w:r>
      <w:r>
        <w:rPr>
          <w:rFonts w:hint="eastAsia" w:asciiTheme="minorEastAsia" w:hAnsiTheme="minorEastAsia" w:eastAsiaTheme="minorEastAsia" w:cstheme="minorEastAsia"/>
          <w:color w:val="auto"/>
          <w:sz w:val="24"/>
          <w:szCs w:val="24"/>
          <w:highlight w:val="none"/>
          <w:lang w:eastAsia="zh-CN"/>
        </w:rPr>
        <w:t>西南林业大学工会2025至2027年教职工健康体检服务（第一年）</w:t>
      </w:r>
      <w:r>
        <w:rPr>
          <w:rFonts w:hint="eastAsia" w:asciiTheme="minorEastAsia" w:hAnsiTheme="minorEastAsia" w:eastAsiaTheme="minorEastAsia" w:cstheme="minorEastAsia"/>
          <w:color w:val="auto"/>
          <w:sz w:val="24"/>
          <w:szCs w:val="24"/>
          <w:highlight w:val="none"/>
        </w:rPr>
        <w:t>。</w:t>
      </w:r>
    </w:p>
    <w:p w14:paraId="2A922003">
      <w:pPr>
        <w:pageBreakBefore w:val="0"/>
        <w:widowControl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1.3预算金额：</w:t>
      </w:r>
      <w:r>
        <w:rPr>
          <w:rFonts w:hint="eastAsia" w:asciiTheme="minorEastAsia" w:hAnsiTheme="minorEastAsia" w:eastAsiaTheme="minorEastAsia" w:cstheme="minorEastAsia"/>
          <w:color w:val="auto"/>
          <w:sz w:val="24"/>
          <w:szCs w:val="24"/>
          <w:highlight w:val="none"/>
          <w:lang w:val="en-US" w:eastAsia="zh-CN"/>
        </w:rPr>
        <w:t>1545000.00元/年。</w:t>
      </w:r>
    </w:p>
    <w:p w14:paraId="249D611E">
      <w:pPr>
        <w:pageBreakBefore w:val="0"/>
        <w:widowControl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1.4最高</w:t>
      </w:r>
      <w:r>
        <w:rPr>
          <w:rFonts w:hint="eastAsia" w:asciiTheme="minorEastAsia" w:hAnsiTheme="minorEastAsia" w:eastAsiaTheme="minorEastAsia" w:cstheme="minorEastAsia"/>
          <w:color w:val="auto"/>
          <w:sz w:val="24"/>
          <w:szCs w:val="24"/>
          <w:highlight w:val="none"/>
          <w:lang w:eastAsia="zh-CN"/>
        </w:rPr>
        <w:t>单价</w:t>
      </w:r>
      <w:r>
        <w:rPr>
          <w:rFonts w:hint="eastAsia" w:asciiTheme="minorEastAsia" w:hAnsiTheme="minorEastAsia" w:eastAsiaTheme="minorEastAsia" w:cstheme="minorEastAsia"/>
          <w:color w:val="auto"/>
          <w:sz w:val="24"/>
          <w:szCs w:val="24"/>
          <w:highlight w:val="none"/>
        </w:rPr>
        <w:t>限价：男性职工：</w:t>
      </w:r>
      <w:r>
        <w:rPr>
          <w:rFonts w:hint="eastAsia" w:asciiTheme="minorEastAsia" w:hAnsiTheme="minorEastAsia" w:eastAsiaTheme="minorEastAsia" w:cstheme="minorEastAsia"/>
          <w:color w:val="auto"/>
          <w:sz w:val="24"/>
          <w:szCs w:val="24"/>
          <w:highlight w:val="none"/>
          <w:lang w:val="en-US" w:eastAsia="zh-CN"/>
        </w:rPr>
        <w:t>740</w:t>
      </w:r>
      <w:r>
        <w:rPr>
          <w:rFonts w:hint="eastAsia" w:asciiTheme="minorEastAsia" w:hAnsiTheme="minorEastAsia" w:eastAsiaTheme="minorEastAsia" w:cstheme="minorEastAsia"/>
          <w:color w:val="auto"/>
          <w:sz w:val="24"/>
          <w:szCs w:val="24"/>
          <w:highlight w:val="none"/>
        </w:rPr>
        <w:t>元/人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已婚女职工：</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00元/人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未婚女职工：</w:t>
      </w:r>
      <w:r>
        <w:rPr>
          <w:rFonts w:hint="eastAsia" w:asciiTheme="minorEastAsia" w:hAnsiTheme="minorEastAsia" w:eastAsiaTheme="minorEastAsia" w:cstheme="minorEastAsia"/>
          <w:color w:val="auto"/>
          <w:sz w:val="24"/>
          <w:szCs w:val="24"/>
          <w:highlight w:val="none"/>
          <w:lang w:val="en-US" w:eastAsia="zh-CN"/>
        </w:rPr>
        <w:t>740</w:t>
      </w:r>
      <w:r>
        <w:rPr>
          <w:rFonts w:hint="eastAsia" w:asciiTheme="minorEastAsia" w:hAnsiTheme="minorEastAsia" w:eastAsiaTheme="minorEastAsia" w:cstheme="minorEastAsia"/>
          <w:color w:val="auto"/>
          <w:sz w:val="24"/>
          <w:szCs w:val="24"/>
          <w:highlight w:val="none"/>
        </w:rPr>
        <w:t>元/人。投标人的投标单价报价不得高于最高</w:t>
      </w:r>
      <w:r>
        <w:rPr>
          <w:rFonts w:hint="eastAsia" w:asciiTheme="minorEastAsia" w:hAnsiTheme="minorEastAsia" w:eastAsiaTheme="minorEastAsia" w:cstheme="minorEastAsia"/>
          <w:color w:val="auto"/>
          <w:sz w:val="24"/>
          <w:szCs w:val="24"/>
          <w:highlight w:val="none"/>
          <w:lang w:eastAsia="zh-CN"/>
        </w:rPr>
        <w:t>单价</w:t>
      </w:r>
      <w:r>
        <w:rPr>
          <w:rFonts w:hint="eastAsia" w:asciiTheme="minorEastAsia" w:hAnsiTheme="minorEastAsia" w:eastAsiaTheme="minorEastAsia" w:cstheme="minorEastAsia"/>
          <w:color w:val="auto"/>
          <w:sz w:val="24"/>
          <w:szCs w:val="24"/>
          <w:highlight w:val="none"/>
        </w:rPr>
        <w:t>限价，否则按否决投标处理</w:t>
      </w:r>
      <w:r>
        <w:rPr>
          <w:rFonts w:hint="eastAsia" w:asciiTheme="minorEastAsia" w:hAnsiTheme="minorEastAsia" w:eastAsiaTheme="minorEastAsia" w:cstheme="minorEastAsia"/>
          <w:color w:val="auto"/>
          <w:sz w:val="24"/>
          <w:szCs w:val="24"/>
          <w:highlight w:val="none"/>
          <w:lang w:val="en-US" w:eastAsia="zh-CN"/>
        </w:rPr>
        <w:t>。</w:t>
      </w:r>
    </w:p>
    <w:p w14:paraId="10EC7BCA">
      <w:pPr>
        <w:pageBreakBefore w:val="0"/>
        <w:widowControl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1.5采购内容：</w:t>
      </w:r>
      <w:r>
        <w:rPr>
          <w:rFonts w:hint="eastAsia" w:ascii="宋体" w:hAnsi="宋体" w:cs="仿宋_GB2312"/>
          <w:color w:val="auto"/>
          <w:kern w:val="0"/>
          <w:sz w:val="24"/>
          <w:highlight w:val="none"/>
        </w:rPr>
        <w:t>西南林业大学工会2025至2027年教职工健康体检服务一采三年</w:t>
      </w:r>
      <w:r>
        <w:rPr>
          <w:rFonts w:hint="eastAsia" w:ascii="宋体" w:hAnsi="宋体" w:cs="仿宋_GB2312"/>
          <w:color w:val="auto"/>
          <w:kern w:val="0"/>
          <w:sz w:val="24"/>
          <w:highlight w:val="none"/>
          <w:lang w:eastAsia="zh-CN"/>
        </w:rPr>
        <w:t>，合同一年一签</w:t>
      </w:r>
      <w:r>
        <w:rPr>
          <w:rFonts w:hint="eastAsia" w:ascii="宋体" w:hAnsi="宋体" w:cs="仿宋_GB2312"/>
          <w:kern w:val="0"/>
          <w:sz w:val="24"/>
          <w:highlight w:val="none"/>
          <w:lang w:eastAsia="zh-CN"/>
        </w:rPr>
        <w:t>。</w:t>
      </w:r>
      <w:r>
        <w:rPr>
          <w:rFonts w:hint="eastAsia" w:asciiTheme="minorEastAsia" w:hAnsiTheme="minorEastAsia" w:eastAsiaTheme="minorEastAsia" w:cstheme="minorEastAsia"/>
          <w:color w:val="auto"/>
          <w:sz w:val="24"/>
          <w:szCs w:val="24"/>
          <w:highlight w:val="none"/>
          <w:lang w:eastAsia="zh-CN"/>
        </w:rPr>
        <w:t>体检分为男性职工、已婚女职工及未婚女职工健康检查项目。3种套餐检查内容分别如下：</w:t>
      </w:r>
    </w:p>
    <w:tbl>
      <w:tblPr>
        <w:tblStyle w:val="44"/>
        <w:tblW w:w="8974" w:type="dxa"/>
        <w:jc w:val="center"/>
        <w:tblLayout w:type="fixed"/>
        <w:tblCellMar>
          <w:top w:w="0" w:type="dxa"/>
          <w:left w:w="108" w:type="dxa"/>
          <w:bottom w:w="0" w:type="dxa"/>
          <w:right w:w="108" w:type="dxa"/>
        </w:tblCellMar>
      </w:tblPr>
      <w:tblGrid>
        <w:gridCol w:w="1069"/>
        <w:gridCol w:w="2900"/>
        <w:gridCol w:w="2835"/>
        <w:gridCol w:w="430"/>
        <w:gridCol w:w="855"/>
        <w:gridCol w:w="885"/>
      </w:tblGrid>
      <w:tr w14:paraId="64BA5854">
        <w:tblPrEx>
          <w:tblCellMar>
            <w:top w:w="0" w:type="dxa"/>
            <w:left w:w="108" w:type="dxa"/>
            <w:bottom w:w="0" w:type="dxa"/>
            <w:right w:w="108" w:type="dxa"/>
          </w:tblCellMar>
        </w:tblPrEx>
        <w:trPr>
          <w:trHeight w:val="402" w:hRule="atLeast"/>
          <w:jc w:val="center"/>
        </w:trPr>
        <w:tc>
          <w:tcPr>
            <w:tcW w:w="8974" w:type="dxa"/>
            <w:gridSpan w:val="6"/>
            <w:tcBorders>
              <w:top w:val="nil"/>
              <w:left w:val="nil"/>
              <w:bottom w:val="nil"/>
              <w:right w:val="nil"/>
            </w:tcBorders>
            <w:shd w:val="clear" w:color="auto" w:fill="auto"/>
            <w:vAlign w:val="center"/>
          </w:tcPr>
          <w:p w14:paraId="20D9EE4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4"/>
                <w:szCs w:val="24"/>
              </w:rPr>
              <w:t>体检套餐</w:t>
            </w:r>
          </w:p>
        </w:tc>
      </w:tr>
      <w:tr w14:paraId="4861413E">
        <w:tblPrEx>
          <w:tblCellMar>
            <w:top w:w="0" w:type="dxa"/>
            <w:left w:w="108" w:type="dxa"/>
            <w:bottom w:w="0" w:type="dxa"/>
            <w:right w:w="108" w:type="dxa"/>
          </w:tblCellMar>
        </w:tblPrEx>
        <w:trPr>
          <w:trHeight w:val="283" w:hRule="atLeast"/>
          <w:jc w:val="center"/>
        </w:trPr>
        <w:tc>
          <w:tcPr>
            <w:tcW w:w="1069" w:type="dxa"/>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460EA02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项目名称</w:t>
            </w:r>
          </w:p>
        </w:tc>
        <w:tc>
          <w:tcPr>
            <w:tcW w:w="2900" w:type="dxa"/>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1F43F1E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项目内容</w:t>
            </w:r>
          </w:p>
        </w:tc>
        <w:tc>
          <w:tcPr>
            <w:tcW w:w="2835" w:type="dxa"/>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4376D28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意义</w:t>
            </w:r>
          </w:p>
        </w:tc>
        <w:tc>
          <w:tcPr>
            <w:tcW w:w="2170" w:type="dxa"/>
            <w:gridSpan w:val="3"/>
            <w:tcBorders>
              <w:top w:val="single" w:color="auto" w:sz="4" w:space="0"/>
              <w:left w:val="nil"/>
              <w:bottom w:val="single" w:color="auto" w:sz="4" w:space="0"/>
              <w:right w:val="single" w:color="000000" w:sz="4" w:space="0"/>
            </w:tcBorders>
            <w:shd w:val="clear" w:color="000000" w:fill="FFFFFF"/>
            <w:noWrap/>
            <w:vAlign w:val="center"/>
          </w:tcPr>
          <w:p w14:paraId="0ED64D6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rPr>
              <w:t>是否</w:t>
            </w:r>
            <w:r>
              <w:rPr>
                <w:rFonts w:hint="eastAsia" w:ascii="宋体" w:hAnsi="宋体" w:cs="宋体"/>
                <w:b/>
                <w:bCs/>
                <w:kern w:val="0"/>
                <w:sz w:val="21"/>
                <w:szCs w:val="21"/>
                <w:lang w:eastAsia="zh-CN"/>
              </w:rPr>
              <w:t>为体检项（√</w:t>
            </w:r>
            <w:r>
              <w:rPr>
                <w:rFonts w:hint="eastAsia" w:ascii="宋体" w:hAnsi="宋体" w:cs="宋体"/>
                <w:b/>
                <w:bCs/>
                <w:kern w:val="0"/>
                <w:sz w:val="21"/>
                <w:szCs w:val="21"/>
                <w:lang w:val="en-US" w:eastAsia="zh-CN"/>
              </w:rPr>
              <w:t>为检测项，</w:t>
            </w:r>
            <w:r>
              <w:rPr>
                <w:rFonts w:hint="eastAsia" w:ascii="宋体" w:hAnsi="宋体" w:eastAsia="宋体" w:cs="宋体"/>
                <w:b/>
                <w:bCs/>
                <w:kern w:val="0"/>
                <w:sz w:val="21"/>
                <w:szCs w:val="21"/>
              </w:rPr>
              <w:t>/</w:t>
            </w:r>
            <w:r>
              <w:rPr>
                <w:rFonts w:hint="eastAsia" w:ascii="宋体" w:hAnsi="宋体" w:cs="宋体"/>
                <w:b/>
                <w:bCs/>
                <w:kern w:val="0"/>
                <w:sz w:val="21"/>
                <w:szCs w:val="21"/>
                <w:lang w:val="en-US" w:eastAsia="zh-CN"/>
              </w:rPr>
              <w:t>为非检测项)</w:t>
            </w:r>
          </w:p>
        </w:tc>
      </w:tr>
      <w:tr w14:paraId="4164AA42">
        <w:tblPrEx>
          <w:tblCellMar>
            <w:top w:w="0" w:type="dxa"/>
            <w:left w:w="108" w:type="dxa"/>
            <w:bottom w:w="0" w:type="dxa"/>
            <w:right w:w="108" w:type="dxa"/>
          </w:tblCellMar>
        </w:tblPrEx>
        <w:trPr>
          <w:trHeight w:val="283" w:hRule="atLeast"/>
          <w:jc w:val="center"/>
        </w:trPr>
        <w:tc>
          <w:tcPr>
            <w:tcW w:w="1069" w:type="dxa"/>
            <w:vMerge w:val="continue"/>
            <w:tcBorders>
              <w:top w:val="single" w:color="auto" w:sz="4" w:space="0"/>
              <w:left w:val="single" w:color="auto" w:sz="4" w:space="0"/>
              <w:bottom w:val="single" w:color="000000" w:sz="4" w:space="0"/>
              <w:right w:val="single" w:color="auto" w:sz="4" w:space="0"/>
            </w:tcBorders>
            <w:vAlign w:val="center"/>
          </w:tcPr>
          <w:p w14:paraId="685A350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1"/>
                <w:szCs w:val="21"/>
              </w:rPr>
            </w:pPr>
          </w:p>
        </w:tc>
        <w:tc>
          <w:tcPr>
            <w:tcW w:w="2900" w:type="dxa"/>
            <w:vMerge w:val="continue"/>
            <w:tcBorders>
              <w:top w:val="single" w:color="auto" w:sz="4" w:space="0"/>
              <w:left w:val="single" w:color="auto" w:sz="4" w:space="0"/>
              <w:bottom w:val="single" w:color="000000" w:sz="4" w:space="0"/>
              <w:right w:val="single" w:color="auto" w:sz="4" w:space="0"/>
            </w:tcBorders>
            <w:vAlign w:val="center"/>
          </w:tcPr>
          <w:p w14:paraId="21ADA2E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1"/>
                <w:szCs w:val="21"/>
              </w:rPr>
            </w:pPr>
          </w:p>
        </w:tc>
        <w:tc>
          <w:tcPr>
            <w:tcW w:w="2835" w:type="dxa"/>
            <w:vMerge w:val="continue"/>
            <w:tcBorders>
              <w:top w:val="single" w:color="auto" w:sz="4" w:space="0"/>
              <w:left w:val="single" w:color="auto" w:sz="4" w:space="0"/>
              <w:bottom w:val="single" w:color="000000" w:sz="4" w:space="0"/>
              <w:right w:val="single" w:color="auto" w:sz="4" w:space="0"/>
            </w:tcBorders>
            <w:vAlign w:val="center"/>
          </w:tcPr>
          <w:p w14:paraId="792CECB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1"/>
                <w:szCs w:val="21"/>
              </w:rPr>
            </w:pPr>
          </w:p>
        </w:tc>
        <w:tc>
          <w:tcPr>
            <w:tcW w:w="430" w:type="dxa"/>
            <w:tcBorders>
              <w:top w:val="nil"/>
              <w:left w:val="nil"/>
              <w:bottom w:val="single" w:color="auto" w:sz="4" w:space="0"/>
              <w:right w:val="single" w:color="auto" w:sz="4" w:space="0"/>
            </w:tcBorders>
            <w:shd w:val="clear" w:color="000000" w:fill="FFFFFF"/>
            <w:vAlign w:val="center"/>
          </w:tcPr>
          <w:p w14:paraId="456F4BD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男</w:t>
            </w:r>
          </w:p>
        </w:tc>
        <w:tc>
          <w:tcPr>
            <w:tcW w:w="855" w:type="dxa"/>
            <w:tcBorders>
              <w:top w:val="nil"/>
              <w:left w:val="nil"/>
              <w:bottom w:val="single" w:color="auto" w:sz="4" w:space="0"/>
              <w:right w:val="single" w:color="auto" w:sz="4" w:space="0"/>
            </w:tcBorders>
            <w:shd w:val="clear" w:color="000000" w:fill="FFFFFF"/>
            <w:vAlign w:val="center"/>
          </w:tcPr>
          <w:p w14:paraId="2522792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已婚女</w:t>
            </w:r>
          </w:p>
        </w:tc>
        <w:tc>
          <w:tcPr>
            <w:tcW w:w="885" w:type="dxa"/>
            <w:tcBorders>
              <w:top w:val="nil"/>
              <w:left w:val="nil"/>
              <w:bottom w:val="single" w:color="auto" w:sz="4" w:space="0"/>
              <w:right w:val="single" w:color="auto" w:sz="4" w:space="0"/>
            </w:tcBorders>
            <w:shd w:val="clear" w:color="000000" w:fill="FFFFFF"/>
            <w:vAlign w:val="center"/>
          </w:tcPr>
          <w:p w14:paraId="3BE381F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未婚女</w:t>
            </w:r>
          </w:p>
        </w:tc>
      </w:tr>
      <w:tr w14:paraId="5292A20D">
        <w:tblPrEx>
          <w:tblCellMar>
            <w:top w:w="0" w:type="dxa"/>
            <w:left w:w="108" w:type="dxa"/>
            <w:bottom w:w="0" w:type="dxa"/>
            <w:right w:w="108" w:type="dxa"/>
          </w:tblCellMar>
        </w:tblPrEx>
        <w:trPr>
          <w:trHeight w:val="90"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75AEC51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一般情况</w:t>
            </w:r>
          </w:p>
        </w:tc>
        <w:tc>
          <w:tcPr>
            <w:tcW w:w="2900" w:type="dxa"/>
            <w:tcBorders>
              <w:top w:val="nil"/>
              <w:left w:val="nil"/>
              <w:bottom w:val="single" w:color="auto" w:sz="4" w:space="0"/>
              <w:right w:val="single" w:color="auto" w:sz="4" w:space="0"/>
            </w:tcBorders>
            <w:shd w:val="clear" w:color="000000" w:fill="FFFFFF"/>
            <w:vAlign w:val="center"/>
          </w:tcPr>
          <w:p w14:paraId="18638F9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身高、体重、体重指数、血压</w:t>
            </w:r>
          </w:p>
        </w:tc>
        <w:tc>
          <w:tcPr>
            <w:tcW w:w="2835" w:type="dxa"/>
            <w:tcBorders>
              <w:top w:val="nil"/>
              <w:left w:val="nil"/>
              <w:bottom w:val="single" w:color="auto" w:sz="4" w:space="0"/>
              <w:right w:val="single" w:color="auto" w:sz="4" w:space="0"/>
            </w:tcBorders>
            <w:shd w:val="clear" w:color="000000" w:fill="FFFFFF"/>
            <w:vAlign w:val="center"/>
          </w:tcPr>
          <w:p w14:paraId="6C33E2A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测量身高、体重、血压，了解身体的基本信息；计算体重指数，判断是否超重、肥胖、消瘦。</w:t>
            </w:r>
          </w:p>
        </w:tc>
        <w:tc>
          <w:tcPr>
            <w:tcW w:w="430" w:type="dxa"/>
            <w:tcBorders>
              <w:top w:val="nil"/>
              <w:left w:val="nil"/>
              <w:bottom w:val="single" w:color="auto" w:sz="4" w:space="0"/>
              <w:right w:val="single" w:color="auto" w:sz="4" w:space="0"/>
            </w:tcBorders>
            <w:shd w:val="clear" w:color="000000" w:fill="FFFFFF"/>
            <w:vAlign w:val="center"/>
          </w:tcPr>
          <w:p w14:paraId="73CF4D52">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w:t>
            </w:r>
          </w:p>
        </w:tc>
        <w:tc>
          <w:tcPr>
            <w:tcW w:w="855" w:type="dxa"/>
            <w:tcBorders>
              <w:top w:val="nil"/>
              <w:left w:val="nil"/>
              <w:bottom w:val="single" w:color="auto" w:sz="4" w:space="0"/>
              <w:right w:val="single" w:color="auto" w:sz="4" w:space="0"/>
            </w:tcBorders>
            <w:shd w:val="clear" w:color="000000" w:fill="FFFFFF"/>
            <w:vAlign w:val="center"/>
          </w:tcPr>
          <w:p w14:paraId="20329823">
            <w:pPr>
              <w:keepNext w:val="0"/>
              <w:keepLines w:val="0"/>
              <w:pageBreakBefore w:val="0"/>
              <w:kinsoku/>
              <w:wordWrap/>
              <w:overflowPunct/>
              <w:topLinePunct w:val="0"/>
              <w:autoSpaceDE/>
              <w:autoSpaceDN/>
              <w:bidi w:val="0"/>
              <w:adjustRightInd/>
              <w:snapToGrid/>
              <w:spacing w:line="400" w:lineRule="exact"/>
              <w:ind w:firstLine="105" w:firstLineChars="5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rPr>
              <w:t>√</w:t>
            </w:r>
          </w:p>
        </w:tc>
        <w:tc>
          <w:tcPr>
            <w:tcW w:w="885" w:type="dxa"/>
            <w:tcBorders>
              <w:top w:val="nil"/>
              <w:left w:val="nil"/>
              <w:bottom w:val="single" w:color="auto" w:sz="4" w:space="0"/>
              <w:right w:val="single" w:color="auto" w:sz="4" w:space="0"/>
            </w:tcBorders>
            <w:shd w:val="clear" w:color="000000" w:fill="FFFFFF"/>
            <w:vAlign w:val="center"/>
          </w:tcPr>
          <w:p w14:paraId="0B6DB8F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rPr>
              <w:t>√</w:t>
            </w:r>
          </w:p>
        </w:tc>
      </w:tr>
      <w:tr w14:paraId="147D6F7E">
        <w:tblPrEx>
          <w:tblCellMar>
            <w:top w:w="0" w:type="dxa"/>
            <w:left w:w="108" w:type="dxa"/>
            <w:bottom w:w="0" w:type="dxa"/>
            <w:right w:w="108" w:type="dxa"/>
          </w:tblCellMar>
        </w:tblPrEx>
        <w:trPr>
          <w:trHeight w:val="436" w:hRule="atLeast"/>
          <w:jc w:val="center"/>
        </w:trPr>
        <w:tc>
          <w:tcPr>
            <w:tcW w:w="3969" w:type="dxa"/>
            <w:gridSpan w:val="2"/>
            <w:tcBorders>
              <w:top w:val="single" w:color="auto" w:sz="4" w:space="0"/>
              <w:left w:val="single" w:color="auto" w:sz="4" w:space="0"/>
              <w:bottom w:val="single" w:color="auto" w:sz="4" w:space="0"/>
              <w:right w:val="single" w:color="000000" w:sz="4" w:space="0"/>
            </w:tcBorders>
            <w:shd w:val="clear" w:color="000000" w:fill="FFFFFF"/>
            <w:noWrap/>
            <w:vAlign w:val="center"/>
          </w:tcPr>
          <w:p w14:paraId="4E8EF94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一次性采血针、采血费</w:t>
            </w:r>
          </w:p>
        </w:tc>
        <w:tc>
          <w:tcPr>
            <w:tcW w:w="2835" w:type="dxa"/>
            <w:tcBorders>
              <w:top w:val="nil"/>
              <w:left w:val="nil"/>
              <w:bottom w:val="single" w:color="auto" w:sz="4" w:space="0"/>
              <w:right w:val="single" w:color="auto" w:sz="4" w:space="0"/>
            </w:tcBorders>
            <w:shd w:val="clear" w:color="000000" w:fill="FFFFFF"/>
            <w:vAlign w:val="center"/>
          </w:tcPr>
          <w:p w14:paraId="6B111B6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安全、方便、无菌、无交叉感染。</w:t>
            </w:r>
          </w:p>
        </w:tc>
        <w:tc>
          <w:tcPr>
            <w:tcW w:w="430" w:type="dxa"/>
            <w:tcBorders>
              <w:top w:val="nil"/>
              <w:left w:val="nil"/>
              <w:bottom w:val="single" w:color="auto" w:sz="4" w:space="0"/>
              <w:right w:val="single" w:color="auto" w:sz="4" w:space="0"/>
            </w:tcBorders>
            <w:shd w:val="clear" w:color="000000" w:fill="FFFFFF"/>
            <w:vAlign w:val="center"/>
          </w:tcPr>
          <w:p w14:paraId="2D3654DC">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c>
          <w:tcPr>
            <w:tcW w:w="855" w:type="dxa"/>
            <w:tcBorders>
              <w:top w:val="nil"/>
              <w:left w:val="nil"/>
              <w:bottom w:val="single" w:color="auto" w:sz="4" w:space="0"/>
              <w:right w:val="single" w:color="auto" w:sz="4" w:space="0"/>
            </w:tcBorders>
            <w:shd w:val="clear" w:color="000000" w:fill="FFFFFF"/>
            <w:vAlign w:val="center"/>
          </w:tcPr>
          <w:p w14:paraId="1954FA02">
            <w:pPr>
              <w:keepNext w:val="0"/>
              <w:keepLines w:val="0"/>
              <w:pageBreakBefore w:val="0"/>
              <w:kinsoku/>
              <w:wordWrap/>
              <w:overflowPunct/>
              <w:topLinePunct w:val="0"/>
              <w:autoSpaceDE/>
              <w:autoSpaceDN/>
              <w:bidi w:val="0"/>
              <w:adjustRightInd/>
              <w:snapToGrid/>
              <w:spacing w:line="400" w:lineRule="exact"/>
              <w:ind w:firstLine="105" w:firstLineChars="50"/>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85" w:type="dxa"/>
            <w:tcBorders>
              <w:top w:val="nil"/>
              <w:left w:val="nil"/>
              <w:bottom w:val="single" w:color="auto" w:sz="4" w:space="0"/>
              <w:right w:val="single" w:color="auto" w:sz="4" w:space="0"/>
            </w:tcBorders>
            <w:shd w:val="clear" w:color="000000" w:fill="FFFFFF"/>
            <w:vAlign w:val="center"/>
          </w:tcPr>
          <w:p w14:paraId="7DB73D3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r>
      <w:tr w14:paraId="64CE917A">
        <w:tblPrEx>
          <w:tblCellMar>
            <w:top w:w="0" w:type="dxa"/>
            <w:left w:w="108" w:type="dxa"/>
            <w:bottom w:w="0" w:type="dxa"/>
            <w:right w:w="108" w:type="dxa"/>
          </w:tblCellMar>
        </w:tblPrEx>
        <w:trPr>
          <w:trHeight w:val="317" w:hRule="atLeast"/>
          <w:jc w:val="center"/>
        </w:trPr>
        <w:tc>
          <w:tcPr>
            <w:tcW w:w="3969" w:type="dxa"/>
            <w:gridSpan w:val="2"/>
            <w:tcBorders>
              <w:top w:val="single" w:color="auto" w:sz="4" w:space="0"/>
              <w:left w:val="single" w:color="auto" w:sz="4" w:space="0"/>
              <w:bottom w:val="single" w:color="auto" w:sz="4" w:space="0"/>
              <w:right w:val="single" w:color="000000" w:sz="4" w:space="0"/>
            </w:tcBorders>
            <w:shd w:val="clear" w:color="000000" w:fill="FFFFFF"/>
            <w:vAlign w:val="center"/>
          </w:tcPr>
          <w:p w14:paraId="129A477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一次性负压真空采血黄头管</w:t>
            </w:r>
          </w:p>
        </w:tc>
        <w:tc>
          <w:tcPr>
            <w:tcW w:w="2835" w:type="dxa"/>
            <w:tcBorders>
              <w:top w:val="nil"/>
              <w:left w:val="nil"/>
              <w:bottom w:val="single" w:color="auto" w:sz="4" w:space="0"/>
              <w:right w:val="single" w:color="auto" w:sz="4" w:space="0"/>
            </w:tcBorders>
            <w:shd w:val="clear" w:color="000000" w:fill="FFFFFF"/>
            <w:vAlign w:val="center"/>
          </w:tcPr>
          <w:p w14:paraId="27A35F0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eastAsia="zh-CN"/>
              </w:rPr>
              <w:t>安全、无菌、无交叉感染、符合体检质量要求</w:t>
            </w:r>
          </w:p>
        </w:tc>
        <w:tc>
          <w:tcPr>
            <w:tcW w:w="430" w:type="dxa"/>
            <w:tcBorders>
              <w:top w:val="nil"/>
              <w:left w:val="nil"/>
              <w:bottom w:val="single" w:color="auto" w:sz="4" w:space="0"/>
              <w:right w:val="single" w:color="auto" w:sz="4" w:space="0"/>
            </w:tcBorders>
            <w:shd w:val="clear" w:color="000000" w:fill="FFFFFF"/>
            <w:vAlign w:val="center"/>
          </w:tcPr>
          <w:p w14:paraId="506B18A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55" w:type="dxa"/>
            <w:tcBorders>
              <w:top w:val="nil"/>
              <w:left w:val="nil"/>
              <w:bottom w:val="single" w:color="auto" w:sz="4" w:space="0"/>
              <w:right w:val="single" w:color="auto" w:sz="4" w:space="0"/>
            </w:tcBorders>
            <w:shd w:val="clear" w:color="000000" w:fill="FFFFFF"/>
            <w:vAlign w:val="center"/>
          </w:tcPr>
          <w:p w14:paraId="2FCB9EE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85" w:type="dxa"/>
            <w:tcBorders>
              <w:top w:val="nil"/>
              <w:left w:val="nil"/>
              <w:bottom w:val="single" w:color="auto" w:sz="4" w:space="0"/>
              <w:right w:val="single" w:color="auto" w:sz="4" w:space="0"/>
            </w:tcBorders>
            <w:shd w:val="clear" w:color="000000" w:fill="FFFFFF"/>
            <w:vAlign w:val="center"/>
          </w:tcPr>
          <w:p w14:paraId="4A4EDE3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r>
      <w:tr w14:paraId="243C6E1A">
        <w:tblPrEx>
          <w:tblCellMar>
            <w:top w:w="0" w:type="dxa"/>
            <w:left w:w="108" w:type="dxa"/>
            <w:bottom w:w="0" w:type="dxa"/>
            <w:right w:w="108" w:type="dxa"/>
          </w:tblCellMar>
        </w:tblPrEx>
        <w:trPr>
          <w:trHeight w:val="357" w:hRule="atLeast"/>
          <w:jc w:val="center"/>
        </w:trPr>
        <w:tc>
          <w:tcPr>
            <w:tcW w:w="3969" w:type="dxa"/>
            <w:gridSpan w:val="2"/>
            <w:tcBorders>
              <w:top w:val="single" w:color="auto" w:sz="4" w:space="0"/>
              <w:left w:val="single" w:color="auto" w:sz="4" w:space="0"/>
              <w:bottom w:val="single" w:color="auto" w:sz="4" w:space="0"/>
              <w:right w:val="single" w:color="000000" w:sz="4" w:space="0"/>
            </w:tcBorders>
            <w:shd w:val="clear" w:color="000000" w:fill="FFFFFF"/>
            <w:vAlign w:val="center"/>
          </w:tcPr>
          <w:p w14:paraId="13BC3B1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一次性负压真空采血紫头管</w:t>
            </w:r>
          </w:p>
        </w:tc>
        <w:tc>
          <w:tcPr>
            <w:tcW w:w="2835" w:type="dxa"/>
            <w:tcBorders>
              <w:top w:val="nil"/>
              <w:left w:val="nil"/>
              <w:bottom w:val="single" w:color="auto" w:sz="4" w:space="0"/>
              <w:right w:val="single" w:color="auto" w:sz="4" w:space="0"/>
            </w:tcBorders>
            <w:shd w:val="clear" w:color="000000" w:fill="FFFFFF"/>
            <w:vAlign w:val="center"/>
          </w:tcPr>
          <w:p w14:paraId="2E902E2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cs="宋体"/>
                <w:kern w:val="0"/>
                <w:sz w:val="21"/>
                <w:szCs w:val="21"/>
                <w:highlight w:val="none"/>
                <w:lang w:eastAsia="zh-CN"/>
              </w:rPr>
              <w:t>安全、无菌、无交叉感染、符合体检质量要求</w:t>
            </w:r>
          </w:p>
        </w:tc>
        <w:tc>
          <w:tcPr>
            <w:tcW w:w="430" w:type="dxa"/>
            <w:tcBorders>
              <w:top w:val="nil"/>
              <w:left w:val="nil"/>
              <w:bottom w:val="single" w:color="auto" w:sz="4" w:space="0"/>
              <w:right w:val="single" w:color="auto" w:sz="4" w:space="0"/>
            </w:tcBorders>
            <w:shd w:val="clear" w:color="000000" w:fill="FFFFFF"/>
            <w:vAlign w:val="center"/>
          </w:tcPr>
          <w:p w14:paraId="0B4C994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55" w:type="dxa"/>
            <w:tcBorders>
              <w:top w:val="nil"/>
              <w:left w:val="nil"/>
              <w:bottom w:val="single" w:color="auto" w:sz="4" w:space="0"/>
              <w:right w:val="single" w:color="auto" w:sz="4" w:space="0"/>
            </w:tcBorders>
            <w:shd w:val="clear" w:color="000000" w:fill="FFFFFF"/>
            <w:vAlign w:val="center"/>
          </w:tcPr>
          <w:p w14:paraId="243CC08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85" w:type="dxa"/>
            <w:tcBorders>
              <w:top w:val="nil"/>
              <w:left w:val="nil"/>
              <w:bottom w:val="single" w:color="auto" w:sz="4" w:space="0"/>
              <w:right w:val="single" w:color="auto" w:sz="4" w:space="0"/>
            </w:tcBorders>
            <w:shd w:val="clear" w:color="000000" w:fill="FFFFFF"/>
            <w:vAlign w:val="center"/>
          </w:tcPr>
          <w:p w14:paraId="57F1F51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r>
      <w:tr w14:paraId="6864E68A">
        <w:tblPrEx>
          <w:tblCellMar>
            <w:top w:w="0" w:type="dxa"/>
            <w:left w:w="108" w:type="dxa"/>
            <w:bottom w:w="0" w:type="dxa"/>
            <w:right w:w="108" w:type="dxa"/>
          </w:tblCellMar>
        </w:tblPrEx>
        <w:trPr>
          <w:trHeight w:val="357" w:hRule="atLeast"/>
          <w:jc w:val="center"/>
        </w:trPr>
        <w:tc>
          <w:tcPr>
            <w:tcW w:w="3969" w:type="dxa"/>
            <w:gridSpan w:val="2"/>
            <w:tcBorders>
              <w:top w:val="single" w:color="auto" w:sz="4" w:space="0"/>
              <w:left w:val="single" w:color="auto" w:sz="4" w:space="0"/>
              <w:bottom w:val="single" w:color="auto" w:sz="4" w:space="0"/>
              <w:right w:val="single" w:color="000000" w:sz="4" w:space="0"/>
            </w:tcBorders>
            <w:shd w:val="clear" w:color="000000" w:fill="FFFFFF"/>
            <w:vAlign w:val="center"/>
          </w:tcPr>
          <w:p w14:paraId="75EA7D4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一次性负压真空采血绿头管</w:t>
            </w:r>
          </w:p>
        </w:tc>
        <w:tc>
          <w:tcPr>
            <w:tcW w:w="2835" w:type="dxa"/>
            <w:tcBorders>
              <w:top w:val="nil"/>
              <w:left w:val="nil"/>
              <w:bottom w:val="single" w:color="auto" w:sz="4" w:space="0"/>
              <w:right w:val="single" w:color="auto" w:sz="4" w:space="0"/>
            </w:tcBorders>
            <w:shd w:val="clear" w:color="000000" w:fill="FFFFFF"/>
            <w:vAlign w:val="center"/>
          </w:tcPr>
          <w:p w14:paraId="10CDF9F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cs="宋体"/>
                <w:kern w:val="0"/>
                <w:sz w:val="21"/>
                <w:szCs w:val="21"/>
                <w:highlight w:val="none"/>
                <w:lang w:eastAsia="zh-CN"/>
              </w:rPr>
              <w:t>安全、无菌、无交叉感染、符合体检质量要求</w:t>
            </w:r>
          </w:p>
        </w:tc>
        <w:tc>
          <w:tcPr>
            <w:tcW w:w="430" w:type="dxa"/>
            <w:tcBorders>
              <w:top w:val="nil"/>
              <w:left w:val="nil"/>
              <w:bottom w:val="single" w:color="auto" w:sz="4" w:space="0"/>
              <w:right w:val="single" w:color="auto" w:sz="4" w:space="0"/>
            </w:tcBorders>
            <w:shd w:val="clear" w:color="000000" w:fill="FFFFFF"/>
            <w:vAlign w:val="center"/>
          </w:tcPr>
          <w:p w14:paraId="1E6313E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55" w:type="dxa"/>
            <w:tcBorders>
              <w:top w:val="nil"/>
              <w:left w:val="nil"/>
              <w:bottom w:val="single" w:color="auto" w:sz="4" w:space="0"/>
              <w:right w:val="single" w:color="auto" w:sz="4" w:space="0"/>
            </w:tcBorders>
            <w:shd w:val="clear" w:color="000000" w:fill="FFFFFF"/>
            <w:vAlign w:val="center"/>
          </w:tcPr>
          <w:p w14:paraId="3A6593E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85" w:type="dxa"/>
            <w:tcBorders>
              <w:top w:val="nil"/>
              <w:left w:val="nil"/>
              <w:bottom w:val="single" w:color="auto" w:sz="4" w:space="0"/>
              <w:right w:val="single" w:color="auto" w:sz="4" w:space="0"/>
            </w:tcBorders>
            <w:shd w:val="clear" w:color="000000" w:fill="FFFFFF"/>
            <w:vAlign w:val="center"/>
          </w:tcPr>
          <w:p w14:paraId="4B3D662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r>
      <w:tr w14:paraId="11564B52">
        <w:tblPrEx>
          <w:tblCellMar>
            <w:top w:w="0" w:type="dxa"/>
            <w:left w:w="108" w:type="dxa"/>
            <w:bottom w:w="0" w:type="dxa"/>
            <w:right w:w="108" w:type="dxa"/>
          </w:tblCellMar>
        </w:tblPrEx>
        <w:trPr>
          <w:trHeight w:val="283" w:hRule="atLeast"/>
          <w:jc w:val="center"/>
        </w:trPr>
        <w:tc>
          <w:tcPr>
            <w:tcW w:w="1069" w:type="dxa"/>
            <w:vMerge w:val="restart"/>
            <w:tcBorders>
              <w:top w:val="nil"/>
              <w:left w:val="single" w:color="auto" w:sz="4" w:space="0"/>
              <w:bottom w:val="single" w:color="auto" w:sz="4" w:space="0"/>
              <w:right w:val="single" w:color="auto" w:sz="4" w:space="0"/>
            </w:tcBorders>
            <w:shd w:val="clear" w:color="000000" w:fill="FFFFFF"/>
            <w:vAlign w:val="center"/>
          </w:tcPr>
          <w:p w14:paraId="100646C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血常规24项</w:t>
            </w:r>
          </w:p>
        </w:tc>
        <w:tc>
          <w:tcPr>
            <w:tcW w:w="2900" w:type="dxa"/>
            <w:tcBorders>
              <w:top w:val="nil"/>
              <w:left w:val="nil"/>
              <w:bottom w:val="single" w:color="auto" w:sz="4" w:space="0"/>
              <w:right w:val="single" w:color="auto" w:sz="4" w:space="0"/>
            </w:tcBorders>
            <w:shd w:val="clear" w:color="000000" w:fill="FFFFFF"/>
            <w:vAlign w:val="center"/>
          </w:tcPr>
          <w:p w14:paraId="6F3349D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白细胞数目（WBC）</w:t>
            </w:r>
          </w:p>
        </w:tc>
        <w:tc>
          <w:tcPr>
            <w:tcW w:w="2835" w:type="dxa"/>
            <w:vMerge w:val="restart"/>
            <w:tcBorders>
              <w:top w:val="nil"/>
              <w:left w:val="single" w:color="auto" w:sz="4" w:space="0"/>
              <w:bottom w:val="single" w:color="auto" w:sz="4" w:space="0"/>
              <w:right w:val="single" w:color="auto" w:sz="4" w:space="0"/>
            </w:tcBorders>
            <w:shd w:val="clear" w:color="000000" w:fill="FFFFFF"/>
            <w:vAlign w:val="center"/>
          </w:tcPr>
          <w:p w14:paraId="145D080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血液中有形成分分析，有无贫血、感染及白细胞减少、血小板减少及血液系统疾病。</w:t>
            </w:r>
          </w:p>
        </w:tc>
        <w:tc>
          <w:tcPr>
            <w:tcW w:w="430" w:type="dxa"/>
            <w:vMerge w:val="restart"/>
            <w:tcBorders>
              <w:top w:val="nil"/>
              <w:left w:val="single" w:color="auto" w:sz="4" w:space="0"/>
              <w:bottom w:val="single" w:color="auto" w:sz="4" w:space="0"/>
              <w:right w:val="single" w:color="auto" w:sz="4" w:space="0"/>
            </w:tcBorders>
            <w:shd w:val="clear" w:color="000000" w:fill="FFFFFF"/>
            <w:vAlign w:val="center"/>
          </w:tcPr>
          <w:p w14:paraId="166BC5B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55" w:type="dxa"/>
            <w:vMerge w:val="restart"/>
            <w:tcBorders>
              <w:top w:val="nil"/>
              <w:left w:val="single" w:color="auto" w:sz="4" w:space="0"/>
              <w:bottom w:val="single" w:color="auto" w:sz="4" w:space="0"/>
              <w:right w:val="single" w:color="auto" w:sz="4" w:space="0"/>
            </w:tcBorders>
            <w:shd w:val="clear" w:color="000000" w:fill="FFFFFF"/>
            <w:vAlign w:val="center"/>
          </w:tcPr>
          <w:p w14:paraId="1A6A7F3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85" w:type="dxa"/>
            <w:vMerge w:val="restart"/>
            <w:tcBorders>
              <w:top w:val="nil"/>
              <w:left w:val="single" w:color="auto" w:sz="4" w:space="0"/>
              <w:bottom w:val="single" w:color="auto" w:sz="4" w:space="0"/>
              <w:right w:val="single" w:color="auto" w:sz="4" w:space="0"/>
            </w:tcBorders>
            <w:shd w:val="clear" w:color="000000" w:fill="FFFFFF"/>
            <w:vAlign w:val="center"/>
          </w:tcPr>
          <w:p w14:paraId="12E45EE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r>
      <w:tr w14:paraId="5973DF07">
        <w:tblPrEx>
          <w:tblCellMar>
            <w:top w:w="0" w:type="dxa"/>
            <w:left w:w="108" w:type="dxa"/>
            <w:bottom w:w="0" w:type="dxa"/>
            <w:right w:w="108" w:type="dxa"/>
          </w:tblCellMar>
        </w:tblPrEx>
        <w:trPr>
          <w:trHeight w:val="3131"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08ED61F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6DC3999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中性细胞百分率（GRAN%）、中性细胞绝对值（GRAN）、淋巴细胞百分率（LYN%）、淋巴细胞绝对值（LYM）、红细胞计数（RBC）、血红蛋白量（HGB）、红细胞压积（HCT）、平均红细胞体积（MCV）、平均血红蛋白量（MCH）、平均血红蛋白浓度（MCHC）、红细胞分布宽度（CV）、红细胞分布宽度（SD）、单核细胞百分比、单核细胞绝对值、嗜碱细胞百分比、嗜碱细胞绝对值、嗜酸细胞百分比、嗜酸细胞绝对值</w:t>
            </w:r>
          </w:p>
        </w:tc>
        <w:tc>
          <w:tcPr>
            <w:tcW w:w="2835" w:type="dxa"/>
            <w:vMerge w:val="continue"/>
            <w:tcBorders>
              <w:top w:val="nil"/>
              <w:left w:val="single" w:color="auto" w:sz="4" w:space="0"/>
              <w:bottom w:val="single" w:color="auto" w:sz="4" w:space="0"/>
              <w:right w:val="single" w:color="auto" w:sz="4" w:space="0"/>
            </w:tcBorders>
            <w:vAlign w:val="center"/>
          </w:tcPr>
          <w:p w14:paraId="577DD47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430" w:type="dxa"/>
            <w:vMerge w:val="continue"/>
            <w:tcBorders>
              <w:top w:val="nil"/>
              <w:left w:val="single" w:color="auto" w:sz="4" w:space="0"/>
              <w:bottom w:val="single" w:color="auto" w:sz="4" w:space="0"/>
              <w:right w:val="single" w:color="auto" w:sz="4" w:space="0"/>
            </w:tcBorders>
            <w:vAlign w:val="center"/>
          </w:tcPr>
          <w:p w14:paraId="506A200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855" w:type="dxa"/>
            <w:vMerge w:val="continue"/>
            <w:tcBorders>
              <w:top w:val="nil"/>
              <w:left w:val="single" w:color="auto" w:sz="4" w:space="0"/>
              <w:bottom w:val="single" w:color="auto" w:sz="4" w:space="0"/>
              <w:right w:val="single" w:color="auto" w:sz="4" w:space="0"/>
            </w:tcBorders>
            <w:vAlign w:val="center"/>
          </w:tcPr>
          <w:p w14:paraId="74A8328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885" w:type="dxa"/>
            <w:vMerge w:val="continue"/>
            <w:tcBorders>
              <w:top w:val="nil"/>
              <w:left w:val="single" w:color="auto" w:sz="4" w:space="0"/>
              <w:bottom w:val="single" w:color="auto" w:sz="4" w:space="0"/>
              <w:right w:val="single" w:color="auto" w:sz="4" w:space="0"/>
            </w:tcBorders>
            <w:vAlign w:val="center"/>
          </w:tcPr>
          <w:p w14:paraId="1CF3076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r>
      <w:tr w14:paraId="2DB38D5F">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3123D7C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2525882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血小板数目（PLT）</w:t>
            </w:r>
          </w:p>
        </w:tc>
        <w:tc>
          <w:tcPr>
            <w:tcW w:w="2835" w:type="dxa"/>
            <w:vMerge w:val="continue"/>
            <w:tcBorders>
              <w:top w:val="nil"/>
              <w:left w:val="single" w:color="auto" w:sz="4" w:space="0"/>
              <w:bottom w:val="single" w:color="auto" w:sz="4" w:space="0"/>
              <w:right w:val="single" w:color="auto" w:sz="4" w:space="0"/>
            </w:tcBorders>
            <w:vAlign w:val="center"/>
          </w:tcPr>
          <w:p w14:paraId="2980FAE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430" w:type="dxa"/>
            <w:vMerge w:val="continue"/>
            <w:tcBorders>
              <w:top w:val="nil"/>
              <w:left w:val="single" w:color="auto" w:sz="4" w:space="0"/>
              <w:bottom w:val="single" w:color="auto" w:sz="4" w:space="0"/>
              <w:right w:val="single" w:color="auto" w:sz="4" w:space="0"/>
            </w:tcBorders>
            <w:vAlign w:val="center"/>
          </w:tcPr>
          <w:p w14:paraId="53176FE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855" w:type="dxa"/>
            <w:vMerge w:val="continue"/>
            <w:tcBorders>
              <w:top w:val="nil"/>
              <w:left w:val="single" w:color="auto" w:sz="4" w:space="0"/>
              <w:bottom w:val="single" w:color="auto" w:sz="4" w:space="0"/>
              <w:right w:val="single" w:color="auto" w:sz="4" w:space="0"/>
            </w:tcBorders>
            <w:vAlign w:val="center"/>
          </w:tcPr>
          <w:p w14:paraId="39DFC1A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885" w:type="dxa"/>
            <w:vMerge w:val="continue"/>
            <w:tcBorders>
              <w:top w:val="nil"/>
              <w:left w:val="single" w:color="auto" w:sz="4" w:space="0"/>
              <w:bottom w:val="single" w:color="auto" w:sz="4" w:space="0"/>
              <w:right w:val="single" w:color="auto" w:sz="4" w:space="0"/>
            </w:tcBorders>
            <w:vAlign w:val="center"/>
          </w:tcPr>
          <w:p w14:paraId="0FA2E24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r>
      <w:tr w14:paraId="34A1E895">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7E33C46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03F3923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平均血小板体积（MPV）</w:t>
            </w:r>
          </w:p>
        </w:tc>
        <w:tc>
          <w:tcPr>
            <w:tcW w:w="2835" w:type="dxa"/>
            <w:vMerge w:val="continue"/>
            <w:tcBorders>
              <w:top w:val="nil"/>
              <w:left w:val="single" w:color="auto" w:sz="4" w:space="0"/>
              <w:bottom w:val="single" w:color="auto" w:sz="4" w:space="0"/>
              <w:right w:val="single" w:color="auto" w:sz="4" w:space="0"/>
            </w:tcBorders>
            <w:vAlign w:val="center"/>
          </w:tcPr>
          <w:p w14:paraId="7A4295D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430" w:type="dxa"/>
            <w:vMerge w:val="continue"/>
            <w:tcBorders>
              <w:top w:val="nil"/>
              <w:left w:val="single" w:color="auto" w:sz="4" w:space="0"/>
              <w:bottom w:val="single" w:color="auto" w:sz="4" w:space="0"/>
              <w:right w:val="single" w:color="auto" w:sz="4" w:space="0"/>
            </w:tcBorders>
            <w:vAlign w:val="center"/>
          </w:tcPr>
          <w:p w14:paraId="11DBF9B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855" w:type="dxa"/>
            <w:vMerge w:val="continue"/>
            <w:tcBorders>
              <w:top w:val="nil"/>
              <w:left w:val="single" w:color="auto" w:sz="4" w:space="0"/>
              <w:bottom w:val="single" w:color="auto" w:sz="4" w:space="0"/>
              <w:right w:val="single" w:color="auto" w:sz="4" w:space="0"/>
            </w:tcBorders>
            <w:vAlign w:val="center"/>
          </w:tcPr>
          <w:p w14:paraId="2E0B2D6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885" w:type="dxa"/>
            <w:vMerge w:val="continue"/>
            <w:tcBorders>
              <w:top w:val="nil"/>
              <w:left w:val="single" w:color="auto" w:sz="4" w:space="0"/>
              <w:bottom w:val="single" w:color="auto" w:sz="4" w:space="0"/>
              <w:right w:val="single" w:color="auto" w:sz="4" w:space="0"/>
            </w:tcBorders>
            <w:vAlign w:val="center"/>
          </w:tcPr>
          <w:p w14:paraId="01419CC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r>
      <w:tr w14:paraId="6E53ADBA">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140335A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7CF771C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血小板分布宽度（PDW）</w:t>
            </w:r>
          </w:p>
        </w:tc>
        <w:tc>
          <w:tcPr>
            <w:tcW w:w="2835" w:type="dxa"/>
            <w:vMerge w:val="continue"/>
            <w:tcBorders>
              <w:top w:val="nil"/>
              <w:left w:val="single" w:color="auto" w:sz="4" w:space="0"/>
              <w:bottom w:val="single" w:color="auto" w:sz="4" w:space="0"/>
              <w:right w:val="single" w:color="auto" w:sz="4" w:space="0"/>
            </w:tcBorders>
            <w:vAlign w:val="center"/>
          </w:tcPr>
          <w:p w14:paraId="29C918B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430" w:type="dxa"/>
            <w:vMerge w:val="continue"/>
            <w:tcBorders>
              <w:top w:val="nil"/>
              <w:left w:val="single" w:color="auto" w:sz="4" w:space="0"/>
              <w:bottom w:val="single" w:color="auto" w:sz="4" w:space="0"/>
              <w:right w:val="single" w:color="auto" w:sz="4" w:space="0"/>
            </w:tcBorders>
            <w:vAlign w:val="center"/>
          </w:tcPr>
          <w:p w14:paraId="4B13C46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855" w:type="dxa"/>
            <w:vMerge w:val="continue"/>
            <w:tcBorders>
              <w:top w:val="nil"/>
              <w:left w:val="single" w:color="auto" w:sz="4" w:space="0"/>
              <w:bottom w:val="single" w:color="auto" w:sz="4" w:space="0"/>
              <w:right w:val="single" w:color="auto" w:sz="4" w:space="0"/>
            </w:tcBorders>
            <w:vAlign w:val="center"/>
          </w:tcPr>
          <w:p w14:paraId="7A4B413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885" w:type="dxa"/>
            <w:vMerge w:val="continue"/>
            <w:tcBorders>
              <w:top w:val="nil"/>
              <w:left w:val="single" w:color="auto" w:sz="4" w:space="0"/>
              <w:bottom w:val="single" w:color="auto" w:sz="4" w:space="0"/>
              <w:right w:val="single" w:color="auto" w:sz="4" w:space="0"/>
            </w:tcBorders>
            <w:vAlign w:val="center"/>
          </w:tcPr>
          <w:p w14:paraId="037B9FD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r>
      <w:tr w14:paraId="314286D1">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2A50F77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4B1D674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血小板压积（PCT）</w:t>
            </w:r>
          </w:p>
        </w:tc>
        <w:tc>
          <w:tcPr>
            <w:tcW w:w="2835" w:type="dxa"/>
            <w:vMerge w:val="continue"/>
            <w:tcBorders>
              <w:top w:val="nil"/>
              <w:left w:val="single" w:color="auto" w:sz="4" w:space="0"/>
              <w:bottom w:val="single" w:color="auto" w:sz="4" w:space="0"/>
              <w:right w:val="single" w:color="auto" w:sz="4" w:space="0"/>
            </w:tcBorders>
            <w:vAlign w:val="center"/>
          </w:tcPr>
          <w:p w14:paraId="16F6254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430" w:type="dxa"/>
            <w:vMerge w:val="continue"/>
            <w:tcBorders>
              <w:top w:val="nil"/>
              <w:left w:val="single" w:color="auto" w:sz="4" w:space="0"/>
              <w:bottom w:val="single" w:color="auto" w:sz="4" w:space="0"/>
              <w:right w:val="single" w:color="auto" w:sz="4" w:space="0"/>
            </w:tcBorders>
            <w:vAlign w:val="center"/>
          </w:tcPr>
          <w:p w14:paraId="3D40E69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855" w:type="dxa"/>
            <w:vMerge w:val="continue"/>
            <w:tcBorders>
              <w:top w:val="nil"/>
              <w:left w:val="single" w:color="auto" w:sz="4" w:space="0"/>
              <w:bottom w:val="single" w:color="auto" w:sz="4" w:space="0"/>
              <w:right w:val="single" w:color="auto" w:sz="4" w:space="0"/>
            </w:tcBorders>
            <w:vAlign w:val="center"/>
          </w:tcPr>
          <w:p w14:paraId="41A4E94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885" w:type="dxa"/>
            <w:vMerge w:val="continue"/>
            <w:tcBorders>
              <w:top w:val="nil"/>
              <w:left w:val="single" w:color="auto" w:sz="4" w:space="0"/>
              <w:bottom w:val="single" w:color="auto" w:sz="4" w:space="0"/>
              <w:right w:val="single" w:color="auto" w:sz="4" w:space="0"/>
            </w:tcBorders>
            <w:vAlign w:val="center"/>
          </w:tcPr>
          <w:p w14:paraId="5A0D9D2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r>
      <w:tr w14:paraId="3F32D069">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09F8D83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5BEEF6B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大血小板比率</w:t>
            </w:r>
          </w:p>
        </w:tc>
        <w:tc>
          <w:tcPr>
            <w:tcW w:w="2835" w:type="dxa"/>
            <w:vMerge w:val="continue"/>
            <w:tcBorders>
              <w:top w:val="nil"/>
              <w:left w:val="single" w:color="auto" w:sz="4" w:space="0"/>
              <w:bottom w:val="single" w:color="auto" w:sz="4" w:space="0"/>
              <w:right w:val="single" w:color="auto" w:sz="4" w:space="0"/>
            </w:tcBorders>
            <w:vAlign w:val="center"/>
          </w:tcPr>
          <w:p w14:paraId="43E7341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430" w:type="dxa"/>
            <w:vMerge w:val="continue"/>
            <w:tcBorders>
              <w:top w:val="nil"/>
              <w:left w:val="single" w:color="auto" w:sz="4" w:space="0"/>
              <w:bottom w:val="single" w:color="auto" w:sz="4" w:space="0"/>
              <w:right w:val="single" w:color="auto" w:sz="4" w:space="0"/>
            </w:tcBorders>
            <w:vAlign w:val="center"/>
          </w:tcPr>
          <w:p w14:paraId="57DCDE7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855" w:type="dxa"/>
            <w:vMerge w:val="continue"/>
            <w:tcBorders>
              <w:top w:val="nil"/>
              <w:left w:val="single" w:color="auto" w:sz="4" w:space="0"/>
              <w:bottom w:val="single" w:color="auto" w:sz="4" w:space="0"/>
              <w:right w:val="single" w:color="auto" w:sz="4" w:space="0"/>
            </w:tcBorders>
            <w:vAlign w:val="center"/>
          </w:tcPr>
          <w:p w14:paraId="5824EC9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c>
          <w:tcPr>
            <w:tcW w:w="885" w:type="dxa"/>
            <w:vMerge w:val="continue"/>
            <w:tcBorders>
              <w:top w:val="nil"/>
              <w:left w:val="single" w:color="auto" w:sz="4" w:space="0"/>
              <w:bottom w:val="single" w:color="auto" w:sz="4" w:space="0"/>
              <w:right w:val="single" w:color="auto" w:sz="4" w:space="0"/>
            </w:tcBorders>
            <w:vAlign w:val="center"/>
          </w:tcPr>
          <w:p w14:paraId="7820725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p>
        </w:tc>
      </w:tr>
      <w:tr w14:paraId="14218211">
        <w:tblPrEx>
          <w:tblCellMar>
            <w:top w:w="0" w:type="dxa"/>
            <w:left w:w="108" w:type="dxa"/>
            <w:bottom w:w="0" w:type="dxa"/>
            <w:right w:w="108" w:type="dxa"/>
          </w:tblCellMar>
        </w:tblPrEx>
        <w:trPr>
          <w:trHeight w:val="1118"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20DF0D3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尿常规10项</w:t>
            </w:r>
          </w:p>
        </w:tc>
        <w:tc>
          <w:tcPr>
            <w:tcW w:w="2900" w:type="dxa"/>
            <w:tcBorders>
              <w:top w:val="nil"/>
              <w:left w:val="nil"/>
              <w:bottom w:val="single" w:color="auto" w:sz="4" w:space="0"/>
              <w:right w:val="single" w:color="auto" w:sz="4" w:space="0"/>
            </w:tcBorders>
            <w:shd w:val="clear" w:color="000000" w:fill="FFFFFF"/>
            <w:vAlign w:val="center"/>
          </w:tcPr>
          <w:p w14:paraId="4519E15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尿蛋白(PRO)、尿糖(GLU)、胆红素(BIL)、尿胆原（UBG）、酮体(KET)、亚硝酸盐(NIT)、白细胞(LEU)、尿比重(SG)、尿酸碱度(pH)、尿潜血(BLD)</w:t>
            </w:r>
          </w:p>
        </w:tc>
        <w:tc>
          <w:tcPr>
            <w:tcW w:w="2835" w:type="dxa"/>
            <w:tcBorders>
              <w:top w:val="nil"/>
              <w:left w:val="nil"/>
              <w:bottom w:val="single" w:color="auto" w:sz="4" w:space="0"/>
              <w:right w:val="single" w:color="auto" w:sz="4" w:space="0"/>
            </w:tcBorders>
            <w:shd w:val="clear" w:color="000000" w:fill="FFFFFF"/>
            <w:vAlign w:val="center"/>
          </w:tcPr>
          <w:p w14:paraId="371B41E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判定有无泌尿系统疾病、急慢性肾病、肾炎、泌尿系感染、出血、结石等 。间接检查与肾脏无关的代谢障碍或疾病。 溶血性黄疸胆道阻塞等疾病的辅助诊断。</w:t>
            </w:r>
          </w:p>
        </w:tc>
        <w:tc>
          <w:tcPr>
            <w:tcW w:w="430" w:type="dxa"/>
            <w:tcBorders>
              <w:top w:val="nil"/>
              <w:left w:val="nil"/>
              <w:bottom w:val="single" w:color="auto" w:sz="4" w:space="0"/>
              <w:right w:val="single" w:color="auto" w:sz="4" w:space="0"/>
            </w:tcBorders>
            <w:shd w:val="clear" w:color="000000" w:fill="FFFFFF"/>
            <w:vAlign w:val="center"/>
          </w:tcPr>
          <w:p w14:paraId="6735EB5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55" w:type="dxa"/>
            <w:tcBorders>
              <w:top w:val="nil"/>
              <w:left w:val="nil"/>
              <w:bottom w:val="single" w:color="auto" w:sz="4" w:space="0"/>
              <w:right w:val="single" w:color="auto" w:sz="4" w:space="0"/>
            </w:tcBorders>
            <w:shd w:val="clear" w:color="000000" w:fill="FFFFFF"/>
            <w:vAlign w:val="center"/>
          </w:tcPr>
          <w:p w14:paraId="596C10B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85" w:type="dxa"/>
            <w:tcBorders>
              <w:top w:val="nil"/>
              <w:left w:val="nil"/>
              <w:bottom w:val="single" w:color="auto" w:sz="4" w:space="0"/>
              <w:right w:val="single" w:color="auto" w:sz="4" w:space="0"/>
            </w:tcBorders>
            <w:shd w:val="clear" w:color="000000" w:fill="FFFFFF"/>
            <w:vAlign w:val="center"/>
          </w:tcPr>
          <w:p w14:paraId="1FAEB00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r>
      <w:tr w14:paraId="066DB50B">
        <w:tblPrEx>
          <w:tblCellMar>
            <w:top w:w="0" w:type="dxa"/>
            <w:left w:w="108" w:type="dxa"/>
            <w:bottom w:w="0" w:type="dxa"/>
            <w:right w:w="108" w:type="dxa"/>
          </w:tblCellMar>
        </w:tblPrEx>
        <w:trPr>
          <w:trHeight w:val="1569"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05574F2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肝功能</w:t>
            </w:r>
          </w:p>
        </w:tc>
        <w:tc>
          <w:tcPr>
            <w:tcW w:w="2900" w:type="dxa"/>
            <w:tcBorders>
              <w:top w:val="nil"/>
              <w:left w:val="nil"/>
              <w:bottom w:val="single" w:color="auto" w:sz="4" w:space="0"/>
              <w:right w:val="single" w:color="auto" w:sz="4" w:space="0"/>
            </w:tcBorders>
            <w:shd w:val="clear" w:color="000000" w:fill="FFFFFF"/>
            <w:vAlign w:val="center"/>
          </w:tcPr>
          <w:p w14:paraId="3417B5A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谷草转氨酶（AST）、谷丙转氨酶（ALT）、碱性磷酸酶、总胆红素、直接胆红素、间接胆红素、总蛋白、白蛋白、球蛋白、白/球比值</w:t>
            </w:r>
          </w:p>
        </w:tc>
        <w:tc>
          <w:tcPr>
            <w:tcW w:w="2835" w:type="dxa"/>
            <w:tcBorders>
              <w:top w:val="nil"/>
              <w:left w:val="nil"/>
              <w:bottom w:val="single" w:color="auto" w:sz="4" w:space="0"/>
              <w:right w:val="single" w:color="auto" w:sz="4" w:space="0"/>
            </w:tcBorders>
            <w:shd w:val="clear" w:color="000000" w:fill="FFFFFF"/>
            <w:vAlign w:val="center"/>
          </w:tcPr>
          <w:p w14:paraId="5F0F75C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检查肝细胞有无损害的首选指标；病毒性、急慢性肝炎，脂肪肝，胆道阻塞均可升高。</w:t>
            </w:r>
            <w:r>
              <w:rPr>
                <w:rFonts w:hint="eastAsia" w:ascii="宋体" w:hAnsi="宋体" w:eastAsia="宋体" w:cs="宋体"/>
                <w:kern w:val="0"/>
                <w:sz w:val="21"/>
                <w:szCs w:val="21"/>
                <w:highlight w:val="none"/>
              </w:rPr>
              <w:br w:type="textWrapping"/>
            </w:r>
            <w:r>
              <w:rPr>
                <w:rFonts w:hint="eastAsia" w:ascii="宋体" w:hAnsi="宋体" w:eastAsia="宋体" w:cs="宋体"/>
                <w:kern w:val="0"/>
                <w:sz w:val="21"/>
                <w:szCs w:val="21"/>
                <w:highlight w:val="none"/>
              </w:rPr>
              <w:t>检查肝脏胆红素代谢功能有无异常，用于肝胆疾病、溶血性疾病诊断。</w:t>
            </w:r>
            <w:r>
              <w:rPr>
                <w:rFonts w:hint="eastAsia" w:ascii="宋体" w:hAnsi="宋体" w:eastAsia="宋体" w:cs="宋体"/>
                <w:kern w:val="0"/>
                <w:sz w:val="21"/>
                <w:szCs w:val="21"/>
                <w:highlight w:val="none"/>
              </w:rPr>
              <w:br w:type="textWrapping"/>
            </w:r>
            <w:r>
              <w:rPr>
                <w:rFonts w:hint="eastAsia" w:ascii="宋体" w:hAnsi="宋体" w:eastAsia="宋体" w:cs="宋体"/>
                <w:kern w:val="0"/>
                <w:sz w:val="21"/>
                <w:szCs w:val="21"/>
                <w:highlight w:val="none"/>
              </w:rPr>
              <w:t>检查肝脏蛋白质代谢有无异常，用于检测慢性肝损害。</w:t>
            </w:r>
          </w:p>
        </w:tc>
        <w:tc>
          <w:tcPr>
            <w:tcW w:w="430" w:type="dxa"/>
            <w:tcBorders>
              <w:top w:val="nil"/>
              <w:left w:val="nil"/>
              <w:bottom w:val="single" w:color="auto" w:sz="4" w:space="0"/>
              <w:right w:val="single" w:color="auto" w:sz="4" w:space="0"/>
            </w:tcBorders>
            <w:shd w:val="clear" w:color="000000" w:fill="FFFFFF"/>
            <w:vAlign w:val="center"/>
          </w:tcPr>
          <w:p w14:paraId="1046639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55" w:type="dxa"/>
            <w:tcBorders>
              <w:top w:val="nil"/>
              <w:left w:val="nil"/>
              <w:bottom w:val="single" w:color="auto" w:sz="4" w:space="0"/>
              <w:right w:val="single" w:color="auto" w:sz="4" w:space="0"/>
            </w:tcBorders>
            <w:shd w:val="clear" w:color="000000" w:fill="FFFFFF"/>
            <w:vAlign w:val="center"/>
          </w:tcPr>
          <w:p w14:paraId="668871D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85" w:type="dxa"/>
            <w:tcBorders>
              <w:top w:val="nil"/>
              <w:left w:val="nil"/>
              <w:bottom w:val="single" w:color="auto" w:sz="4" w:space="0"/>
              <w:right w:val="single" w:color="auto" w:sz="4" w:space="0"/>
            </w:tcBorders>
            <w:shd w:val="clear" w:color="000000" w:fill="FFFFFF"/>
            <w:vAlign w:val="center"/>
          </w:tcPr>
          <w:p w14:paraId="46DD511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r>
      <w:tr w14:paraId="334C1E98">
        <w:tblPrEx>
          <w:tblCellMar>
            <w:top w:w="0" w:type="dxa"/>
            <w:left w:w="108" w:type="dxa"/>
            <w:bottom w:w="0" w:type="dxa"/>
            <w:right w:w="108" w:type="dxa"/>
          </w:tblCellMar>
        </w:tblPrEx>
        <w:trPr>
          <w:trHeight w:val="670"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6CC0291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肾功能</w:t>
            </w:r>
          </w:p>
        </w:tc>
        <w:tc>
          <w:tcPr>
            <w:tcW w:w="2900" w:type="dxa"/>
            <w:tcBorders>
              <w:top w:val="nil"/>
              <w:left w:val="nil"/>
              <w:bottom w:val="single" w:color="auto" w:sz="4" w:space="0"/>
              <w:right w:val="single" w:color="auto" w:sz="4" w:space="0"/>
            </w:tcBorders>
            <w:shd w:val="clear" w:color="000000" w:fill="FFFFFF"/>
            <w:vAlign w:val="center"/>
          </w:tcPr>
          <w:p w14:paraId="5AD4172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尿酸、肌酐 、尿素氮</w:t>
            </w:r>
          </w:p>
        </w:tc>
        <w:tc>
          <w:tcPr>
            <w:tcW w:w="2835" w:type="dxa"/>
            <w:tcBorders>
              <w:top w:val="nil"/>
              <w:left w:val="nil"/>
              <w:bottom w:val="single" w:color="auto" w:sz="4" w:space="0"/>
              <w:right w:val="single" w:color="auto" w:sz="4" w:space="0"/>
            </w:tcBorders>
            <w:shd w:val="clear" w:color="000000" w:fill="FFFFFF"/>
            <w:vAlign w:val="center"/>
          </w:tcPr>
          <w:p w14:paraId="01CEA14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检查肾脏功能有无损害。饮酒过量、糖尿病、痛风、肾炎、铅中毒、副甲状腺机能亢进等尿酸会偏高。 </w:t>
            </w:r>
          </w:p>
        </w:tc>
        <w:tc>
          <w:tcPr>
            <w:tcW w:w="430" w:type="dxa"/>
            <w:tcBorders>
              <w:top w:val="nil"/>
              <w:left w:val="nil"/>
              <w:bottom w:val="single" w:color="auto" w:sz="4" w:space="0"/>
              <w:right w:val="single" w:color="auto" w:sz="4" w:space="0"/>
            </w:tcBorders>
            <w:shd w:val="clear" w:color="000000" w:fill="FFFFFF"/>
            <w:vAlign w:val="center"/>
          </w:tcPr>
          <w:p w14:paraId="75CE461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5056537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4340127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0AD084AB">
        <w:tblPrEx>
          <w:tblCellMar>
            <w:top w:w="0" w:type="dxa"/>
            <w:left w:w="108" w:type="dxa"/>
            <w:bottom w:w="0" w:type="dxa"/>
            <w:right w:w="108" w:type="dxa"/>
          </w:tblCellMar>
        </w:tblPrEx>
        <w:trPr>
          <w:trHeight w:val="447" w:hRule="atLeast"/>
          <w:jc w:val="center"/>
        </w:trPr>
        <w:tc>
          <w:tcPr>
            <w:tcW w:w="1069" w:type="dxa"/>
            <w:vMerge w:val="restart"/>
            <w:tcBorders>
              <w:top w:val="nil"/>
              <w:left w:val="single" w:color="auto" w:sz="4" w:space="0"/>
              <w:bottom w:val="nil"/>
              <w:right w:val="single" w:color="auto" w:sz="4" w:space="0"/>
            </w:tcBorders>
            <w:shd w:val="clear" w:color="000000" w:fill="FFFFFF"/>
            <w:vAlign w:val="center"/>
          </w:tcPr>
          <w:p w14:paraId="1E25523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血脂</w:t>
            </w:r>
          </w:p>
        </w:tc>
        <w:tc>
          <w:tcPr>
            <w:tcW w:w="2900" w:type="dxa"/>
            <w:tcBorders>
              <w:top w:val="nil"/>
              <w:left w:val="nil"/>
              <w:bottom w:val="single" w:color="auto" w:sz="4" w:space="0"/>
              <w:right w:val="single" w:color="auto" w:sz="4" w:space="0"/>
            </w:tcBorders>
            <w:shd w:val="clear" w:color="000000" w:fill="FFFFFF"/>
            <w:vAlign w:val="center"/>
          </w:tcPr>
          <w:p w14:paraId="5FEB5C7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胆固醇、甘油三脂</w:t>
            </w:r>
          </w:p>
        </w:tc>
        <w:tc>
          <w:tcPr>
            <w:tcW w:w="2835" w:type="dxa"/>
            <w:tcBorders>
              <w:top w:val="nil"/>
              <w:left w:val="nil"/>
              <w:bottom w:val="single" w:color="auto" w:sz="4" w:space="0"/>
              <w:right w:val="single" w:color="auto" w:sz="4" w:space="0"/>
            </w:tcBorders>
            <w:shd w:val="clear" w:color="000000" w:fill="FFFFFF"/>
            <w:vAlign w:val="center"/>
          </w:tcPr>
          <w:p w14:paraId="72AAD77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检查有无脂质代谢紊乱、动脉粥样硬化重要指标。</w:t>
            </w:r>
          </w:p>
        </w:tc>
        <w:tc>
          <w:tcPr>
            <w:tcW w:w="430" w:type="dxa"/>
            <w:vMerge w:val="restart"/>
            <w:tcBorders>
              <w:top w:val="nil"/>
              <w:left w:val="single" w:color="auto" w:sz="4" w:space="0"/>
              <w:bottom w:val="single" w:color="auto" w:sz="4" w:space="0"/>
              <w:right w:val="single" w:color="auto" w:sz="4" w:space="0"/>
            </w:tcBorders>
            <w:shd w:val="clear" w:color="000000" w:fill="FFFFFF"/>
            <w:vAlign w:val="center"/>
          </w:tcPr>
          <w:p w14:paraId="291A025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vMerge w:val="restart"/>
            <w:tcBorders>
              <w:top w:val="nil"/>
              <w:left w:val="single" w:color="auto" w:sz="4" w:space="0"/>
              <w:bottom w:val="single" w:color="auto" w:sz="4" w:space="0"/>
              <w:right w:val="single" w:color="auto" w:sz="4" w:space="0"/>
            </w:tcBorders>
            <w:shd w:val="clear" w:color="000000" w:fill="FFFFFF"/>
            <w:vAlign w:val="center"/>
          </w:tcPr>
          <w:p w14:paraId="26B81F3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vMerge w:val="restart"/>
            <w:tcBorders>
              <w:top w:val="nil"/>
              <w:left w:val="single" w:color="auto" w:sz="4" w:space="0"/>
              <w:bottom w:val="single" w:color="auto" w:sz="4" w:space="0"/>
              <w:right w:val="single" w:color="auto" w:sz="4" w:space="0"/>
            </w:tcBorders>
            <w:shd w:val="clear" w:color="000000" w:fill="FFFFFF"/>
            <w:vAlign w:val="center"/>
          </w:tcPr>
          <w:p w14:paraId="602ADB6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3FB1683E">
        <w:tblPrEx>
          <w:tblCellMar>
            <w:top w:w="0" w:type="dxa"/>
            <w:left w:w="108" w:type="dxa"/>
            <w:bottom w:w="0" w:type="dxa"/>
            <w:right w:w="108" w:type="dxa"/>
          </w:tblCellMar>
        </w:tblPrEx>
        <w:trPr>
          <w:trHeight w:val="447" w:hRule="atLeast"/>
          <w:jc w:val="center"/>
        </w:trPr>
        <w:tc>
          <w:tcPr>
            <w:tcW w:w="1069" w:type="dxa"/>
            <w:vMerge w:val="continue"/>
            <w:tcBorders>
              <w:top w:val="nil"/>
              <w:left w:val="single" w:color="auto" w:sz="4" w:space="0"/>
              <w:bottom w:val="nil"/>
              <w:right w:val="single" w:color="auto" w:sz="4" w:space="0"/>
            </w:tcBorders>
            <w:vAlign w:val="center"/>
          </w:tcPr>
          <w:p w14:paraId="6C2A4E0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14AF022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高密度脂蛋白、低密度脂蛋白</w:t>
            </w:r>
          </w:p>
        </w:tc>
        <w:tc>
          <w:tcPr>
            <w:tcW w:w="2835" w:type="dxa"/>
            <w:tcBorders>
              <w:top w:val="nil"/>
              <w:left w:val="nil"/>
              <w:bottom w:val="single" w:color="auto" w:sz="4" w:space="0"/>
              <w:right w:val="single" w:color="auto" w:sz="4" w:space="0"/>
            </w:tcBorders>
            <w:shd w:val="clear" w:color="000000" w:fill="FFFFFF"/>
            <w:vAlign w:val="center"/>
          </w:tcPr>
          <w:p w14:paraId="2822F9C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高密度脂蛋白是抗动脉粥样硬化；低密度脂蛋白致动脉粥样硬化。</w:t>
            </w:r>
          </w:p>
        </w:tc>
        <w:tc>
          <w:tcPr>
            <w:tcW w:w="430" w:type="dxa"/>
            <w:vMerge w:val="continue"/>
            <w:tcBorders>
              <w:top w:val="nil"/>
              <w:left w:val="single" w:color="auto" w:sz="4" w:space="0"/>
              <w:bottom w:val="single" w:color="auto" w:sz="4" w:space="0"/>
              <w:right w:val="single" w:color="auto" w:sz="4" w:space="0"/>
            </w:tcBorders>
            <w:vAlign w:val="center"/>
          </w:tcPr>
          <w:p w14:paraId="67BD2F6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16E5876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4F3EDE1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21F60B4A">
        <w:tblPrEx>
          <w:tblCellMar>
            <w:top w:w="0" w:type="dxa"/>
            <w:left w:w="108" w:type="dxa"/>
            <w:bottom w:w="0" w:type="dxa"/>
            <w:right w:w="108" w:type="dxa"/>
          </w:tblCellMar>
        </w:tblPrEx>
        <w:trPr>
          <w:trHeight w:val="894" w:hRule="atLeast"/>
          <w:jc w:val="center"/>
        </w:trPr>
        <w:tc>
          <w:tcPr>
            <w:tcW w:w="1069" w:type="dxa"/>
            <w:vMerge w:val="continue"/>
            <w:tcBorders>
              <w:top w:val="nil"/>
              <w:left w:val="single" w:color="auto" w:sz="4" w:space="0"/>
              <w:bottom w:val="nil"/>
              <w:right w:val="single" w:color="auto" w:sz="4" w:space="0"/>
            </w:tcBorders>
            <w:vAlign w:val="center"/>
          </w:tcPr>
          <w:p w14:paraId="2605488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61D7356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小而密低密度脂蛋白</w:t>
            </w:r>
          </w:p>
        </w:tc>
        <w:tc>
          <w:tcPr>
            <w:tcW w:w="2835" w:type="dxa"/>
            <w:tcBorders>
              <w:top w:val="nil"/>
              <w:left w:val="nil"/>
              <w:bottom w:val="single" w:color="auto" w:sz="4" w:space="0"/>
              <w:right w:val="single" w:color="auto" w:sz="4" w:space="0"/>
            </w:tcBorders>
            <w:shd w:val="clear" w:color="000000" w:fill="FFFFFF"/>
            <w:vAlign w:val="center"/>
          </w:tcPr>
          <w:p w14:paraId="6D1BC44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小而密低密度脂蛋白是引起动脉粥样硬化、心脑血管疾病、心脑血管卒中等最危险的因素之一，其升高通常提示血脂异常升高。</w:t>
            </w:r>
          </w:p>
        </w:tc>
        <w:tc>
          <w:tcPr>
            <w:tcW w:w="430" w:type="dxa"/>
            <w:tcBorders>
              <w:top w:val="nil"/>
              <w:left w:val="nil"/>
              <w:bottom w:val="single" w:color="auto" w:sz="4" w:space="0"/>
              <w:right w:val="single" w:color="auto" w:sz="4" w:space="0"/>
            </w:tcBorders>
            <w:shd w:val="clear" w:color="000000" w:fill="FFFFFF"/>
            <w:vAlign w:val="center"/>
          </w:tcPr>
          <w:p w14:paraId="516D47B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7BC9463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177E2EC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7F66F3D6">
        <w:tblPrEx>
          <w:tblCellMar>
            <w:top w:w="0" w:type="dxa"/>
            <w:left w:w="108" w:type="dxa"/>
            <w:bottom w:w="0" w:type="dxa"/>
            <w:right w:w="108" w:type="dxa"/>
          </w:tblCellMar>
        </w:tblPrEx>
        <w:trPr>
          <w:trHeight w:val="447" w:hRule="atLeast"/>
          <w:jc w:val="center"/>
        </w:trPr>
        <w:tc>
          <w:tcPr>
            <w:tcW w:w="1069" w:type="dxa"/>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1C0B3BD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肿瘤标志物</w:t>
            </w:r>
          </w:p>
        </w:tc>
        <w:tc>
          <w:tcPr>
            <w:tcW w:w="2900" w:type="dxa"/>
            <w:tcBorders>
              <w:top w:val="nil"/>
              <w:left w:val="nil"/>
              <w:bottom w:val="single" w:color="auto" w:sz="4" w:space="0"/>
              <w:right w:val="single" w:color="auto" w:sz="4" w:space="0"/>
            </w:tcBorders>
            <w:shd w:val="clear" w:color="000000" w:fill="FFFFFF"/>
            <w:vAlign w:val="center"/>
          </w:tcPr>
          <w:p w14:paraId="7B1D80F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CEA\AFP</w:t>
            </w:r>
          </w:p>
        </w:tc>
        <w:tc>
          <w:tcPr>
            <w:tcW w:w="2835" w:type="dxa"/>
            <w:tcBorders>
              <w:top w:val="nil"/>
              <w:left w:val="nil"/>
              <w:bottom w:val="single" w:color="auto" w:sz="4" w:space="0"/>
              <w:right w:val="single" w:color="auto" w:sz="4" w:space="0"/>
            </w:tcBorders>
            <w:shd w:val="clear" w:color="000000" w:fill="FFFFFF"/>
            <w:vAlign w:val="center"/>
          </w:tcPr>
          <w:p w14:paraId="1B4D9A2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主要针对消化道、肝细胞肿瘤有特异性。</w:t>
            </w:r>
          </w:p>
        </w:tc>
        <w:tc>
          <w:tcPr>
            <w:tcW w:w="430" w:type="dxa"/>
            <w:tcBorders>
              <w:top w:val="nil"/>
              <w:left w:val="nil"/>
              <w:bottom w:val="single" w:color="auto" w:sz="4" w:space="0"/>
              <w:right w:val="single" w:color="auto" w:sz="4" w:space="0"/>
            </w:tcBorders>
            <w:shd w:val="clear" w:color="000000" w:fill="FFFFFF"/>
            <w:vAlign w:val="center"/>
          </w:tcPr>
          <w:p w14:paraId="2E6A5F0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4223411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699DD1D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4A77BF53">
        <w:tblPrEx>
          <w:tblCellMar>
            <w:top w:w="0" w:type="dxa"/>
            <w:left w:w="108" w:type="dxa"/>
            <w:bottom w:w="0" w:type="dxa"/>
            <w:right w:w="108" w:type="dxa"/>
          </w:tblCellMar>
        </w:tblPrEx>
        <w:trPr>
          <w:trHeight w:val="894" w:hRule="atLeast"/>
          <w:jc w:val="center"/>
        </w:trPr>
        <w:tc>
          <w:tcPr>
            <w:tcW w:w="1069" w:type="dxa"/>
            <w:vMerge w:val="continue"/>
            <w:tcBorders>
              <w:top w:val="single" w:color="auto" w:sz="4" w:space="0"/>
              <w:left w:val="single" w:color="auto" w:sz="4" w:space="0"/>
              <w:bottom w:val="single" w:color="000000" w:sz="4" w:space="0"/>
              <w:right w:val="single" w:color="auto" w:sz="4" w:space="0"/>
            </w:tcBorders>
            <w:vAlign w:val="center"/>
          </w:tcPr>
          <w:p w14:paraId="5A11254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07B378C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CA724</w:t>
            </w:r>
          </w:p>
        </w:tc>
        <w:tc>
          <w:tcPr>
            <w:tcW w:w="2835" w:type="dxa"/>
            <w:tcBorders>
              <w:top w:val="nil"/>
              <w:left w:val="nil"/>
              <w:bottom w:val="single" w:color="auto" w:sz="4" w:space="0"/>
              <w:right w:val="single" w:color="auto" w:sz="4" w:space="0"/>
            </w:tcBorders>
            <w:shd w:val="clear" w:color="000000" w:fill="FFFFFF"/>
            <w:vAlign w:val="center"/>
          </w:tcPr>
          <w:p w14:paraId="054884C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临床上较为常用的一种肿瘤标志物，可用于消化道肿瘤、部分女性生殖系统肿瘤（如卵巢癌、宫颈癌）以及呼吸系统肿瘤的早期筛查。</w:t>
            </w:r>
          </w:p>
        </w:tc>
        <w:tc>
          <w:tcPr>
            <w:tcW w:w="430" w:type="dxa"/>
            <w:tcBorders>
              <w:top w:val="nil"/>
              <w:left w:val="nil"/>
              <w:bottom w:val="single" w:color="auto" w:sz="4" w:space="0"/>
              <w:right w:val="single" w:color="auto" w:sz="4" w:space="0"/>
            </w:tcBorders>
            <w:shd w:val="clear" w:color="000000" w:fill="FFFFFF"/>
            <w:vAlign w:val="center"/>
          </w:tcPr>
          <w:p w14:paraId="4115738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3EBC265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546EB42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164C9D7B">
        <w:tblPrEx>
          <w:tblCellMar>
            <w:top w:w="0" w:type="dxa"/>
            <w:left w:w="108" w:type="dxa"/>
            <w:bottom w:w="0" w:type="dxa"/>
            <w:right w:w="108" w:type="dxa"/>
          </w:tblCellMar>
        </w:tblPrEx>
        <w:trPr>
          <w:trHeight w:val="913"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493D1E4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同型半胱氨酸</w:t>
            </w:r>
          </w:p>
        </w:tc>
        <w:tc>
          <w:tcPr>
            <w:tcW w:w="2900" w:type="dxa"/>
            <w:tcBorders>
              <w:top w:val="nil"/>
              <w:left w:val="nil"/>
              <w:bottom w:val="single" w:color="auto" w:sz="4" w:space="0"/>
              <w:right w:val="single" w:color="auto" w:sz="4" w:space="0"/>
            </w:tcBorders>
            <w:shd w:val="clear" w:color="000000" w:fill="FFFFFF"/>
            <w:vAlign w:val="center"/>
          </w:tcPr>
          <w:p w14:paraId="6285911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2835" w:type="dxa"/>
            <w:tcBorders>
              <w:top w:val="nil"/>
              <w:left w:val="nil"/>
              <w:bottom w:val="single" w:color="auto" w:sz="4" w:space="0"/>
              <w:right w:val="single" w:color="auto" w:sz="4" w:space="0"/>
            </w:tcBorders>
            <w:shd w:val="clear" w:color="000000" w:fill="FFFFFF"/>
            <w:vAlign w:val="center"/>
          </w:tcPr>
          <w:p w14:paraId="7CAA064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人体内含硫氨基酸的一种重要的代谢中间产物，是能引起动脉粥样硬化等心血管疾病发生的一个独立危险因子，高血压如果合并高同型半胱氨酸，是脑卒中最重要的危险因素。临床上的应用主要作为心血管疾病，尤其是冠状动脉粥样硬化和心肌梗塞的危险指标。</w:t>
            </w:r>
          </w:p>
        </w:tc>
        <w:tc>
          <w:tcPr>
            <w:tcW w:w="430" w:type="dxa"/>
            <w:tcBorders>
              <w:top w:val="nil"/>
              <w:left w:val="nil"/>
              <w:bottom w:val="single" w:color="auto" w:sz="4" w:space="0"/>
              <w:right w:val="single" w:color="auto" w:sz="4" w:space="0"/>
            </w:tcBorders>
            <w:shd w:val="clear" w:color="000000" w:fill="FFFFFF"/>
            <w:vAlign w:val="center"/>
          </w:tcPr>
          <w:p w14:paraId="4088DA7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0A0E412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503311C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74F89CAE">
        <w:tblPrEx>
          <w:tblCellMar>
            <w:top w:w="0" w:type="dxa"/>
            <w:left w:w="108" w:type="dxa"/>
            <w:bottom w:w="0" w:type="dxa"/>
            <w:right w:w="108" w:type="dxa"/>
          </w:tblCellMar>
        </w:tblPrEx>
        <w:trPr>
          <w:trHeight w:val="447"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04C0E69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血糖</w:t>
            </w:r>
          </w:p>
        </w:tc>
        <w:tc>
          <w:tcPr>
            <w:tcW w:w="2900" w:type="dxa"/>
            <w:tcBorders>
              <w:top w:val="nil"/>
              <w:left w:val="nil"/>
              <w:bottom w:val="single" w:color="auto" w:sz="4" w:space="0"/>
              <w:right w:val="single" w:color="auto" w:sz="4" w:space="0"/>
            </w:tcBorders>
            <w:shd w:val="clear" w:color="000000" w:fill="FFFFFF"/>
            <w:vAlign w:val="center"/>
          </w:tcPr>
          <w:p w14:paraId="6FA8441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空腹血糖</w:t>
            </w:r>
          </w:p>
        </w:tc>
        <w:tc>
          <w:tcPr>
            <w:tcW w:w="2835" w:type="dxa"/>
            <w:tcBorders>
              <w:top w:val="nil"/>
              <w:left w:val="nil"/>
              <w:bottom w:val="single" w:color="auto" w:sz="4" w:space="0"/>
              <w:right w:val="single" w:color="auto" w:sz="4" w:space="0"/>
            </w:tcBorders>
            <w:shd w:val="clear" w:color="000000" w:fill="FFFFFF"/>
            <w:vAlign w:val="center"/>
          </w:tcPr>
          <w:p w14:paraId="134910B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诊断糖代谢紊乱最常用的最重要的指标；筛检糖尿病最基本的方法。</w:t>
            </w:r>
          </w:p>
        </w:tc>
        <w:tc>
          <w:tcPr>
            <w:tcW w:w="430" w:type="dxa"/>
            <w:tcBorders>
              <w:top w:val="nil"/>
              <w:left w:val="nil"/>
              <w:bottom w:val="single" w:color="auto" w:sz="4" w:space="0"/>
              <w:right w:val="single" w:color="auto" w:sz="4" w:space="0"/>
            </w:tcBorders>
            <w:shd w:val="clear" w:color="000000" w:fill="FFFFFF"/>
            <w:vAlign w:val="center"/>
          </w:tcPr>
          <w:p w14:paraId="024718D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50A01AF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2931786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00B95955">
        <w:tblPrEx>
          <w:tblCellMar>
            <w:top w:w="0" w:type="dxa"/>
            <w:left w:w="108" w:type="dxa"/>
            <w:bottom w:w="0" w:type="dxa"/>
            <w:right w:w="108" w:type="dxa"/>
          </w:tblCellMar>
        </w:tblPrEx>
        <w:trPr>
          <w:trHeight w:val="894" w:hRule="atLeast"/>
          <w:jc w:val="center"/>
        </w:trPr>
        <w:tc>
          <w:tcPr>
            <w:tcW w:w="1069" w:type="dxa"/>
            <w:vMerge w:val="restart"/>
            <w:tcBorders>
              <w:top w:val="nil"/>
              <w:left w:val="single" w:color="auto" w:sz="4" w:space="0"/>
              <w:bottom w:val="single" w:color="000000" w:sz="4" w:space="0"/>
              <w:right w:val="single" w:color="auto" w:sz="4" w:space="0"/>
            </w:tcBorders>
            <w:shd w:val="clear" w:color="000000" w:fill="FFFFFF"/>
            <w:vAlign w:val="center"/>
          </w:tcPr>
          <w:p w14:paraId="2EDA293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B超</w:t>
            </w:r>
          </w:p>
        </w:tc>
        <w:tc>
          <w:tcPr>
            <w:tcW w:w="2900" w:type="dxa"/>
            <w:tcBorders>
              <w:top w:val="nil"/>
              <w:left w:val="nil"/>
              <w:bottom w:val="single" w:color="auto" w:sz="4" w:space="0"/>
              <w:right w:val="single" w:color="auto" w:sz="4" w:space="0"/>
            </w:tcBorders>
            <w:shd w:val="clear" w:color="000000" w:fill="FFFFFF"/>
            <w:vAlign w:val="center"/>
          </w:tcPr>
          <w:p w14:paraId="5A774AE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肝、胆、胰、脾、肾</w:t>
            </w:r>
          </w:p>
        </w:tc>
        <w:tc>
          <w:tcPr>
            <w:tcW w:w="2835" w:type="dxa"/>
            <w:tcBorders>
              <w:top w:val="nil"/>
              <w:left w:val="nil"/>
              <w:bottom w:val="single" w:color="auto" w:sz="4" w:space="0"/>
              <w:right w:val="single" w:color="auto" w:sz="4" w:space="0"/>
            </w:tcBorders>
            <w:shd w:val="clear" w:color="000000" w:fill="FFFFFF"/>
            <w:vAlign w:val="center"/>
          </w:tcPr>
          <w:p w14:paraId="543528F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检查腹部器官有无占位性疾病、肝胆慢性病变、血管瘤、胰脏等器官病变及肿瘤。脂肪肝、肝硬化、肝胆结石等疾病。</w:t>
            </w:r>
          </w:p>
        </w:tc>
        <w:tc>
          <w:tcPr>
            <w:tcW w:w="430" w:type="dxa"/>
            <w:tcBorders>
              <w:top w:val="nil"/>
              <w:left w:val="nil"/>
              <w:bottom w:val="single" w:color="auto" w:sz="4" w:space="0"/>
              <w:right w:val="single" w:color="auto" w:sz="4" w:space="0"/>
            </w:tcBorders>
            <w:shd w:val="clear" w:color="000000" w:fill="FFFFFF"/>
            <w:vAlign w:val="center"/>
          </w:tcPr>
          <w:p w14:paraId="4973646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5812565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517C3F6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5D9ECCFC">
        <w:tblPrEx>
          <w:tblCellMar>
            <w:top w:w="0" w:type="dxa"/>
            <w:left w:w="108" w:type="dxa"/>
            <w:bottom w:w="0" w:type="dxa"/>
            <w:right w:w="108" w:type="dxa"/>
          </w:tblCellMar>
        </w:tblPrEx>
        <w:trPr>
          <w:trHeight w:val="670"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12E9745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4BAB261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检查前列腺、膀胱、盆腔</w:t>
            </w:r>
          </w:p>
          <w:p w14:paraId="048C936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（男性）</w:t>
            </w:r>
          </w:p>
        </w:tc>
        <w:tc>
          <w:tcPr>
            <w:tcW w:w="2835" w:type="dxa"/>
            <w:tcBorders>
              <w:top w:val="nil"/>
              <w:left w:val="nil"/>
              <w:bottom w:val="single" w:color="auto" w:sz="4" w:space="0"/>
              <w:right w:val="single" w:color="auto" w:sz="4" w:space="0"/>
            </w:tcBorders>
            <w:shd w:val="clear" w:color="000000" w:fill="FFFFFF"/>
            <w:vAlign w:val="center"/>
          </w:tcPr>
          <w:p w14:paraId="1338758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发现前列腺（增生）、膀胱占位性病变等（憋尿、检前饮300-500ml白水）。</w:t>
            </w:r>
          </w:p>
        </w:tc>
        <w:tc>
          <w:tcPr>
            <w:tcW w:w="430" w:type="dxa"/>
            <w:tcBorders>
              <w:top w:val="nil"/>
              <w:left w:val="nil"/>
              <w:bottom w:val="single" w:color="auto" w:sz="4" w:space="0"/>
              <w:right w:val="single" w:color="auto" w:sz="4" w:space="0"/>
            </w:tcBorders>
            <w:shd w:val="clear" w:color="000000" w:fill="FFFFFF"/>
            <w:vAlign w:val="center"/>
          </w:tcPr>
          <w:p w14:paraId="4867069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65467FF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6A7CB4A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64C565C0">
        <w:tblPrEx>
          <w:tblCellMar>
            <w:top w:w="0" w:type="dxa"/>
            <w:left w:w="108" w:type="dxa"/>
            <w:bottom w:w="0" w:type="dxa"/>
            <w:right w:w="108" w:type="dxa"/>
          </w:tblCellMar>
        </w:tblPrEx>
        <w:trPr>
          <w:trHeight w:val="596"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572A80C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6A44A8E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检查子宫、附件、盆腔</w:t>
            </w:r>
          </w:p>
          <w:p w14:paraId="29C6E94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（女性）</w:t>
            </w:r>
          </w:p>
        </w:tc>
        <w:tc>
          <w:tcPr>
            <w:tcW w:w="2835" w:type="dxa"/>
            <w:tcBorders>
              <w:top w:val="nil"/>
              <w:left w:val="nil"/>
              <w:bottom w:val="single" w:color="auto" w:sz="4" w:space="0"/>
              <w:right w:val="single" w:color="auto" w:sz="4" w:space="0"/>
            </w:tcBorders>
            <w:shd w:val="clear" w:color="000000" w:fill="FFFFFF"/>
            <w:vAlign w:val="center"/>
          </w:tcPr>
          <w:p w14:paraId="54E7C88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发现子宫、附件、膀胱占位性病变（憋尿、检前饮700-1000ml白水）。</w:t>
            </w:r>
          </w:p>
        </w:tc>
        <w:tc>
          <w:tcPr>
            <w:tcW w:w="430" w:type="dxa"/>
            <w:tcBorders>
              <w:top w:val="nil"/>
              <w:left w:val="nil"/>
              <w:bottom w:val="single" w:color="auto" w:sz="4" w:space="0"/>
              <w:right w:val="single" w:color="auto" w:sz="4" w:space="0"/>
            </w:tcBorders>
            <w:shd w:val="clear" w:color="000000" w:fill="FFFFFF"/>
            <w:vAlign w:val="center"/>
          </w:tcPr>
          <w:p w14:paraId="60616DD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56B234C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6467A69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4E3E3F66">
        <w:tblPrEx>
          <w:tblCellMar>
            <w:top w:w="0" w:type="dxa"/>
            <w:left w:w="108" w:type="dxa"/>
            <w:bottom w:w="0" w:type="dxa"/>
            <w:right w:w="108" w:type="dxa"/>
          </w:tblCellMar>
        </w:tblPrEx>
        <w:trPr>
          <w:trHeight w:val="973"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762FB8A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49166F9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甲状腺</w:t>
            </w:r>
          </w:p>
        </w:tc>
        <w:tc>
          <w:tcPr>
            <w:tcW w:w="2835" w:type="dxa"/>
            <w:tcBorders>
              <w:top w:val="nil"/>
              <w:left w:val="nil"/>
              <w:bottom w:val="single" w:color="auto" w:sz="4" w:space="0"/>
              <w:right w:val="single" w:color="auto" w:sz="4" w:space="0"/>
            </w:tcBorders>
            <w:shd w:val="clear" w:color="000000" w:fill="FFFFFF"/>
            <w:vAlign w:val="center"/>
          </w:tcPr>
          <w:p w14:paraId="04EC4EF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能够帮助判断甲状腺是否有弥漫性病变或者是占位性病变，还可以随访甲状腺疾病的治疗效果，其特点是简便、快捷、无痛苦、准确率高。</w:t>
            </w:r>
          </w:p>
        </w:tc>
        <w:tc>
          <w:tcPr>
            <w:tcW w:w="430" w:type="dxa"/>
            <w:tcBorders>
              <w:top w:val="nil"/>
              <w:left w:val="nil"/>
              <w:bottom w:val="single" w:color="auto" w:sz="4" w:space="0"/>
              <w:right w:val="single" w:color="auto" w:sz="4" w:space="0"/>
            </w:tcBorders>
            <w:shd w:val="clear" w:color="000000" w:fill="FFFFFF"/>
            <w:vAlign w:val="center"/>
          </w:tcPr>
          <w:p w14:paraId="6C84A49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3B49335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6357CDC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0961625B">
        <w:tblPrEx>
          <w:tblCellMar>
            <w:top w:w="0" w:type="dxa"/>
            <w:left w:w="108" w:type="dxa"/>
            <w:bottom w:w="0" w:type="dxa"/>
            <w:right w:w="108" w:type="dxa"/>
          </w:tblCellMar>
        </w:tblPrEx>
        <w:trPr>
          <w:trHeight w:val="876"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2FC1AEA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029BA6B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乳房</w:t>
            </w:r>
          </w:p>
          <w:p w14:paraId="484C38D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（女性）</w:t>
            </w:r>
          </w:p>
        </w:tc>
        <w:tc>
          <w:tcPr>
            <w:tcW w:w="2835" w:type="dxa"/>
            <w:tcBorders>
              <w:top w:val="nil"/>
              <w:left w:val="nil"/>
              <w:bottom w:val="single" w:color="auto" w:sz="4" w:space="0"/>
              <w:right w:val="single" w:color="auto" w:sz="4" w:space="0"/>
            </w:tcBorders>
            <w:shd w:val="clear" w:color="000000" w:fill="FFFFFF"/>
            <w:vAlign w:val="center"/>
          </w:tcPr>
          <w:p w14:paraId="08C159A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主要针对乳腺小叶增生﹑乳腺囊肿﹑乳腺肿瘤（良﹑恶）性疾病等进行早期筛查。其特点是简便﹑快捷﹑无痛苦﹑准确率高。</w:t>
            </w:r>
          </w:p>
        </w:tc>
        <w:tc>
          <w:tcPr>
            <w:tcW w:w="430" w:type="dxa"/>
            <w:tcBorders>
              <w:top w:val="nil"/>
              <w:left w:val="nil"/>
              <w:bottom w:val="single" w:color="auto" w:sz="4" w:space="0"/>
              <w:right w:val="single" w:color="auto" w:sz="4" w:space="0"/>
            </w:tcBorders>
            <w:shd w:val="clear" w:color="000000" w:fill="FFFFFF"/>
            <w:vAlign w:val="center"/>
          </w:tcPr>
          <w:p w14:paraId="62BF8FF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0902669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0A0B8E6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7E6FE1E7">
        <w:tblPrEx>
          <w:tblCellMar>
            <w:top w:w="0" w:type="dxa"/>
            <w:left w:w="108" w:type="dxa"/>
            <w:bottom w:w="0" w:type="dxa"/>
            <w:right w:w="108" w:type="dxa"/>
          </w:tblCellMar>
        </w:tblPrEx>
        <w:trPr>
          <w:trHeight w:val="876"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7E68EB5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放射检查</w:t>
            </w:r>
          </w:p>
        </w:tc>
        <w:tc>
          <w:tcPr>
            <w:tcW w:w="2900" w:type="dxa"/>
            <w:tcBorders>
              <w:top w:val="nil"/>
              <w:left w:val="nil"/>
              <w:bottom w:val="single" w:color="auto" w:sz="4" w:space="0"/>
              <w:right w:val="single" w:color="auto" w:sz="4" w:space="0"/>
            </w:tcBorders>
            <w:shd w:val="clear" w:color="000000" w:fill="FFFFFF"/>
            <w:vAlign w:val="center"/>
          </w:tcPr>
          <w:p w14:paraId="58BD349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乳房钼靶（不含片子）</w:t>
            </w:r>
          </w:p>
        </w:tc>
        <w:tc>
          <w:tcPr>
            <w:tcW w:w="2835" w:type="dxa"/>
            <w:tcBorders>
              <w:top w:val="nil"/>
              <w:left w:val="nil"/>
              <w:bottom w:val="single" w:color="auto" w:sz="4" w:space="0"/>
              <w:right w:val="single" w:color="auto" w:sz="4" w:space="0"/>
            </w:tcBorders>
            <w:shd w:val="clear" w:color="000000" w:fill="FFFFFF"/>
            <w:vAlign w:val="center"/>
          </w:tcPr>
          <w:p w14:paraId="21767C9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主要用于乳腺疾病的筛查和乳腺癌的诊断，能够清晰地显示乳腺的各层组织，能够更好地观察到肿块的大小、数量，是否有钙化灶。该项目检查痛苦相对较小，并且分辨率比较高，不会受到年龄、体型等多种限制，是诊断乳腺疾病的首选检查方法。</w:t>
            </w:r>
          </w:p>
        </w:tc>
        <w:tc>
          <w:tcPr>
            <w:tcW w:w="430" w:type="dxa"/>
            <w:tcBorders>
              <w:top w:val="nil"/>
              <w:left w:val="nil"/>
              <w:bottom w:val="single" w:color="auto" w:sz="4" w:space="0"/>
              <w:right w:val="single" w:color="auto" w:sz="4" w:space="0"/>
            </w:tcBorders>
            <w:shd w:val="clear" w:color="000000" w:fill="FFFFFF"/>
            <w:vAlign w:val="center"/>
          </w:tcPr>
          <w:p w14:paraId="2A35645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3559F00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58CF429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3D109E37">
        <w:tblPrEx>
          <w:tblCellMar>
            <w:top w:w="0" w:type="dxa"/>
            <w:left w:w="108" w:type="dxa"/>
            <w:bottom w:w="0" w:type="dxa"/>
            <w:right w:w="108" w:type="dxa"/>
          </w:tblCellMar>
        </w:tblPrEx>
        <w:trPr>
          <w:trHeight w:val="894"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52E5BD1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内科</w:t>
            </w:r>
          </w:p>
        </w:tc>
        <w:tc>
          <w:tcPr>
            <w:tcW w:w="2900" w:type="dxa"/>
            <w:tcBorders>
              <w:top w:val="nil"/>
              <w:left w:val="nil"/>
              <w:bottom w:val="single" w:color="auto" w:sz="4" w:space="0"/>
              <w:right w:val="single" w:color="auto" w:sz="4" w:space="0"/>
            </w:tcBorders>
            <w:shd w:val="clear" w:color="000000" w:fill="FFFFFF"/>
            <w:vAlign w:val="center"/>
          </w:tcPr>
          <w:p w14:paraId="4DEAE5E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胸廓对称性、呼吸频率及节律、呼吸动度、呼吸音、心率、心律、心音、心界、肝胆脾触诊、肾区叩诊等。</w:t>
            </w:r>
          </w:p>
        </w:tc>
        <w:tc>
          <w:tcPr>
            <w:tcW w:w="2835" w:type="dxa"/>
            <w:tcBorders>
              <w:top w:val="nil"/>
              <w:left w:val="nil"/>
              <w:bottom w:val="single" w:color="auto" w:sz="4" w:space="0"/>
              <w:right w:val="single" w:color="auto" w:sz="4" w:space="0"/>
            </w:tcBorders>
            <w:shd w:val="clear" w:color="000000" w:fill="FFFFFF"/>
            <w:vAlign w:val="center"/>
          </w:tcPr>
          <w:p w14:paraId="77D962A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检查心、肺、腹有无异常。</w:t>
            </w:r>
          </w:p>
        </w:tc>
        <w:tc>
          <w:tcPr>
            <w:tcW w:w="430" w:type="dxa"/>
            <w:tcBorders>
              <w:top w:val="nil"/>
              <w:left w:val="nil"/>
              <w:bottom w:val="single" w:color="auto" w:sz="4" w:space="0"/>
              <w:right w:val="single" w:color="auto" w:sz="4" w:space="0"/>
            </w:tcBorders>
            <w:shd w:val="clear" w:color="000000" w:fill="FFFFFF"/>
            <w:vAlign w:val="center"/>
          </w:tcPr>
          <w:p w14:paraId="27981CD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2E65FEC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2F4BBFB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00D48DAE">
        <w:tblPrEx>
          <w:tblCellMar>
            <w:top w:w="0" w:type="dxa"/>
            <w:left w:w="108" w:type="dxa"/>
            <w:bottom w:w="0" w:type="dxa"/>
            <w:right w:w="108" w:type="dxa"/>
          </w:tblCellMar>
        </w:tblPrEx>
        <w:trPr>
          <w:trHeight w:val="894" w:hRule="atLeast"/>
          <w:jc w:val="center"/>
        </w:trPr>
        <w:tc>
          <w:tcPr>
            <w:tcW w:w="1069" w:type="dxa"/>
            <w:tcBorders>
              <w:top w:val="nil"/>
              <w:left w:val="single" w:color="auto" w:sz="4" w:space="0"/>
              <w:bottom w:val="nil"/>
              <w:right w:val="single" w:color="auto" w:sz="4" w:space="0"/>
            </w:tcBorders>
            <w:shd w:val="clear" w:color="000000" w:fill="FFFFFF"/>
            <w:vAlign w:val="center"/>
          </w:tcPr>
          <w:p w14:paraId="4E7EDFC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外科</w:t>
            </w:r>
          </w:p>
        </w:tc>
        <w:tc>
          <w:tcPr>
            <w:tcW w:w="2900" w:type="dxa"/>
            <w:tcBorders>
              <w:top w:val="nil"/>
              <w:left w:val="nil"/>
              <w:bottom w:val="single" w:color="auto" w:sz="4" w:space="0"/>
              <w:right w:val="single" w:color="auto" w:sz="4" w:space="0"/>
            </w:tcBorders>
            <w:shd w:val="clear" w:color="000000" w:fill="FFFFFF"/>
            <w:vAlign w:val="center"/>
          </w:tcPr>
          <w:p w14:paraId="172F7AE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皮肤、浅表淋巴结、甲状腺、乳房(女)、脊柱、四肢关节、肛门、直肠指诊、前列腺(男)、外生殖器(男)</w:t>
            </w:r>
          </w:p>
        </w:tc>
        <w:tc>
          <w:tcPr>
            <w:tcW w:w="2835" w:type="dxa"/>
            <w:tcBorders>
              <w:top w:val="nil"/>
              <w:left w:val="nil"/>
              <w:bottom w:val="single" w:color="auto" w:sz="4" w:space="0"/>
              <w:right w:val="single" w:color="auto" w:sz="4" w:space="0"/>
            </w:tcBorders>
            <w:shd w:val="clear" w:color="000000" w:fill="FFFFFF"/>
            <w:vAlign w:val="center"/>
          </w:tcPr>
          <w:p w14:paraId="48BC037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检查皮肤、浅表淋巴结、甲状腺、乳房(女)、脊柱、四肢关节、肛门、直肠、前列腺(男)、外生殖器(男)有无异常。</w:t>
            </w:r>
          </w:p>
        </w:tc>
        <w:tc>
          <w:tcPr>
            <w:tcW w:w="430" w:type="dxa"/>
            <w:tcBorders>
              <w:top w:val="nil"/>
              <w:left w:val="nil"/>
              <w:bottom w:val="single" w:color="auto" w:sz="4" w:space="0"/>
              <w:right w:val="single" w:color="auto" w:sz="4" w:space="0"/>
            </w:tcBorders>
            <w:shd w:val="clear" w:color="000000" w:fill="FFFFFF"/>
            <w:vAlign w:val="center"/>
          </w:tcPr>
          <w:p w14:paraId="51FD41D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78C6AEE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782C000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2C3DB26E">
        <w:tblPrEx>
          <w:tblCellMar>
            <w:top w:w="0" w:type="dxa"/>
            <w:left w:w="108" w:type="dxa"/>
            <w:bottom w:w="0" w:type="dxa"/>
            <w:right w:w="108" w:type="dxa"/>
          </w:tblCellMar>
        </w:tblPrEx>
        <w:trPr>
          <w:trHeight w:val="1379" w:hRule="atLeast"/>
          <w:jc w:val="center"/>
        </w:trPr>
        <w:tc>
          <w:tcPr>
            <w:tcW w:w="1069" w:type="dxa"/>
            <w:tcBorders>
              <w:top w:val="single" w:color="auto" w:sz="4" w:space="0"/>
              <w:left w:val="single" w:color="auto" w:sz="4" w:space="0"/>
              <w:bottom w:val="single" w:color="auto" w:sz="4" w:space="0"/>
              <w:right w:val="single" w:color="auto" w:sz="4" w:space="0"/>
            </w:tcBorders>
            <w:shd w:val="clear" w:color="000000" w:fill="FFFFFF"/>
            <w:vAlign w:val="center"/>
          </w:tcPr>
          <w:p w14:paraId="08CDAED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眼科</w:t>
            </w:r>
          </w:p>
        </w:tc>
        <w:tc>
          <w:tcPr>
            <w:tcW w:w="2900" w:type="dxa"/>
            <w:tcBorders>
              <w:top w:val="nil"/>
              <w:left w:val="nil"/>
              <w:bottom w:val="single" w:color="auto" w:sz="4" w:space="0"/>
              <w:right w:val="single" w:color="auto" w:sz="4" w:space="0"/>
            </w:tcBorders>
            <w:shd w:val="clear" w:color="000000" w:fill="FFFFFF"/>
            <w:vAlign w:val="center"/>
          </w:tcPr>
          <w:p w14:paraId="12329ED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视力、眼睑、结膜、眼球、裂隙灯：角膜、晶状体、玻璃体、瞳孔。</w:t>
            </w:r>
          </w:p>
        </w:tc>
        <w:tc>
          <w:tcPr>
            <w:tcW w:w="2835" w:type="dxa"/>
            <w:tcBorders>
              <w:top w:val="nil"/>
              <w:left w:val="nil"/>
              <w:bottom w:val="single" w:color="auto" w:sz="4" w:space="0"/>
              <w:right w:val="single" w:color="auto" w:sz="4" w:space="0"/>
            </w:tcBorders>
            <w:shd w:val="clear" w:color="000000" w:fill="FFFFFF"/>
            <w:vAlign w:val="center"/>
          </w:tcPr>
          <w:p w14:paraId="5DF2F23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1.检查有无屈光不正。2.检查眼睑、结膜、眼球、眼底、晶状体、玻璃体、角膜有无异常。</w:t>
            </w:r>
          </w:p>
        </w:tc>
        <w:tc>
          <w:tcPr>
            <w:tcW w:w="430" w:type="dxa"/>
            <w:tcBorders>
              <w:top w:val="nil"/>
              <w:left w:val="nil"/>
              <w:bottom w:val="single" w:color="auto" w:sz="4" w:space="0"/>
              <w:right w:val="single" w:color="auto" w:sz="4" w:space="0"/>
            </w:tcBorders>
            <w:shd w:val="clear" w:color="000000" w:fill="FFFFFF"/>
            <w:vAlign w:val="center"/>
          </w:tcPr>
          <w:p w14:paraId="5866D16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625B263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41D77C0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6A1F7442">
        <w:tblPrEx>
          <w:tblCellMar>
            <w:top w:w="0" w:type="dxa"/>
            <w:left w:w="108" w:type="dxa"/>
            <w:bottom w:w="0" w:type="dxa"/>
            <w:right w:w="108" w:type="dxa"/>
          </w:tblCellMar>
        </w:tblPrEx>
        <w:trPr>
          <w:trHeight w:val="90" w:hRule="atLeast"/>
          <w:jc w:val="center"/>
        </w:trPr>
        <w:tc>
          <w:tcPr>
            <w:tcW w:w="1069" w:type="dxa"/>
            <w:vMerge w:val="restart"/>
            <w:tcBorders>
              <w:top w:val="nil"/>
              <w:left w:val="single" w:color="auto" w:sz="4" w:space="0"/>
              <w:bottom w:val="nil"/>
              <w:right w:val="single" w:color="auto" w:sz="4" w:space="0"/>
            </w:tcBorders>
            <w:shd w:val="clear" w:color="000000" w:fill="FFFFFF"/>
            <w:vAlign w:val="center"/>
          </w:tcPr>
          <w:p w14:paraId="50C70C3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妇科（已婚女）</w:t>
            </w:r>
          </w:p>
        </w:tc>
        <w:tc>
          <w:tcPr>
            <w:tcW w:w="2900" w:type="dxa"/>
            <w:tcBorders>
              <w:top w:val="nil"/>
              <w:left w:val="nil"/>
              <w:bottom w:val="single" w:color="auto" w:sz="4" w:space="0"/>
              <w:right w:val="single" w:color="auto" w:sz="4" w:space="0"/>
            </w:tcBorders>
            <w:shd w:val="clear" w:color="000000" w:fill="FFFFFF"/>
            <w:vAlign w:val="center"/>
          </w:tcPr>
          <w:p w14:paraId="7FE3E12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外阴、阴道、宫颈、子宫体、附件</w:t>
            </w:r>
          </w:p>
        </w:tc>
        <w:tc>
          <w:tcPr>
            <w:tcW w:w="2835" w:type="dxa"/>
            <w:tcBorders>
              <w:top w:val="nil"/>
              <w:left w:val="nil"/>
              <w:bottom w:val="single" w:color="auto" w:sz="4" w:space="0"/>
              <w:right w:val="single" w:color="auto" w:sz="4" w:space="0"/>
            </w:tcBorders>
            <w:shd w:val="clear" w:color="000000" w:fill="FFFFFF"/>
            <w:vAlign w:val="center"/>
          </w:tcPr>
          <w:p w14:paraId="17C4ABE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检查生殖系统及附件有无异常。</w:t>
            </w:r>
          </w:p>
        </w:tc>
        <w:tc>
          <w:tcPr>
            <w:tcW w:w="430" w:type="dxa"/>
            <w:vMerge w:val="restart"/>
            <w:tcBorders>
              <w:top w:val="nil"/>
              <w:left w:val="single" w:color="auto" w:sz="4" w:space="0"/>
              <w:bottom w:val="single" w:color="000000" w:sz="4" w:space="0"/>
              <w:right w:val="single" w:color="auto" w:sz="4" w:space="0"/>
            </w:tcBorders>
            <w:shd w:val="clear" w:color="000000" w:fill="FFFFFF"/>
            <w:vAlign w:val="center"/>
          </w:tcPr>
          <w:p w14:paraId="71C357B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381E3FA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vMerge w:val="restart"/>
            <w:tcBorders>
              <w:top w:val="nil"/>
              <w:left w:val="single" w:color="auto" w:sz="4" w:space="0"/>
              <w:bottom w:val="single" w:color="000000" w:sz="4" w:space="0"/>
              <w:right w:val="single" w:color="auto" w:sz="4" w:space="0"/>
            </w:tcBorders>
            <w:shd w:val="clear" w:color="000000" w:fill="FFFFFF"/>
            <w:vAlign w:val="center"/>
          </w:tcPr>
          <w:p w14:paraId="0658F41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46A64506">
        <w:tblPrEx>
          <w:tblCellMar>
            <w:top w:w="0" w:type="dxa"/>
            <w:left w:w="108" w:type="dxa"/>
            <w:bottom w:w="0" w:type="dxa"/>
            <w:right w:w="108" w:type="dxa"/>
          </w:tblCellMar>
        </w:tblPrEx>
        <w:trPr>
          <w:trHeight w:val="436" w:hRule="atLeast"/>
          <w:jc w:val="center"/>
        </w:trPr>
        <w:tc>
          <w:tcPr>
            <w:tcW w:w="1069" w:type="dxa"/>
            <w:vMerge w:val="continue"/>
            <w:tcBorders>
              <w:top w:val="nil"/>
              <w:left w:val="single" w:color="auto" w:sz="4" w:space="0"/>
              <w:bottom w:val="nil"/>
              <w:right w:val="single" w:color="auto" w:sz="4" w:space="0"/>
            </w:tcBorders>
            <w:vAlign w:val="center"/>
          </w:tcPr>
          <w:p w14:paraId="1A2001C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56F34C7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宫颈涂片</w:t>
            </w:r>
          </w:p>
        </w:tc>
        <w:tc>
          <w:tcPr>
            <w:tcW w:w="2835" w:type="dxa"/>
            <w:tcBorders>
              <w:top w:val="nil"/>
              <w:left w:val="nil"/>
              <w:bottom w:val="single" w:color="auto" w:sz="4" w:space="0"/>
              <w:right w:val="single" w:color="auto" w:sz="4" w:space="0"/>
            </w:tcBorders>
            <w:shd w:val="clear" w:color="000000" w:fill="FFFFFF"/>
            <w:vAlign w:val="center"/>
          </w:tcPr>
          <w:p w14:paraId="073067A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检查是否有宫颈癌及癌前病变。</w:t>
            </w:r>
          </w:p>
        </w:tc>
        <w:tc>
          <w:tcPr>
            <w:tcW w:w="430" w:type="dxa"/>
            <w:vMerge w:val="continue"/>
            <w:tcBorders>
              <w:top w:val="nil"/>
              <w:left w:val="single" w:color="auto" w:sz="4" w:space="0"/>
              <w:bottom w:val="single" w:color="000000" w:sz="4" w:space="0"/>
              <w:right w:val="single" w:color="auto" w:sz="4" w:space="0"/>
            </w:tcBorders>
            <w:vAlign w:val="center"/>
          </w:tcPr>
          <w:p w14:paraId="6876616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tcBorders>
              <w:top w:val="nil"/>
              <w:left w:val="nil"/>
              <w:bottom w:val="single" w:color="auto" w:sz="4" w:space="0"/>
              <w:right w:val="single" w:color="auto" w:sz="4" w:space="0"/>
            </w:tcBorders>
            <w:shd w:val="clear" w:color="000000" w:fill="FFFFFF"/>
            <w:vAlign w:val="center"/>
          </w:tcPr>
          <w:p w14:paraId="75BBE69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vMerge w:val="continue"/>
            <w:tcBorders>
              <w:top w:val="nil"/>
              <w:left w:val="single" w:color="auto" w:sz="4" w:space="0"/>
              <w:bottom w:val="single" w:color="000000" w:sz="4" w:space="0"/>
              <w:right w:val="single" w:color="auto" w:sz="4" w:space="0"/>
            </w:tcBorders>
            <w:vAlign w:val="center"/>
          </w:tcPr>
          <w:p w14:paraId="534EFC2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12BF6B36">
        <w:tblPrEx>
          <w:tblCellMar>
            <w:top w:w="0" w:type="dxa"/>
            <w:left w:w="108" w:type="dxa"/>
            <w:bottom w:w="0" w:type="dxa"/>
            <w:right w:w="108" w:type="dxa"/>
          </w:tblCellMar>
        </w:tblPrEx>
        <w:trPr>
          <w:trHeight w:val="447" w:hRule="atLeast"/>
          <w:jc w:val="center"/>
        </w:trPr>
        <w:tc>
          <w:tcPr>
            <w:tcW w:w="1069" w:type="dxa"/>
            <w:tcBorders>
              <w:top w:val="single" w:color="auto" w:sz="4" w:space="0"/>
              <w:left w:val="single" w:color="auto" w:sz="4" w:space="0"/>
              <w:bottom w:val="single" w:color="auto" w:sz="4" w:space="0"/>
              <w:right w:val="single" w:color="auto" w:sz="4" w:space="0"/>
            </w:tcBorders>
            <w:shd w:val="clear" w:color="000000" w:fill="FFFFFF"/>
            <w:vAlign w:val="center"/>
          </w:tcPr>
          <w:p w14:paraId="2DB45D3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心电图</w:t>
            </w:r>
          </w:p>
        </w:tc>
        <w:tc>
          <w:tcPr>
            <w:tcW w:w="2900" w:type="dxa"/>
            <w:tcBorders>
              <w:top w:val="nil"/>
              <w:left w:val="nil"/>
              <w:bottom w:val="single" w:color="auto" w:sz="4" w:space="0"/>
              <w:right w:val="single" w:color="auto" w:sz="4" w:space="0"/>
            </w:tcBorders>
            <w:shd w:val="clear" w:color="000000" w:fill="FFFFFF"/>
            <w:vAlign w:val="center"/>
          </w:tcPr>
          <w:p w14:paraId="35C11FF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十二导联心电图检测</w:t>
            </w:r>
          </w:p>
        </w:tc>
        <w:tc>
          <w:tcPr>
            <w:tcW w:w="2835" w:type="dxa"/>
            <w:tcBorders>
              <w:top w:val="nil"/>
              <w:left w:val="nil"/>
              <w:bottom w:val="single" w:color="auto" w:sz="4" w:space="0"/>
              <w:right w:val="single" w:color="auto" w:sz="4" w:space="0"/>
            </w:tcBorders>
            <w:shd w:val="clear" w:color="000000" w:fill="FFFFFF"/>
            <w:vAlign w:val="center"/>
          </w:tcPr>
          <w:p w14:paraId="3976F62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发现有无心律失常、缺血性心脏病、心肌病变等。</w:t>
            </w:r>
          </w:p>
        </w:tc>
        <w:tc>
          <w:tcPr>
            <w:tcW w:w="430" w:type="dxa"/>
            <w:tcBorders>
              <w:top w:val="nil"/>
              <w:left w:val="nil"/>
              <w:bottom w:val="single" w:color="auto" w:sz="4" w:space="0"/>
              <w:right w:val="single" w:color="auto" w:sz="4" w:space="0"/>
            </w:tcBorders>
            <w:shd w:val="clear" w:color="000000" w:fill="FFFFFF"/>
            <w:vAlign w:val="center"/>
          </w:tcPr>
          <w:p w14:paraId="1178351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5FD3E621">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120BAEA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384E60C0">
        <w:tblPrEx>
          <w:tblCellMar>
            <w:top w:w="0" w:type="dxa"/>
            <w:left w:w="108" w:type="dxa"/>
            <w:bottom w:w="0" w:type="dxa"/>
            <w:right w:w="108" w:type="dxa"/>
          </w:tblCellMar>
        </w:tblPrEx>
        <w:trPr>
          <w:trHeight w:val="518" w:hRule="atLeast"/>
          <w:jc w:val="center"/>
        </w:trPr>
        <w:tc>
          <w:tcPr>
            <w:tcW w:w="1069" w:type="dxa"/>
            <w:vMerge w:val="restart"/>
            <w:tcBorders>
              <w:top w:val="nil"/>
              <w:left w:val="single" w:color="auto" w:sz="4" w:space="0"/>
              <w:bottom w:val="single" w:color="000000" w:sz="4" w:space="0"/>
              <w:right w:val="single" w:color="auto" w:sz="4" w:space="0"/>
            </w:tcBorders>
            <w:shd w:val="clear" w:color="000000" w:fill="FFFFFF"/>
            <w:vAlign w:val="center"/>
          </w:tcPr>
          <w:p w14:paraId="059DE4D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CT检查（两项任意自选一项）</w:t>
            </w:r>
          </w:p>
        </w:tc>
        <w:tc>
          <w:tcPr>
            <w:tcW w:w="2900" w:type="dxa"/>
            <w:tcBorders>
              <w:top w:val="nil"/>
              <w:left w:val="nil"/>
              <w:bottom w:val="single" w:color="auto" w:sz="4" w:space="0"/>
              <w:right w:val="single" w:color="auto" w:sz="4" w:space="0"/>
            </w:tcBorders>
            <w:shd w:val="clear" w:color="000000" w:fill="FFFFFF"/>
            <w:vAlign w:val="center"/>
          </w:tcPr>
          <w:p w14:paraId="5F427D5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胸部CT（不含片子）</w:t>
            </w:r>
          </w:p>
        </w:tc>
        <w:tc>
          <w:tcPr>
            <w:tcW w:w="2835" w:type="dxa"/>
            <w:tcBorders>
              <w:top w:val="nil"/>
              <w:left w:val="nil"/>
              <w:bottom w:val="single" w:color="auto" w:sz="4" w:space="0"/>
              <w:right w:val="single" w:color="auto" w:sz="4" w:space="0"/>
            </w:tcBorders>
            <w:shd w:val="clear" w:color="000000" w:fill="FFFFFF"/>
            <w:vAlign w:val="center"/>
          </w:tcPr>
          <w:p w14:paraId="761F799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根据临床需要可检出X线胸片未发现的隐性病源,用于双肺肿瘤的早期筛查。</w:t>
            </w:r>
          </w:p>
        </w:tc>
        <w:tc>
          <w:tcPr>
            <w:tcW w:w="430" w:type="dxa"/>
            <w:vMerge w:val="restart"/>
            <w:tcBorders>
              <w:top w:val="nil"/>
              <w:left w:val="single" w:color="auto" w:sz="4" w:space="0"/>
              <w:bottom w:val="single" w:color="000000" w:sz="4" w:space="0"/>
              <w:right w:val="single" w:color="auto" w:sz="4" w:space="0"/>
            </w:tcBorders>
            <w:shd w:val="clear" w:color="000000" w:fill="FFFFFF"/>
            <w:vAlign w:val="center"/>
          </w:tcPr>
          <w:p w14:paraId="62DB12C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vMerge w:val="restart"/>
            <w:tcBorders>
              <w:top w:val="nil"/>
              <w:left w:val="single" w:color="auto" w:sz="4" w:space="0"/>
              <w:bottom w:val="single" w:color="000000" w:sz="4" w:space="0"/>
              <w:right w:val="single" w:color="auto" w:sz="4" w:space="0"/>
            </w:tcBorders>
            <w:shd w:val="clear" w:color="000000" w:fill="FFFFFF"/>
            <w:vAlign w:val="center"/>
          </w:tcPr>
          <w:p w14:paraId="08DF83F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vMerge w:val="restart"/>
            <w:tcBorders>
              <w:top w:val="nil"/>
              <w:left w:val="single" w:color="auto" w:sz="4" w:space="0"/>
              <w:bottom w:val="single" w:color="000000" w:sz="4" w:space="0"/>
              <w:right w:val="single" w:color="auto" w:sz="4" w:space="0"/>
            </w:tcBorders>
            <w:shd w:val="clear" w:color="000000" w:fill="FFFFFF"/>
            <w:vAlign w:val="center"/>
          </w:tcPr>
          <w:p w14:paraId="7B8EE0B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47FEA5D2">
        <w:tblPrEx>
          <w:tblCellMar>
            <w:top w:w="0" w:type="dxa"/>
            <w:left w:w="108" w:type="dxa"/>
            <w:bottom w:w="0" w:type="dxa"/>
            <w:right w:w="108" w:type="dxa"/>
          </w:tblCellMar>
        </w:tblPrEx>
        <w:trPr>
          <w:trHeight w:val="656"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5FC1D42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69963CD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头颅CT平扫（不含片子）</w:t>
            </w:r>
          </w:p>
        </w:tc>
        <w:tc>
          <w:tcPr>
            <w:tcW w:w="2835" w:type="dxa"/>
            <w:tcBorders>
              <w:top w:val="nil"/>
              <w:left w:val="nil"/>
              <w:bottom w:val="single" w:color="auto" w:sz="4" w:space="0"/>
              <w:right w:val="single" w:color="auto" w:sz="4" w:space="0"/>
            </w:tcBorders>
            <w:shd w:val="clear" w:color="000000" w:fill="FFFFFF"/>
            <w:vAlign w:val="center"/>
          </w:tcPr>
          <w:p w14:paraId="791CADD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检查脑部病变情况如是否有脑出血、脑梗死、脑肿瘤、先天脑部畸形、脑部感染性疾病等。</w:t>
            </w:r>
          </w:p>
        </w:tc>
        <w:tc>
          <w:tcPr>
            <w:tcW w:w="430" w:type="dxa"/>
            <w:vMerge w:val="continue"/>
            <w:tcBorders>
              <w:top w:val="nil"/>
              <w:left w:val="single" w:color="auto" w:sz="4" w:space="0"/>
              <w:bottom w:val="single" w:color="000000" w:sz="4" w:space="0"/>
              <w:right w:val="single" w:color="auto" w:sz="4" w:space="0"/>
            </w:tcBorders>
            <w:vAlign w:val="center"/>
          </w:tcPr>
          <w:p w14:paraId="635BC0C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000000" w:sz="4" w:space="0"/>
              <w:right w:val="single" w:color="auto" w:sz="4" w:space="0"/>
            </w:tcBorders>
            <w:vAlign w:val="center"/>
          </w:tcPr>
          <w:p w14:paraId="52031AD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000000" w:sz="4" w:space="0"/>
              <w:right w:val="single" w:color="auto" w:sz="4" w:space="0"/>
            </w:tcBorders>
            <w:vAlign w:val="center"/>
          </w:tcPr>
          <w:p w14:paraId="4A2FAAB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34C5D3AC">
        <w:tblPrEx>
          <w:tblCellMar>
            <w:top w:w="0" w:type="dxa"/>
            <w:left w:w="108" w:type="dxa"/>
            <w:bottom w:w="0" w:type="dxa"/>
            <w:right w:w="108" w:type="dxa"/>
          </w:tblCellMar>
        </w:tblPrEx>
        <w:trPr>
          <w:trHeight w:val="283"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694E76F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个人汇总分析</w:t>
            </w:r>
          </w:p>
        </w:tc>
        <w:tc>
          <w:tcPr>
            <w:tcW w:w="2900" w:type="dxa"/>
            <w:tcBorders>
              <w:top w:val="nil"/>
              <w:left w:val="nil"/>
              <w:bottom w:val="single" w:color="auto" w:sz="4" w:space="0"/>
              <w:right w:val="single" w:color="auto" w:sz="4" w:space="0"/>
            </w:tcBorders>
            <w:shd w:val="clear" w:color="000000" w:fill="FFFFFF"/>
            <w:vAlign w:val="center"/>
          </w:tcPr>
          <w:p w14:paraId="19BDCE6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所有项目综合分析</w:t>
            </w:r>
          </w:p>
        </w:tc>
        <w:tc>
          <w:tcPr>
            <w:tcW w:w="2835" w:type="dxa"/>
            <w:tcBorders>
              <w:top w:val="nil"/>
              <w:left w:val="nil"/>
              <w:bottom w:val="single" w:color="auto" w:sz="4" w:space="0"/>
              <w:right w:val="single" w:color="auto" w:sz="4" w:space="0"/>
            </w:tcBorders>
            <w:shd w:val="clear" w:color="000000" w:fill="FFFFFF"/>
            <w:vAlign w:val="center"/>
          </w:tcPr>
          <w:p w14:paraId="57E3B30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提出分析意见及健康指导。</w:t>
            </w:r>
          </w:p>
        </w:tc>
        <w:tc>
          <w:tcPr>
            <w:tcW w:w="430" w:type="dxa"/>
            <w:tcBorders>
              <w:top w:val="nil"/>
              <w:left w:val="nil"/>
              <w:bottom w:val="single" w:color="auto" w:sz="4" w:space="0"/>
              <w:right w:val="single" w:color="auto" w:sz="4" w:space="0"/>
            </w:tcBorders>
            <w:shd w:val="clear" w:color="000000" w:fill="FFFFFF"/>
            <w:vAlign w:val="center"/>
          </w:tcPr>
          <w:p w14:paraId="6E4117FC">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5CFCC7A4">
            <w:pPr>
              <w:keepNext w:val="0"/>
              <w:keepLines w:val="0"/>
              <w:pageBreakBefore w:val="0"/>
              <w:kinsoku/>
              <w:wordWrap/>
              <w:overflowPunct/>
              <w:topLinePunct w:val="0"/>
              <w:autoSpaceDE/>
              <w:autoSpaceDN/>
              <w:bidi w:val="0"/>
              <w:adjustRightInd/>
              <w:snapToGrid/>
              <w:spacing w:line="400" w:lineRule="exact"/>
              <w:ind w:firstLine="105" w:firstLineChars="5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6C44D4E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rPr>
              <w:t>√</w:t>
            </w:r>
          </w:p>
        </w:tc>
      </w:tr>
      <w:tr w14:paraId="33AFA301">
        <w:tblPrEx>
          <w:tblCellMar>
            <w:top w:w="0" w:type="dxa"/>
            <w:left w:w="108" w:type="dxa"/>
            <w:bottom w:w="0" w:type="dxa"/>
            <w:right w:w="108" w:type="dxa"/>
          </w:tblCellMar>
        </w:tblPrEx>
        <w:trPr>
          <w:trHeight w:val="447"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66FEF91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免费营养早餐</w:t>
            </w:r>
          </w:p>
        </w:tc>
        <w:tc>
          <w:tcPr>
            <w:tcW w:w="2900" w:type="dxa"/>
            <w:tcBorders>
              <w:top w:val="nil"/>
              <w:left w:val="nil"/>
              <w:bottom w:val="single" w:color="auto" w:sz="4" w:space="0"/>
              <w:right w:val="single" w:color="auto" w:sz="4" w:space="0"/>
            </w:tcBorders>
            <w:shd w:val="clear" w:color="000000" w:fill="FFFFFF"/>
            <w:vAlign w:val="center"/>
          </w:tcPr>
          <w:p w14:paraId="220F886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鸡蛋、牛奶、面包等</w:t>
            </w:r>
          </w:p>
        </w:tc>
        <w:tc>
          <w:tcPr>
            <w:tcW w:w="2835" w:type="dxa"/>
            <w:tcBorders>
              <w:top w:val="nil"/>
              <w:left w:val="nil"/>
              <w:bottom w:val="single" w:color="auto" w:sz="4" w:space="0"/>
              <w:right w:val="single" w:color="auto" w:sz="4" w:space="0"/>
            </w:tcBorders>
            <w:shd w:val="clear" w:color="000000" w:fill="FFFFFF"/>
            <w:vAlign w:val="center"/>
          </w:tcPr>
          <w:p w14:paraId="664225B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营养丰富的早餐提供足量的早餐所需要的营养物。</w:t>
            </w:r>
          </w:p>
        </w:tc>
        <w:tc>
          <w:tcPr>
            <w:tcW w:w="430" w:type="dxa"/>
            <w:tcBorders>
              <w:top w:val="nil"/>
              <w:left w:val="nil"/>
              <w:bottom w:val="single" w:color="auto" w:sz="4" w:space="0"/>
              <w:right w:val="single" w:color="auto" w:sz="4" w:space="0"/>
            </w:tcBorders>
            <w:shd w:val="clear" w:color="000000" w:fill="FFFFFF"/>
            <w:vAlign w:val="center"/>
          </w:tcPr>
          <w:p w14:paraId="6D781063">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4379662F">
            <w:pPr>
              <w:keepNext w:val="0"/>
              <w:keepLines w:val="0"/>
              <w:pageBreakBefore w:val="0"/>
              <w:kinsoku/>
              <w:wordWrap/>
              <w:overflowPunct/>
              <w:topLinePunct w:val="0"/>
              <w:autoSpaceDE/>
              <w:autoSpaceDN/>
              <w:bidi w:val="0"/>
              <w:adjustRightInd/>
              <w:snapToGrid/>
              <w:spacing w:line="400" w:lineRule="exact"/>
              <w:ind w:firstLine="105" w:firstLineChars="5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73665A4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rPr>
              <w:t>√</w:t>
            </w:r>
          </w:p>
        </w:tc>
      </w:tr>
    </w:tbl>
    <w:p w14:paraId="5B589AC4">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注：采购人教职工有权根据自身实际需求选择除上述体检套餐以外的体检项目，包括但不限于幽门螺杆菌检测等，如若选择体检套餐以外体检项目的，该教职工须对应减少上述某一项或某几项同等价位的体检项目。</w:t>
      </w:r>
    </w:p>
    <w:p w14:paraId="0F9E8C18">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1.6体检人数：2025年男性职工902人，已婚女职工930人，未婚女职工180人，具体体检人数以最终实际参加人数为准。2026及2027年体检人数可参照2025年，具体体检人数以最终实际参加人数为准。最终结算金额=男性职工中标单价×实际男性职工体检人数+已婚女职工中标单价×实际已婚女职工体检人数+未婚女职工中标单价×实际未婚女职工体检人数。</w:t>
      </w:r>
    </w:p>
    <w:p w14:paraId="76BAF876">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合同履行期限</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服务期</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：三年（合同一年一签，上一年度考核合格后续签下一年度合同）。</w:t>
      </w:r>
    </w:p>
    <w:p w14:paraId="42E4AF72">
      <w:pPr>
        <w:pageBreakBefore w:val="0"/>
        <w:widowControl w:val="0"/>
        <w:wordWrap/>
        <w:topLinePunct w:val="0"/>
        <w:bidi w:val="0"/>
        <w:spacing w:line="360" w:lineRule="auto"/>
        <w:ind w:firstLine="43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8服务地点</w:t>
      </w:r>
      <w:r>
        <w:rPr>
          <w:rFonts w:hint="eastAsia" w:asciiTheme="minorEastAsia" w:hAnsiTheme="minorEastAsia" w:eastAsiaTheme="minorEastAsia" w:cstheme="minorEastAsia"/>
          <w:color w:val="auto"/>
          <w:sz w:val="24"/>
          <w:szCs w:val="24"/>
          <w:highlight w:val="none"/>
        </w:rPr>
        <w:t>：</w:t>
      </w:r>
      <w:r>
        <w:rPr>
          <w:rFonts w:hint="eastAsia" w:ascii="宋体" w:hAnsi="宋体" w:eastAsia="宋体" w:cs="宋体"/>
          <w:color w:val="auto"/>
          <w:kern w:val="0"/>
          <w:sz w:val="24"/>
          <w:szCs w:val="24"/>
          <w:highlight w:val="none"/>
          <w:lang w:val="en-US" w:eastAsia="zh-CN"/>
        </w:rPr>
        <w:t>云南省昆明市</w:t>
      </w:r>
      <w:r>
        <w:rPr>
          <w:rFonts w:hint="eastAsia" w:ascii="宋体" w:hAnsi="宋体" w:eastAsia="宋体" w:cs="宋体"/>
          <w:color w:val="auto"/>
          <w:sz w:val="24"/>
          <w:szCs w:val="24"/>
          <w:highlight w:val="none"/>
        </w:rPr>
        <w:t>。</w:t>
      </w:r>
    </w:p>
    <w:p w14:paraId="62B7DC80">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其他：投标人必须对招标货物/服务同一包内所有货物/服务进行投标，不允许只投标其中的一部分，否则作为</w:t>
      </w:r>
      <w:r>
        <w:rPr>
          <w:rFonts w:hint="eastAsia" w:asciiTheme="minorEastAsia" w:hAnsiTheme="minorEastAsia" w:eastAsiaTheme="minorEastAsia" w:cstheme="minorEastAsia"/>
          <w:color w:val="auto"/>
          <w:sz w:val="24"/>
          <w:szCs w:val="24"/>
          <w:highlight w:val="none"/>
          <w:lang w:eastAsia="zh-CN"/>
        </w:rPr>
        <w:t>否决投标</w:t>
      </w:r>
      <w:r>
        <w:rPr>
          <w:rFonts w:hint="eastAsia" w:asciiTheme="minorEastAsia" w:hAnsiTheme="minorEastAsia" w:eastAsiaTheme="minorEastAsia" w:cstheme="minorEastAsia"/>
          <w:color w:val="auto"/>
          <w:sz w:val="24"/>
          <w:szCs w:val="24"/>
          <w:highlight w:val="none"/>
        </w:rPr>
        <w:t>处理。</w:t>
      </w:r>
    </w:p>
    <w:p w14:paraId="39B23433">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r>
        <w:rPr>
          <w:rFonts w:hint="eastAsia" w:asciiTheme="minorEastAsia" w:hAnsiTheme="minorEastAsia" w:eastAsiaTheme="minorEastAsia" w:cstheme="minorEastAsia"/>
          <w:color w:val="auto"/>
          <w:sz w:val="24"/>
          <w:szCs w:val="24"/>
          <w:highlight w:val="none"/>
          <w:lang w:val="en-US" w:eastAsia="zh-CN"/>
        </w:rPr>
        <w:t>0本项目不接受进口产品。进口产品是指通过中国海关报关验放进入中国境内且产自关境外的产品。</w:t>
      </w:r>
    </w:p>
    <w:p w14:paraId="1E62E55F">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本项目不允许分包、转包。</w:t>
      </w:r>
    </w:p>
    <w:p w14:paraId="41092CE2">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kern w:val="0"/>
          <w:sz w:val="24"/>
          <w:szCs w:val="24"/>
          <w:highlight w:val="none"/>
        </w:rPr>
        <w:t>本项目不接受联合体投标。</w:t>
      </w:r>
    </w:p>
    <w:p w14:paraId="323D1BF5">
      <w:pPr>
        <w:pStyle w:val="3"/>
        <w:pageBreakBefore w:val="0"/>
        <w:widowControl w:val="0"/>
        <w:numPr>
          <w:ilvl w:val="0"/>
          <w:numId w:val="2"/>
        </w:numPr>
        <w:wordWrap/>
        <w:topLinePunct w:val="0"/>
        <w:bidi w:val="0"/>
        <w:spacing w:before="0" w:after="0" w:line="360" w:lineRule="auto"/>
        <w:ind w:left="0" w:lef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投标人的资格要求</w:t>
      </w:r>
    </w:p>
    <w:p w14:paraId="68770390">
      <w:pPr>
        <w:pStyle w:val="205"/>
        <w:pageBreakBefore w:val="0"/>
        <w:widowControl w:val="0"/>
        <w:wordWrap/>
        <w:topLinePunct w:val="0"/>
        <w:autoSpaceDE w:val="0"/>
        <w:autoSpaceDN w:val="0"/>
        <w:bidi w:val="0"/>
        <w:adjustRightInd w:val="0"/>
        <w:snapToGrid w:val="0"/>
        <w:spacing w:line="360" w:lineRule="auto"/>
        <w:ind w:firstLine="422"/>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2.1 满足《中华人民共和国政府采购法》第二十二条规定，即：</w:t>
      </w:r>
    </w:p>
    <w:p w14:paraId="629F083B">
      <w:pPr>
        <w:pStyle w:val="431"/>
        <w:pageBreakBefore w:val="0"/>
        <w:widowControl w:val="0"/>
        <w:wordWrap/>
        <w:topLinePunct w:val="0"/>
        <w:bidi w:val="0"/>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1）具有独立承担民事责任的能力；</w:t>
      </w:r>
    </w:p>
    <w:p w14:paraId="530EB7FA">
      <w:pPr>
        <w:pStyle w:val="431"/>
        <w:pageBreakBefore w:val="0"/>
        <w:widowControl w:val="0"/>
        <w:wordWrap/>
        <w:topLinePunct w:val="0"/>
        <w:bidi w:val="0"/>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2）具有良好的商业信誉和健全的财务会计制度；</w:t>
      </w:r>
    </w:p>
    <w:p w14:paraId="5F5BC413">
      <w:pPr>
        <w:pStyle w:val="431"/>
        <w:pageBreakBefore w:val="0"/>
        <w:widowControl w:val="0"/>
        <w:wordWrap/>
        <w:topLinePunct w:val="0"/>
        <w:bidi w:val="0"/>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3）具有履行合同所必需的设备和专业技术能力；</w:t>
      </w:r>
    </w:p>
    <w:p w14:paraId="14252882">
      <w:pPr>
        <w:pStyle w:val="431"/>
        <w:pageBreakBefore w:val="0"/>
        <w:widowControl w:val="0"/>
        <w:wordWrap/>
        <w:topLinePunct w:val="0"/>
        <w:bidi w:val="0"/>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4）有依法缴纳税收和社会保障资金的良好记录；</w:t>
      </w:r>
    </w:p>
    <w:p w14:paraId="3C02F8F8">
      <w:pPr>
        <w:pStyle w:val="431"/>
        <w:pageBreakBefore w:val="0"/>
        <w:widowControl w:val="0"/>
        <w:wordWrap/>
        <w:topLinePunct w:val="0"/>
        <w:bidi w:val="0"/>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5）参加政府采购活动前三年内，在经营活动中没有重大违法记录；</w:t>
      </w:r>
    </w:p>
    <w:p w14:paraId="4D81CB5E">
      <w:pPr>
        <w:pStyle w:val="431"/>
        <w:pageBreakBefore w:val="0"/>
        <w:widowControl w:val="0"/>
        <w:wordWrap/>
        <w:topLinePunct w:val="0"/>
        <w:bidi w:val="0"/>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6）法律、行政法规规定的其他条件。</w:t>
      </w:r>
    </w:p>
    <w:p w14:paraId="35A60EDC">
      <w:pPr>
        <w:pStyle w:val="431"/>
        <w:pageBreakBefore w:val="0"/>
        <w:widowControl w:val="0"/>
        <w:wordWrap/>
        <w:topLinePunct w:val="0"/>
        <w:bidi w:val="0"/>
        <w:spacing w:line="360" w:lineRule="auto"/>
        <w:ind w:firstLine="420"/>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2.1.1具有独立承担民事责任的能力，在中华人民共和国境内登记或注册，投标人符合《中华人民共和国政府采购法》第二十</w:t>
      </w:r>
      <w:r>
        <w:rPr>
          <w:rFonts w:hint="eastAsia" w:asciiTheme="minorEastAsia" w:hAnsiTheme="minorEastAsia" w:eastAsiaTheme="minorEastAsia" w:cstheme="minorEastAsia"/>
          <w:color w:val="auto"/>
          <w:sz w:val="24"/>
          <w:szCs w:val="24"/>
          <w:highlight w:val="none"/>
          <w:lang w:val="en-US" w:eastAsia="zh-CN"/>
        </w:rPr>
        <w:t>二</w:t>
      </w:r>
      <w:r>
        <w:rPr>
          <w:rFonts w:hint="default" w:asciiTheme="minorEastAsia" w:hAnsiTheme="minorEastAsia" w:eastAsiaTheme="minorEastAsia" w:cstheme="minorEastAsia"/>
          <w:color w:val="auto"/>
          <w:sz w:val="24"/>
          <w:szCs w:val="24"/>
          <w:highlight w:val="none"/>
          <w:lang w:val="en-US" w:eastAsia="zh-CN"/>
        </w:rPr>
        <w:t>条的规定；</w:t>
      </w:r>
    </w:p>
    <w:p w14:paraId="2D0F40D2">
      <w:pPr>
        <w:pStyle w:val="431"/>
        <w:pageBreakBefore w:val="0"/>
        <w:widowControl w:val="0"/>
        <w:wordWrap/>
        <w:topLinePunct w:val="0"/>
        <w:bidi w:val="0"/>
        <w:spacing w:line="360" w:lineRule="auto"/>
        <w:ind w:firstLine="420"/>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2.1.2具有良好的商业信誉和健全的财务会计制度：</w:t>
      </w:r>
    </w:p>
    <w:p w14:paraId="5D7C23D1">
      <w:pPr>
        <w:pStyle w:val="431"/>
        <w:pageBreakBefore w:val="0"/>
        <w:widowControl w:val="0"/>
        <w:wordWrap/>
        <w:topLinePunct w:val="0"/>
        <w:bidi w:val="0"/>
        <w:spacing w:line="360" w:lineRule="auto"/>
        <w:ind w:firstLine="420"/>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val="en-US" w:eastAsia="zh-CN"/>
        </w:rPr>
        <w:t>具有良好的商业信誉和健全的财务会计制度：①提供供应商2023年度或2024年度的经审计的财务报告复印件（至少包括资产负债表、现金流量表、利润表或损益表，事业单位可提供资产负债表、收入支出表）；②2025年内基本开户银行出具的资信证明。③根据《财政部关于开展政府采购信用担保试点工作方案》（财库[2012]124号），提供财政部门认可的政府采购专业担保机构出具的投标担保函（需同时提供专业担保机构经财政部门认可的证明文件）扫描件。④2025年度新成立的供应商，提供具有健全财务会计制度的承诺。注：供应商根据自身情况提供上述①、②、③、④任意一种证明材料即可</w:t>
      </w:r>
      <w:r>
        <w:rPr>
          <w:rFonts w:hint="default" w:asciiTheme="minorEastAsia" w:hAnsiTheme="minorEastAsia" w:eastAsiaTheme="minorEastAsia" w:cstheme="minorEastAsia"/>
          <w:color w:val="auto"/>
          <w:sz w:val="24"/>
          <w:szCs w:val="24"/>
          <w:highlight w:val="none"/>
          <w:lang w:val="en-US" w:eastAsia="zh-CN"/>
        </w:rPr>
        <w:t>。</w:t>
      </w:r>
    </w:p>
    <w:p w14:paraId="05E4FE6D">
      <w:pPr>
        <w:pStyle w:val="431"/>
        <w:pageBreakBefore w:val="0"/>
        <w:widowControl w:val="0"/>
        <w:wordWrap/>
        <w:topLinePunct w:val="0"/>
        <w:bidi w:val="0"/>
        <w:spacing w:line="360" w:lineRule="auto"/>
        <w:ind w:firstLine="420"/>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2）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代理机构查询结果为准）</w:t>
      </w:r>
      <w:r>
        <w:rPr>
          <w:rFonts w:hint="eastAsia" w:asciiTheme="minorEastAsia" w:hAnsiTheme="minorEastAsia" w:eastAsiaTheme="minorEastAsia" w:cstheme="minorEastAsia"/>
          <w:color w:val="auto"/>
          <w:sz w:val="24"/>
          <w:szCs w:val="24"/>
          <w:highlight w:val="none"/>
          <w:lang w:val="en-US" w:eastAsia="zh-CN"/>
        </w:rPr>
        <w:t>。</w:t>
      </w:r>
    </w:p>
    <w:p w14:paraId="19246549">
      <w:pPr>
        <w:pStyle w:val="431"/>
        <w:pageBreakBefore w:val="0"/>
        <w:widowControl w:val="0"/>
        <w:wordWrap/>
        <w:topLinePunct w:val="0"/>
        <w:bidi w:val="0"/>
        <w:spacing w:line="360" w:lineRule="auto"/>
        <w:ind w:firstLine="420"/>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2.1.3具有履行合同所必需的设备和专业技术能力：提供投标人具有履行合同所必需的设备和专业技术能力证明材料或书面声明。</w:t>
      </w:r>
    </w:p>
    <w:p w14:paraId="50C7ACAB">
      <w:pPr>
        <w:pStyle w:val="431"/>
        <w:pageBreakBefore w:val="0"/>
        <w:widowControl w:val="0"/>
        <w:wordWrap/>
        <w:topLinePunct w:val="0"/>
        <w:bidi w:val="0"/>
        <w:spacing w:line="360" w:lineRule="auto"/>
        <w:ind w:firstLine="420"/>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2.1.4有依法缴纳税收和社会保障资金的良好记录：</w:t>
      </w:r>
    </w:p>
    <w:p w14:paraId="77572B64">
      <w:pPr>
        <w:pStyle w:val="431"/>
        <w:pageBreakBefore w:val="0"/>
        <w:widowControl w:val="0"/>
        <w:wordWrap/>
        <w:topLinePunct w:val="0"/>
        <w:bidi w:val="0"/>
        <w:spacing w:line="360" w:lineRule="auto"/>
        <w:ind w:firstLine="420"/>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1）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7A348C67">
      <w:pPr>
        <w:pStyle w:val="431"/>
        <w:pageBreakBefore w:val="0"/>
        <w:widowControl w:val="0"/>
        <w:wordWrap/>
        <w:topLinePunct w:val="0"/>
        <w:bidi w:val="0"/>
        <w:spacing w:line="360" w:lineRule="auto"/>
        <w:ind w:firstLine="420"/>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2）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p>
    <w:p w14:paraId="2ADAA488">
      <w:pPr>
        <w:pStyle w:val="431"/>
        <w:pageBreakBefore w:val="0"/>
        <w:widowControl w:val="0"/>
        <w:wordWrap/>
        <w:topLinePunct w:val="0"/>
        <w:bidi w:val="0"/>
        <w:spacing w:line="360" w:lineRule="auto"/>
        <w:ind w:firstLine="420"/>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2.1.5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w:t>
      </w:r>
    </w:p>
    <w:p w14:paraId="1BC80B62">
      <w:pPr>
        <w:pStyle w:val="431"/>
        <w:pageBreakBefore w:val="0"/>
        <w:widowControl w:val="0"/>
        <w:wordWrap/>
        <w:topLinePunct w:val="0"/>
        <w:bidi w:val="0"/>
        <w:spacing w:line="360" w:lineRule="auto"/>
        <w:ind w:firstLine="420"/>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2.1.6法律、行政法规规定的其他条件：</w:t>
      </w:r>
    </w:p>
    <w:p w14:paraId="703F4A20">
      <w:pPr>
        <w:pStyle w:val="431"/>
        <w:pageBreakBefore w:val="0"/>
        <w:widowControl w:val="0"/>
        <w:wordWrap/>
        <w:topLinePunct w:val="0"/>
        <w:bidi w:val="0"/>
        <w:spacing w:line="360" w:lineRule="auto"/>
        <w:ind w:firstLine="420"/>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单位负责人为同一人或者存在</w:t>
      </w:r>
      <w:r>
        <w:rPr>
          <w:rFonts w:hint="eastAsia" w:asciiTheme="minorEastAsia" w:hAnsiTheme="minorEastAsia" w:eastAsiaTheme="minorEastAsia" w:cstheme="minorEastAsia"/>
          <w:color w:val="auto"/>
          <w:sz w:val="24"/>
          <w:szCs w:val="24"/>
          <w:highlight w:val="none"/>
          <w:lang w:val="en-US" w:eastAsia="zh-CN"/>
        </w:rPr>
        <w:t>直接</w:t>
      </w:r>
      <w:r>
        <w:rPr>
          <w:rFonts w:hint="default" w:asciiTheme="minorEastAsia" w:hAnsiTheme="minorEastAsia" w:eastAsiaTheme="minorEastAsia" w:cstheme="minorEastAsia"/>
          <w:color w:val="auto"/>
          <w:sz w:val="24"/>
          <w:szCs w:val="24"/>
          <w:highlight w:val="none"/>
          <w:lang w:val="en-US" w:eastAsia="zh-CN"/>
        </w:rPr>
        <w:t>控股、管理关系的不同单位，不得同时参加本项目的投标。</w:t>
      </w:r>
    </w:p>
    <w:p w14:paraId="3C2AF1CB">
      <w:pPr>
        <w:pStyle w:val="431"/>
        <w:pageBreakBefore w:val="0"/>
        <w:widowControl w:val="0"/>
        <w:wordWrap/>
        <w:topLinePunct w:val="0"/>
        <w:bidi w:val="0"/>
        <w:spacing w:line="360" w:lineRule="auto"/>
        <w:ind w:firstLine="420"/>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为本项目提供整体设计、规范编制或者项目管理、监理、检测等服务的投标人，不得再参加本项目投标。</w:t>
      </w:r>
    </w:p>
    <w:p w14:paraId="535D8065">
      <w:pPr>
        <w:pStyle w:val="205"/>
        <w:tabs>
          <w:tab w:val="left" w:pos="709"/>
        </w:tabs>
        <w:autoSpaceDE w:val="0"/>
        <w:autoSpaceDN w:val="0"/>
        <w:adjustRightInd w:val="0"/>
        <w:snapToGrid w:val="0"/>
        <w:spacing w:line="360" w:lineRule="auto"/>
        <w:ind w:firstLine="482"/>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sz w:val="24"/>
          <w:szCs w:val="24"/>
          <w:highlight w:val="none"/>
        </w:rPr>
        <w:t>2.2 落实政府采购政策需满足的资格要求</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kern w:val="0"/>
          <w:sz w:val="24"/>
          <w:szCs w:val="24"/>
          <w:highlight w:val="none"/>
          <w:u w:val="single"/>
        </w:rPr>
        <w:t>本项目不属于专门面向中小企业采购的项目。本项目小微企业价格扣除优惠比例：10%</w:t>
      </w:r>
      <w:r>
        <w:rPr>
          <w:rFonts w:hint="eastAsia" w:asciiTheme="minorEastAsia" w:hAnsiTheme="minorEastAsia" w:eastAsiaTheme="minorEastAsia" w:cstheme="minorEastAsia"/>
          <w:b/>
          <w:bCs/>
          <w:color w:val="auto"/>
          <w:sz w:val="24"/>
          <w:szCs w:val="24"/>
          <w:highlight w:val="none"/>
          <w:lang w:eastAsia="zh-CN"/>
        </w:rPr>
        <w:t>。</w:t>
      </w:r>
    </w:p>
    <w:p w14:paraId="0AAD7AAC">
      <w:pPr>
        <w:pStyle w:val="431"/>
        <w:pageBreakBefore w:val="0"/>
        <w:widowControl w:val="0"/>
        <w:wordWrap/>
        <w:topLinePunct w:val="0"/>
        <w:bidi w:val="0"/>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）扶持中小企业政策：按照“根据《关于印发&lt;政府采购促进中小企业发展管理办法&gt;的通知》（财库〔2020〕46号）</w:t>
      </w:r>
      <w:r>
        <w:rPr>
          <w:rFonts w:hint="eastAsia" w:asciiTheme="minorEastAsia" w:hAnsiTheme="minorEastAsia" w:eastAsiaTheme="minorEastAsia" w:cstheme="minorEastAsia"/>
          <w:color w:val="auto"/>
          <w:sz w:val="24"/>
          <w:szCs w:val="24"/>
          <w:highlight w:val="none"/>
          <w:lang w:val="en-US" w:eastAsia="zh-CN"/>
        </w:rPr>
        <w:t>及《关于进一步加大政府采购支持中小企业力度的通知》（财库〔2022〕19号）</w:t>
      </w:r>
      <w:r>
        <w:rPr>
          <w:rFonts w:hint="eastAsia" w:asciiTheme="minorEastAsia" w:hAnsiTheme="minorEastAsia" w:eastAsiaTheme="minorEastAsia" w:cstheme="minorEastAsia"/>
          <w:color w:val="auto"/>
          <w:sz w:val="24"/>
          <w:szCs w:val="24"/>
          <w:highlight w:val="none"/>
        </w:rPr>
        <w:t>的规定”执行，具体详见招标文件；</w:t>
      </w:r>
    </w:p>
    <w:p w14:paraId="53A6F70A">
      <w:pPr>
        <w:pStyle w:val="205"/>
        <w:pageBreakBefore w:val="0"/>
        <w:widowControl w:val="0"/>
        <w:tabs>
          <w:tab w:val="left" w:pos="709"/>
        </w:tabs>
        <w:wordWrap/>
        <w:topLinePunct w:val="0"/>
        <w:autoSpaceDE w:val="0"/>
        <w:autoSpaceDN w:val="0"/>
        <w:bidi w:val="0"/>
        <w:adjustRightInd w:val="0"/>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color w:val="auto"/>
          <w:kern w:val="0"/>
          <w:sz w:val="24"/>
          <w:szCs w:val="24"/>
          <w:highlight w:val="none"/>
        </w:rPr>
        <w:t>）支持监狱企业政策：根据财政部、司法部《关于政府采购支持监狱企业发展有关问题》的通知（财库〔2014〕68号）执行，具体详见招标文件；</w:t>
      </w:r>
    </w:p>
    <w:p w14:paraId="159EE3A8">
      <w:pPr>
        <w:pStyle w:val="205"/>
        <w:tabs>
          <w:tab w:val="left" w:pos="709"/>
        </w:tabs>
        <w:autoSpaceDE w:val="0"/>
        <w:autoSpaceDN w:val="0"/>
        <w:adjustRightInd w:val="0"/>
        <w:snapToGrid w:val="0"/>
        <w:spacing w:line="360" w:lineRule="auto"/>
        <w:ind w:firstLine="482"/>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3</w:t>
      </w:r>
      <w:r>
        <w:rPr>
          <w:rFonts w:hint="eastAsia" w:asciiTheme="minorEastAsia" w:hAnsiTheme="minorEastAsia" w:eastAsiaTheme="minorEastAsia" w:cstheme="minorEastAsia"/>
          <w:color w:val="auto"/>
          <w:kern w:val="0"/>
          <w:sz w:val="24"/>
          <w:szCs w:val="24"/>
          <w:highlight w:val="none"/>
        </w:rPr>
        <w:t>）支持残疾人福利性单位政策：根据财政部、民政部、中国残疾人联合会《关于促进残疾人就业政府采购政策的通知》（财库〔2017〕141号）执行，具体详见招标文件。</w:t>
      </w:r>
    </w:p>
    <w:p w14:paraId="33D31DB2">
      <w:pPr>
        <w:pStyle w:val="205"/>
        <w:tabs>
          <w:tab w:val="left" w:pos="709"/>
        </w:tabs>
        <w:autoSpaceDE w:val="0"/>
        <w:autoSpaceDN w:val="0"/>
        <w:adjustRightInd w:val="0"/>
        <w:snapToGrid w:val="0"/>
        <w:spacing w:line="360" w:lineRule="auto"/>
        <w:ind w:firstLine="482"/>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4</w:t>
      </w:r>
      <w:r>
        <w:rPr>
          <w:rFonts w:hint="eastAsia" w:asciiTheme="minorEastAsia" w:hAnsiTheme="minorEastAsia" w:eastAsiaTheme="minorEastAsia" w:cstheme="minorEastAsia"/>
          <w:color w:val="auto"/>
          <w:kern w:val="0"/>
          <w:sz w:val="24"/>
          <w:szCs w:val="24"/>
          <w:highlight w:val="none"/>
        </w:rPr>
        <w:t>）持节能和环境标志产品政策：优先采购节能环保产品（注：所采购的货物在政府采购节能产品、环境标志产品实施品目清单范围内，且具有国家确定的认证机构出具的、处于有效期之内的节能产品、环境标志产品认证证书）。</w:t>
      </w:r>
    </w:p>
    <w:p w14:paraId="1DD32F05">
      <w:pPr>
        <w:pStyle w:val="205"/>
        <w:pageBreakBefore w:val="0"/>
        <w:widowControl w:val="0"/>
        <w:tabs>
          <w:tab w:val="left" w:pos="709"/>
        </w:tabs>
        <w:wordWrap/>
        <w:topLinePunct w:val="0"/>
        <w:autoSpaceDE w:val="0"/>
        <w:autoSpaceDN w:val="0"/>
        <w:bidi w:val="0"/>
        <w:adjustRightInd w:val="0"/>
        <w:snapToGrid w:val="0"/>
        <w:spacing w:line="360" w:lineRule="auto"/>
        <w:ind w:firstLine="422"/>
        <w:rPr>
          <w:rFonts w:hint="eastAsia" w:asciiTheme="minorEastAsia" w:hAnsiTheme="minorEastAsia" w:eastAsiaTheme="minorEastAsia" w:cstheme="minorEastAsia"/>
          <w:b/>
          <w:bCs/>
          <w:color w:val="auto"/>
          <w:kern w:val="0"/>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rPr>
        <w:t>2.3 本项目的特定资格要求</w:t>
      </w:r>
      <w:r>
        <w:rPr>
          <w:rFonts w:hint="eastAsia" w:asciiTheme="minorEastAsia" w:hAnsiTheme="minorEastAsia" w:eastAsiaTheme="minorEastAsia" w:cstheme="minorEastAsia"/>
          <w:b/>
          <w:bCs/>
          <w:color w:val="auto"/>
          <w:kern w:val="0"/>
          <w:sz w:val="24"/>
          <w:szCs w:val="24"/>
          <w:highlight w:val="none"/>
          <w:lang w:eastAsia="zh-CN"/>
        </w:rPr>
        <w:t>：</w:t>
      </w:r>
      <w:r>
        <w:rPr>
          <w:rFonts w:hint="eastAsia" w:asciiTheme="minorEastAsia" w:hAnsiTheme="minorEastAsia" w:eastAsiaTheme="minorEastAsia" w:cstheme="minorEastAsia"/>
          <w:b/>
          <w:bCs/>
          <w:color w:val="auto"/>
          <w:kern w:val="0"/>
          <w:sz w:val="24"/>
          <w:szCs w:val="24"/>
          <w:highlight w:val="none"/>
          <w:u w:val="single"/>
          <w:lang w:eastAsia="zh-CN"/>
        </w:rPr>
        <w:t>投标人须具备有效的《医疗机构执业许可证》，提供有效复印件</w:t>
      </w:r>
      <w:r>
        <w:rPr>
          <w:rFonts w:hint="eastAsia" w:asciiTheme="minorEastAsia" w:hAnsiTheme="minorEastAsia" w:eastAsiaTheme="minorEastAsia" w:cstheme="minorEastAsia"/>
          <w:b/>
          <w:bCs/>
          <w:color w:val="auto"/>
          <w:kern w:val="0"/>
          <w:sz w:val="24"/>
          <w:szCs w:val="24"/>
          <w:highlight w:val="none"/>
          <w:lang w:eastAsia="zh-CN"/>
        </w:rPr>
        <w:t>。</w:t>
      </w:r>
    </w:p>
    <w:p w14:paraId="7A15C282">
      <w:pPr>
        <w:pStyle w:val="205"/>
        <w:pageBreakBefore w:val="0"/>
        <w:widowControl w:val="0"/>
        <w:tabs>
          <w:tab w:val="left" w:pos="709"/>
        </w:tabs>
        <w:wordWrap/>
        <w:topLinePunct w:val="0"/>
        <w:autoSpaceDE w:val="0"/>
        <w:autoSpaceDN w:val="0"/>
        <w:bidi w:val="0"/>
        <w:adjustRightInd w:val="0"/>
        <w:snapToGrid w:val="0"/>
        <w:spacing w:line="360" w:lineRule="auto"/>
        <w:ind w:firstLine="422"/>
        <w:rPr>
          <w:rFonts w:hint="eastAsia" w:asciiTheme="minorEastAsia" w:hAnsiTheme="minorEastAsia" w:eastAsiaTheme="minorEastAsia" w:cstheme="minorEastAsia"/>
          <w:b/>
          <w:bCs/>
          <w:color w:val="auto"/>
          <w:kern w:val="0"/>
          <w:sz w:val="24"/>
          <w:szCs w:val="24"/>
          <w:highlight w:val="none"/>
          <w:lang w:eastAsia="zh-CN"/>
        </w:rPr>
      </w:pPr>
      <w:r>
        <w:rPr>
          <w:rFonts w:hint="eastAsia" w:asciiTheme="minorEastAsia" w:hAnsiTheme="minorEastAsia" w:eastAsiaTheme="minorEastAsia" w:cstheme="minorEastAsia"/>
          <w:b/>
          <w:bCs/>
          <w:color w:val="auto"/>
          <w:kern w:val="0"/>
          <w:sz w:val="24"/>
          <w:szCs w:val="24"/>
          <w:highlight w:val="none"/>
        </w:rPr>
        <w:t>2.4 本项目采用资格后审。</w:t>
      </w:r>
    </w:p>
    <w:p w14:paraId="7423F26A">
      <w:pPr>
        <w:pStyle w:val="3"/>
        <w:pageBreakBefore w:val="0"/>
        <w:widowControl w:val="0"/>
        <w:numPr>
          <w:ilvl w:val="0"/>
          <w:numId w:val="2"/>
        </w:numPr>
        <w:wordWrap/>
        <w:topLinePunct w:val="0"/>
        <w:bidi w:val="0"/>
        <w:spacing w:before="0" w:after="0" w:line="360" w:lineRule="auto"/>
        <w:ind w:left="0" w:lef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获取招标文件</w:t>
      </w:r>
    </w:p>
    <w:p w14:paraId="7382F8AD">
      <w:pPr>
        <w:pStyle w:val="20"/>
        <w:pageBreakBefore w:val="0"/>
        <w:widowControl w:val="0"/>
        <w:kinsoku w:val="0"/>
        <w:wordWrap/>
        <w:overflowPunct w:val="0"/>
        <w:topLinePunct w:val="0"/>
        <w:bidi w:val="0"/>
        <w:spacing w:line="360" w:lineRule="auto"/>
        <w:ind w:right="23"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3.1</w:t>
      </w:r>
      <w:r>
        <w:rPr>
          <w:rFonts w:hint="eastAsia" w:asciiTheme="minorEastAsia" w:hAnsiTheme="minorEastAsia" w:eastAsiaTheme="minorEastAsia" w:cstheme="minorEastAsia"/>
          <w:color w:val="auto"/>
          <w:kern w:val="0"/>
          <w:sz w:val="24"/>
          <w:szCs w:val="24"/>
          <w:highlight w:val="none"/>
        </w:rPr>
        <w:t>时间：</w:t>
      </w:r>
      <w:r>
        <w:rPr>
          <w:rFonts w:hint="eastAsia" w:asciiTheme="minorEastAsia" w:hAnsiTheme="minorEastAsia" w:eastAsiaTheme="minorEastAsia" w:cstheme="minorEastAsia"/>
          <w:b/>
          <w:bCs/>
          <w:color w:val="auto"/>
          <w:kern w:val="0"/>
          <w:sz w:val="24"/>
          <w:szCs w:val="24"/>
          <w:highlight w:val="none"/>
        </w:rPr>
        <w:t>20</w:t>
      </w:r>
      <w:r>
        <w:rPr>
          <w:rFonts w:hint="eastAsia" w:asciiTheme="minorEastAsia" w:hAnsiTheme="minorEastAsia" w:eastAsiaTheme="minorEastAsia" w:cstheme="minorEastAsia"/>
          <w:b/>
          <w:bCs/>
          <w:color w:val="auto"/>
          <w:kern w:val="0"/>
          <w:sz w:val="24"/>
          <w:szCs w:val="24"/>
          <w:highlight w:val="none"/>
          <w:lang w:val="en-US" w:eastAsia="zh-CN"/>
        </w:rPr>
        <w:t>25</w:t>
      </w:r>
      <w:r>
        <w:rPr>
          <w:rFonts w:hint="eastAsia" w:asciiTheme="minorEastAsia" w:hAnsiTheme="minorEastAsia" w:eastAsiaTheme="minorEastAsia" w:cstheme="minorEastAsia"/>
          <w:b/>
          <w:bCs/>
          <w:color w:val="auto"/>
          <w:kern w:val="0"/>
          <w:sz w:val="24"/>
          <w:szCs w:val="24"/>
          <w:highlight w:val="none"/>
        </w:rPr>
        <w:t>年</w:t>
      </w:r>
      <w:r>
        <w:rPr>
          <w:rFonts w:hint="eastAsia" w:asciiTheme="minorEastAsia" w:hAnsiTheme="minorEastAsia" w:eastAsiaTheme="minorEastAsia" w:cstheme="minorEastAsia"/>
          <w:b/>
          <w:bCs/>
          <w:color w:val="auto"/>
          <w:kern w:val="0"/>
          <w:sz w:val="24"/>
          <w:szCs w:val="24"/>
          <w:highlight w:val="none"/>
          <w:lang w:val="en-US" w:eastAsia="zh-CN"/>
        </w:rPr>
        <w:t>09</w:t>
      </w:r>
      <w:r>
        <w:rPr>
          <w:rFonts w:hint="eastAsia" w:asciiTheme="minorEastAsia" w:hAnsiTheme="minorEastAsia" w:eastAsiaTheme="minorEastAsia" w:cstheme="minorEastAsia"/>
          <w:b/>
          <w:bCs/>
          <w:color w:val="auto"/>
          <w:kern w:val="0"/>
          <w:sz w:val="24"/>
          <w:szCs w:val="24"/>
          <w:highlight w:val="none"/>
        </w:rPr>
        <w:t>月</w:t>
      </w:r>
      <w:r>
        <w:rPr>
          <w:rFonts w:hint="eastAsia" w:asciiTheme="minorEastAsia" w:hAnsiTheme="minorEastAsia" w:eastAsiaTheme="minorEastAsia" w:cstheme="minorEastAsia"/>
          <w:b/>
          <w:bCs/>
          <w:color w:val="auto"/>
          <w:kern w:val="0"/>
          <w:sz w:val="24"/>
          <w:szCs w:val="24"/>
          <w:highlight w:val="none"/>
          <w:lang w:val="en-US" w:eastAsia="zh-CN"/>
        </w:rPr>
        <w:t>09</w:t>
      </w:r>
      <w:r>
        <w:rPr>
          <w:rFonts w:hint="eastAsia" w:asciiTheme="minorEastAsia" w:hAnsiTheme="minorEastAsia" w:eastAsiaTheme="minorEastAsia" w:cstheme="minorEastAsia"/>
          <w:b/>
          <w:bCs/>
          <w:color w:val="auto"/>
          <w:kern w:val="0"/>
          <w:sz w:val="24"/>
          <w:szCs w:val="24"/>
          <w:highlight w:val="none"/>
        </w:rPr>
        <w:t>日至20</w:t>
      </w:r>
      <w:r>
        <w:rPr>
          <w:rFonts w:hint="eastAsia" w:asciiTheme="minorEastAsia" w:hAnsiTheme="minorEastAsia" w:eastAsiaTheme="minorEastAsia" w:cstheme="minorEastAsia"/>
          <w:b/>
          <w:bCs/>
          <w:color w:val="auto"/>
          <w:kern w:val="0"/>
          <w:sz w:val="24"/>
          <w:szCs w:val="24"/>
          <w:highlight w:val="none"/>
          <w:lang w:val="en-US" w:eastAsia="zh-CN"/>
        </w:rPr>
        <w:t>25</w:t>
      </w:r>
      <w:r>
        <w:rPr>
          <w:rFonts w:hint="eastAsia" w:asciiTheme="minorEastAsia" w:hAnsiTheme="minorEastAsia" w:eastAsiaTheme="minorEastAsia" w:cstheme="minorEastAsia"/>
          <w:b/>
          <w:bCs/>
          <w:color w:val="auto"/>
          <w:kern w:val="0"/>
          <w:sz w:val="24"/>
          <w:szCs w:val="24"/>
          <w:highlight w:val="none"/>
        </w:rPr>
        <w:t>年</w:t>
      </w:r>
      <w:r>
        <w:rPr>
          <w:rFonts w:hint="eastAsia" w:asciiTheme="minorEastAsia" w:hAnsiTheme="minorEastAsia" w:eastAsiaTheme="minorEastAsia" w:cstheme="minorEastAsia"/>
          <w:b/>
          <w:bCs/>
          <w:color w:val="auto"/>
          <w:kern w:val="0"/>
          <w:sz w:val="24"/>
          <w:szCs w:val="24"/>
          <w:highlight w:val="none"/>
          <w:lang w:val="en-US" w:eastAsia="zh-CN"/>
        </w:rPr>
        <w:t>09</w:t>
      </w:r>
      <w:r>
        <w:rPr>
          <w:rFonts w:hint="eastAsia" w:asciiTheme="minorEastAsia" w:hAnsiTheme="minorEastAsia" w:eastAsiaTheme="minorEastAsia" w:cstheme="minorEastAsia"/>
          <w:b/>
          <w:bCs/>
          <w:color w:val="auto"/>
          <w:kern w:val="0"/>
          <w:sz w:val="24"/>
          <w:szCs w:val="24"/>
          <w:highlight w:val="none"/>
        </w:rPr>
        <w:t>月</w:t>
      </w:r>
      <w:r>
        <w:rPr>
          <w:rFonts w:hint="eastAsia" w:asciiTheme="minorEastAsia" w:hAnsiTheme="minorEastAsia" w:eastAsiaTheme="minorEastAsia" w:cstheme="minorEastAsia"/>
          <w:b/>
          <w:bCs/>
          <w:color w:val="auto"/>
          <w:kern w:val="0"/>
          <w:sz w:val="24"/>
          <w:szCs w:val="24"/>
          <w:highlight w:val="none"/>
          <w:lang w:val="en-US" w:eastAsia="zh-CN"/>
        </w:rPr>
        <w:t>16</w:t>
      </w:r>
      <w:r>
        <w:rPr>
          <w:rFonts w:hint="eastAsia" w:asciiTheme="minorEastAsia" w:hAnsiTheme="minorEastAsia" w:eastAsiaTheme="minorEastAsia" w:cstheme="minorEastAsia"/>
          <w:b/>
          <w:bCs/>
          <w:color w:val="auto"/>
          <w:kern w:val="0"/>
          <w:sz w:val="24"/>
          <w:szCs w:val="24"/>
          <w:highlight w:val="none"/>
        </w:rPr>
        <w:t>日</w:t>
      </w:r>
      <w:r>
        <w:rPr>
          <w:rFonts w:hint="eastAsia" w:asciiTheme="minorEastAsia" w:hAnsiTheme="minorEastAsia" w:eastAsiaTheme="minorEastAsia" w:cstheme="minorEastAsia"/>
          <w:color w:val="auto"/>
          <w:kern w:val="0"/>
          <w:sz w:val="24"/>
          <w:szCs w:val="24"/>
          <w:highlight w:val="none"/>
        </w:rPr>
        <w:t>，每天上午0</w:t>
      </w:r>
      <w:r>
        <w:rPr>
          <w:rFonts w:hint="eastAsia" w:asciiTheme="minorEastAsia" w:hAnsiTheme="minorEastAsia" w:eastAsiaTheme="minorEastAsia" w:cstheme="minorEastAsia"/>
          <w:color w:val="auto"/>
          <w:kern w:val="0"/>
          <w:sz w:val="24"/>
          <w:szCs w:val="24"/>
          <w:highlight w:val="none"/>
          <w:lang w:val="en-US" w:eastAsia="zh-CN"/>
        </w:rPr>
        <w:t>6</w:t>
      </w:r>
      <w:r>
        <w:rPr>
          <w:rFonts w:hint="eastAsia" w:asciiTheme="minorEastAsia" w:hAnsiTheme="minorEastAsia" w:eastAsiaTheme="minorEastAsia" w:cstheme="minorEastAsia"/>
          <w:color w:val="auto"/>
          <w:kern w:val="0"/>
          <w:sz w:val="24"/>
          <w:szCs w:val="24"/>
          <w:highlight w:val="none"/>
        </w:rPr>
        <w:t>：00至12：00，下午</w:t>
      </w:r>
      <w:r>
        <w:rPr>
          <w:rFonts w:hint="eastAsia" w:asciiTheme="minorEastAsia" w:hAnsiTheme="minorEastAsia" w:eastAsiaTheme="minorEastAsia" w:cstheme="minorEastAsia"/>
          <w:color w:val="auto"/>
          <w:kern w:val="0"/>
          <w:sz w:val="24"/>
          <w:szCs w:val="24"/>
          <w:highlight w:val="none"/>
          <w:lang w:val="en-US" w:eastAsia="zh-CN"/>
        </w:rPr>
        <w:t>12</w:t>
      </w:r>
      <w:r>
        <w:rPr>
          <w:rFonts w:hint="eastAsia" w:asciiTheme="minorEastAsia" w:hAnsiTheme="minorEastAsia" w:eastAsiaTheme="minorEastAsia" w:cstheme="minorEastAsia"/>
          <w:color w:val="auto"/>
          <w:kern w:val="0"/>
          <w:sz w:val="24"/>
          <w:szCs w:val="24"/>
          <w:highlight w:val="none"/>
        </w:rPr>
        <w:t>：00至</w:t>
      </w:r>
      <w:r>
        <w:rPr>
          <w:rFonts w:hint="eastAsia" w:asciiTheme="minorEastAsia" w:hAnsiTheme="minorEastAsia" w:eastAsiaTheme="minorEastAsia" w:cstheme="minorEastAsia"/>
          <w:color w:val="auto"/>
          <w:kern w:val="0"/>
          <w:sz w:val="24"/>
          <w:szCs w:val="24"/>
          <w:highlight w:val="none"/>
          <w:lang w:val="en-US" w:eastAsia="zh-CN"/>
        </w:rPr>
        <w:t>23</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59</w:t>
      </w:r>
      <w:r>
        <w:rPr>
          <w:rFonts w:hint="eastAsia" w:asciiTheme="minorEastAsia" w:hAnsiTheme="minorEastAsia" w:eastAsiaTheme="minorEastAsia" w:cstheme="minorEastAsia"/>
          <w:color w:val="auto"/>
          <w:kern w:val="0"/>
          <w:sz w:val="24"/>
          <w:szCs w:val="24"/>
          <w:highlight w:val="none"/>
        </w:rPr>
        <w:t>（北京时间，法定节假日除外）。</w:t>
      </w:r>
    </w:p>
    <w:p w14:paraId="082142BF">
      <w:pPr>
        <w:pStyle w:val="20"/>
        <w:pageBreakBefore w:val="0"/>
        <w:widowControl w:val="0"/>
        <w:kinsoku w:val="0"/>
        <w:wordWrap/>
        <w:overflowPunct w:val="0"/>
        <w:topLinePunct w:val="0"/>
        <w:bidi w:val="0"/>
        <w:spacing w:line="360" w:lineRule="auto"/>
        <w:ind w:right="23"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3.2</w:t>
      </w:r>
      <w:r>
        <w:rPr>
          <w:rFonts w:hint="eastAsia" w:asciiTheme="minorEastAsia" w:hAnsiTheme="minorEastAsia" w:eastAsiaTheme="minorEastAsia" w:cstheme="minorEastAsia"/>
          <w:color w:val="auto"/>
          <w:kern w:val="0"/>
          <w:sz w:val="24"/>
          <w:szCs w:val="24"/>
          <w:highlight w:val="none"/>
        </w:rPr>
        <w:t>地点：本项目不发放纸质</w:t>
      </w:r>
      <w:r>
        <w:rPr>
          <w:rFonts w:hint="eastAsia" w:asciiTheme="minorEastAsia" w:hAnsiTheme="minorEastAsia" w:eastAsiaTheme="minorEastAsia" w:cstheme="minorEastAsia"/>
          <w:color w:val="auto"/>
          <w:kern w:val="0"/>
          <w:sz w:val="24"/>
          <w:szCs w:val="24"/>
          <w:highlight w:val="none"/>
          <w:lang w:eastAsia="zh-CN"/>
        </w:rPr>
        <w:t>招标文件</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eastAsia="zh-CN"/>
        </w:rPr>
        <w:t>投标人</w:t>
      </w:r>
      <w:r>
        <w:rPr>
          <w:rFonts w:hint="eastAsia" w:asciiTheme="minorEastAsia" w:hAnsiTheme="minorEastAsia" w:eastAsiaTheme="minorEastAsia" w:cstheme="minorEastAsia"/>
          <w:color w:val="auto"/>
          <w:kern w:val="0"/>
          <w:sz w:val="24"/>
          <w:szCs w:val="24"/>
          <w:highlight w:val="none"/>
        </w:rPr>
        <w:t>可自行在“政采云”平台（http：//www.zcygov.cn）下载</w:t>
      </w:r>
      <w:r>
        <w:rPr>
          <w:rFonts w:hint="eastAsia" w:asciiTheme="minorEastAsia" w:hAnsiTheme="minorEastAsia" w:eastAsiaTheme="minorEastAsia" w:cstheme="minorEastAsia"/>
          <w:color w:val="auto"/>
          <w:kern w:val="0"/>
          <w:sz w:val="24"/>
          <w:szCs w:val="24"/>
          <w:highlight w:val="none"/>
          <w:lang w:eastAsia="zh-CN"/>
        </w:rPr>
        <w:t>招标文件</w:t>
      </w:r>
      <w:r>
        <w:rPr>
          <w:rFonts w:hint="eastAsia" w:asciiTheme="minorEastAsia" w:hAnsiTheme="minorEastAsia" w:eastAsiaTheme="minorEastAsia" w:cstheme="minorEastAsia"/>
          <w:color w:val="auto"/>
          <w:kern w:val="0"/>
          <w:sz w:val="24"/>
          <w:szCs w:val="24"/>
          <w:highlight w:val="none"/>
        </w:rPr>
        <w:t>（操作路径：登录“政采云”平台-项目采购-获取</w:t>
      </w:r>
      <w:r>
        <w:rPr>
          <w:rFonts w:hint="eastAsia" w:asciiTheme="minorEastAsia" w:hAnsiTheme="minorEastAsia" w:eastAsiaTheme="minorEastAsia" w:cstheme="minorEastAsia"/>
          <w:color w:val="auto"/>
          <w:kern w:val="0"/>
          <w:sz w:val="24"/>
          <w:szCs w:val="24"/>
          <w:highlight w:val="none"/>
          <w:lang w:eastAsia="zh-CN"/>
        </w:rPr>
        <w:t>招标文件</w:t>
      </w:r>
      <w:r>
        <w:rPr>
          <w:rFonts w:hint="eastAsia" w:asciiTheme="minorEastAsia" w:hAnsiTheme="minorEastAsia" w:eastAsiaTheme="minorEastAsia" w:cstheme="minorEastAsia"/>
          <w:color w:val="auto"/>
          <w:kern w:val="0"/>
          <w:sz w:val="24"/>
          <w:szCs w:val="24"/>
          <w:highlight w:val="none"/>
        </w:rPr>
        <w:t>-找到本项目-点击“申请获取</w:t>
      </w:r>
      <w:r>
        <w:rPr>
          <w:rFonts w:hint="eastAsia" w:asciiTheme="minorEastAsia" w:hAnsiTheme="minorEastAsia" w:eastAsiaTheme="minorEastAsia" w:cstheme="minorEastAsia"/>
          <w:color w:val="auto"/>
          <w:kern w:val="0"/>
          <w:sz w:val="24"/>
          <w:szCs w:val="24"/>
          <w:highlight w:val="none"/>
          <w:lang w:eastAsia="zh-CN"/>
        </w:rPr>
        <w:t>招标文件</w:t>
      </w:r>
      <w:r>
        <w:rPr>
          <w:rFonts w:hint="eastAsia" w:asciiTheme="minorEastAsia" w:hAnsiTheme="minorEastAsia" w:eastAsiaTheme="minorEastAsia" w:cstheme="minorEastAsia"/>
          <w:color w:val="auto"/>
          <w:kern w:val="0"/>
          <w:sz w:val="24"/>
          <w:szCs w:val="24"/>
          <w:highlight w:val="none"/>
        </w:rPr>
        <w:t>”），电子</w:t>
      </w:r>
      <w:r>
        <w:rPr>
          <w:rFonts w:hint="eastAsia" w:asciiTheme="minorEastAsia" w:hAnsiTheme="minorEastAsia" w:eastAsiaTheme="minorEastAsia" w:cstheme="minorEastAsia"/>
          <w:color w:val="auto"/>
          <w:kern w:val="0"/>
          <w:sz w:val="24"/>
          <w:szCs w:val="24"/>
          <w:highlight w:val="none"/>
          <w:lang w:eastAsia="zh-CN"/>
        </w:rPr>
        <w:t>投标文件</w:t>
      </w:r>
      <w:r>
        <w:rPr>
          <w:rFonts w:hint="eastAsia" w:asciiTheme="minorEastAsia" w:hAnsiTheme="minorEastAsia" w:eastAsiaTheme="minorEastAsia" w:cstheme="minorEastAsia"/>
          <w:color w:val="auto"/>
          <w:kern w:val="0"/>
          <w:sz w:val="24"/>
          <w:szCs w:val="24"/>
          <w:highlight w:val="none"/>
        </w:rPr>
        <w:t>制作需要基于“政采云”平台（http：//www.zcygov.cn）获取的</w:t>
      </w:r>
      <w:r>
        <w:rPr>
          <w:rFonts w:hint="eastAsia" w:asciiTheme="minorEastAsia" w:hAnsiTheme="minorEastAsia" w:eastAsiaTheme="minorEastAsia" w:cstheme="minorEastAsia"/>
          <w:color w:val="auto"/>
          <w:kern w:val="0"/>
          <w:sz w:val="24"/>
          <w:szCs w:val="24"/>
          <w:highlight w:val="none"/>
          <w:lang w:eastAsia="zh-CN"/>
        </w:rPr>
        <w:t>招标文件</w:t>
      </w:r>
      <w:r>
        <w:rPr>
          <w:rFonts w:hint="eastAsia" w:asciiTheme="minorEastAsia" w:hAnsiTheme="minorEastAsia" w:eastAsiaTheme="minorEastAsia" w:cstheme="minorEastAsia"/>
          <w:color w:val="auto"/>
          <w:kern w:val="0"/>
          <w:sz w:val="24"/>
          <w:szCs w:val="24"/>
          <w:highlight w:val="none"/>
        </w:rPr>
        <w:t>编制。</w:t>
      </w:r>
    </w:p>
    <w:p w14:paraId="1763F269">
      <w:pPr>
        <w:pStyle w:val="20"/>
        <w:pageBreakBefore w:val="0"/>
        <w:widowControl w:val="0"/>
        <w:kinsoku w:val="0"/>
        <w:wordWrap/>
        <w:overflowPunct w:val="0"/>
        <w:topLinePunct w:val="0"/>
        <w:bidi w:val="0"/>
        <w:spacing w:line="360" w:lineRule="auto"/>
        <w:ind w:right="23"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3.3</w:t>
      </w:r>
      <w:r>
        <w:rPr>
          <w:rFonts w:hint="eastAsia" w:asciiTheme="minorEastAsia" w:hAnsiTheme="minorEastAsia" w:eastAsiaTheme="minorEastAsia" w:cstheme="minorEastAsia"/>
          <w:color w:val="auto"/>
          <w:kern w:val="0"/>
          <w:sz w:val="24"/>
          <w:szCs w:val="24"/>
          <w:highlight w:val="none"/>
        </w:rPr>
        <w:t>方式：①凡有意参加投标者，须在政采云平台办理数字证书（CA），CA申领链接：https://middle.zcygov.cn/ca/apply/list?_app_=zcy.sys，并在政采云绑定数字证书（CA）后在网上获取</w:t>
      </w:r>
      <w:r>
        <w:rPr>
          <w:rFonts w:hint="eastAsia" w:asciiTheme="minorEastAsia" w:hAnsiTheme="minorEastAsia" w:eastAsiaTheme="minorEastAsia" w:cstheme="minorEastAsia"/>
          <w:color w:val="auto"/>
          <w:kern w:val="0"/>
          <w:sz w:val="24"/>
          <w:szCs w:val="24"/>
          <w:highlight w:val="none"/>
          <w:lang w:eastAsia="zh-CN"/>
        </w:rPr>
        <w:t>招标文件</w:t>
      </w:r>
      <w:r>
        <w:rPr>
          <w:rFonts w:hint="eastAsia" w:asciiTheme="minorEastAsia" w:hAnsiTheme="minorEastAsia" w:eastAsiaTheme="minorEastAsia" w:cstheme="minorEastAsia"/>
          <w:color w:val="auto"/>
          <w:kern w:val="0"/>
          <w:sz w:val="24"/>
          <w:szCs w:val="24"/>
          <w:highlight w:val="none"/>
        </w:rPr>
        <w:t>及其它采购资料，数字证书（CA）详见其办理流程。注：云南本地</w:t>
      </w:r>
      <w:r>
        <w:rPr>
          <w:rFonts w:hint="eastAsia" w:asciiTheme="minorEastAsia" w:hAnsiTheme="minorEastAsia" w:eastAsiaTheme="minorEastAsia" w:cstheme="minorEastAsia"/>
          <w:color w:val="auto"/>
          <w:kern w:val="0"/>
          <w:sz w:val="24"/>
          <w:szCs w:val="24"/>
          <w:highlight w:val="none"/>
          <w:lang w:eastAsia="zh-CN"/>
        </w:rPr>
        <w:t>投标人</w:t>
      </w:r>
      <w:r>
        <w:rPr>
          <w:rFonts w:hint="eastAsia" w:asciiTheme="minorEastAsia" w:hAnsiTheme="minorEastAsia" w:eastAsiaTheme="minorEastAsia" w:cstheme="minorEastAsia"/>
          <w:color w:val="auto"/>
          <w:kern w:val="0"/>
          <w:sz w:val="24"/>
          <w:szCs w:val="24"/>
          <w:highlight w:val="none"/>
        </w:rPr>
        <w:t>如之前已在云南CA在线数字证书办理网进行过注册并办理过企业数字证书（CA），直接绑定即可，无需重复办理（2022年1月1日前办理的云南CA需到云南CA办理处进行升级）。外省</w:t>
      </w:r>
      <w:r>
        <w:rPr>
          <w:rFonts w:hint="eastAsia" w:asciiTheme="minorEastAsia" w:hAnsiTheme="minorEastAsia" w:eastAsiaTheme="minorEastAsia" w:cstheme="minorEastAsia"/>
          <w:color w:val="auto"/>
          <w:kern w:val="0"/>
          <w:sz w:val="24"/>
          <w:szCs w:val="24"/>
          <w:highlight w:val="none"/>
          <w:lang w:eastAsia="zh-CN"/>
        </w:rPr>
        <w:t>投标人</w:t>
      </w:r>
      <w:r>
        <w:rPr>
          <w:rFonts w:hint="eastAsia" w:asciiTheme="minorEastAsia" w:hAnsiTheme="minorEastAsia" w:eastAsiaTheme="minorEastAsia" w:cstheme="minorEastAsia"/>
          <w:color w:val="auto"/>
          <w:kern w:val="0"/>
          <w:sz w:val="24"/>
          <w:szCs w:val="24"/>
          <w:highlight w:val="none"/>
        </w:rPr>
        <w:t>在政采云平台办理的其他CA可直接使用，无需重复办理。②按上述要求获取文件的</w:t>
      </w:r>
      <w:r>
        <w:rPr>
          <w:rFonts w:hint="eastAsia" w:asciiTheme="minorEastAsia" w:hAnsiTheme="minorEastAsia" w:eastAsiaTheme="minorEastAsia" w:cstheme="minorEastAsia"/>
          <w:color w:val="auto"/>
          <w:kern w:val="0"/>
          <w:sz w:val="24"/>
          <w:szCs w:val="24"/>
          <w:highlight w:val="none"/>
          <w:lang w:eastAsia="zh-CN"/>
        </w:rPr>
        <w:t>投标人</w:t>
      </w:r>
      <w:r>
        <w:rPr>
          <w:rFonts w:hint="eastAsia" w:asciiTheme="minorEastAsia" w:hAnsiTheme="minorEastAsia" w:eastAsiaTheme="minorEastAsia" w:cstheme="minorEastAsia"/>
          <w:color w:val="auto"/>
          <w:kern w:val="0"/>
          <w:sz w:val="24"/>
          <w:szCs w:val="24"/>
          <w:highlight w:val="none"/>
        </w:rPr>
        <w:t>视为合法获取了本项目</w:t>
      </w:r>
      <w:r>
        <w:rPr>
          <w:rFonts w:hint="eastAsia" w:asciiTheme="minorEastAsia" w:hAnsiTheme="minorEastAsia" w:eastAsiaTheme="minorEastAsia" w:cstheme="minorEastAsia"/>
          <w:color w:val="auto"/>
          <w:kern w:val="0"/>
          <w:sz w:val="24"/>
          <w:szCs w:val="24"/>
          <w:highlight w:val="none"/>
          <w:lang w:eastAsia="zh-CN"/>
        </w:rPr>
        <w:t>招标文件</w:t>
      </w:r>
      <w:r>
        <w:rPr>
          <w:rFonts w:hint="eastAsia" w:asciiTheme="minorEastAsia" w:hAnsiTheme="minorEastAsia" w:eastAsiaTheme="minorEastAsia" w:cstheme="minorEastAsia"/>
          <w:color w:val="auto"/>
          <w:kern w:val="0"/>
          <w:sz w:val="24"/>
          <w:szCs w:val="24"/>
          <w:highlight w:val="none"/>
        </w:rPr>
        <w:t>，具备本项目的投标资格。</w:t>
      </w:r>
    </w:p>
    <w:p w14:paraId="397DFE18">
      <w:pPr>
        <w:pStyle w:val="20"/>
        <w:pageBreakBefore w:val="0"/>
        <w:widowControl w:val="0"/>
        <w:kinsoku w:val="0"/>
        <w:wordWrap/>
        <w:overflowPunct w:val="0"/>
        <w:topLinePunct w:val="0"/>
        <w:bidi w:val="0"/>
        <w:spacing w:line="360" w:lineRule="auto"/>
        <w:ind w:right="23" w:firstLine="480" w:firstLineChars="200"/>
        <w:rPr>
          <w:rFonts w:hint="eastAsia" w:asciiTheme="minorEastAsia" w:hAnsiTheme="minorEastAsia" w:eastAsiaTheme="minorEastAsia" w:cstheme="minorEastAsia"/>
          <w:b/>
          <w:bCs/>
          <w:color w:val="auto"/>
          <w:kern w:val="0"/>
          <w:sz w:val="24"/>
          <w:szCs w:val="24"/>
          <w:highlight w:val="none"/>
          <w:u w:val="single"/>
        </w:rPr>
      </w:pPr>
      <w:r>
        <w:rPr>
          <w:rFonts w:hint="eastAsia" w:asciiTheme="minorEastAsia" w:hAnsiTheme="minorEastAsia" w:eastAsiaTheme="minorEastAsia" w:cstheme="minorEastAsia"/>
          <w:color w:val="auto"/>
          <w:kern w:val="0"/>
          <w:sz w:val="24"/>
          <w:szCs w:val="24"/>
          <w:highlight w:val="none"/>
          <w:lang w:val="en-US" w:eastAsia="zh-CN"/>
        </w:rPr>
        <w:t>3.4</w:t>
      </w:r>
      <w:r>
        <w:rPr>
          <w:rFonts w:hint="eastAsia" w:asciiTheme="minorEastAsia" w:hAnsiTheme="minorEastAsia" w:eastAsiaTheme="minorEastAsia" w:cstheme="minorEastAsia"/>
          <w:color w:val="auto"/>
          <w:kern w:val="0"/>
          <w:sz w:val="24"/>
          <w:szCs w:val="24"/>
          <w:highlight w:val="none"/>
        </w:rPr>
        <w:t>售价（元）：0元/份。</w:t>
      </w:r>
    </w:p>
    <w:p w14:paraId="3CFBD90A">
      <w:pPr>
        <w:pStyle w:val="3"/>
        <w:pageBreakBefore w:val="0"/>
        <w:widowControl w:val="0"/>
        <w:numPr>
          <w:ilvl w:val="0"/>
          <w:numId w:val="2"/>
        </w:numPr>
        <w:wordWrap/>
        <w:topLinePunct w:val="0"/>
        <w:bidi w:val="0"/>
        <w:spacing w:before="0" w:after="0" w:line="360" w:lineRule="auto"/>
        <w:ind w:left="0" w:lef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提交投标文件截止时间、开标时间和地点</w:t>
      </w:r>
    </w:p>
    <w:p w14:paraId="14C8AFF2">
      <w:pPr>
        <w:pStyle w:val="20"/>
        <w:pageBreakBefore w:val="0"/>
        <w:widowControl w:val="0"/>
        <w:kinsoku w:val="0"/>
        <w:wordWrap/>
        <w:overflowPunct w:val="0"/>
        <w:topLinePunct w:val="0"/>
        <w:bidi w:val="0"/>
        <w:spacing w:line="360" w:lineRule="auto"/>
        <w:ind w:right="23"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4.1时间：</w:t>
      </w:r>
      <w:r>
        <w:rPr>
          <w:rFonts w:hint="eastAsia" w:asciiTheme="minorEastAsia" w:hAnsiTheme="minorEastAsia" w:eastAsiaTheme="minorEastAsia" w:cstheme="minorEastAsia"/>
          <w:b/>
          <w:bCs/>
          <w:color w:val="auto"/>
          <w:kern w:val="0"/>
          <w:sz w:val="24"/>
          <w:szCs w:val="24"/>
          <w:highlight w:val="none"/>
          <w:lang w:val="en-US" w:eastAsia="zh-CN"/>
        </w:rPr>
        <w:t>2025年09月30日09点30分(北京时间)</w:t>
      </w:r>
      <w:r>
        <w:rPr>
          <w:rFonts w:hint="eastAsia" w:asciiTheme="minorEastAsia" w:hAnsiTheme="minorEastAsia" w:eastAsiaTheme="minorEastAsia" w:cstheme="minorEastAsia"/>
          <w:b w:val="0"/>
          <w:bCs w:val="0"/>
          <w:color w:val="auto"/>
          <w:kern w:val="0"/>
          <w:sz w:val="24"/>
          <w:szCs w:val="24"/>
          <w:highlight w:val="none"/>
          <w:lang w:val="en-US" w:eastAsia="zh-CN"/>
        </w:rPr>
        <w:t>；</w:t>
      </w:r>
    </w:p>
    <w:p w14:paraId="0BDD069E">
      <w:pPr>
        <w:pStyle w:val="20"/>
        <w:pageBreakBefore w:val="0"/>
        <w:widowControl w:val="0"/>
        <w:kinsoku w:val="0"/>
        <w:wordWrap/>
        <w:overflowPunct w:val="0"/>
        <w:topLinePunct w:val="0"/>
        <w:bidi w:val="0"/>
        <w:spacing w:line="360" w:lineRule="auto"/>
        <w:ind w:right="23"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4.2地点：投标人应按照本项目招标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02EDAE47">
      <w:pPr>
        <w:pStyle w:val="3"/>
        <w:pageBreakBefore w:val="0"/>
        <w:widowControl w:val="0"/>
        <w:numPr>
          <w:ilvl w:val="0"/>
          <w:numId w:val="2"/>
        </w:numPr>
        <w:wordWrap/>
        <w:topLinePunct w:val="0"/>
        <w:bidi w:val="0"/>
        <w:spacing w:before="0" w:after="0" w:line="360" w:lineRule="auto"/>
        <w:ind w:left="0" w:lef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公告期限</w:t>
      </w:r>
    </w:p>
    <w:p w14:paraId="3151116B">
      <w:pPr>
        <w:pStyle w:val="20"/>
        <w:pageBreakBefore w:val="0"/>
        <w:widowControl w:val="0"/>
        <w:kinsoku w:val="0"/>
        <w:wordWrap/>
        <w:overflowPunct w:val="0"/>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bookmarkStart w:id="13" w:name="_Hlk44666791"/>
      <w:r>
        <w:rPr>
          <w:rFonts w:hint="eastAsia" w:asciiTheme="minorEastAsia" w:hAnsiTheme="minorEastAsia" w:eastAsiaTheme="minorEastAsia" w:cstheme="minorEastAsia"/>
          <w:color w:val="auto"/>
          <w:kern w:val="0"/>
          <w:sz w:val="24"/>
          <w:szCs w:val="24"/>
          <w:highlight w:val="none"/>
        </w:rPr>
        <w:t>自本公告发布之日起5个工作日。</w:t>
      </w:r>
    </w:p>
    <w:bookmarkEnd w:id="13"/>
    <w:p w14:paraId="7A71036C">
      <w:pPr>
        <w:pStyle w:val="3"/>
        <w:pageBreakBefore w:val="0"/>
        <w:widowControl w:val="0"/>
        <w:numPr>
          <w:ilvl w:val="0"/>
          <w:numId w:val="2"/>
        </w:numPr>
        <w:wordWrap/>
        <w:topLinePunct w:val="0"/>
        <w:bidi w:val="0"/>
        <w:spacing w:before="0" w:after="0" w:line="360" w:lineRule="auto"/>
        <w:ind w:left="0" w:lef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其他补充事宜</w:t>
      </w:r>
    </w:p>
    <w:p w14:paraId="6BE271CF">
      <w:pPr>
        <w:pStyle w:val="20"/>
        <w:pageBreakBefore w:val="0"/>
        <w:widowControl w:val="0"/>
        <w:kinsoku w:val="0"/>
        <w:wordWrap/>
        <w:overflowPunct w:val="0"/>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6.1</w:t>
      </w:r>
      <w:r>
        <w:rPr>
          <w:rFonts w:hint="eastAsia" w:ascii="宋体" w:hAnsi="宋体" w:cs="Arial"/>
          <w:bCs/>
          <w:color w:val="auto"/>
          <w:kern w:val="0"/>
          <w:sz w:val="24"/>
          <w:highlight w:val="none"/>
        </w:rPr>
        <w:t>本次招标公告在《云南省政府采购网》和《</w:t>
      </w:r>
      <w:r>
        <w:rPr>
          <w:rFonts w:hint="eastAsia" w:ascii="宋体" w:hAnsi="宋体" w:cs="Arial"/>
          <w:bCs/>
          <w:color w:val="auto"/>
          <w:kern w:val="0"/>
          <w:sz w:val="24"/>
          <w:highlight w:val="none"/>
          <w:lang w:eastAsia="zh-CN"/>
        </w:rPr>
        <w:t>西南林业大学官网</w:t>
      </w:r>
      <w:r>
        <w:rPr>
          <w:rFonts w:hint="eastAsia" w:ascii="宋体" w:hAnsi="宋体" w:cs="Arial"/>
          <w:bCs/>
          <w:color w:val="auto"/>
          <w:kern w:val="0"/>
          <w:sz w:val="24"/>
          <w:highlight w:val="none"/>
        </w:rPr>
        <w:t>》上发布。采购人对其他网站或媒体转载的公告及公告内容不承担任何责任</w:t>
      </w:r>
      <w:r>
        <w:rPr>
          <w:rFonts w:hint="eastAsia" w:asciiTheme="minorEastAsia" w:hAnsiTheme="minorEastAsia" w:eastAsiaTheme="minorEastAsia" w:cstheme="minorEastAsia"/>
          <w:color w:val="auto"/>
          <w:kern w:val="0"/>
          <w:sz w:val="24"/>
          <w:highlight w:val="none"/>
        </w:rPr>
        <w:t>。</w:t>
      </w:r>
    </w:p>
    <w:p w14:paraId="387EAD76">
      <w:pPr>
        <w:pStyle w:val="20"/>
        <w:pageBreakBefore w:val="0"/>
        <w:widowControl w:val="0"/>
        <w:kinsoku w:val="0"/>
        <w:wordWrap/>
        <w:overflowPunct w:val="0"/>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6.2</w:t>
      </w:r>
      <w:r>
        <w:rPr>
          <w:rFonts w:hint="eastAsia" w:asciiTheme="minorEastAsia" w:hAnsiTheme="minorEastAsia" w:eastAsiaTheme="minorEastAsia" w:cstheme="minorEastAsia"/>
          <w:color w:val="auto"/>
          <w:kern w:val="0"/>
          <w:sz w:val="24"/>
          <w:szCs w:val="24"/>
          <w:highlight w:val="none"/>
          <w:lang w:eastAsia="zh-CN"/>
        </w:rPr>
        <w:t>投标保证金</w:t>
      </w:r>
      <w:r>
        <w:rPr>
          <w:rFonts w:hint="eastAsia" w:asciiTheme="minorEastAsia" w:hAnsiTheme="minorEastAsia" w:eastAsiaTheme="minorEastAsia" w:cstheme="minorEastAsia"/>
          <w:color w:val="auto"/>
          <w:kern w:val="0"/>
          <w:sz w:val="24"/>
          <w:szCs w:val="24"/>
          <w:highlight w:val="none"/>
        </w:rPr>
        <w:t>：是否需要缴纳投标保证金：是。</w:t>
      </w:r>
    </w:p>
    <w:p w14:paraId="4E127D90">
      <w:pPr>
        <w:pStyle w:val="20"/>
        <w:pageBreakBefore w:val="0"/>
        <w:widowControl w:val="0"/>
        <w:kinsoku w:val="0"/>
        <w:wordWrap/>
        <w:overflowPunct w:val="0"/>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名  称：国信招标集团股份有限公司</w:t>
      </w:r>
    </w:p>
    <w:p w14:paraId="257ABFB9">
      <w:pPr>
        <w:pStyle w:val="20"/>
        <w:pageBreakBefore w:val="0"/>
        <w:widowControl w:val="0"/>
        <w:kinsoku w:val="0"/>
        <w:wordWrap/>
        <w:overflowPunct w:val="0"/>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开户行：招商银行北京广渠门支行</w:t>
      </w:r>
    </w:p>
    <w:p w14:paraId="4754AC76">
      <w:pPr>
        <w:pStyle w:val="20"/>
        <w:pageBreakBefore w:val="0"/>
        <w:widowControl w:val="0"/>
        <w:kinsoku w:val="0"/>
        <w:wordWrap/>
        <w:overflowPunct w:val="0"/>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账  号：9990148030100120000012944</w:t>
      </w:r>
    </w:p>
    <w:p w14:paraId="20249ECC">
      <w:pPr>
        <w:pStyle w:val="20"/>
        <w:pageBreakBefore w:val="0"/>
        <w:widowControl w:val="0"/>
        <w:kinsoku w:val="0"/>
        <w:wordWrap/>
        <w:overflowPunct w:val="0"/>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金额：人民币</w:t>
      </w:r>
      <w:r>
        <w:rPr>
          <w:rFonts w:hint="eastAsia" w:asciiTheme="minorEastAsia" w:hAnsiTheme="minorEastAsia" w:eastAsiaTheme="minorEastAsia" w:cstheme="minorEastAsia"/>
          <w:color w:val="auto"/>
          <w:kern w:val="0"/>
          <w:sz w:val="24"/>
          <w:szCs w:val="24"/>
          <w:highlight w:val="none"/>
          <w:lang w:val="en-US" w:eastAsia="zh-CN"/>
        </w:rPr>
        <w:t>20000</w:t>
      </w:r>
      <w:r>
        <w:rPr>
          <w:rFonts w:hint="eastAsia" w:asciiTheme="minorEastAsia" w:hAnsiTheme="minorEastAsia" w:eastAsiaTheme="minorEastAsia" w:cstheme="minorEastAsia"/>
          <w:color w:val="auto"/>
          <w:kern w:val="0"/>
          <w:sz w:val="24"/>
          <w:szCs w:val="24"/>
          <w:highlight w:val="none"/>
        </w:rPr>
        <w:t>.00元整（人民币</w:t>
      </w:r>
      <w:r>
        <w:rPr>
          <w:rFonts w:hint="eastAsia" w:asciiTheme="minorEastAsia" w:hAnsiTheme="minorEastAsia" w:eastAsiaTheme="minorEastAsia" w:cstheme="minorEastAsia"/>
          <w:color w:val="auto"/>
          <w:kern w:val="0"/>
          <w:sz w:val="24"/>
          <w:szCs w:val="24"/>
          <w:highlight w:val="none"/>
          <w:lang w:val="en-US" w:eastAsia="zh-CN"/>
        </w:rPr>
        <w:t>贰万元整</w:t>
      </w:r>
      <w:r>
        <w:rPr>
          <w:rFonts w:hint="eastAsia" w:asciiTheme="minorEastAsia" w:hAnsiTheme="minorEastAsia" w:eastAsiaTheme="minorEastAsia" w:cstheme="minorEastAsia"/>
          <w:color w:val="auto"/>
          <w:kern w:val="0"/>
          <w:sz w:val="24"/>
          <w:szCs w:val="24"/>
          <w:highlight w:val="none"/>
        </w:rPr>
        <w:t>）。</w:t>
      </w:r>
    </w:p>
    <w:p w14:paraId="294EAD36">
      <w:pPr>
        <w:pStyle w:val="20"/>
        <w:pageBreakBefore w:val="0"/>
        <w:widowControl w:val="0"/>
        <w:kinsoku w:val="0"/>
        <w:wordWrap/>
        <w:overflowPunct w:val="0"/>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保证金缴纳方式：</w:t>
      </w:r>
      <w:r>
        <w:rPr>
          <w:rFonts w:hint="eastAsia" w:asciiTheme="minorEastAsia" w:hAnsiTheme="minorEastAsia" w:eastAsiaTheme="minorEastAsia" w:cstheme="minorEastAsia"/>
          <w:color w:val="auto"/>
          <w:kern w:val="0"/>
          <w:sz w:val="24"/>
          <w:szCs w:val="24"/>
          <w:highlight w:val="none"/>
          <w:lang w:val="en-US" w:eastAsia="zh-CN"/>
        </w:rPr>
        <w:t>银行转账、</w:t>
      </w:r>
      <w:r>
        <w:rPr>
          <w:rFonts w:hint="eastAsia" w:asciiTheme="minorEastAsia" w:hAnsiTheme="minorEastAsia" w:eastAsiaTheme="minorEastAsia" w:cstheme="minorEastAsia"/>
          <w:color w:val="auto"/>
          <w:kern w:val="0"/>
          <w:sz w:val="24"/>
          <w:szCs w:val="24"/>
          <w:highlight w:val="none"/>
        </w:rPr>
        <w:t>支票、汇票、本票、保函等非现金形式缴纳或提交保证金。</w:t>
      </w:r>
    </w:p>
    <w:p w14:paraId="587503AF">
      <w:pPr>
        <w:pStyle w:val="20"/>
        <w:pageBreakBefore w:val="0"/>
        <w:widowControl w:val="0"/>
        <w:kinsoku w:val="0"/>
        <w:wordWrap/>
        <w:overflowPunct w:val="0"/>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保证金缴纳截止时间：同提交</w:t>
      </w:r>
      <w:r>
        <w:rPr>
          <w:rFonts w:hint="eastAsia" w:asciiTheme="minorEastAsia" w:hAnsiTheme="minorEastAsia" w:eastAsiaTheme="minorEastAsia" w:cstheme="minorEastAsia"/>
          <w:color w:val="auto"/>
          <w:kern w:val="0"/>
          <w:sz w:val="24"/>
          <w:szCs w:val="24"/>
          <w:highlight w:val="none"/>
          <w:lang w:eastAsia="zh-CN"/>
        </w:rPr>
        <w:t>投标文件</w:t>
      </w:r>
      <w:r>
        <w:rPr>
          <w:rFonts w:hint="eastAsia" w:asciiTheme="minorEastAsia" w:hAnsiTheme="minorEastAsia" w:eastAsiaTheme="minorEastAsia" w:cstheme="minorEastAsia"/>
          <w:color w:val="auto"/>
          <w:kern w:val="0"/>
          <w:sz w:val="24"/>
          <w:szCs w:val="24"/>
          <w:highlight w:val="none"/>
        </w:rPr>
        <w:t>截止时间。</w:t>
      </w:r>
    </w:p>
    <w:p w14:paraId="6560757A">
      <w:pPr>
        <w:pStyle w:val="20"/>
        <w:pageBreakBefore w:val="0"/>
        <w:widowControl w:val="0"/>
        <w:kinsoku w:val="0"/>
        <w:wordWrap/>
        <w:overflowPunct w:val="0"/>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注：①境内</w:t>
      </w:r>
      <w:r>
        <w:rPr>
          <w:rFonts w:hint="eastAsia" w:asciiTheme="minorEastAsia" w:hAnsiTheme="minorEastAsia" w:eastAsiaTheme="minorEastAsia" w:cstheme="minorEastAsia"/>
          <w:color w:val="auto"/>
          <w:kern w:val="0"/>
          <w:sz w:val="24"/>
          <w:szCs w:val="24"/>
          <w:highlight w:val="none"/>
          <w:lang w:eastAsia="zh-CN"/>
        </w:rPr>
        <w:t>投标人</w:t>
      </w:r>
      <w:r>
        <w:rPr>
          <w:rFonts w:hint="eastAsia" w:asciiTheme="minorEastAsia" w:hAnsiTheme="minorEastAsia" w:eastAsiaTheme="minorEastAsia" w:cstheme="minorEastAsia"/>
          <w:color w:val="auto"/>
          <w:kern w:val="0"/>
          <w:sz w:val="24"/>
          <w:szCs w:val="24"/>
          <w:highlight w:val="none"/>
        </w:rPr>
        <w:t>以支票、汇票、本票形式提交的</w:t>
      </w:r>
      <w:r>
        <w:rPr>
          <w:rFonts w:hint="eastAsia" w:asciiTheme="minorEastAsia" w:hAnsiTheme="minorEastAsia" w:eastAsiaTheme="minorEastAsia" w:cstheme="minorEastAsia"/>
          <w:color w:val="auto"/>
          <w:kern w:val="0"/>
          <w:sz w:val="24"/>
          <w:szCs w:val="24"/>
          <w:highlight w:val="none"/>
          <w:lang w:eastAsia="zh-CN"/>
        </w:rPr>
        <w:t>投标保证金</w:t>
      </w:r>
      <w:r>
        <w:rPr>
          <w:rFonts w:hint="eastAsia" w:asciiTheme="minorEastAsia" w:hAnsiTheme="minorEastAsia" w:eastAsiaTheme="minorEastAsia" w:cstheme="minorEastAsia"/>
          <w:color w:val="auto"/>
          <w:kern w:val="0"/>
          <w:sz w:val="24"/>
          <w:szCs w:val="24"/>
          <w:highlight w:val="none"/>
        </w:rPr>
        <w:t>应当从其账户转出；②</w:t>
      </w:r>
      <w:r>
        <w:rPr>
          <w:rFonts w:hint="eastAsia" w:asciiTheme="minorEastAsia" w:hAnsiTheme="minorEastAsia" w:eastAsiaTheme="minorEastAsia" w:cstheme="minorEastAsia"/>
          <w:color w:val="auto"/>
          <w:kern w:val="0"/>
          <w:sz w:val="24"/>
          <w:szCs w:val="24"/>
          <w:highlight w:val="none"/>
          <w:lang w:eastAsia="zh-CN"/>
        </w:rPr>
        <w:t>投标保证金</w:t>
      </w:r>
      <w:r>
        <w:rPr>
          <w:rFonts w:hint="eastAsia" w:asciiTheme="minorEastAsia" w:hAnsiTheme="minorEastAsia" w:eastAsiaTheme="minorEastAsia" w:cstheme="minorEastAsia"/>
          <w:color w:val="auto"/>
          <w:kern w:val="0"/>
          <w:sz w:val="24"/>
          <w:szCs w:val="24"/>
          <w:highlight w:val="none"/>
        </w:rPr>
        <w:t>交纳时间以</w:t>
      </w:r>
      <w:r>
        <w:rPr>
          <w:rFonts w:hint="eastAsia" w:asciiTheme="minorEastAsia" w:hAnsiTheme="minorEastAsia" w:eastAsiaTheme="minorEastAsia" w:cstheme="minorEastAsia"/>
          <w:color w:val="auto"/>
          <w:kern w:val="0"/>
          <w:sz w:val="24"/>
          <w:szCs w:val="24"/>
          <w:highlight w:val="none"/>
          <w:lang w:eastAsia="zh-CN"/>
        </w:rPr>
        <w:t>投标保证金</w:t>
      </w:r>
      <w:r>
        <w:rPr>
          <w:rFonts w:hint="eastAsia" w:asciiTheme="minorEastAsia" w:hAnsiTheme="minorEastAsia" w:eastAsiaTheme="minorEastAsia" w:cstheme="minorEastAsia"/>
          <w:color w:val="auto"/>
          <w:kern w:val="0"/>
          <w:sz w:val="24"/>
          <w:szCs w:val="24"/>
          <w:highlight w:val="none"/>
        </w:rPr>
        <w:t>收取账户到账时间为准；③请</w:t>
      </w:r>
      <w:r>
        <w:rPr>
          <w:rFonts w:hint="eastAsia" w:asciiTheme="minorEastAsia" w:hAnsiTheme="minorEastAsia" w:eastAsiaTheme="minorEastAsia" w:cstheme="minorEastAsia"/>
          <w:color w:val="auto"/>
          <w:kern w:val="0"/>
          <w:sz w:val="24"/>
          <w:szCs w:val="24"/>
          <w:highlight w:val="none"/>
          <w:lang w:eastAsia="zh-CN"/>
        </w:rPr>
        <w:t>投标人</w:t>
      </w:r>
      <w:r>
        <w:rPr>
          <w:rFonts w:hint="eastAsia" w:asciiTheme="minorEastAsia" w:hAnsiTheme="minorEastAsia" w:eastAsiaTheme="minorEastAsia" w:cstheme="minorEastAsia"/>
          <w:color w:val="auto"/>
          <w:kern w:val="0"/>
          <w:sz w:val="24"/>
          <w:szCs w:val="24"/>
          <w:highlight w:val="none"/>
        </w:rPr>
        <w:t>在汇款时务必注明项目的项目编号，否则，因款项用途不明导致</w:t>
      </w:r>
      <w:r>
        <w:rPr>
          <w:rFonts w:hint="eastAsia" w:asciiTheme="minorEastAsia" w:hAnsiTheme="minorEastAsia" w:eastAsiaTheme="minorEastAsia" w:cstheme="minorEastAsia"/>
          <w:color w:val="auto"/>
          <w:kern w:val="0"/>
          <w:sz w:val="24"/>
          <w:szCs w:val="24"/>
          <w:highlight w:val="none"/>
          <w:lang w:eastAsia="zh-CN"/>
        </w:rPr>
        <w:t>投标文件</w:t>
      </w:r>
      <w:r>
        <w:rPr>
          <w:rFonts w:hint="eastAsia" w:asciiTheme="minorEastAsia" w:hAnsiTheme="minorEastAsia" w:eastAsiaTheme="minorEastAsia" w:cstheme="minorEastAsia"/>
          <w:color w:val="auto"/>
          <w:kern w:val="0"/>
          <w:sz w:val="24"/>
          <w:szCs w:val="24"/>
          <w:highlight w:val="none"/>
        </w:rPr>
        <w:t>无效等后果由</w:t>
      </w:r>
      <w:r>
        <w:rPr>
          <w:rFonts w:hint="eastAsia" w:asciiTheme="minorEastAsia" w:hAnsiTheme="minorEastAsia" w:eastAsiaTheme="minorEastAsia" w:cstheme="minorEastAsia"/>
          <w:color w:val="auto"/>
          <w:kern w:val="0"/>
          <w:sz w:val="24"/>
          <w:szCs w:val="24"/>
          <w:highlight w:val="none"/>
          <w:lang w:eastAsia="zh-CN"/>
        </w:rPr>
        <w:t>投标人</w:t>
      </w:r>
      <w:r>
        <w:rPr>
          <w:rFonts w:hint="eastAsia" w:asciiTheme="minorEastAsia" w:hAnsiTheme="minorEastAsia" w:eastAsiaTheme="minorEastAsia" w:cstheme="minorEastAsia"/>
          <w:color w:val="auto"/>
          <w:kern w:val="0"/>
          <w:sz w:val="24"/>
          <w:szCs w:val="24"/>
          <w:highlight w:val="none"/>
        </w:rPr>
        <w:t>自行承担；④由于银行自身的原因，保证金不能再及时查实到账情况，只能隔天查实，建议各</w:t>
      </w:r>
      <w:r>
        <w:rPr>
          <w:rFonts w:hint="eastAsia" w:asciiTheme="minorEastAsia" w:hAnsiTheme="minorEastAsia" w:eastAsiaTheme="minorEastAsia" w:cstheme="minorEastAsia"/>
          <w:color w:val="auto"/>
          <w:kern w:val="0"/>
          <w:sz w:val="24"/>
          <w:szCs w:val="24"/>
          <w:highlight w:val="none"/>
          <w:lang w:eastAsia="zh-CN"/>
        </w:rPr>
        <w:t>投标人</w:t>
      </w:r>
      <w:r>
        <w:rPr>
          <w:rFonts w:hint="eastAsia" w:asciiTheme="minorEastAsia" w:hAnsiTheme="minorEastAsia" w:eastAsiaTheme="minorEastAsia" w:cstheme="minorEastAsia"/>
          <w:color w:val="auto"/>
          <w:kern w:val="0"/>
          <w:sz w:val="24"/>
          <w:szCs w:val="24"/>
          <w:highlight w:val="none"/>
        </w:rPr>
        <w:t>在投标截止时间前3个工作日，按</w:t>
      </w:r>
      <w:r>
        <w:rPr>
          <w:rFonts w:hint="eastAsia" w:asciiTheme="minorEastAsia" w:hAnsiTheme="minorEastAsia" w:eastAsiaTheme="minorEastAsia" w:cstheme="minorEastAsia"/>
          <w:color w:val="auto"/>
          <w:kern w:val="0"/>
          <w:sz w:val="24"/>
          <w:szCs w:val="24"/>
          <w:highlight w:val="none"/>
          <w:lang w:eastAsia="zh-CN"/>
        </w:rPr>
        <w:t>投标文件</w:t>
      </w:r>
      <w:r>
        <w:rPr>
          <w:rFonts w:hint="eastAsia" w:asciiTheme="minorEastAsia" w:hAnsiTheme="minorEastAsia" w:eastAsiaTheme="minorEastAsia" w:cstheme="minorEastAsia"/>
          <w:color w:val="auto"/>
          <w:kern w:val="0"/>
          <w:sz w:val="24"/>
          <w:szCs w:val="24"/>
          <w:highlight w:val="none"/>
        </w:rPr>
        <w:t>的要求前来办理交纳</w:t>
      </w:r>
      <w:r>
        <w:rPr>
          <w:rFonts w:hint="eastAsia" w:asciiTheme="minorEastAsia" w:hAnsiTheme="minorEastAsia" w:eastAsiaTheme="minorEastAsia" w:cstheme="minorEastAsia"/>
          <w:color w:val="auto"/>
          <w:kern w:val="0"/>
          <w:sz w:val="24"/>
          <w:szCs w:val="24"/>
          <w:highlight w:val="none"/>
          <w:lang w:eastAsia="zh-CN"/>
        </w:rPr>
        <w:t>投标保证金</w:t>
      </w:r>
      <w:r>
        <w:rPr>
          <w:rFonts w:hint="eastAsia" w:asciiTheme="minorEastAsia" w:hAnsiTheme="minorEastAsia" w:eastAsiaTheme="minorEastAsia" w:cstheme="minorEastAsia"/>
          <w:color w:val="auto"/>
          <w:kern w:val="0"/>
          <w:sz w:val="24"/>
          <w:szCs w:val="24"/>
          <w:highlight w:val="none"/>
        </w:rPr>
        <w:t>相关事宜，</w:t>
      </w:r>
      <w:r>
        <w:rPr>
          <w:rFonts w:hint="eastAsia" w:asciiTheme="minorEastAsia" w:hAnsiTheme="minorEastAsia" w:eastAsiaTheme="minorEastAsia" w:cstheme="minorEastAsia"/>
          <w:color w:val="auto"/>
          <w:kern w:val="0"/>
          <w:sz w:val="24"/>
          <w:szCs w:val="24"/>
          <w:highlight w:val="none"/>
          <w:lang w:val="en-US" w:eastAsia="zh-CN"/>
        </w:rPr>
        <w:t>投标</w:t>
      </w:r>
      <w:r>
        <w:rPr>
          <w:rFonts w:hint="eastAsia" w:asciiTheme="minorEastAsia" w:hAnsiTheme="minorEastAsia" w:eastAsiaTheme="minorEastAsia" w:cstheme="minorEastAsia"/>
          <w:color w:val="auto"/>
          <w:kern w:val="0"/>
          <w:sz w:val="24"/>
          <w:szCs w:val="24"/>
          <w:highlight w:val="none"/>
        </w:rPr>
        <w:t>截止时间之后收到的</w:t>
      </w:r>
      <w:r>
        <w:rPr>
          <w:rFonts w:hint="eastAsia" w:asciiTheme="minorEastAsia" w:hAnsiTheme="minorEastAsia" w:eastAsiaTheme="minorEastAsia" w:cstheme="minorEastAsia"/>
          <w:color w:val="auto"/>
          <w:kern w:val="0"/>
          <w:sz w:val="24"/>
          <w:szCs w:val="24"/>
          <w:highlight w:val="none"/>
          <w:lang w:eastAsia="zh-CN"/>
        </w:rPr>
        <w:t>投标保证金</w:t>
      </w:r>
      <w:r>
        <w:rPr>
          <w:rFonts w:hint="eastAsia" w:asciiTheme="minorEastAsia" w:hAnsiTheme="minorEastAsia" w:eastAsiaTheme="minorEastAsia" w:cstheme="minorEastAsia"/>
          <w:color w:val="auto"/>
          <w:kern w:val="0"/>
          <w:sz w:val="24"/>
          <w:szCs w:val="24"/>
          <w:highlight w:val="none"/>
        </w:rPr>
        <w:t>无效。</w:t>
      </w:r>
    </w:p>
    <w:p w14:paraId="09CA82F6">
      <w:pPr>
        <w:pStyle w:val="20"/>
        <w:pageBreakBefore w:val="0"/>
        <w:widowControl w:val="0"/>
        <w:kinsoku w:val="0"/>
        <w:wordWrap/>
        <w:overflowPunct w:val="0"/>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6.3</w:t>
      </w:r>
      <w:r>
        <w:rPr>
          <w:rFonts w:hint="eastAsia" w:asciiTheme="minorEastAsia" w:hAnsiTheme="minorEastAsia" w:eastAsiaTheme="minorEastAsia" w:cstheme="minorEastAsia"/>
          <w:color w:val="auto"/>
          <w:kern w:val="0"/>
          <w:sz w:val="24"/>
          <w:szCs w:val="24"/>
          <w:highlight w:val="none"/>
          <w:lang w:eastAsia="zh-CN"/>
        </w:rPr>
        <w:t>投标人</w:t>
      </w:r>
      <w:r>
        <w:rPr>
          <w:rFonts w:hint="eastAsia" w:asciiTheme="minorEastAsia" w:hAnsiTheme="minorEastAsia" w:eastAsiaTheme="minorEastAsia" w:cstheme="minorEastAsia"/>
          <w:color w:val="auto"/>
          <w:kern w:val="0"/>
          <w:sz w:val="24"/>
          <w:szCs w:val="24"/>
          <w:highlight w:val="none"/>
        </w:rPr>
        <w:t>将政采云电子交易客户端下载、安装完成后，可通过账号密码或CA登录客户端进行</w:t>
      </w:r>
      <w:r>
        <w:rPr>
          <w:rFonts w:hint="eastAsia" w:asciiTheme="minorEastAsia" w:hAnsiTheme="minorEastAsia" w:eastAsiaTheme="minorEastAsia" w:cstheme="minorEastAsia"/>
          <w:color w:val="auto"/>
          <w:kern w:val="0"/>
          <w:sz w:val="24"/>
          <w:szCs w:val="24"/>
          <w:highlight w:val="none"/>
          <w:lang w:eastAsia="zh-CN"/>
        </w:rPr>
        <w:t>投标文件</w:t>
      </w:r>
      <w:r>
        <w:rPr>
          <w:rFonts w:hint="eastAsia" w:asciiTheme="minorEastAsia" w:hAnsiTheme="minorEastAsia" w:eastAsiaTheme="minorEastAsia" w:cstheme="minorEastAsia"/>
          <w:color w:val="auto"/>
          <w:kern w:val="0"/>
          <w:sz w:val="24"/>
          <w:szCs w:val="24"/>
          <w:highlight w:val="none"/>
        </w:rPr>
        <w:t>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如因</w:t>
      </w:r>
      <w:r>
        <w:rPr>
          <w:rFonts w:hint="eastAsia" w:asciiTheme="minorEastAsia" w:hAnsiTheme="minorEastAsia" w:eastAsiaTheme="minorEastAsia" w:cstheme="minorEastAsia"/>
          <w:color w:val="auto"/>
          <w:kern w:val="0"/>
          <w:sz w:val="24"/>
          <w:szCs w:val="24"/>
          <w:highlight w:val="none"/>
          <w:lang w:eastAsia="zh-CN"/>
        </w:rPr>
        <w:t>投标人</w:t>
      </w:r>
      <w:r>
        <w:rPr>
          <w:rFonts w:hint="eastAsia" w:asciiTheme="minorEastAsia" w:hAnsiTheme="minorEastAsia" w:eastAsiaTheme="minorEastAsia" w:cstheme="minorEastAsia"/>
          <w:color w:val="auto"/>
          <w:kern w:val="0"/>
          <w:sz w:val="24"/>
          <w:szCs w:val="24"/>
          <w:highlight w:val="none"/>
        </w:rPr>
        <w:t>自身原因导致在规定时间内无法正常解密的（如：浏览器故障、未安装相关驱动、网络故障、加密CA与解密CA不一致等），采购人/代理机构不予异常处理，视为</w:t>
      </w:r>
      <w:r>
        <w:rPr>
          <w:rFonts w:hint="eastAsia" w:asciiTheme="minorEastAsia" w:hAnsiTheme="minorEastAsia" w:eastAsiaTheme="minorEastAsia" w:cstheme="minorEastAsia"/>
          <w:color w:val="auto"/>
          <w:kern w:val="0"/>
          <w:sz w:val="24"/>
          <w:szCs w:val="24"/>
          <w:highlight w:val="none"/>
          <w:lang w:eastAsia="zh-CN"/>
        </w:rPr>
        <w:t>投标人</w:t>
      </w:r>
      <w:r>
        <w:rPr>
          <w:rFonts w:hint="eastAsia" w:asciiTheme="minorEastAsia" w:hAnsiTheme="minorEastAsia" w:eastAsiaTheme="minorEastAsia" w:cstheme="minorEastAsia"/>
          <w:color w:val="auto"/>
          <w:kern w:val="0"/>
          <w:sz w:val="24"/>
          <w:szCs w:val="24"/>
          <w:highlight w:val="none"/>
        </w:rPr>
        <w:t>自动弃标。</w:t>
      </w:r>
    </w:p>
    <w:p w14:paraId="1BA9C45B">
      <w:pPr>
        <w:pStyle w:val="3"/>
        <w:pageBreakBefore w:val="0"/>
        <w:widowControl w:val="0"/>
        <w:numPr>
          <w:ilvl w:val="0"/>
          <w:numId w:val="2"/>
        </w:numPr>
        <w:wordWrap/>
        <w:topLinePunct w:val="0"/>
        <w:bidi w:val="0"/>
        <w:spacing w:before="0" w:after="0" w:line="360" w:lineRule="auto"/>
        <w:ind w:left="0" w:lef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对本次招标提出询问，请按以下方式联系</w:t>
      </w:r>
    </w:p>
    <w:p w14:paraId="7DCE2F20">
      <w:pPr>
        <w:pageBreakBefore w:val="0"/>
        <w:widowControl w:val="0"/>
        <w:wordWrap/>
        <w:topLinePunct w:val="0"/>
        <w:bidi w:val="0"/>
        <w:spacing w:line="360" w:lineRule="auto"/>
        <w:ind w:firstLine="482" w:firstLineChars="200"/>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7.1采购人信息</w:t>
      </w:r>
    </w:p>
    <w:p w14:paraId="6F8E33F3">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名    称：</w:t>
      </w:r>
      <w:r>
        <w:rPr>
          <w:rFonts w:hint="eastAsia" w:asciiTheme="minorEastAsia" w:hAnsiTheme="minorEastAsia" w:eastAsiaTheme="minorEastAsia" w:cstheme="minorEastAsia"/>
          <w:color w:val="auto"/>
          <w:kern w:val="0"/>
          <w:sz w:val="24"/>
          <w:szCs w:val="24"/>
          <w:highlight w:val="none"/>
          <w:lang w:eastAsia="zh-CN"/>
        </w:rPr>
        <w:t>西南林业大学</w:t>
      </w:r>
    </w:p>
    <w:p w14:paraId="25586975">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地    址：</w:t>
      </w:r>
      <w:r>
        <w:rPr>
          <w:rFonts w:hint="eastAsia" w:asciiTheme="minorEastAsia" w:hAnsiTheme="minorEastAsia" w:eastAsiaTheme="minorEastAsia" w:cstheme="minorEastAsia"/>
          <w:color w:val="auto"/>
          <w:kern w:val="0"/>
          <w:sz w:val="24"/>
          <w:szCs w:val="24"/>
          <w:highlight w:val="none"/>
          <w:lang w:eastAsia="zh-CN"/>
        </w:rPr>
        <w:t>云南省昆明市盘龙区白龙寺300号西南林业大学</w:t>
      </w:r>
    </w:p>
    <w:p w14:paraId="434DB459">
      <w:pPr>
        <w:pageBreakBefore w:val="0"/>
        <w:widowControl w:val="0"/>
        <w:wordWrap/>
        <w:topLinePunct w:val="0"/>
        <w:bidi w:val="0"/>
        <w:spacing w:line="360" w:lineRule="auto"/>
        <w:ind w:firstLine="480" w:firstLineChars="200"/>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联</w:t>
      </w:r>
      <w:r>
        <w:rPr>
          <w:rFonts w:hint="eastAsia" w:asciiTheme="minorEastAsia" w:hAnsiTheme="minorEastAsia" w:eastAsiaTheme="minorEastAsia" w:cstheme="minorEastAsia"/>
          <w:color w:val="auto"/>
          <w:kern w:val="0"/>
          <w:sz w:val="24"/>
          <w:szCs w:val="24"/>
          <w:highlight w:val="none"/>
          <w:lang w:val="en-US" w:eastAsia="zh-CN"/>
        </w:rPr>
        <w:t xml:space="preserve"> </w:t>
      </w:r>
      <w:r>
        <w:rPr>
          <w:rFonts w:hint="eastAsia" w:asciiTheme="minorEastAsia" w:hAnsiTheme="minorEastAsia" w:eastAsiaTheme="minorEastAsia" w:cstheme="minorEastAsia"/>
          <w:color w:val="auto"/>
          <w:kern w:val="0"/>
          <w:sz w:val="24"/>
          <w:szCs w:val="24"/>
          <w:highlight w:val="none"/>
        </w:rPr>
        <w:t>系</w:t>
      </w:r>
      <w:r>
        <w:rPr>
          <w:rFonts w:hint="eastAsia" w:asciiTheme="minorEastAsia" w:hAnsiTheme="minorEastAsia" w:eastAsiaTheme="minorEastAsia" w:cstheme="minorEastAsia"/>
          <w:color w:val="auto"/>
          <w:kern w:val="0"/>
          <w:sz w:val="24"/>
          <w:szCs w:val="24"/>
          <w:highlight w:val="none"/>
          <w:lang w:val="en-US" w:eastAsia="zh-CN"/>
        </w:rPr>
        <w:t xml:space="preserve"> 人</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周老师</w:t>
      </w:r>
    </w:p>
    <w:p w14:paraId="7BB9DB27">
      <w:pPr>
        <w:pageBreakBefore w:val="0"/>
        <w:widowControl w:val="0"/>
        <w:wordWrap/>
        <w:topLinePunct w:val="0"/>
        <w:bidi w:val="0"/>
        <w:spacing w:line="360" w:lineRule="auto"/>
        <w:ind w:firstLine="480" w:firstLineChars="200"/>
        <w:rPr>
          <w:rFonts w:hint="default" w:asciiTheme="minorEastAsia" w:hAnsiTheme="minorEastAsia" w:eastAsiaTheme="minorEastAsia" w:cstheme="minorEastAsia"/>
          <w:color w:val="auto"/>
          <w:kern w:val="0"/>
          <w:sz w:val="24"/>
          <w:szCs w:val="24"/>
          <w:highlight w:val="yellow"/>
          <w:lang w:val="en-US" w:eastAsia="zh-CN"/>
        </w:rPr>
      </w:pPr>
      <w:r>
        <w:rPr>
          <w:rFonts w:hint="eastAsia" w:asciiTheme="minorEastAsia" w:hAnsiTheme="minorEastAsia" w:eastAsiaTheme="minorEastAsia" w:cstheme="minorEastAsia"/>
          <w:color w:val="auto"/>
          <w:kern w:val="0"/>
          <w:sz w:val="24"/>
          <w:szCs w:val="24"/>
          <w:highlight w:val="none"/>
          <w:lang w:val="en-US" w:eastAsia="zh-CN"/>
        </w:rPr>
        <w:t>联系方式：0871-63863033</w:t>
      </w:r>
    </w:p>
    <w:p w14:paraId="0AE71121">
      <w:pPr>
        <w:pageBreakBefore w:val="0"/>
        <w:widowControl w:val="0"/>
        <w:wordWrap/>
        <w:topLinePunct w:val="0"/>
        <w:bidi w:val="0"/>
        <w:spacing w:line="360" w:lineRule="auto"/>
        <w:ind w:firstLine="482" w:firstLineChars="200"/>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7.2采购代理机构信息</w:t>
      </w:r>
    </w:p>
    <w:p w14:paraId="14CBBE0B">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名    称：国信招标集团股份有限公司</w:t>
      </w:r>
    </w:p>
    <w:p w14:paraId="284EB8BA">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地    址：云南省昆明市西山区西园路与大观路交汇处大观首府8栋31层</w:t>
      </w:r>
    </w:p>
    <w:p w14:paraId="36ED37EE">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联</w:t>
      </w:r>
      <w:r>
        <w:rPr>
          <w:rFonts w:hint="eastAsia" w:asciiTheme="minorEastAsia" w:hAnsiTheme="minorEastAsia" w:eastAsiaTheme="minorEastAsia" w:cstheme="minorEastAsia"/>
          <w:color w:val="auto"/>
          <w:kern w:val="0"/>
          <w:sz w:val="24"/>
          <w:szCs w:val="24"/>
          <w:highlight w:val="none"/>
          <w:lang w:val="en-US" w:eastAsia="zh-CN"/>
        </w:rPr>
        <w:t xml:space="preserve"> </w:t>
      </w:r>
      <w:r>
        <w:rPr>
          <w:rFonts w:hint="eastAsia" w:asciiTheme="minorEastAsia" w:hAnsiTheme="minorEastAsia" w:eastAsiaTheme="minorEastAsia" w:cstheme="minorEastAsia"/>
          <w:color w:val="auto"/>
          <w:kern w:val="0"/>
          <w:sz w:val="24"/>
          <w:szCs w:val="24"/>
          <w:highlight w:val="none"/>
        </w:rPr>
        <w:t>系</w:t>
      </w:r>
      <w:r>
        <w:rPr>
          <w:rFonts w:hint="eastAsia" w:asciiTheme="minorEastAsia" w:hAnsiTheme="minorEastAsia" w:eastAsiaTheme="minorEastAsia" w:cstheme="minorEastAsia"/>
          <w:color w:val="auto"/>
          <w:kern w:val="0"/>
          <w:sz w:val="24"/>
          <w:szCs w:val="24"/>
          <w:highlight w:val="none"/>
          <w:lang w:val="en-US" w:eastAsia="zh-CN"/>
        </w:rPr>
        <w:t xml:space="preserve"> 人</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刘敏、陈文瀚、魏志姣、</w:t>
      </w:r>
      <w:r>
        <w:rPr>
          <w:rFonts w:hint="eastAsia" w:asciiTheme="minorEastAsia" w:hAnsiTheme="minorEastAsia" w:eastAsiaTheme="minorEastAsia" w:cstheme="minorEastAsia"/>
          <w:color w:val="auto"/>
          <w:kern w:val="0"/>
          <w:sz w:val="24"/>
          <w:szCs w:val="24"/>
          <w:highlight w:val="none"/>
        </w:rPr>
        <w:t>张译</w:t>
      </w:r>
    </w:p>
    <w:p w14:paraId="75D20D5E">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联系方式：</w:t>
      </w:r>
      <w:r>
        <w:rPr>
          <w:rFonts w:hint="eastAsia" w:asciiTheme="minorEastAsia" w:hAnsiTheme="minorEastAsia" w:eastAsiaTheme="minorEastAsia" w:cstheme="minorEastAsia"/>
          <w:color w:val="auto"/>
          <w:kern w:val="0"/>
          <w:sz w:val="24"/>
          <w:szCs w:val="24"/>
          <w:highlight w:val="none"/>
          <w:lang w:eastAsia="zh-CN"/>
        </w:rPr>
        <w:t>0871-65151391</w:t>
      </w:r>
    </w:p>
    <w:p w14:paraId="5090CB91">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b w:val="0"/>
          <w:bCs w:val="0"/>
          <w:color w:val="auto"/>
          <w:kern w:val="0"/>
          <w:sz w:val="24"/>
          <w:szCs w:val="24"/>
          <w:highlight w:val="none"/>
        </w:rPr>
      </w:pPr>
      <w:r>
        <w:rPr>
          <w:rFonts w:hint="eastAsia" w:asciiTheme="minorEastAsia" w:hAnsiTheme="minorEastAsia" w:eastAsiaTheme="minorEastAsia" w:cstheme="minorEastAsia"/>
          <w:b w:val="0"/>
          <w:bCs w:val="0"/>
          <w:color w:val="auto"/>
          <w:kern w:val="0"/>
          <w:sz w:val="24"/>
          <w:szCs w:val="24"/>
          <w:highlight w:val="none"/>
        </w:rPr>
        <w:t>传    真：0871-65151961</w:t>
      </w:r>
    </w:p>
    <w:p w14:paraId="71420263">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b w:val="0"/>
          <w:bCs w:val="0"/>
          <w:color w:val="auto"/>
          <w:kern w:val="0"/>
          <w:sz w:val="24"/>
          <w:szCs w:val="24"/>
          <w:highlight w:val="none"/>
        </w:rPr>
      </w:pPr>
      <w:r>
        <w:rPr>
          <w:rFonts w:hint="eastAsia" w:asciiTheme="minorEastAsia" w:hAnsiTheme="minorEastAsia" w:eastAsiaTheme="minorEastAsia" w:cstheme="minorEastAsia"/>
          <w:b w:val="0"/>
          <w:bCs w:val="0"/>
          <w:color w:val="auto"/>
          <w:kern w:val="0"/>
          <w:sz w:val="24"/>
          <w:szCs w:val="24"/>
          <w:highlight w:val="none"/>
        </w:rPr>
        <w:t>邮    箱：</w:t>
      </w:r>
      <w:r>
        <w:rPr>
          <w:rFonts w:hint="eastAsia" w:asciiTheme="minorEastAsia" w:hAnsiTheme="minorEastAsia" w:eastAsiaTheme="minorEastAsia" w:cstheme="minorEastAsia"/>
          <w:b w:val="0"/>
          <w:bCs w:val="0"/>
          <w:color w:val="auto"/>
          <w:kern w:val="0"/>
          <w:sz w:val="24"/>
          <w:szCs w:val="24"/>
          <w:highlight w:val="none"/>
          <w:u w:val="none"/>
        </w:rPr>
        <w:fldChar w:fldCharType="begin"/>
      </w:r>
      <w:r>
        <w:rPr>
          <w:rFonts w:hint="eastAsia" w:asciiTheme="minorEastAsia" w:hAnsiTheme="minorEastAsia" w:eastAsiaTheme="minorEastAsia" w:cstheme="minorEastAsia"/>
          <w:b w:val="0"/>
          <w:bCs w:val="0"/>
          <w:color w:val="auto"/>
          <w:kern w:val="0"/>
          <w:sz w:val="24"/>
          <w:szCs w:val="24"/>
          <w:highlight w:val="none"/>
          <w:u w:val="none"/>
        </w:rPr>
        <w:instrText xml:space="preserve"> HYPERLINK "mailto:yn68311777@163.com" </w:instrText>
      </w:r>
      <w:r>
        <w:rPr>
          <w:rFonts w:hint="eastAsia" w:asciiTheme="minorEastAsia" w:hAnsiTheme="minorEastAsia" w:eastAsiaTheme="minorEastAsia" w:cstheme="minorEastAsia"/>
          <w:b w:val="0"/>
          <w:bCs w:val="0"/>
          <w:color w:val="auto"/>
          <w:kern w:val="0"/>
          <w:sz w:val="24"/>
          <w:szCs w:val="24"/>
          <w:highlight w:val="none"/>
          <w:u w:val="none"/>
        </w:rPr>
        <w:fldChar w:fldCharType="separate"/>
      </w:r>
      <w:r>
        <w:rPr>
          <w:rStyle w:val="52"/>
          <w:rFonts w:hint="eastAsia" w:asciiTheme="minorEastAsia" w:hAnsiTheme="minorEastAsia" w:eastAsiaTheme="minorEastAsia" w:cstheme="minorEastAsia"/>
          <w:b w:val="0"/>
          <w:bCs w:val="0"/>
          <w:color w:val="auto"/>
          <w:kern w:val="0"/>
          <w:sz w:val="24"/>
          <w:szCs w:val="24"/>
          <w:highlight w:val="none"/>
          <w:u w:val="none"/>
          <w:lang w:eastAsia="zh-CN"/>
        </w:rPr>
        <w:t>yn64612393@163.com</w:t>
      </w:r>
      <w:r>
        <w:rPr>
          <w:rFonts w:hint="eastAsia" w:asciiTheme="minorEastAsia" w:hAnsiTheme="minorEastAsia" w:eastAsiaTheme="minorEastAsia" w:cstheme="minorEastAsia"/>
          <w:b w:val="0"/>
          <w:bCs w:val="0"/>
          <w:color w:val="auto"/>
          <w:kern w:val="0"/>
          <w:sz w:val="24"/>
          <w:szCs w:val="24"/>
          <w:highlight w:val="none"/>
          <w:u w:val="none"/>
        </w:rPr>
        <w:fldChar w:fldCharType="end"/>
      </w:r>
    </w:p>
    <w:p w14:paraId="11EFE072">
      <w:pPr>
        <w:pageBreakBefore w:val="0"/>
        <w:widowControl w:val="0"/>
        <w:wordWrap/>
        <w:topLinePunct w:val="0"/>
        <w:bidi w:val="0"/>
        <w:spacing w:line="360" w:lineRule="auto"/>
        <w:ind w:firstLine="482" w:firstLineChars="200"/>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7.3项目联系方式</w:t>
      </w:r>
    </w:p>
    <w:p w14:paraId="02539249">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联系方式：</w:t>
      </w:r>
      <w:r>
        <w:rPr>
          <w:rFonts w:hint="eastAsia" w:asciiTheme="minorEastAsia" w:hAnsiTheme="minorEastAsia" w:eastAsiaTheme="minorEastAsia" w:cstheme="minorEastAsia"/>
          <w:color w:val="auto"/>
          <w:kern w:val="0"/>
          <w:sz w:val="24"/>
          <w:szCs w:val="24"/>
          <w:highlight w:val="none"/>
          <w:lang w:val="en-US" w:eastAsia="zh-CN"/>
        </w:rPr>
        <w:t>刘敏、陈文瀚、魏志姣、</w:t>
      </w:r>
      <w:r>
        <w:rPr>
          <w:rFonts w:hint="eastAsia" w:asciiTheme="minorEastAsia" w:hAnsiTheme="minorEastAsia" w:eastAsiaTheme="minorEastAsia" w:cstheme="minorEastAsia"/>
          <w:color w:val="auto"/>
          <w:kern w:val="0"/>
          <w:sz w:val="24"/>
          <w:szCs w:val="24"/>
          <w:highlight w:val="none"/>
        </w:rPr>
        <w:t>张译</w:t>
      </w:r>
    </w:p>
    <w:p w14:paraId="2A387235">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联系方式：</w:t>
      </w:r>
      <w:r>
        <w:rPr>
          <w:rFonts w:hint="eastAsia" w:asciiTheme="minorEastAsia" w:hAnsiTheme="minorEastAsia" w:eastAsiaTheme="minorEastAsia" w:cstheme="minorEastAsia"/>
          <w:color w:val="auto"/>
          <w:kern w:val="0"/>
          <w:sz w:val="24"/>
          <w:szCs w:val="24"/>
          <w:highlight w:val="none"/>
          <w:lang w:eastAsia="zh-CN"/>
        </w:rPr>
        <w:t>0871-65151391</w:t>
      </w:r>
    </w:p>
    <w:p w14:paraId="6AD01259">
      <w:pPr>
        <w:pageBreakBefore w:val="0"/>
        <w:widowControl w:val="0"/>
        <w:wordWrap/>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lang w:eastAsia="zh-CN"/>
        </w:rPr>
      </w:pPr>
    </w:p>
    <w:p w14:paraId="352C0152">
      <w:pPr>
        <w:pStyle w:val="43"/>
        <w:rPr>
          <w:rFonts w:hint="eastAsia" w:asciiTheme="minorEastAsia" w:hAnsiTheme="minorEastAsia" w:eastAsiaTheme="minorEastAsia" w:cstheme="minorEastAsia"/>
          <w:color w:val="auto"/>
          <w:kern w:val="0"/>
          <w:sz w:val="24"/>
          <w:szCs w:val="24"/>
          <w:highlight w:val="none"/>
          <w:lang w:eastAsia="zh-CN"/>
        </w:rPr>
        <w:sectPr>
          <w:headerReference r:id="rId6" w:type="default"/>
          <w:footerReference r:id="rId7" w:type="default"/>
          <w:pgSz w:w="11906" w:h="16838"/>
          <w:pgMar w:top="1587" w:right="1417" w:bottom="1417" w:left="1587" w:header="1020" w:footer="992" w:gutter="0"/>
          <w:pgNumType w:fmt="decimal"/>
          <w:cols w:space="0" w:num="1"/>
          <w:rtlGutter w:val="0"/>
          <w:docGrid w:linePitch="312" w:charSpace="0"/>
        </w:sectPr>
      </w:pPr>
    </w:p>
    <w:p w14:paraId="7B9DC93F">
      <w:pPr>
        <w:pStyle w:val="2"/>
        <w:numPr>
          <w:ilvl w:val="0"/>
          <w:numId w:val="0"/>
        </w:numPr>
        <w:spacing w:line="360" w:lineRule="auto"/>
        <w:jc w:val="center"/>
        <w:rPr>
          <w:rFonts w:ascii="宋体" w:hAnsi="宋体" w:cs="黑体"/>
          <w:color w:val="auto"/>
          <w:kern w:val="0"/>
          <w:sz w:val="32"/>
          <w:szCs w:val="32"/>
          <w:highlight w:val="none"/>
        </w:rPr>
      </w:pPr>
      <w:bookmarkStart w:id="14" w:name="_Toc180"/>
      <w:bookmarkStart w:id="15" w:name="_Toc29947"/>
      <w:bookmarkStart w:id="16" w:name="_Toc31486"/>
      <w:bookmarkStart w:id="17" w:name="_Toc27521"/>
      <w:r>
        <w:rPr>
          <w:rFonts w:hint="eastAsia" w:ascii="黑体" w:hAnsi="黑体" w:eastAsia="黑体"/>
          <w:b/>
          <w:bCs w:val="0"/>
          <w:color w:val="auto"/>
          <w:sz w:val="36"/>
          <w:szCs w:val="36"/>
          <w:highlight w:val="none"/>
          <w:lang w:val="en-US" w:eastAsia="zh-CN"/>
        </w:rPr>
        <w:t>第二章 投标人须知</w:t>
      </w:r>
      <w:bookmarkEnd w:id="14"/>
      <w:bookmarkEnd w:id="15"/>
      <w:bookmarkEnd w:id="16"/>
      <w:bookmarkEnd w:id="17"/>
    </w:p>
    <w:p w14:paraId="42A93EFD">
      <w:pPr>
        <w:pStyle w:val="3"/>
        <w:numPr>
          <w:ilvl w:val="0"/>
          <w:numId w:val="3"/>
        </w:numPr>
        <w:bidi w:val="0"/>
        <w:spacing w:line="240" w:lineRule="auto"/>
        <w:ind w:left="0" w:leftChars="0" w:firstLine="420" w:firstLineChars="0"/>
        <w:jc w:val="center"/>
        <w:rPr>
          <w:rFonts w:hint="eastAsia"/>
          <w:color w:val="auto"/>
          <w:highlight w:val="none"/>
        </w:rPr>
      </w:pPr>
      <w:bookmarkStart w:id="18" w:name="_Toc18183"/>
      <w:bookmarkStart w:id="19" w:name="_Toc7370"/>
      <w:r>
        <w:rPr>
          <w:rFonts w:hint="eastAsia"/>
          <w:color w:val="auto"/>
          <w:highlight w:val="none"/>
        </w:rPr>
        <w:t>投标人须知前附表</w:t>
      </w:r>
      <w:bookmarkEnd w:id="18"/>
      <w:bookmarkEnd w:id="19"/>
    </w:p>
    <w:tbl>
      <w:tblPr>
        <w:tblStyle w:val="44"/>
        <w:tblpPr w:leftFromText="180" w:rightFromText="180" w:vertAnchor="text" w:horzAnchor="page" w:tblpX="1671" w:tblpY="411"/>
        <w:tblOverlap w:val="never"/>
        <w:tblW w:w="90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946"/>
        <w:gridCol w:w="60"/>
        <w:gridCol w:w="6184"/>
      </w:tblGrid>
      <w:tr w14:paraId="052E8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shd w:val="clear" w:color="auto" w:fill="BEBEBE" w:themeFill="background1" w:themeFillShade="BF"/>
            <w:vAlign w:val="center"/>
          </w:tcPr>
          <w:p w14:paraId="00591AD5">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b/>
                <w:bCs/>
                <w:color w:val="auto"/>
                <w:kern w:val="0"/>
                <w:sz w:val="21"/>
                <w:szCs w:val="21"/>
                <w:highlight w:val="none"/>
              </w:rPr>
            </w:pPr>
            <w:bookmarkStart w:id="20" w:name="_Toc10360"/>
            <w:r>
              <w:rPr>
                <w:rFonts w:hint="eastAsia" w:asciiTheme="minorEastAsia" w:hAnsiTheme="minorEastAsia" w:eastAsiaTheme="minorEastAsia" w:cstheme="minorEastAsia"/>
                <w:b/>
                <w:bCs/>
                <w:color w:val="auto"/>
                <w:kern w:val="0"/>
                <w:sz w:val="21"/>
                <w:szCs w:val="21"/>
                <w:highlight w:val="none"/>
              </w:rPr>
              <w:t>条款号</w:t>
            </w:r>
          </w:p>
        </w:tc>
        <w:tc>
          <w:tcPr>
            <w:tcW w:w="2006" w:type="dxa"/>
            <w:gridSpan w:val="2"/>
            <w:shd w:val="clear" w:color="auto" w:fill="BEBEBE" w:themeFill="background1" w:themeFillShade="BF"/>
            <w:vAlign w:val="center"/>
          </w:tcPr>
          <w:p w14:paraId="51EEF167">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b/>
                <w:bCs/>
                <w:color w:val="auto"/>
                <w:kern w:val="0"/>
                <w:sz w:val="21"/>
                <w:szCs w:val="21"/>
                <w:highlight w:val="none"/>
              </w:rPr>
            </w:pPr>
            <w:r>
              <w:rPr>
                <w:rFonts w:hint="eastAsia" w:asciiTheme="minorEastAsia" w:hAnsiTheme="minorEastAsia" w:eastAsiaTheme="minorEastAsia" w:cstheme="minorEastAsia"/>
                <w:b/>
                <w:bCs/>
                <w:color w:val="auto"/>
                <w:kern w:val="0"/>
                <w:sz w:val="21"/>
                <w:szCs w:val="21"/>
                <w:highlight w:val="none"/>
              </w:rPr>
              <w:t>条款名称</w:t>
            </w:r>
          </w:p>
        </w:tc>
        <w:tc>
          <w:tcPr>
            <w:tcW w:w="6184" w:type="dxa"/>
            <w:shd w:val="clear" w:color="auto" w:fill="BEBEBE" w:themeFill="background1" w:themeFillShade="BF"/>
            <w:vAlign w:val="center"/>
          </w:tcPr>
          <w:p w14:paraId="77900779">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b/>
                <w:bCs/>
                <w:color w:val="auto"/>
                <w:kern w:val="0"/>
                <w:sz w:val="21"/>
                <w:szCs w:val="21"/>
                <w:highlight w:val="none"/>
              </w:rPr>
            </w:pPr>
            <w:r>
              <w:rPr>
                <w:rFonts w:hint="eastAsia" w:asciiTheme="minorEastAsia" w:hAnsiTheme="minorEastAsia" w:eastAsiaTheme="minorEastAsia" w:cstheme="minorEastAsia"/>
                <w:b/>
                <w:bCs/>
                <w:color w:val="auto"/>
                <w:kern w:val="0"/>
                <w:sz w:val="21"/>
                <w:szCs w:val="21"/>
                <w:highlight w:val="none"/>
              </w:rPr>
              <w:t>编列内容</w:t>
            </w:r>
          </w:p>
        </w:tc>
      </w:tr>
      <w:tr w14:paraId="26FD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3DCC1038">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default"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rPr>
              <w:t>1.1.5</w:t>
            </w:r>
          </w:p>
        </w:tc>
        <w:tc>
          <w:tcPr>
            <w:tcW w:w="2006" w:type="dxa"/>
            <w:gridSpan w:val="2"/>
            <w:vAlign w:val="center"/>
          </w:tcPr>
          <w:p w14:paraId="6FA96947">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采购标的对应的中小企业划分标准所属行业</w:t>
            </w:r>
          </w:p>
        </w:tc>
        <w:tc>
          <w:tcPr>
            <w:tcW w:w="6184" w:type="dxa"/>
            <w:vAlign w:val="center"/>
          </w:tcPr>
          <w:p w14:paraId="6B5E73D7">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rPr>
              <w:t>所属行业</w:t>
            </w:r>
            <w:r>
              <w:rPr>
                <w:rFonts w:hint="eastAsia" w:asciiTheme="minorEastAsia" w:hAnsiTheme="minorEastAsia" w:eastAsiaTheme="minorEastAsia" w:cstheme="minorEastAsia"/>
                <w:color w:val="auto"/>
                <w:kern w:val="0"/>
                <w:sz w:val="21"/>
                <w:szCs w:val="21"/>
                <w:highlight w:val="none"/>
                <w:lang w:val="en-US" w:eastAsia="zh-CN"/>
              </w:rPr>
              <w:t>为：其他未列明行业。</w:t>
            </w:r>
          </w:p>
        </w:tc>
      </w:tr>
      <w:tr w14:paraId="654DF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7E3E1A3F">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1.5.2</w:t>
            </w:r>
          </w:p>
        </w:tc>
        <w:tc>
          <w:tcPr>
            <w:tcW w:w="2006" w:type="dxa"/>
            <w:gridSpan w:val="2"/>
            <w:vAlign w:val="center"/>
          </w:tcPr>
          <w:p w14:paraId="6B710714">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是否</w:t>
            </w:r>
            <w:r>
              <w:rPr>
                <w:rFonts w:hint="eastAsia" w:asciiTheme="minorEastAsia" w:hAnsiTheme="minorEastAsia" w:eastAsiaTheme="minorEastAsia" w:cstheme="minorEastAsia"/>
                <w:color w:val="auto"/>
                <w:kern w:val="0"/>
                <w:sz w:val="21"/>
                <w:szCs w:val="21"/>
                <w:highlight w:val="none"/>
              </w:rPr>
              <w:t>专门面向中小企业或小型、微型企业采购</w:t>
            </w:r>
          </w:p>
        </w:tc>
        <w:tc>
          <w:tcPr>
            <w:tcW w:w="6184" w:type="dxa"/>
            <w:vAlign w:val="center"/>
          </w:tcPr>
          <w:p w14:paraId="011A88C1">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eastAsia="zh-CN"/>
              </w:rPr>
              <w:t>□</w:t>
            </w:r>
            <w:r>
              <w:rPr>
                <w:rFonts w:hint="eastAsia" w:asciiTheme="minorEastAsia" w:hAnsiTheme="minorEastAsia" w:eastAsiaTheme="minorEastAsia" w:cstheme="minorEastAsia"/>
                <w:color w:val="auto"/>
                <w:kern w:val="0"/>
                <w:sz w:val="21"/>
                <w:szCs w:val="21"/>
                <w:highlight w:val="none"/>
                <w:lang w:val="en-US" w:eastAsia="zh-CN"/>
              </w:rPr>
              <w:t>是</w:t>
            </w:r>
          </w:p>
          <w:p w14:paraId="08356EE1">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Theme="minorEastAsia" w:hAnsiTheme="minorEastAsia" w:eastAsiaTheme="minorEastAsia" w:cstheme="minorEastAsia"/>
                <w:color w:val="auto"/>
                <w:kern w:val="0"/>
                <w:sz w:val="21"/>
                <w:szCs w:val="21"/>
                <w:highlight w:val="none"/>
                <w:lang w:val="en-US" w:eastAsia="zh-CN"/>
              </w:rPr>
              <w:t>否</w:t>
            </w:r>
          </w:p>
        </w:tc>
      </w:tr>
      <w:tr w14:paraId="05969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0930FD30">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1.6</w:t>
            </w:r>
          </w:p>
        </w:tc>
        <w:tc>
          <w:tcPr>
            <w:tcW w:w="2006" w:type="dxa"/>
            <w:gridSpan w:val="2"/>
            <w:vAlign w:val="center"/>
          </w:tcPr>
          <w:p w14:paraId="1919728A">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是否</w:t>
            </w:r>
            <w:r>
              <w:rPr>
                <w:rFonts w:hint="eastAsia" w:asciiTheme="minorEastAsia" w:hAnsiTheme="minorEastAsia" w:eastAsiaTheme="minorEastAsia" w:cstheme="minorEastAsia"/>
                <w:color w:val="auto"/>
                <w:kern w:val="0"/>
                <w:sz w:val="21"/>
                <w:szCs w:val="21"/>
                <w:highlight w:val="none"/>
              </w:rPr>
              <w:t>允许采用分包方式履行合同</w:t>
            </w:r>
          </w:p>
        </w:tc>
        <w:tc>
          <w:tcPr>
            <w:tcW w:w="6184" w:type="dxa"/>
            <w:vAlign w:val="center"/>
          </w:tcPr>
          <w:p w14:paraId="775674E2">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宋体" w:hAnsi="宋体" w:eastAsia="宋体" w:cs="宋体"/>
                <w:color w:val="auto"/>
                <w:kern w:val="0"/>
                <w:sz w:val="21"/>
                <w:szCs w:val="21"/>
                <w:highlight w:val="none"/>
              </w:rPr>
              <w:t>■</w:t>
            </w:r>
            <w:r>
              <w:rPr>
                <w:rFonts w:hint="eastAsia" w:asciiTheme="minorEastAsia" w:hAnsiTheme="minorEastAsia" w:eastAsiaTheme="minorEastAsia" w:cstheme="minorEastAsia"/>
                <w:color w:val="auto"/>
                <w:kern w:val="0"/>
                <w:sz w:val="21"/>
                <w:szCs w:val="21"/>
                <w:highlight w:val="none"/>
                <w:lang w:val="en-US" w:eastAsia="zh-CN"/>
              </w:rPr>
              <w:t>不允许</w:t>
            </w:r>
          </w:p>
          <w:p w14:paraId="0D6AE0EC">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w:t>
            </w:r>
            <w:r>
              <w:rPr>
                <w:rFonts w:hint="eastAsia" w:asciiTheme="minorEastAsia" w:hAnsiTheme="minorEastAsia" w:eastAsiaTheme="minorEastAsia" w:cstheme="minorEastAsia"/>
                <w:color w:val="auto"/>
                <w:kern w:val="0"/>
                <w:sz w:val="21"/>
                <w:szCs w:val="21"/>
                <w:highlight w:val="none"/>
                <w:lang w:val="en-US" w:eastAsia="zh-CN"/>
              </w:rPr>
              <w:t>允许，分包要求详见</w:t>
            </w:r>
            <w:r>
              <w:rPr>
                <w:rFonts w:hint="eastAsia" w:asciiTheme="minorEastAsia" w:hAnsiTheme="minorEastAsia" w:eastAsiaTheme="minorEastAsia" w:cstheme="minorEastAsia"/>
                <w:color w:val="auto"/>
                <w:kern w:val="0"/>
                <w:sz w:val="21"/>
                <w:szCs w:val="21"/>
                <w:highlight w:val="none"/>
              </w:rPr>
              <w:t>第五章采购需求</w:t>
            </w:r>
            <w:r>
              <w:rPr>
                <w:rFonts w:hint="eastAsia" w:asciiTheme="minorEastAsia" w:hAnsiTheme="minorEastAsia" w:eastAsiaTheme="minorEastAsia" w:cstheme="minorEastAsia"/>
                <w:color w:val="auto"/>
                <w:kern w:val="0"/>
                <w:sz w:val="21"/>
                <w:szCs w:val="21"/>
                <w:highlight w:val="none"/>
                <w:lang w:eastAsia="zh-CN"/>
              </w:rPr>
              <w:t>（</w:t>
            </w:r>
            <w:r>
              <w:rPr>
                <w:rFonts w:hint="eastAsia" w:asciiTheme="minorEastAsia" w:hAnsiTheme="minorEastAsia" w:eastAsiaTheme="minorEastAsia" w:cstheme="minorEastAsia"/>
                <w:color w:val="auto"/>
                <w:kern w:val="0"/>
                <w:sz w:val="21"/>
                <w:szCs w:val="21"/>
                <w:highlight w:val="none"/>
              </w:rPr>
              <w:t>采购人允许采用分包方式履行合同的，应当在</w:t>
            </w:r>
            <w:r>
              <w:rPr>
                <w:rFonts w:hint="eastAsia" w:asciiTheme="minorEastAsia" w:hAnsiTheme="minorEastAsia" w:eastAsiaTheme="minorEastAsia" w:cstheme="minorEastAsia"/>
                <w:color w:val="auto"/>
                <w:kern w:val="0"/>
                <w:sz w:val="21"/>
                <w:szCs w:val="21"/>
                <w:highlight w:val="none"/>
                <w:lang w:eastAsia="zh-CN"/>
              </w:rPr>
              <w:t>招标文件</w:t>
            </w:r>
            <w:r>
              <w:rPr>
                <w:rFonts w:hint="eastAsia" w:asciiTheme="minorEastAsia" w:hAnsiTheme="minorEastAsia" w:eastAsiaTheme="minorEastAsia" w:cstheme="minorEastAsia"/>
                <w:color w:val="auto"/>
                <w:kern w:val="0"/>
                <w:sz w:val="21"/>
                <w:szCs w:val="21"/>
                <w:highlight w:val="none"/>
              </w:rPr>
              <w:t>中明确可以分包履行的具体内容、金额或者比例。</w:t>
            </w:r>
            <w:r>
              <w:rPr>
                <w:rFonts w:hint="eastAsia" w:asciiTheme="minorEastAsia" w:hAnsiTheme="minorEastAsia" w:eastAsiaTheme="minorEastAsia" w:cstheme="minorEastAsia"/>
                <w:color w:val="auto"/>
                <w:kern w:val="0"/>
                <w:sz w:val="21"/>
                <w:szCs w:val="21"/>
                <w:highlight w:val="none"/>
                <w:lang w:eastAsia="zh-CN"/>
              </w:rPr>
              <w:t>）</w:t>
            </w:r>
          </w:p>
        </w:tc>
      </w:tr>
      <w:tr w14:paraId="57B96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19EE9266">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2.2</w:t>
            </w:r>
          </w:p>
        </w:tc>
        <w:tc>
          <w:tcPr>
            <w:tcW w:w="2006" w:type="dxa"/>
            <w:gridSpan w:val="2"/>
            <w:vAlign w:val="center"/>
          </w:tcPr>
          <w:p w14:paraId="17C279F6">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核心产品</w:t>
            </w:r>
          </w:p>
        </w:tc>
        <w:tc>
          <w:tcPr>
            <w:tcW w:w="6184" w:type="dxa"/>
            <w:vAlign w:val="center"/>
          </w:tcPr>
          <w:p w14:paraId="6CFD2A16">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■服务采购（不适用）</w:t>
            </w:r>
          </w:p>
          <w:p w14:paraId="2870B51F">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□单一产品采购（不适用）</w:t>
            </w:r>
          </w:p>
          <w:p w14:paraId="716B39B2">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eastAsia="zh-CN"/>
              </w:rPr>
              <w:t>□</w:t>
            </w:r>
            <w:r>
              <w:rPr>
                <w:rFonts w:hint="eastAsia" w:asciiTheme="minorEastAsia" w:hAnsiTheme="minorEastAsia" w:eastAsiaTheme="minorEastAsia" w:cstheme="minorEastAsia"/>
                <w:color w:val="auto"/>
                <w:kern w:val="0"/>
                <w:sz w:val="21"/>
                <w:szCs w:val="21"/>
                <w:highlight w:val="none"/>
              </w:rPr>
              <w:t>非单一产品采购，核心产品为：</w:t>
            </w:r>
            <w:r>
              <w:rPr>
                <w:rFonts w:hint="eastAsia" w:asciiTheme="minorEastAsia" w:hAnsiTheme="minorEastAsia" w:eastAsiaTheme="minorEastAsia" w:cstheme="minorEastAsia"/>
                <w:b/>
                <w:bCs/>
                <w:color w:val="000000" w:themeColor="text1"/>
                <w:kern w:val="0"/>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w:t>
            </w:r>
          </w:p>
        </w:tc>
      </w:tr>
      <w:tr w14:paraId="16BA3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45BEDC85">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2.3.3</w:t>
            </w:r>
          </w:p>
        </w:tc>
        <w:tc>
          <w:tcPr>
            <w:tcW w:w="2006" w:type="dxa"/>
            <w:gridSpan w:val="2"/>
            <w:vAlign w:val="center"/>
          </w:tcPr>
          <w:p w14:paraId="4E3DDD8C">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采购人发出澄清文件时间</w:t>
            </w:r>
          </w:p>
        </w:tc>
        <w:tc>
          <w:tcPr>
            <w:tcW w:w="6184" w:type="dxa"/>
            <w:vAlign w:val="center"/>
          </w:tcPr>
          <w:p w14:paraId="49D859A2">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投标截止日15日前</w:t>
            </w:r>
          </w:p>
        </w:tc>
      </w:tr>
      <w:tr w14:paraId="42859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16D0DAA1">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2.4.1</w:t>
            </w:r>
          </w:p>
        </w:tc>
        <w:tc>
          <w:tcPr>
            <w:tcW w:w="2006" w:type="dxa"/>
            <w:gridSpan w:val="2"/>
            <w:vAlign w:val="center"/>
          </w:tcPr>
          <w:p w14:paraId="50F72097">
            <w:pPr>
              <w:keepNext w:val="0"/>
              <w:keepLines w:val="0"/>
              <w:pageBreakBefore w:val="0"/>
              <w:kinsoku/>
              <w:wordWrap/>
              <w:overflowPunct/>
              <w:topLinePunct w:val="0"/>
              <w:autoSpaceDE w:val="0"/>
              <w:autoSpaceDN w:val="0"/>
              <w:bidi w:val="0"/>
              <w:adjustRightInd w:val="0"/>
              <w:snapToGrid w:val="0"/>
              <w:spacing w:line="400" w:lineRule="exact"/>
              <w:jc w:val="center"/>
              <w:textAlignment w:val="auto"/>
              <w:outlineLvl w:val="0"/>
              <w:rPr>
                <w:rFonts w:hint="eastAsia" w:asciiTheme="minorEastAsia" w:hAnsiTheme="minorEastAsia" w:eastAsiaTheme="minorEastAsia" w:cstheme="minorEastAsia"/>
                <w:color w:val="auto"/>
                <w:kern w:val="0"/>
                <w:sz w:val="21"/>
                <w:szCs w:val="21"/>
                <w:highlight w:val="none"/>
              </w:rPr>
            </w:pPr>
            <w:bookmarkStart w:id="21" w:name="_Toc20949"/>
            <w:bookmarkStart w:id="22" w:name="_Toc25985"/>
            <w:bookmarkStart w:id="23" w:name="_Toc26077"/>
            <w:bookmarkStart w:id="24" w:name="_Toc10743"/>
            <w:bookmarkStart w:id="25" w:name="_Toc25253"/>
            <w:bookmarkStart w:id="26" w:name="_Toc20381"/>
            <w:bookmarkStart w:id="27" w:name="_Toc9672"/>
            <w:r>
              <w:rPr>
                <w:rFonts w:hint="eastAsia" w:asciiTheme="minorEastAsia" w:hAnsiTheme="minorEastAsia" w:eastAsiaTheme="minorEastAsia" w:cstheme="minorEastAsia"/>
                <w:color w:val="auto"/>
                <w:kern w:val="0"/>
                <w:sz w:val="21"/>
                <w:szCs w:val="21"/>
                <w:highlight w:val="none"/>
              </w:rPr>
              <w:t>采购人发出修改文件时间</w:t>
            </w:r>
            <w:bookmarkEnd w:id="21"/>
            <w:bookmarkEnd w:id="22"/>
            <w:bookmarkEnd w:id="23"/>
            <w:bookmarkEnd w:id="24"/>
            <w:bookmarkEnd w:id="25"/>
            <w:bookmarkEnd w:id="26"/>
            <w:bookmarkEnd w:id="27"/>
          </w:p>
        </w:tc>
        <w:tc>
          <w:tcPr>
            <w:tcW w:w="6184" w:type="dxa"/>
            <w:vAlign w:val="center"/>
          </w:tcPr>
          <w:p w14:paraId="146D8E08">
            <w:pPr>
              <w:keepNext w:val="0"/>
              <w:keepLines w:val="0"/>
              <w:pageBreakBefore w:val="0"/>
              <w:kinsoku/>
              <w:wordWrap/>
              <w:overflowPunct/>
              <w:topLinePunct w:val="0"/>
              <w:autoSpaceDE w:val="0"/>
              <w:autoSpaceDN w:val="0"/>
              <w:bidi w:val="0"/>
              <w:adjustRightInd w:val="0"/>
              <w:snapToGrid w:val="0"/>
              <w:spacing w:line="400" w:lineRule="exact"/>
              <w:ind w:left="281" w:hanging="245" w:hangingChars="117"/>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投标截止日15日前</w:t>
            </w:r>
          </w:p>
        </w:tc>
      </w:tr>
      <w:tr w14:paraId="71C91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0F45A082">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2.5</w:t>
            </w:r>
          </w:p>
        </w:tc>
        <w:tc>
          <w:tcPr>
            <w:tcW w:w="2006" w:type="dxa"/>
            <w:gridSpan w:val="2"/>
            <w:vAlign w:val="center"/>
          </w:tcPr>
          <w:p w14:paraId="55CEF079">
            <w:pPr>
              <w:keepNext w:val="0"/>
              <w:keepLines w:val="0"/>
              <w:pageBreakBefore w:val="0"/>
              <w:kinsoku/>
              <w:wordWrap/>
              <w:overflowPunct/>
              <w:topLinePunct w:val="0"/>
              <w:autoSpaceDE w:val="0"/>
              <w:autoSpaceDN w:val="0"/>
              <w:bidi w:val="0"/>
              <w:adjustRightInd w:val="0"/>
              <w:snapToGrid w:val="0"/>
              <w:spacing w:line="400" w:lineRule="exact"/>
              <w:jc w:val="center"/>
              <w:textAlignment w:val="auto"/>
              <w:outlineLvl w:val="0"/>
              <w:rPr>
                <w:rFonts w:hint="eastAsia" w:asciiTheme="minorEastAsia" w:hAnsiTheme="minorEastAsia" w:eastAsiaTheme="minorEastAsia" w:cstheme="minorEastAsia"/>
                <w:color w:val="auto"/>
                <w:kern w:val="0"/>
                <w:sz w:val="21"/>
                <w:szCs w:val="21"/>
                <w:highlight w:val="none"/>
              </w:rPr>
            </w:pPr>
            <w:bookmarkStart w:id="28" w:name="_Toc2904"/>
            <w:bookmarkStart w:id="29" w:name="_Toc20336"/>
            <w:bookmarkStart w:id="30" w:name="_Toc5691"/>
            <w:bookmarkStart w:id="31" w:name="_Toc4058"/>
            <w:bookmarkStart w:id="32" w:name="_Toc22138"/>
            <w:bookmarkStart w:id="33" w:name="_Toc3207"/>
            <w:bookmarkStart w:id="34" w:name="_Toc13065"/>
            <w:r>
              <w:rPr>
                <w:rFonts w:hint="eastAsia" w:asciiTheme="minorEastAsia" w:hAnsiTheme="minorEastAsia" w:eastAsiaTheme="minorEastAsia" w:cstheme="minorEastAsia"/>
                <w:color w:val="auto"/>
                <w:kern w:val="0"/>
                <w:sz w:val="21"/>
                <w:szCs w:val="21"/>
                <w:highlight w:val="none"/>
              </w:rPr>
              <w:t>接收质疑函的方式和联系方式</w:t>
            </w:r>
            <w:bookmarkEnd w:id="28"/>
            <w:bookmarkEnd w:id="29"/>
            <w:bookmarkEnd w:id="30"/>
            <w:bookmarkEnd w:id="31"/>
            <w:bookmarkEnd w:id="32"/>
            <w:bookmarkEnd w:id="33"/>
            <w:bookmarkEnd w:id="34"/>
          </w:p>
        </w:tc>
        <w:tc>
          <w:tcPr>
            <w:tcW w:w="6184" w:type="dxa"/>
            <w:vAlign w:val="center"/>
          </w:tcPr>
          <w:p w14:paraId="4EE8F0D9">
            <w:pPr>
              <w:keepNext w:val="0"/>
              <w:keepLines w:val="0"/>
              <w:pageBreakBefore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质疑函应以书面形式送达（仅接收派人送达、邮寄送达质疑函原件两种方式）</w:t>
            </w:r>
            <w:r>
              <w:rPr>
                <w:rFonts w:hint="eastAsia" w:asciiTheme="minorEastAsia" w:hAnsiTheme="minorEastAsia" w:eastAsiaTheme="minorEastAsia" w:cstheme="minorEastAsia"/>
                <w:color w:val="auto"/>
                <w:kern w:val="0"/>
                <w:sz w:val="21"/>
                <w:szCs w:val="21"/>
                <w:highlight w:val="none"/>
                <w:lang w:eastAsia="zh-CN"/>
              </w:rPr>
              <w:t>；</w:t>
            </w:r>
            <w:r>
              <w:rPr>
                <w:rFonts w:hint="eastAsia" w:asciiTheme="minorEastAsia" w:hAnsiTheme="minorEastAsia" w:eastAsiaTheme="minorEastAsia" w:cstheme="minorEastAsia"/>
                <w:color w:val="auto"/>
                <w:kern w:val="0"/>
                <w:sz w:val="21"/>
                <w:szCs w:val="21"/>
                <w:highlight w:val="none"/>
              </w:rPr>
              <w:t>质疑函的内容应当符合《政府采购质疑和投诉办法》的要求</w:t>
            </w:r>
            <w:r>
              <w:rPr>
                <w:rFonts w:hint="eastAsia" w:asciiTheme="minorEastAsia" w:hAnsiTheme="minorEastAsia" w:eastAsiaTheme="minorEastAsia" w:cstheme="minorEastAsia"/>
                <w:color w:val="auto"/>
                <w:kern w:val="0"/>
                <w:sz w:val="21"/>
                <w:szCs w:val="21"/>
                <w:highlight w:val="none"/>
                <w:lang w:eastAsia="zh-CN"/>
              </w:rPr>
              <w:t>；</w:t>
            </w:r>
          </w:p>
          <w:p w14:paraId="00A6DC91">
            <w:pPr>
              <w:keepNext w:val="0"/>
              <w:keepLines w:val="0"/>
              <w:pageBreakBefore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联系部门：国信招标集团股份有限公司</w:t>
            </w:r>
          </w:p>
          <w:p w14:paraId="632DC20D">
            <w:pPr>
              <w:keepNext w:val="0"/>
              <w:keepLines w:val="0"/>
              <w:pageBreakBefore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联系人：刘敏、陈文瀚、魏志姣、张译</w:t>
            </w:r>
          </w:p>
          <w:p w14:paraId="3627CE65">
            <w:pPr>
              <w:keepNext w:val="0"/>
              <w:keepLines w:val="0"/>
              <w:pageBreakBefore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联系电话：</w:t>
            </w:r>
            <w:r>
              <w:rPr>
                <w:rFonts w:hint="eastAsia" w:asciiTheme="minorEastAsia" w:hAnsiTheme="minorEastAsia" w:eastAsiaTheme="minorEastAsia" w:cstheme="minorEastAsia"/>
                <w:color w:val="auto"/>
                <w:kern w:val="0"/>
                <w:sz w:val="21"/>
                <w:szCs w:val="21"/>
                <w:highlight w:val="none"/>
                <w:lang w:eastAsia="zh-CN"/>
              </w:rPr>
              <w:t>0871-65151391</w:t>
            </w:r>
          </w:p>
          <w:p w14:paraId="53CDFD1D">
            <w:pPr>
              <w:keepNext w:val="0"/>
              <w:keepLines w:val="0"/>
              <w:pageBreakBefore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通信地址：昆明市西山区西园路与大观路交汇处大观首府8栋31层</w:t>
            </w:r>
            <w:r>
              <w:rPr>
                <w:rFonts w:hint="eastAsia" w:asciiTheme="minorEastAsia" w:hAnsiTheme="minorEastAsia" w:eastAsiaTheme="minorEastAsia" w:cstheme="minorEastAsia"/>
                <w:color w:val="auto"/>
                <w:kern w:val="0"/>
                <w:sz w:val="21"/>
                <w:szCs w:val="21"/>
                <w:highlight w:val="none"/>
                <w:lang w:eastAsia="zh-CN"/>
              </w:rPr>
              <w:t>。</w:t>
            </w:r>
          </w:p>
        </w:tc>
      </w:tr>
      <w:tr w14:paraId="086C3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shd w:val="clear" w:color="auto" w:fill="auto"/>
            <w:vAlign w:val="center"/>
          </w:tcPr>
          <w:p w14:paraId="6D32578E">
            <w:pPr>
              <w:widowControl/>
              <w:spacing w:line="360" w:lineRule="auto"/>
              <w:jc w:val="center"/>
              <w:rPr>
                <w:rFonts w:hint="eastAsia" w:ascii="Times New Roman" w:hAnsi="Times New Roman" w:eastAsia="宋体" w:cs="Times New Roman"/>
                <w:kern w:val="0"/>
                <w:sz w:val="21"/>
                <w:szCs w:val="21"/>
                <w:highlight w:val="none"/>
                <w:lang w:val="en-US" w:eastAsia="zh-CN" w:bidi="ar-SA"/>
              </w:rPr>
            </w:pPr>
            <w:r>
              <w:rPr>
                <w:kern w:val="0"/>
                <w:szCs w:val="21"/>
                <w:highlight w:val="none"/>
              </w:rPr>
              <w:t>3.2.1</w:t>
            </w:r>
          </w:p>
        </w:tc>
        <w:tc>
          <w:tcPr>
            <w:tcW w:w="2006" w:type="dxa"/>
            <w:gridSpan w:val="2"/>
            <w:shd w:val="clear" w:color="auto" w:fill="auto"/>
            <w:vAlign w:val="center"/>
          </w:tcPr>
          <w:p w14:paraId="6A910BD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采购预算及最高限价</w:t>
            </w:r>
          </w:p>
        </w:tc>
        <w:tc>
          <w:tcPr>
            <w:tcW w:w="6184" w:type="dxa"/>
            <w:shd w:val="clear" w:color="auto" w:fill="auto"/>
            <w:vAlign w:val="center"/>
          </w:tcPr>
          <w:p w14:paraId="76FC667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本项目</w:t>
            </w:r>
            <w:r>
              <w:rPr>
                <w:rFonts w:hint="eastAsia" w:ascii="宋体" w:hAnsi="宋体" w:eastAsia="宋体" w:cs="宋体"/>
                <w:color w:val="auto"/>
                <w:sz w:val="21"/>
                <w:szCs w:val="21"/>
                <w:highlight w:val="none"/>
              </w:rPr>
              <w:t>预算金额：</w:t>
            </w:r>
            <w:r>
              <w:rPr>
                <w:rFonts w:hint="eastAsia" w:ascii="宋体" w:hAnsi="宋体" w:cs="宋体"/>
                <w:color w:val="auto"/>
                <w:sz w:val="21"/>
                <w:szCs w:val="21"/>
                <w:highlight w:val="none"/>
                <w:lang w:eastAsia="zh-CN"/>
              </w:rPr>
              <w:t>1545000</w:t>
            </w:r>
            <w:r>
              <w:rPr>
                <w:rFonts w:hint="eastAsia" w:ascii="宋体" w:hAnsi="宋体" w:eastAsia="宋体" w:cs="宋体"/>
                <w:color w:val="auto"/>
                <w:sz w:val="21"/>
                <w:szCs w:val="21"/>
                <w:highlight w:val="none"/>
              </w:rPr>
              <w:t>.00元/年</w:t>
            </w:r>
            <w:r>
              <w:rPr>
                <w:rFonts w:hint="eastAsia" w:ascii="宋体" w:hAnsi="宋体" w:eastAsia="宋体" w:cs="宋体"/>
                <w:color w:val="auto"/>
                <w:sz w:val="21"/>
                <w:szCs w:val="21"/>
                <w:highlight w:val="none"/>
                <w:lang w:val="en-US" w:eastAsia="zh-CN"/>
              </w:rPr>
              <w:t>。</w:t>
            </w:r>
          </w:p>
          <w:p w14:paraId="32ADE8C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本项目</w:t>
            </w:r>
            <w:r>
              <w:rPr>
                <w:rFonts w:hint="eastAsia" w:ascii="宋体" w:hAnsi="宋体" w:eastAsia="宋体" w:cs="宋体"/>
                <w:color w:val="auto"/>
                <w:sz w:val="21"/>
                <w:szCs w:val="21"/>
                <w:highlight w:val="none"/>
              </w:rPr>
              <w:t>最高</w:t>
            </w:r>
            <w:r>
              <w:rPr>
                <w:rFonts w:hint="eastAsia" w:ascii="宋体" w:hAnsi="宋体" w:cs="宋体"/>
                <w:color w:val="auto"/>
                <w:sz w:val="21"/>
                <w:szCs w:val="21"/>
                <w:highlight w:val="none"/>
                <w:lang w:eastAsia="zh-CN"/>
              </w:rPr>
              <w:t>单价</w:t>
            </w:r>
            <w:r>
              <w:rPr>
                <w:rFonts w:hint="eastAsia" w:ascii="宋体" w:hAnsi="宋体" w:eastAsia="宋体" w:cs="宋体"/>
                <w:color w:val="auto"/>
                <w:sz w:val="21"/>
                <w:szCs w:val="21"/>
                <w:highlight w:val="none"/>
              </w:rPr>
              <w:t>限价：男性职工：</w:t>
            </w:r>
            <w:r>
              <w:rPr>
                <w:rFonts w:hint="eastAsia" w:ascii="宋体" w:hAnsi="宋体" w:eastAsia="宋体" w:cs="宋体"/>
                <w:color w:val="auto"/>
                <w:sz w:val="21"/>
                <w:szCs w:val="21"/>
                <w:highlight w:val="none"/>
                <w:lang w:val="en-US" w:eastAsia="zh-CN"/>
              </w:rPr>
              <w:t>740</w:t>
            </w:r>
            <w:r>
              <w:rPr>
                <w:rFonts w:hint="eastAsia" w:ascii="宋体" w:hAnsi="宋体" w:eastAsia="宋体" w:cs="宋体"/>
                <w:color w:val="auto"/>
                <w:sz w:val="21"/>
                <w:szCs w:val="21"/>
                <w:highlight w:val="none"/>
              </w:rPr>
              <w:t>元/人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已婚女职工：</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00元/人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未婚女职工：</w:t>
            </w:r>
            <w:r>
              <w:rPr>
                <w:rFonts w:hint="eastAsia" w:ascii="宋体" w:hAnsi="宋体" w:eastAsia="宋体" w:cs="宋体"/>
                <w:color w:val="auto"/>
                <w:sz w:val="21"/>
                <w:szCs w:val="21"/>
                <w:highlight w:val="none"/>
                <w:lang w:val="en-US" w:eastAsia="zh-CN"/>
              </w:rPr>
              <w:t>740</w:t>
            </w:r>
            <w:r>
              <w:rPr>
                <w:rFonts w:hint="eastAsia" w:ascii="宋体" w:hAnsi="宋体" w:eastAsia="宋体" w:cs="宋体"/>
                <w:color w:val="auto"/>
                <w:sz w:val="21"/>
                <w:szCs w:val="21"/>
                <w:highlight w:val="none"/>
              </w:rPr>
              <w:t>元/人。</w:t>
            </w:r>
          </w:p>
          <w:p w14:paraId="6C19915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color w:val="auto"/>
                <w:sz w:val="21"/>
                <w:szCs w:val="21"/>
                <w:highlight w:val="none"/>
              </w:rPr>
              <w:t>投标人的投标单价报价不得高于最高</w:t>
            </w:r>
            <w:r>
              <w:rPr>
                <w:rFonts w:hint="eastAsia" w:ascii="宋体" w:hAnsi="宋体" w:cs="宋体"/>
                <w:color w:val="auto"/>
                <w:sz w:val="21"/>
                <w:szCs w:val="21"/>
                <w:highlight w:val="none"/>
                <w:lang w:eastAsia="zh-CN"/>
              </w:rPr>
              <w:t>单价</w:t>
            </w:r>
            <w:r>
              <w:rPr>
                <w:rFonts w:hint="eastAsia" w:ascii="宋体" w:hAnsi="宋体" w:eastAsia="宋体" w:cs="宋体"/>
                <w:color w:val="auto"/>
                <w:sz w:val="21"/>
                <w:szCs w:val="21"/>
                <w:highlight w:val="none"/>
              </w:rPr>
              <w:t>限价，否则按否决投标处理</w:t>
            </w:r>
            <w:r>
              <w:rPr>
                <w:rFonts w:hint="eastAsia" w:ascii="宋体" w:hAnsi="宋体" w:eastAsia="宋体" w:cs="宋体"/>
                <w:color w:val="auto"/>
                <w:sz w:val="21"/>
                <w:szCs w:val="21"/>
                <w:highlight w:val="none"/>
                <w:lang w:val="en-US" w:eastAsia="zh-CN"/>
              </w:rPr>
              <w:t>。</w:t>
            </w:r>
          </w:p>
        </w:tc>
      </w:tr>
      <w:tr w14:paraId="0D47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shd w:val="clear" w:color="auto" w:fill="auto"/>
            <w:vAlign w:val="center"/>
          </w:tcPr>
          <w:p w14:paraId="3395B299">
            <w:pPr>
              <w:widowControl/>
              <w:spacing w:line="360" w:lineRule="auto"/>
              <w:jc w:val="center"/>
              <w:rPr>
                <w:rFonts w:hint="eastAsia" w:ascii="Times New Roman" w:hAnsi="Times New Roman" w:eastAsia="宋体" w:cs="Times New Roman"/>
                <w:kern w:val="0"/>
                <w:sz w:val="21"/>
                <w:szCs w:val="21"/>
                <w:highlight w:val="none"/>
                <w:lang w:val="en-US" w:eastAsia="zh-CN" w:bidi="ar-SA"/>
              </w:rPr>
            </w:pPr>
            <w:r>
              <w:rPr>
                <w:rFonts w:hint="eastAsia" w:ascii="宋体" w:hAnsi="宋体" w:cs="Malgun Gothic"/>
                <w:szCs w:val="21"/>
                <w:highlight w:val="none"/>
              </w:rPr>
              <w:t>★</w:t>
            </w:r>
            <w:r>
              <w:rPr>
                <w:rFonts w:hint="eastAsia"/>
                <w:kern w:val="0"/>
                <w:szCs w:val="21"/>
                <w:highlight w:val="none"/>
              </w:rPr>
              <w:t>3</w:t>
            </w:r>
            <w:r>
              <w:rPr>
                <w:kern w:val="0"/>
                <w:szCs w:val="21"/>
                <w:highlight w:val="none"/>
              </w:rPr>
              <w:t>.2.2</w:t>
            </w:r>
          </w:p>
        </w:tc>
        <w:tc>
          <w:tcPr>
            <w:tcW w:w="2006" w:type="dxa"/>
            <w:gridSpan w:val="2"/>
            <w:shd w:val="clear" w:color="auto" w:fill="auto"/>
            <w:vAlign w:val="center"/>
          </w:tcPr>
          <w:p w14:paraId="15211BB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imes New Roman" w:hAnsi="Times New Roman" w:eastAsia="宋体" w:cs="Times New Roman"/>
                <w:b/>
                <w:bCs/>
                <w:color w:val="auto"/>
                <w:kern w:val="0"/>
                <w:sz w:val="21"/>
                <w:szCs w:val="21"/>
                <w:highlight w:val="none"/>
                <w:lang w:val="en-US" w:eastAsia="zh-CN" w:bidi="ar-SA"/>
              </w:rPr>
            </w:pPr>
            <w:r>
              <w:rPr>
                <w:rFonts w:hint="eastAsia"/>
                <w:b/>
                <w:bCs/>
                <w:color w:val="auto"/>
                <w:kern w:val="0"/>
                <w:szCs w:val="21"/>
                <w:highlight w:val="none"/>
              </w:rPr>
              <w:t>报价要求</w:t>
            </w:r>
          </w:p>
        </w:tc>
        <w:tc>
          <w:tcPr>
            <w:tcW w:w="6184" w:type="dxa"/>
            <w:shd w:val="clear" w:color="auto" w:fill="auto"/>
            <w:vAlign w:val="center"/>
          </w:tcPr>
          <w:p w14:paraId="4D5EA1B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rPr>
              <w:t>各投标人自行上报各项体检的单价及总价</w:t>
            </w:r>
            <w:r>
              <w:rPr>
                <w:rFonts w:hint="eastAsia" w:ascii="宋体" w:hAnsi="宋体" w:eastAsia="宋体" w:cs="宋体"/>
                <w:b/>
                <w:bCs/>
                <w:color w:val="auto"/>
                <w:kern w:val="2"/>
                <w:sz w:val="21"/>
                <w:szCs w:val="21"/>
                <w:highlight w:val="none"/>
              </w:rPr>
              <w:t>，由供应商结合实际及自身情况进行报价。</w:t>
            </w:r>
          </w:p>
          <w:p w14:paraId="035CC02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b w:val="0"/>
                <w:bCs w:val="0"/>
                <w:color w:val="auto"/>
                <w:kern w:val="2"/>
                <w:sz w:val="21"/>
                <w:szCs w:val="21"/>
                <w:highlight w:val="none"/>
                <w:lang w:val="en-US" w:eastAsia="zh-CN"/>
              </w:rPr>
              <w:t>1.</w:t>
            </w:r>
            <w:r>
              <w:rPr>
                <w:rFonts w:hint="eastAsia" w:ascii="宋体" w:hAnsi="宋体" w:eastAsia="宋体" w:cs="宋体"/>
                <w:color w:val="auto"/>
                <w:kern w:val="2"/>
                <w:sz w:val="21"/>
                <w:szCs w:val="21"/>
                <w:highlight w:val="none"/>
                <w:lang w:val="en-US" w:eastAsia="zh-CN"/>
              </w:rPr>
              <w:t>投标</w:t>
            </w:r>
            <w:r>
              <w:rPr>
                <w:rFonts w:hint="eastAsia" w:ascii="宋体" w:hAnsi="宋体" w:eastAsia="宋体" w:cs="宋体"/>
                <w:color w:val="auto"/>
                <w:kern w:val="2"/>
                <w:sz w:val="21"/>
                <w:szCs w:val="21"/>
                <w:highlight w:val="none"/>
              </w:rPr>
              <w:t>报价应包括但不限于体检套餐所涉及的一切费用、出具体检报告的费用、市场价格变化的风险费用、利润、国家、地方规定的税费、</w:t>
            </w:r>
            <w:r>
              <w:rPr>
                <w:rFonts w:hint="eastAsia" w:ascii="宋体" w:hAnsi="宋体" w:eastAsia="宋体" w:cs="宋体"/>
                <w:color w:val="auto"/>
                <w:kern w:val="2"/>
                <w:sz w:val="21"/>
                <w:szCs w:val="21"/>
                <w:highlight w:val="none"/>
                <w:lang w:val="en-US" w:eastAsia="zh-CN"/>
              </w:rPr>
              <w:t>代理</w:t>
            </w:r>
            <w:r>
              <w:rPr>
                <w:rFonts w:hint="eastAsia" w:ascii="宋体" w:hAnsi="宋体" w:eastAsia="宋体" w:cs="宋体"/>
                <w:color w:val="auto"/>
                <w:kern w:val="2"/>
                <w:sz w:val="21"/>
                <w:szCs w:val="21"/>
                <w:highlight w:val="none"/>
              </w:rPr>
              <w:t>服务费及其它一切费用，投标报价应符合市场行情并能保证供应商完成履行合同所需的一切工作。合同一旦签订，此价格在合同实施期间将不因市场价格等的变化而调整。供应商应依据</w:t>
            </w:r>
            <w:r>
              <w:rPr>
                <w:rFonts w:hint="eastAsia" w:ascii="宋体" w:hAnsi="宋体" w:eastAsia="宋体" w:cs="宋体"/>
                <w:color w:val="auto"/>
                <w:kern w:val="2"/>
                <w:sz w:val="21"/>
                <w:szCs w:val="21"/>
                <w:highlight w:val="none"/>
                <w:lang w:eastAsia="zh-CN"/>
              </w:rPr>
              <w:t>招标</w:t>
            </w:r>
            <w:r>
              <w:rPr>
                <w:rFonts w:hint="eastAsia" w:ascii="宋体" w:hAnsi="宋体" w:eastAsia="宋体" w:cs="宋体"/>
                <w:color w:val="auto"/>
                <w:kern w:val="2"/>
                <w:sz w:val="21"/>
                <w:szCs w:val="21"/>
                <w:highlight w:val="none"/>
              </w:rPr>
              <w:t>文件的要求及有关资料，执行国家或行业现行技术、经济标准及规范，根据现行市场价格自行测算出满足采购要求的服务的投标报价。</w:t>
            </w:r>
          </w:p>
          <w:p w14:paraId="38EFE8A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rPr>
              <w:t>2</w:t>
            </w:r>
            <w:r>
              <w:rPr>
                <w:rFonts w:hint="eastAsia" w:ascii="宋体" w:hAnsi="宋体" w:eastAsia="宋体" w:cs="宋体"/>
                <w:b/>
                <w:bCs/>
                <w:color w:val="auto"/>
                <w:kern w:val="2"/>
                <w:sz w:val="21"/>
                <w:szCs w:val="21"/>
                <w:highlight w:val="none"/>
                <w:lang w:val="en-US" w:eastAsia="zh-CN" w:bidi="ar-SA"/>
              </w:rPr>
              <w:t>.本项目最高</w:t>
            </w:r>
            <w:r>
              <w:rPr>
                <w:rFonts w:hint="eastAsia" w:ascii="宋体" w:hAnsi="宋体" w:cs="宋体"/>
                <w:b/>
                <w:bCs/>
                <w:color w:val="auto"/>
                <w:kern w:val="2"/>
                <w:sz w:val="21"/>
                <w:szCs w:val="21"/>
                <w:highlight w:val="none"/>
                <w:lang w:val="en-US" w:eastAsia="zh-CN" w:bidi="ar-SA"/>
              </w:rPr>
              <w:t>单价</w:t>
            </w:r>
            <w:r>
              <w:rPr>
                <w:rFonts w:hint="eastAsia" w:ascii="宋体" w:hAnsi="宋体" w:eastAsia="宋体" w:cs="宋体"/>
                <w:b/>
                <w:bCs/>
                <w:color w:val="auto"/>
                <w:kern w:val="2"/>
                <w:sz w:val="21"/>
                <w:szCs w:val="21"/>
                <w:highlight w:val="none"/>
                <w:lang w:val="en-US" w:eastAsia="zh-CN" w:bidi="ar-SA"/>
              </w:rPr>
              <w:t>限价：</w:t>
            </w:r>
            <w:r>
              <w:rPr>
                <w:rFonts w:hint="eastAsia" w:ascii="宋体" w:hAnsi="宋体" w:eastAsia="宋体" w:cs="宋体"/>
                <w:color w:val="auto"/>
                <w:sz w:val="21"/>
                <w:szCs w:val="21"/>
                <w:highlight w:val="none"/>
              </w:rPr>
              <w:t>男性职工：</w:t>
            </w:r>
            <w:r>
              <w:rPr>
                <w:rFonts w:hint="eastAsia" w:ascii="宋体" w:hAnsi="宋体" w:eastAsia="宋体" w:cs="宋体"/>
                <w:color w:val="auto"/>
                <w:sz w:val="21"/>
                <w:szCs w:val="21"/>
                <w:highlight w:val="none"/>
                <w:lang w:val="en-US" w:eastAsia="zh-CN"/>
              </w:rPr>
              <w:t>740</w:t>
            </w:r>
            <w:r>
              <w:rPr>
                <w:rFonts w:hint="eastAsia" w:ascii="宋体" w:hAnsi="宋体" w:eastAsia="宋体" w:cs="宋体"/>
                <w:color w:val="auto"/>
                <w:sz w:val="21"/>
                <w:szCs w:val="21"/>
                <w:highlight w:val="none"/>
              </w:rPr>
              <w:t>元/人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已婚女职工：</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00元/人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未婚女职工：</w:t>
            </w:r>
            <w:r>
              <w:rPr>
                <w:rFonts w:hint="eastAsia" w:ascii="宋体" w:hAnsi="宋体" w:eastAsia="宋体" w:cs="宋体"/>
                <w:color w:val="auto"/>
                <w:sz w:val="21"/>
                <w:szCs w:val="21"/>
                <w:highlight w:val="none"/>
                <w:lang w:val="en-US" w:eastAsia="zh-CN"/>
              </w:rPr>
              <w:t>740</w:t>
            </w:r>
            <w:r>
              <w:rPr>
                <w:rFonts w:hint="eastAsia" w:ascii="宋体" w:hAnsi="宋体" w:eastAsia="宋体" w:cs="宋体"/>
                <w:color w:val="auto"/>
                <w:sz w:val="21"/>
                <w:szCs w:val="21"/>
                <w:highlight w:val="none"/>
              </w:rPr>
              <w:t>元/人。</w:t>
            </w:r>
          </w:p>
          <w:p w14:paraId="1EB11CA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sz w:val="21"/>
                <w:szCs w:val="21"/>
                <w:highlight w:val="none"/>
              </w:rPr>
              <w:t>投标人的投标单价报价不得高于最高</w:t>
            </w:r>
            <w:r>
              <w:rPr>
                <w:rFonts w:hint="eastAsia" w:ascii="宋体" w:hAnsi="宋体" w:cs="宋体"/>
                <w:color w:val="auto"/>
                <w:sz w:val="21"/>
                <w:szCs w:val="21"/>
                <w:highlight w:val="none"/>
                <w:lang w:eastAsia="zh-CN"/>
              </w:rPr>
              <w:t>单价</w:t>
            </w:r>
            <w:r>
              <w:rPr>
                <w:rFonts w:hint="eastAsia" w:ascii="宋体" w:hAnsi="宋体" w:eastAsia="宋体" w:cs="宋体"/>
                <w:color w:val="auto"/>
                <w:sz w:val="21"/>
                <w:szCs w:val="21"/>
                <w:highlight w:val="none"/>
              </w:rPr>
              <w:t>限价，否则按否决投标处理</w:t>
            </w:r>
            <w:r>
              <w:rPr>
                <w:rFonts w:hint="eastAsia" w:ascii="宋体" w:hAnsi="宋体" w:eastAsia="宋体" w:cs="宋体"/>
                <w:b/>
                <w:bCs/>
                <w:color w:val="auto"/>
                <w:kern w:val="2"/>
                <w:sz w:val="21"/>
                <w:szCs w:val="21"/>
                <w:highlight w:val="none"/>
                <w:lang w:val="en-US" w:eastAsia="zh-CN" w:bidi="ar-SA"/>
              </w:rPr>
              <w:t>。</w:t>
            </w:r>
          </w:p>
          <w:p w14:paraId="048CD0A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3.</w:t>
            </w:r>
            <w:r>
              <w:rPr>
                <w:rFonts w:hint="eastAsia" w:ascii="宋体" w:hAnsi="宋体" w:eastAsia="宋体" w:cs="宋体"/>
                <w:b/>
                <w:bCs/>
                <w:color w:val="auto"/>
                <w:kern w:val="2"/>
                <w:sz w:val="21"/>
                <w:szCs w:val="21"/>
                <w:highlight w:val="none"/>
                <w:lang w:val="en-US" w:eastAsia="zh-CN" w:bidi="ar-SA"/>
              </w:rPr>
              <w:t>本次采购中，供应商应以年</w:t>
            </w:r>
            <w:r>
              <w:rPr>
                <w:rFonts w:hint="eastAsia" w:ascii="宋体" w:hAnsi="宋体" w:cs="宋体"/>
                <w:b/>
                <w:bCs/>
                <w:color w:val="auto"/>
                <w:kern w:val="2"/>
                <w:sz w:val="21"/>
                <w:szCs w:val="21"/>
                <w:highlight w:val="none"/>
                <w:lang w:val="en-US" w:eastAsia="zh-CN" w:bidi="ar-SA"/>
              </w:rPr>
              <w:t>体检</w:t>
            </w:r>
            <w:r>
              <w:rPr>
                <w:rFonts w:hint="eastAsia" w:ascii="宋体" w:hAnsi="宋体" w:eastAsia="宋体" w:cs="宋体"/>
                <w:b/>
                <w:bCs/>
                <w:color w:val="auto"/>
                <w:kern w:val="2"/>
                <w:sz w:val="21"/>
                <w:szCs w:val="21"/>
                <w:highlight w:val="none"/>
                <w:lang w:val="en-US" w:eastAsia="zh-CN" w:bidi="ar-SA"/>
              </w:rPr>
              <w:t>费进行报价，一旦中标，中标价即为第一年</w:t>
            </w:r>
            <w:r>
              <w:rPr>
                <w:rFonts w:hint="eastAsia" w:ascii="宋体" w:hAnsi="宋体" w:cs="宋体"/>
                <w:b/>
                <w:bCs/>
                <w:color w:val="auto"/>
                <w:kern w:val="2"/>
                <w:sz w:val="21"/>
                <w:szCs w:val="21"/>
                <w:highlight w:val="none"/>
                <w:lang w:val="en-US" w:eastAsia="zh-CN" w:bidi="ar-SA"/>
              </w:rPr>
              <w:t>体检服务</w:t>
            </w:r>
            <w:r>
              <w:rPr>
                <w:rFonts w:hint="eastAsia" w:ascii="宋体" w:hAnsi="宋体" w:eastAsia="宋体" w:cs="宋体"/>
                <w:b/>
                <w:bCs/>
                <w:color w:val="auto"/>
                <w:kern w:val="2"/>
                <w:sz w:val="21"/>
                <w:szCs w:val="21"/>
                <w:highlight w:val="none"/>
                <w:lang w:val="en-US" w:eastAsia="zh-CN" w:bidi="ar-SA"/>
              </w:rPr>
              <w:t>的</w:t>
            </w:r>
            <w:r>
              <w:rPr>
                <w:rFonts w:hint="eastAsia" w:ascii="宋体" w:hAnsi="宋体" w:cs="宋体"/>
                <w:b/>
                <w:bCs/>
                <w:color w:val="auto"/>
                <w:kern w:val="2"/>
                <w:sz w:val="21"/>
                <w:szCs w:val="21"/>
                <w:highlight w:val="none"/>
                <w:lang w:val="en-US" w:eastAsia="zh-CN" w:bidi="ar-SA"/>
              </w:rPr>
              <w:t>预估</w:t>
            </w:r>
            <w:r>
              <w:rPr>
                <w:rFonts w:hint="eastAsia" w:ascii="宋体" w:hAnsi="宋体" w:eastAsia="宋体" w:cs="宋体"/>
                <w:b/>
                <w:bCs/>
                <w:color w:val="auto"/>
                <w:kern w:val="2"/>
                <w:sz w:val="21"/>
                <w:szCs w:val="21"/>
                <w:highlight w:val="none"/>
                <w:lang w:val="en-US" w:eastAsia="zh-CN" w:bidi="ar-SA"/>
              </w:rPr>
              <w:t>合同价</w:t>
            </w:r>
            <w:r>
              <w:rPr>
                <w:rFonts w:hint="eastAsia" w:ascii="宋体" w:hAnsi="宋体" w:cs="宋体"/>
                <w:b/>
                <w:bCs/>
                <w:color w:val="auto"/>
                <w:kern w:val="2"/>
                <w:sz w:val="21"/>
                <w:szCs w:val="21"/>
                <w:highlight w:val="none"/>
                <w:lang w:val="en-US" w:eastAsia="zh-CN" w:bidi="ar-SA"/>
              </w:rPr>
              <w:t>，最终结算金额=男性职工中标单价×实际男性职工体检人数+已婚女职工中标单价×实际已婚女职工体检人数+未婚女职工中标单价×实际未婚女职工体检人数。</w:t>
            </w:r>
          </w:p>
          <w:p w14:paraId="003F7E9E">
            <w:pPr>
              <w:keepNext w:val="0"/>
              <w:keepLines w:val="0"/>
              <w:pageBreakBefore w:val="0"/>
              <w:kinsoku/>
              <w:wordWrap/>
              <w:overflowPunct/>
              <w:topLinePunct w:val="0"/>
              <w:autoSpaceDE/>
              <w:autoSpaceDN/>
              <w:bidi w:val="0"/>
              <w:adjustRightInd/>
              <w:snapToGrid/>
              <w:spacing w:line="400" w:lineRule="exact"/>
              <w:textAlignment w:val="auto"/>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4.中标人一旦中标，中标单价在合同履行期（三年）内不变。</w:t>
            </w:r>
          </w:p>
        </w:tc>
      </w:tr>
      <w:tr w14:paraId="264BD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16A1E2D6">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3.6.2</w:t>
            </w:r>
          </w:p>
        </w:tc>
        <w:tc>
          <w:tcPr>
            <w:tcW w:w="2006" w:type="dxa"/>
            <w:gridSpan w:val="2"/>
            <w:vAlign w:val="center"/>
          </w:tcPr>
          <w:p w14:paraId="40BF5D66">
            <w:pPr>
              <w:keepNext w:val="0"/>
              <w:keepLines w:val="0"/>
              <w:pageBreakBefore w:val="0"/>
              <w:kinsoku/>
              <w:wordWrap/>
              <w:overflowPunct/>
              <w:topLinePunct w:val="0"/>
              <w:autoSpaceDE w:val="0"/>
              <w:autoSpaceDN w:val="0"/>
              <w:bidi w:val="0"/>
              <w:adjustRightInd w:val="0"/>
              <w:snapToGrid w:val="0"/>
              <w:spacing w:line="400" w:lineRule="exact"/>
              <w:jc w:val="center"/>
              <w:textAlignment w:val="auto"/>
              <w:outlineLvl w:val="0"/>
              <w:rPr>
                <w:rFonts w:hint="eastAsia" w:asciiTheme="minorEastAsia" w:hAnsiTheme="minorEastAsia" w:eastAsiaTheme="minorEastAsia" w:cstheme="minorEastAsia"/>
                <w:color w:val="auto"/>
                <w:kern w:val="0"/>
                <w:sz w:val="21"/>
                <w:szCs w:val="21"/>
                <w:highlight w:val="none"/>
              </w:rPr>
            </w:pPr>
            <w:bookmarkStart w:id="35" w:name="_Toc4917"/>
            <w:bookmarkStart w:id="36" w:name="_Toc5840"/>
            <w:bookmarkStart w:id="37" w:name="_Toc195921788"/>
            <w:bookmarkStart w:id="38" w:name="_Toc5055"/>
            <w:bookmarkStart w:id="39" w:name="_Toc30638"/>
            <w:bookmarkStart w:id="40" w:name="_Toc15275"/>
            <w:bookmarkStart w:id="41" w:name="_Toc1731"/>
            <w:bookmarkStart w:id="42" w:name="_Toc6904"/>
            <w:r>
              <w:rPr>
                <w:rFonts w:hint="eastAsia" w:asciiTheme="minorEastAsia" w:hAnsiTheme="minorEastAsia" w:eastAsiaTheme="minorEastAsia" w:cstheme="minorEastAsia"/>
                <w:color w:val="auto"/>
                <w:kern w:val="0"/>
                <w:sz w:val="21"/>
                <w:szCs w:val="21"/>
                <w:highlight w:val="none"/>
              </w:rPr>
              <w:t>投标有效期</w:t>
            </w:r>
            <w:bookmarkEnd w:id="35"/>
            <w:bookmarkEnd w:id="36"/>
            <w:bookmarkEnd w:id="37"/>
            <w:bookmarkEnd w:id="38"/>
            <w:bookmarkEnd w:id="39"/>
            <w:bookmarkEnd w:id="40"/>
            <w:bookmarkEnd w:id="41"/>
            <w:bookmarkEnd w:id="42"/>
          </w:p>
        </w:tc>
        <w:tc>
          <w:tcPr>
            <w:tcW w:w="6184" w:type="dxa"/>
            <w:vAlign w:val="center"/>
          </w:tcPr>
          <w:p w14:paraId="6598F897">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u w:val="none"/>
              </w:rPr>
              <w:t>90日历天</w:t>
            </w:r>
          </w:p>
        </w:tc>
      </w:tr>
      <w:tr w14:paraId="6FB67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0" w:hRule="atLeast"/>
          <w:tblHeader/>
        </w:trPr>
        <w:tc>
          <w:tcPr>
            <w:tcW w:w="896" w:type="dxa"/>
            <w:vAlign w:val="center"/>
          </w:tcPr>
          <w:p w14:paraId="3CA74CB0">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3.7.1</w:t>
            </w:r>
          </w:p>
        </w:tc>
        <w:tc>
          <w:tcPr>
            <w:tcW w:w="2006" w:type="dxa"/>
            <w:gridSpan w:val="2"/>
            <w:vAlign w:val="center"/>
          </w:tcPr>
          <w:p w14:paraId="23B9C99F">
            <w:pPr>
              <w:keepNext w:val="0"/>
              <w:keepLines w:val="0"/>
              <w:pageBreakBefore w:val="0"/>
              <w:kinsoku/>
              <w:wordWrap/>
              <w:overflowPunct/>
              <w:topLinePunct w:val="0"/>
              <w:autoSpaceDE w:val="0"/>
              <w:autoSpaceDN w:val="0"/>
              <w:bidi w:val="0"/>
              <w:adjustRightInd w:val="0"/>
              <w:snapToGrid w:val="0"/>
              <w:spacing w:line="400" w:lineRule="exact"/>
              <w:jc w:val="center"/>
              <w:textAlignment w:val="auto"/>
              <w:outlineLvl w:val="0"/>
              <w:rPr>
                <w:rFonts w:hint="eastAsia" w:asciiTheme="minorEastAsia" w:hAnsiTheme="minorEastAsia" w:eastAsiaTheme="minorEastAsia" w:cstheme="minorEastAsia"/>
                <w:color w:val="auto"/>
                <w:kern w:val="0"/>
                <w:sz w:val="21"/>
                <w:szCs w:val="21"/>
                <w:highlight w:val="none"/>
              </w:rPr>
            </w:pPr>
            <w:bookmarkStart w:id="43" w:name="_Toc30600"/>
            <w:bookmarkStart w:id="44" w:name="_Toc5482"/>
            <w:bookmarkStart w:id="45" w:name="_Toc26207"/>
            <w:bookmarkStart w:id="46" w:name="_Toc29951"/>
            <w:bookmarkStart w:id="47" w:name="_Toc195921789"/>
            <w:bookmarkStart w:id="48" w:name="_Toc25768"/>
            <w:bookmarkStart w:id="49" w:name="_Toc12209"/>
            <w:bookmarkStart w:id="50" w:name="_Toc12504"/>
            <w:r>
              <w:rPr>
                <w:rFonts w:hint="eastAsia" w:asciiTheme="minorEastAsia" w:hAnsiTheme="minorEastAsia" w:eastAsiaTheme="minorEastAsia" w:cstheme="minorEastAsia"/>
                <w:color w:val="auto"/>
                <w:kern w:val="0"/>
                <w:sz w:val="21"/>
                <w:szCs w:val="21"/>
                <w:highlight w:val="none"/>
              </w:rPr>
              <w:t>投标保证金</w:t>
            </w:r>
            <w:bookmarkEnd w:id="43"/>
            <w:bookmarkEnd w:id="44"/>
            <w:bookmarkEnd w:id="45"/>
            <w:bookmarkEnd w:id="46"/>
            <w:bookmarkEnd w:id="47"/>
            <w:bookmarkEnd w:id="48"/>
            <w:bookmarkEnd w:id="49"/>
            <w:bookmarkEnd w:id="50"/>
          </w:p>
        </w:tc>
        <w:tc>
          <w:tcPr>
            <w:tcW w:w="6184" w:type="dxa"/>
            <w:vAlign w:val="center"/>
          </w:tcPr>
          <w:p w14:paraId="038341ED">
            <w:pPr>
              <w:keepNext w:val="0"/>
              <w:keepLines w:val="0"/>
              <w:pageBreakBefore w:val="0"/>
              <w:kinsoku/>
              <w:wordWrap/>
              <w:overflowPunct/>
              <w:topLinePunct w:val="0"/>
              <w:autoSpaceDE w:val="0"/>
              <w:autoSpaceDN w:val="0"/>
              <w:bidi w:val="0"/>
              <w:adjustRightInd w:val="0"/>
              <w:snapToGrid w:val="0"/>
              <w:spacing w:line="400" w:lineRule="exact"/>
              <w:jc w:val="both"/>
              <w:textAlignment w:val="auto"/>
              <w:outlineLvl w:val="0"/>
              <w:rPr>
                <w:rFonts w:hint="eastAsia" w:asciiTheme="minorEastAsia" w:hAnsiTheme="minorEastAsia" w:eastAsiaTheme="minorEastAsia" w:cstheme="minorEastAsia"/>
                <w:color w:val="auto"/>
                <w:kern w:val="0"/>
                <w:sz w:val="21"/>
                <w:szCs w:val="21"/>
                <w:highlight w:val="none"/>
              </w:rPr>
            </w:pPr>
            <w:bookmarkStart w:id="51" w:name="_Toc253"/>
            <w:bookmarkStart w:id="52" w:name="_Toc4014"/>
            <w:bookmarkStart w:id="53" w:name="_Toc8782"/>
            <w:r>
              <w:rPr>
                <w:rFonts w:hint="eastAsia" w:asciiTheme="minorEastAsia" w:hAnsiTheme="minorEastAsia" w:eastAsiaTheme="minorEastAsia" w:cstheme="minorEastAsia"/>
                <w:color w:val="auto"/>
                <w:kern w:val="0"/>
                <w:sz w:val="21"/>
                <w:szCs w:val="21"/>
                <w:highlight w:val="none"/>
              </w:rPr>
              <w:t>1、投标保证金的金额：人民币</w:t>
            </w:r>
            <w:r>
              <w:rPr>
                <w:rFonts w:hint="eastAsia" w:asciiTheme="minorEastAsia" w:hAnsiTheme="minorEastAsia" w:eastAsiaTheme="minorEastAsia" w:cstheme="minorEastAsia"/>
                <w:color w:val="auto"/>
                <w:kern w:val="0"/>
                <w:sz w:val="21"/>
                <w:szCs w:val="21"/>
                <w:highlight w:val="none"/>
                <w:lang w:val="en-US" w:eastAsia="zh-CN"/>
              </w:rPr>
              <w:t>200</w:t>
            </w:r>
            <w:r>
              <w:rPr>
                <w:rFonts w:hint="eastAsia" w:asciiTheme="minorEastAsia" w:hAnsiTheme="minorEastAsia" w:eastAsiaTheme="minorEastAsia" w:cstheme="minorEastAsia"/>
                <w:color w:val="auto"/>
                <w:kern w:val="0"/>
                <w:sz w:val="21"/>
                <w:szCs w:val="21"/>
                <w:highlight w:val="none"/>
              </w:rPr>
              <w:t>00.00元整（大写：人民币</w:t>
            </w:r>
            <w:r>
              <w:rPr>
                <w:rFonts w:hint="eastAsia" w:asciiTheme="minorEastAsia" w:hAnsiTheme="minorEastAsia" w:eastAsiaTheme="minorEastAsia" w:cstheme="minorEastAsia"/>
                <w:color w:val="auto"/>
                <w:kern w:val="0"/>
                <w:sz w:val="21"/>
                <w:szCs w:val="21"/>
                <w:highlight w:val="none"/>
                <w:lang w:val="en-US" w:eastAsia="zh-CN"/>
              </w:rPr>
              <w:t>贰万</w:t>
            </w:r>
            <w:r>
              <w:rPr>
                <w:rFonts w:hint="eastAsia" w:asciiTheme="minorEastAsia" w:hAnsiTheme="minorEastAsia" w:eastAsiaTheme="minorEastAsia" w:cstheme="minorEastAsia"/>
                <w:color w:val="auto"/>
                <w:kern w:val="0"/>
                <w:sz w:val="21"/>
                <w:szCs w:val="21"/>
                <w:highlight w:val="none"/>
              </w:rPr>
              <w:t>元整）</w:t>
            </w:r>
            <w:bookmarkEnd w:id="51"/>
            <w:bookmarkEnd w:id="52"/>
            <w:bookmarkEnd w:id="53"/>
          </w:p>
          <w:p w14:paraId="29F46C38">
            <w:pPr>
              <w:keepNext w:val="0"/>
              <w:keepLines w:val="0"/>
              <w:pageBreakBefore w:val="0"/>
              <w:kinsoku/>
              <w:wordWrap/>
              <w:overflowPunct/>
              <w:topLinePunct w:val="0"/>
              <w:autoSpaceDE w:val="0"/>
              <w:autoSpaceDN w:val="0"/>
              <w:bidi w:val="0"/>
              <w:adjustRightInd w:val="0"/>
              <w:snapToGrid w:val="0"/>
              <w:spacing w:line="400" w:lineRule="exact"/>
              <w:jc w:val="both"/>
              <w:textAlignment w:val="auto"/>
              <w:outlineLvl w:val="0"/>
              <w:rPr>
                <w:rFonts w:hint="eastAsia" w:asciiTheme="minorEastAsia" w:hAnsiTheme="minorEastAsia" w:eastAsiaTheme="minorEastAsia" w:cstheme="minorEastAsia"/>
                <w:color w:val="auto"/>
                <w:kern w:val="0"/>
                <w:sz w:val="21"/>
                <w:szCs w:val="21"/>
                <w:highlight w:val="none"/>
              </w:rPr>
            </w:pPr>
            <w:bookmarkStart w:id="54" w:name="_Toc8896"/>
            <w:bookmarkStart w:id="55" w:name="_Toc31660"/>
            <w:r>
              <w:rPr>
                <w:rFonts w:hint="eastAsia" w:asciiTheme="minorEastAsia" w:hAnsiTheme="minorEastAsia" w:eastAsiaTheme="minorEastAsia" w:cstheme="minorEastAsia"/>
                <w:color w:val="auto"/>
                <w:kern w:val="0"/>
                <w:sz w:val="21"/>
                <w:szCs w:val="21"/>
                <w:highlight w:val="none"/>
              </w:rPr>
              <w:t>2、投标保证金的形式：</w:t>
            </w:r>
            <w:r>
              <w:rPr>
                <w:rFonts w:hint="eastAsia" w:asciiTheme="minorEastAsia" w:hAnsiTheme="minorEastAsia" w:eastAsiaTheme="minorEastAsia" w:cstheme="minorEastAsia"/>
                <w:color w:val="auto"/>
                <w:kern w:val="0"/>
                <w:sz w:val="21"/>
                <w:szCs w:val="21"/>
                <w:highlight w:val="none"/>
                <w:lang w:val="en-US" w:eastAsia="zh-CN"/>
              </w:rPr>
              <w:t>银行转账、</w:t>
            </w:r>
            <w:r>
              <w:rPr>
                <w:rFonts w:hint="eastAsia" w:asciiTheme="minorEastAsia" w:hAnsiTheme="minorEastAsia" w:eastAsiaTheme="minorEastAsia" w:cstheme="minorEastAsia"/>
                <w:color w:val="auto"/>
                <w:kern w:val="0"/>
                <w:sz w:val="21"/>
                <w:szCs w:val="21"/>
                <w:highlight w:val="none"/>
              </w:rPr>
              <w:t>支票、汇票、本票或者金融机构、担保机构出具的保函等非现金形式提交。</w:t>
            </w:r>
            <w:bookmarkEnd w:id="54"/>
            <w:bookmarkEnd w:id="55"/>
          </w:p>
          <w:p w14:paraId="43131E6E">
            <w:pPr>
              <w:keepNext w:val="0"/>
              <w:keepLines w:val="0"/>
              <w:pageBreakBefore w:val="0"/>
              <w:kinsoku/>
              <w:wordWrap/>
              <w:overflowPunct/>
              <w:topLinePunct w:val="0"/>
              <w:autoSpaceDE w:val="0"/>
              <w:autoSpaceDN w:val="0"/>
              <w:bidi w:val="0"/>
              <w:adjustRightInd w:val="0"/>
              <w:snapToGrid w:val="0"/>
              <w:spacing w:line="400" w:lineRule="exact"/>
              <w:jc w:val="both"/>
              <w:textAlignment w:val="auto"/>
              <w:outlineLvl w:val="0"/>
              <w:rPr>
                <w:rFonts w:hint="eastAsia" w:asciiTheme="minorEastAsia" w:hAnsiTheme="minorEastAsia" w:eastAsiaTheme="minorEastAsia" w:cstheme="minorEastAsia"/>
                <w:color w:val="auto"/>
                <w:kern w:val="0"/>
                <w:sz w:val="21"/>
                <w:szCs w:val="21"/>
                <w:highlight w:val="none"/>
              </w:rPr>
            </w:pPr>
            <w:bookmarkStart w:id="56" w:name="_Toc14208"/>
            <w:bookmarkStart w:id="57" w:name="_Toc24402"/>
            <w:bookmarkStart w:id="58" w:name="_Toc20823"/>
            <w:r>
              <w:rPr>
                <w:rFonts w:hint="eastAsia" w:asciiTheme="minorEastAsia" w:hAnsiTheme="minorEastAsia" w:eastAsiaTheme="minorEastAsia" w:cstheme="minorEastAsia"/>
                <w:color w:val="auto"/>
                <w:kern w:val="0"/>
                <w:sz w:val="21"/>
                <w:szCs w:val="21"/>
                <w:highlight w:val="none"/>
              </w:rPr>
              <w:t>3、投标保证金交纳时间：以专项账户实际到账时间为准，到账截止时间为投标截止时间，未按时到账的保证金无效。</w:t>
            </w:r>
            <w:bookmarkEnd w:id="56"/>
            <w:bookmarkEnd w:id="57"/>
            <w:bookmarkEnd w:id="58"/>
          </w:p>
          <w:p w14:paraId="5546CE05">
            <w:pPr>
              <w:keepNext w:val="0"/>
              <w:keepLines w:val="0"/>
              <w:pageBreakBefore w:val="0"/>
              <w:kinsoku/>
              <w:wordWrap/>
              <w:overflowPunct/>
              <w:topLinePunct w:val="0"/>
              <w:autoSpaceDE w:val="0"/>
              <w:autoSpaceDN w:val="0"/>
              <w:bidi w:val="0"/>
              <w:adjustRightInd w:val="0"/>
              <w:snapToGrid w:val="0"/>
              <w:spacing w:line="400" w:lineRule="exact"/>
              <w:jc w:val="both"/>
              <w:textAlignment w:val="auto"/>
              <w:outlineLvl w:val="0"/>
              <w:rPr>
                <w:rFonts w:hint="eastAsia" w:asciiTheme="minorEastAsia" w:hAnsiTheme="minorEastAsia" w:eastAsiaTheme="minorEastAsia" w:cstheme="minorEastAsia"/>
                <w:color w:val="auto"/>
                <w:kern w:val="0"/>
                <w:sz w:val="21"/>
                <w:szCs w:val="21"/>
                <w:highlight w:val="none"/>
              </w:rPr>
            </w:pPr>
            <w:bookmarkStart w:id="59" w:name="_Toc8439"/>
            <w:bookmarkStart w:id="60" w:name="_Toc27182"/>
            <w:bookmarkStart w:id="61" w:name="_Toc11735"/>
            <w:r>
              <w:rPr>
                <w:rFonts w:hint="eastAsia" w:asciiTheme="minorEastAsia" w:hAnsiTheme="minorEastAsia" w:eastAsiaTheme="minorEastAsia" w:cstheme="minorEastAsia"/>
                <w:color w:val="auto"/>
                <w:kern w:val="0"/>
                <w:sz w:val="21"/>
                <w:szCs w:val="21"/>
                <w:highlight w:val="none"/>
              </w:rPr>
              <w:t>4、投标保证金收取账户：</w:t>
            </w:r>
            <w:bookmarkEnd w:id="59"/>
            <w:bookmarkEnd w:id="60"/>
            <w:bookmarkEnd w:id="61"/>
          </w:p>
          <w:p w14:paraId="7D8E0837">
            <w:pPr>
              <w:keepNext w:val="0"/>
              <w:keepLines w:val="0"/>
              <w:pageBreakBefore w:val="0"/>
              <w:kinsoku/>
              <w:wordWrap/>
              <w:overflowPunct/>
              <w:topLinePunct w:val="0"/>
              <w:autoSpaceDE w:val="0"/>
              <w:autoSpaceDN w:val="0"/>
              <w:bidi w:val="0"/>
              <w:adjustRightInd w:val="0"/>
              <w:snapToGrid w:val="0"/>
              <w:spacing w:line="400" w:lineRule="exact"/>
              <w:jc w:val="both"/>
              <w:textAlignment w:val="auto"/>
              <w:outlineLvl w:val="0"/>
              <w:rPr>
                <w:rFonts w:hint="eastAsia" w:asciiTheme="minorEastAsia" w:hAnsiTheme="minorEastAsia" w:eastAsiaTheme="minorEastAsia" w:cstheme="minorEastAsia"/>
                <w:color w:val="auto"/>
                <w:kern w:val="0"/>
                <w:sz w:val="21"/>
                <w:szCs w:val="21"/>
                <w:highlight w:val="none"/>
              </w:rPr>
            </w:pPr>
            <w:bookmarkStart w:id="62" w:name="_Toc1281"/>
            <w:bookmarkStart w:id="63" w:name="_Toc25135"/>
            <w:bookmarkStart w:id="64" w:name="_Toc7777"/>
            <w:r>
              <w:rPr>
                <w:rFonts w:hint="eastAsia" w:asciiTheme="minorEastAsia" w:hAnsiTheme="minorEastAsia" w:eastAsiaTheme="minorEastAsia" w:cstheme="minorEastAsia"/>
                <w:color w:val="auto"/>
                <w:kern w:val="0"/>
                <w:sz w:val="21"/>
                <w:szCs w:val="21"/>
                <w:highlight w:val="none"/>
              </w:rPr>
              <w:t>（1）开户名称：国信招标集团股份有限公司</w:t>
            </w:r>
            <w:bookmarkEnd w:id="62"/>
            <w:bookmarkEnd w:id="63"/>
            <w:bookmarkEnd w:id="64"/>
          </w:p>
          <w:p w14:paraId="42F6D683">
            <w:pPr>
              <w:keepNext w:val="0"/>
              <w:keepLines w:val="0"/>
              <w:pageBreakBefore w:val="0"/>
              <w:kinsoku/>
              <w:wordWrap/>
              <w:overflowPunct/>
              <w:topLinePunct w:val="0"/>
              <w:autoSpaceDE w:val="0"/>
              <w:autoSpaceDN w:val="0"/>
              <w:bidi w:val="0"/>
              <w:adjustRightInd w:val="0"/>
              <w:snapToGrid w:val="0"/>
              <w:spacing w:line="400" w:lineRule="exact"/>
              <w:jc w:val="both"/>
              <w:textAlignment w:val="auto"/>
              <w:outlineLvl w:val="0"/>
              <w:rPr>
                <w:rFonts w:hint="eastAsia" w:asciiTheme="minorEastAsia" w:hAnsiTheme="minorEastAsia" w:eastAsiaTheme="minorEastAsia" w:cstheme="minorEastAsia"/>
                <w:color w:val="auto"/>
                <w:kern w:val="0"/>
                <w:sz w:val="21"/>
                <w:szCs w:val="21"/>
                <w:highlight w:val="none"/>
              </w:rPr>
            </w:pPr>
            <w:bookmarkStart w:id="65" w:name="_Toc2338"/>
            <w:bookmarkStart w:id="66" w:name="_Toc1714"/>
            <w:bookmarkStart w:id="67" w:name="_Toc12830"/>
            <w:r>
              <w:rPr>
                <w:rFonts w:hint="eastAsia" w:asciiTheme="minorEastAsia" w:hAnsiTheme="minorEastAsia" w:eastAsiaTheme="minorEastAsia" w:cstheme="minorEastAsia"/>
                <w:color w:val="auto"/>
                <w:kern w:val="0"/>
                <w:sz w:val="21"/>
                <w:szCs w:val="21"/>
                <w:highlight w:val="none"/>
              </w:rPr>
              <w:t>（2）账号：</w:t>
            </w:r>
            <w:bookmarkEnd w:id="65"/>
            <w:bookmarkEnd w:id="66"/>
            <w:bookmarkEnd w:id="67"/>
            <w:r>
              <w:rPr>
                <w:rFonts w:hint="eastAsia" w:asciiTheme="minorEastAsia" w:hAnsiTheme="minorEastAsia" w:eastAsiaTheme="minorEastAsia" w:cstheme="minorEastAsia"/>
                <w:color w:val="auto"/>
                <w:kern w:val="0"/>
                <w:sz w:val="21"/>
                <w:szCs w:val="21"/>
                <w:highlight w:val="none"/>
              </w:rPr>
              <w:t>9990148030100120000012944</w:t>
            </w:r>
          </w:p>
          <w:p w14:paraId="1DEF3A62">
            <w:pPr>
              <w:keepNext w:val="0"/>
              <w:keepLines w:val="0"/>
              <w:pageBreakBefore w:val="0"/>
              <w:kinsoku/>
              <w:wordWrap/>
              <w:overflowPunct/>
              <w:topLinePunct w:val="0"/>
              <w:autoSpaceDE w:val="0"/>
              <w:autoSpaceDN w:val="0"/>
              <w:bidi w:val="0"/>
              <w:adjustRightInd w:val="0"/>
              <w:snapToGrid w:val="0"/>
              <w:spacing w:line="400" w:lineRule="exact"/>
              <w:jc w:val="both"/>
              <w:textAlignment w:val="auto"/>
              <w:outlineLvl w:val="0"/>
              <w:rPr>
                <w:rFonts w:hint="eastAsia" w:asciiTheme="minorEastAsia" w:hAnsiTheme="minorEastAsia" w:eastAsiaTheme="minorEastAsia" w:cstheme="minorEastAsia"/>
                <w:color w:val="auto"/>
                <w:kern w:val="0"/>
                <w:sz w:val="21"/>
                <w:szCs w:val="21"/>
                <w:highlight w:val="none"/>
              </w:rPr>
            </w:pPr>
            <w:bookmarkStart w:id="68" w:name="_Toc31681"/>
            <w:bookmarkStart w:id="69" w:name="_Toc30547"/>
            <w:bookmarkStart w:id="70" w:name="_Toc21867"/>
            <w:r>
              <w:rPr>
                <w:rFonts w:hint="eastAsia" w:asciiTheme="minorEastAsia" w:hAnsiTheme="minorEastAsia" w:eastAsiaTheme="minorEastAsia" w:cstheme="minorEastAsia"/>
                <w:color w:val="auto"/>
                <w:kern w:val="0"/>
                <w:sz w:val="21"/>
                <w:szCs w:val="21"/>
                <w:highlight w:val="none"/>
              </w:rPr>
              <w:t>（3）开户银行：</w:t>
            </w:r>
            <w:bookmarkEnd w:id="68"/>
            <w:bookmarkEnd w:id="69"/>
            <w:bookmarkEnd w:id="70"/>
            <w:bookmarkStart w:id="71" w:name="_Toc14006"/>
            <w:bookmarkStart w:id="72" w:name="_Toc16742"/>
            <w:r>
              <w:rPr>
                <w:rFonts w:hint="eastAsia" w:asciiTheme="minorEastAsia" w:hAnsiTheme="minorEastAsia" w:eastAsiaTheme="minorEastAsia" w:cstheme="minorEastAsia"/>
                <w:color w:val="auto"/>
                <w:kern w:val="0"/>
                <w:sz w:val="21"/>
                <w:szCs w:val="21"/>
                <w:highlight w:val="none"/>
              </w:rPr>
              <w:t>招商银行北京广渠门支行</w:t>
            </w:r>
          </w:p>
          <w:p w14:paraId="121C3700">
            <w:pPr>
              <w:keepNext w:val="0"/>
              <w:keepLines w:val="0"/>
              <w:pageBreakBefore w:val="0"/>
              <w:kinsoku/>
              <w:wordWrap/>
              <w:overflowPunct/>
              <w:topLinePunct w:val="0"/>
              <w:autoSpaceDE w:val="0"/>
              <w:autoSpaceDN w:val="0"/>
              <w:bidi w:val="0"/>
              <w:adjustRightInd w:val="0"/>
              <w:snapToGrid w:val="0"/>
              <w:spacing w:line="400" w:lineRule="exact"/>
              <w:jc w:val="both"/>
              <w:textAlignment w:val="auto"/>
              <w:outlineLvl w:val="0"/>
              <w:rPr>
                <w:rFonts w:hint="eastAsia" w:asciiTheme="minorEastAsia" w:hAnsiTheme="minorEastAsia" w:eastAsiaTheme="minorEastAsia" w:cstheme="minorEastAsia"/>
                <w:color w:val="auto"/>
                <w:kern w:val="0"/>
                <w:sz w:val="21"/>
                <w:szCs w:val="21"/>
                <w:highlight w:val="none"/>
                <w:lang w:eastAsia="zh-CN"/>
              </w:rPr>
            </w:pPr>
            <w:bookmarkStart w:id="73" w:name="_Toc25477"/>
            <w:r>
              <w:rPr>
                <w:rFonts w:hint="eastAsia" w:asciiTheme="minorEastAsia" w:hAnsiTheme="minorEastAsia" w:eastAsiaTheme="minorEastAsia" w:cstheme="minorEastAsia"/>
                <w:color w:val="auto"/>
                <w:kern w:val="0"/>
                <w:sz w:val="21"/>
                <w:szCs w:val="21"/>
                <w:highlight w:val="none"/>
              </w:rPr>
              <w:t>（4）联系人：熊</w:t>
            </w:r>
            <w:bookmarkEnd w:id="71"/>
            <w:bookmarkEnd w:id="72"/>
            <w:r>
              <w:rPr>
                <w:rFonts w:hint="eastAsia" w:asciiTheme="minorEastAsia" w:hAnsiTheme="minorEastAsia" w:eastAsiaTheme="minorEastAsia" w:cstheme="minorEastAsia"/>
                <w:color w:val="auto"/>
                <w:kern w:val="0"/>
                <w:sz w:val="21"/>
                <w:szCs w:val="21"/>
                <w:highlight w:val="none"/>
                <w:lang w:val="en-US" w:eastAsia="zh-CN"/>
              </w:rPr>
              <w:t>老师</w:t>
            </w:r>
            <w:bookmarkEnd w:id="73"/>
          </w:p>
          <w:p w14:paraId="03C1F64A">
            <w:pPr>
              <w:keepNext w:val="0"/>
              <w:keepLines w:val="0"/>
              <w:pageBreakBefore w:val="0"/>
              <w:kinsoku/>
              <w:wordWrap/>
              <w:overflowPunct/>
              <w:topLinePunct w:val="0"/>
              <w:autoSpaceDE w:val="0"/>
              <w:autoSpaceDN w:val="0"/>
              <w:bidi w:val="0"/>
              <w:adjustRightInd w:val="0"/>
              <w:snapToGrid w:val="0"/>
              <w:spacing w:line="400" w:lineRule="exact"/>
              <w:jc w:val="both"/>
              <w:textAlignment w:val="auto"/>
              <w:outlineLvl w:val="0"/>
              <w:rPr>
                <w:rFonts w:hint="eastAsia" w:asciiTheme="minorEastAsia" w:hAnsiTheme="minorEastAsia" w:eastAsiaTheme="minorEastAsia" w:cstheme="minorEastAsia"/>
                <w:color w:val="auto"/>
                <w:kern w:val="0"/>
                <w:sz w:val="21"/>
                <w:szCs w:val="21"/>
                <w:highlight w:val="none"/>
              </w:rPr>
            </w:pPr>
            <w:bookmarkStart w:id="74" w:name="_Toc9363"/>
            <w:bookmarkStart w:id="75" w:name="_Toc11670"/>
            <w:bookmarkStart w:id="76" w:name="_Toc3648"/>
            <w:r>
              <w:rPr>
                <w:rFonts w:hint="eastAsia" w:asciiTheme="minorEastAsia" w:hAnsiTheme="minorEastAsia" w:eastAsiaTheme="minorEastAsia" w:cstheme="minorEastAsia"/>
                <w:color w:val="auto"/>
                <w:kern w:val="0"/>
                <w:sz w:val="21"/>
                <w:szCs w:val="21"/>
                <w:highlight w:val="none"/>
              </w:rPr>
              <w:t>（5）联系电话：0871-68355512</w:t>
            </w:r>
            <w:bookmarkEnd w:id="74"/>
            <w:bookmarkEnd w:id="75"/>
            <w:bookmarkEnd w:id="76"/>
          </w:p>
          <w:p w14:paraId="48E4148B">
            <w:pPr>
              <w:keepNext w:val="0"/>
              <w:keepLines w:val="0"/>
              <w:pageBreakBefore w:val="0"/>
              <w:kinsoku/>
              <w:wordWrap/>
              <w:overflowPunct/>
              <w:topLinePunct w:val="0"/>
              <w:autoSpaceDE w:val="0"/>
              <w:autoSpaceDN w:val="0"/>
              <w:bidi w:val="0"/>
              <w:adjustRightInd w:val="0"/>
              <w:snapToGrid w:val="0"/>
              <w:spacing w:line="400" w:lineRule="exact"/>
              <w:jc w:val="both"/>
              <w:textAlignment w:val="auto"/>
              <w:outlineLvl w:val="0"/>
              <w:rPr>
                <w:rFonts w:hint="eastAsia" w:asciiTheme="minorEastAsia" w:hAnsiTheme="minorEastAsia" w:eastAsiaTheme="minorEastAsia" w:cstheme="minorEastAsia"/>
                <w:color w:val="auto"/>
                <w:kern w:val="0"/>
                <w:sz w:val="21"/>
                <w:szCs w:val="21"/>
                <w:highlight w:val="none"/>
              </w:rPr>
            </w:pPr>
            <w:bookmarkStart w:id="77" w:name="_Toc32260"/>
            <w:bookmarkStart w:id="78" w:name="_Toc28942"/>
            <w:bookmarkStart w:id="79" w:name="_Toc13509"/>
            <w:r>
              <w:rPr>
                <w:rFonts w:hint="eastAsia" w:asciiTheme="minorEastAsia" w:hAnsiTheme="minorEastAsia" w:eastAsiaTheme="minorEastAsia" w:cstheme="minorEastAsia"/>
                <w:color w:val="auto"/>
                <w:kern w:val="0"/>
                <w:sz w:val="21"/>
                <w:szCs w:val="21"/>
                <w:highlight w:val="none"/>
              </w:rPr>
              <w:t>注意事项：</w:t>
            </w:r>
            <w:bookmarkEnd w:id="77"/>
            <w:bookmarkEnd w:id="78"/>
            <w:bookmarkEnd w:id="79"/>
          </w:p>
          <w:p w14:paraId="78006A20">
            <w:pPr>
              <w:keepNext w:val="0"/>
              <w:keepLines w:val="0"/>
              <w:pageBreakBefore w:val="0"/>
              <w:kinsoku/>
              <w:wordWrap/>
              <w:overflowPunct/>
              <w:topLinePunct w:val="0"/>
              <w:autoSpaceDE w:val="0"/>
              <w:autoSpaceDN w:val="0"/>
              <w:bidi w:val="0"/>
              <w:adjustRightInd w:val="0"/>
              <w:snapToGrid w:val="0"/>
              <w:spacing w:line="400" w:lineRule="exact"/>
              <w:jc w:val="both"/>
              <w:textAlignment w:val="auto"/>
              <w:outlineLvl w:val="0"/>
              <w:rPr>
                <w:rFonts w:hint="eastAsia" w:asciiTheme="minorEastAsia" w:hAnsiTheme="minorEastAsia" w:eastAsiaTheme="minorEastAsia" w:cstheme="minorEastAsia"/>
                <w:color w:val="auto"/>
                <w:kern w:val="0"/>
                <w:sz w:val="21"/>
                <w:szCs w:val="21"/>
                <w:highlight w:val="none"/>
                <w:lang w:val="en-US" w:eastAsia="zh-CN"/>
              </w:rPr>
            </w:pPr>
            <w:bookmarkStart w:id="80" w:name="_Toc6351"/>
            <w:bookmarkStart w:id="81" w:name="_Toc20917"/>
            <w:bookmarkStart w:id="82" w:name="_Toc27381"/>
            <w:r>
              <w:rPr>
                <w:rFonts w:hint="eastAsia" w:asciiTheme="minorEastAsia" w:hAnsiTheme="minorEastAsia" w:eastAsiaTheme="minorEastAsia" w:cstheme="minorEastAsia"/>
                <w:color w:val="auto"/>
                <w:kern w:val="0"/>
                <w:sz w:val="21"/>
                <w:szCs w:val="21"/>
                <w:highlight w:val="none"/>
              </w:rPr>
              <w:t>（1）投标保证金交纳时间以投标保证金收取账户到账时间或银行保函的开具时间为准；（2）请投标人在汇款时务必注明投标项目的招标编号，否则，因款项用途不明导致投标无效等后果由投标人自行承担；（3）为确保各投标人递交的投标保证金顺利到账，建议各投标人在投标截止时间前3日，按招标文件的要求前来办理交纳投标保证金相关事宜，投标截止时间之后递交的投标保证金将被拒绝。（4）以银行保函的方式缴纳投标保证金的，须在投标截止是前将银行保函的原件交由代理公司收存，投标文件中放银行保函</w:t>
            </w:r>
            <w:r>
              <w:rPr>
                <w:rFonts w:hint="eastAsia" w:asciiTheme="minorEastAsia" w:hAnsiTheme="minorEastAsia" w:eastAsiaTheme="minorEastAsia" w:cstheme="minorEastAsia"/>
                <w:color w:val="auto"/>
                <w:kern w:val="0"/>
                <w:sz w:val="21"/>
                <w:szCs w:val="21"/>
                <w:highlight w:val="none"/>
                <w:lang w:eastAsia="zh-CN"/>
              </w:rPr>
              <w:t>扫描</w:t>
            </w:r>
            <w:r>
              <w:rPr>
                <w:rFonts w:hint="eastAsia" w:asciiTheme="minorEastAsia" w:hAnsiTheme="minorEastAsia" w:eastAsiaTheme="minorEastAsia" w:cstheme="minorEastAsia"/>
                <w:color w:val="auto"/>
                <w:kern w:val="0"/>
                <w:sz w:val="21"/>
                <w:szCs w:val="21"/>
                <w:highlight w:val="none"/>
              </w:rPr>
              <w:t>件，待退还保证金时再将银行保函退还各投标人。</w:t>
            </w:r>
            <w:bookmarkEnd w:id="80"/>
            <w:bookmarkEnd w:id="81"/>
            <w:bookmarkEnd w:id="82"/>
          </w:p>
        </w:tc>
      </w:tr>
      <w:tr w14:paraId="6318C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blHeader/>
        </w:trPr>
        <w:tc>
          <w:tcPr>
            <w:tcW w:w="896" w:type="dxa"/>
            <w:vAlign w:val="center"/>
          </w:tcPr>
          <w:p w14:paraId="57BDEDA1">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3.8.</w:t>
            </w:r>
            <w:r>
              <w:rPr>
                <w:rFonts w:hint="eastAsia" w:asciiTheme="minorEastAsia" w:hAnsiTheme="minorEastAsia" w:eastAsiaTheme="minorEastAsia" w:cstheme="minorEastAsia"/>
                <w:color w:val="auto"/>
                <w:kern w:val="0"/>
                <w:sz w:val="21"/>
                <w:szCs w:val="21"/>
                <w:highlight w:val="none"/>
                <w:lang w:val="en-US" w:eastAsia="zh-CN"/>
              </w:rPr>
              <w:t>8</w:t>
            </w:r>
          </w:p>
        </w:tc>
        <w:tc>
          <w:tcPr>
            <w:tcW w:w="2006" w:type="dxa"/>
            <w:gridSpan w:val="2"/>
            <w:vAlign w:val="center"/>
          </w:tcPr>
          <w:p w14:paraId="7917CD5C">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投标文件的签署</w:t>
            </w:r>
          </w:p>
        </w:tc>
        <w:tc>
          <w:tcPr>
            <w:tcW w:w="6184" w:type="dxa"/>
            <w:vAlign w:val="center"/>
          </w:tcPr>
          <w:p w14:paraId="6F1B6FD5">
            <w:pPr>
              <w:keepNext w:val="0"/>
              <w:keepLines w:val="0"/>
              <w:pageBreakBefore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i/>
                <w:color w:val="auto"/>
                <w:kern w:val="0"/>
                <w:sz w:val="21"/>
                <w:szCs w:val="21"/>
                <w:highlight w:val="none"/>
              </w:rPr>
            </w:pPr>
            <w:r>
              <w:rPr>
                <w:rFonts w:hint="eastAsia" w:asciiTheme="minorEastAsia" w:hAnsiTheme="minorEastAsia" w:eastAsiaTheme="minorEastAsia" w:cstheme="minorEastAsia"/>
                <w:i w:val="0"/>
                <w:color w:val="auto"/>
                <w:kern w:val="0"/>
                <w:sz w:val="21"/>
                <w:szCs w:val="21"/>
                <w:highlight w:val="none"/>
              </w:rPr>
              <w:t>按照</w:t>
            </w:r>
            <w:r>
              <w:rPr>
                <w:rFonts w:hint="eastAsia" w:asciiTheme="minorEastAsia" w:hAnsiTheme="minorEastAsia" w:eastAsiaTheme="minorEastAsia" w:cstheme="minorEastAsia"/>
                <w:i w:val="0"/>
                <w:color w:val="auto"/>
                <w:kern w:val="0"/>
                <w:sz w:val="21"/>
                <w:szCs w:val="21"/>
                <w:highlight w:val="none"/>
                <w:lang w:eastAsia="zh-CN"/>
              </w:rPr>
              <w:t>投标文件</w:t>
            </w:r>
            <w:r>
              <w:rPr>
                <w:rFonts w:hint="eastAsia" w:asciiTheme="minorEastAsia" w:hAnsiTheme="minorEastAsia" w:eastAsiaTheme="minorEastAsia" w:cstheme="minorEastAsia"/>
                <w:i w:val="0"/>
                <w:color w:val="auto"/>
                <w:kern w:val="0"/>
                <w:sz w:val="21"/>
                <w:szCs w:val="21"/>
                <w:highlight w:val="none"/>
              </w:rPr>
              <w:t>格式，采用企业、法定代表人电子签章及数字证书电子签名。</w:t>
            </w:r>
          </w:p>
        </w:tc>
      </w:tr>
      <w:tr w14:paraId="4ABC2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786F6000">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6.1</w:t>
            </w:r>
          </w:p>
        </w:tc>
        <w:tc>
          <w:tcPr>
            <w:tcW w:w="2006" w:type="dxa"/>
            <w:gridSpan w:val="2"/>
            <w:vAlign w:val="center"/>
          </w:tcPr>
          <w:p w14:paraId="5905850D">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资格审查主体</w:t>
            </w:r>
          </w:p>
        </w:tc>
        <w:tc>
          <w:tcPr>
            <w:tcW w:w="6184" w:type="dxa"/>
            <w:vAlign w:val="center"/>
          </w:tcPr>
          <w:p w14:paraId="49CA2DDD">
            <w:pPr>
              <w:keepNext w:val="0"/>
              <w:keepLines w:val="0"/>
              <w:pageBreakBefore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□采购人</w:t>
            </w:r>
          </w:p>
          <w:p w14:paraId="534EF3C1">
            <w:pPr>
              <w:keepNext w:val="0"/>
              <w:keepLines w:val="0"/>
              <w:pageBreakBefore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■采购人委托的</w:t>
            </w:r>
            <w:r>
              <w:rPr>
                <w:rFonts w:hint="eastAsia" w:asciiTheme="minorEastAsia" w:hAnsiTheme="minorEastAsia" w:eastAsiaTheme="minorEastAsia" w:cstheme="minorEastAsia"/>
                <w:color w:val="auto"/>
                <w:kern w:val="0"/>
                <w:sz w:val="21"/>
                <w:szCs w:val="21"/>
                <w:highlight w:val="none"/>
                <w:lang w:val="en-US" w:eastAsia="zh-CN"/>
              </w:rPr>
              <w:t>采购</w:t>
            </w:r>
            <w:r>
              <w:rPr>
                <w:rFonts w:hint="eastAsia" w:asciiTheme="minorEastAsia" w:hAnsiTheme="minorEastAsia" w:eastAsiaTheme="minorEastAsia" w:cstheme="minorEastAsia"/>
                <w:color w:val="auto"/>
                <w:kern w:val="0"/>
                <w:sz w:val="21"/>
                <w:szCs w:val="21"/>
                <w:highlight w:val="none"/>
              </w:rPr>
              <w:t>代理机构</w:t>
            </w:r>
          </w:p>
          <w:p w14:paraId="0ACD01C2">
            <w:pPr>
              <w:keepNext w:val="0"/>
              <w:keepLines w:val="0"/>
              <w:pageBreakBefore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□采购人和采购代理机构</w:t>
            </w:r>
          </w:p>
        </w:tc>
      </w:tr>
      <w:tr w14:paraId="38E70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143437FD">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7.3</w:t>
            </w:r>
          </w:p>
        </w:tc>
        <w:tc>
          <w:tcPr>
            <w:tcW w:w="2006" w:type="dxa"/>
            <w:gridSpan w:val="2"/>
            <w:vAlign w:val="center"/>
          </w:tcPr>
          <w:p w14:paraId="26E1BC9C">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评审得分相同时随机抽取中标候选人的主体</w:t>
            </w:r>
          </w:p>
        </w:tc>
        <w:tc>
          <w:tcPr>
            <w:tcW w:w="6184" w:type="dxa"/>
            <w:vAlign w:val="center"/>
          </w:tcPr>
          <w:p w14:paraId="7BA27DF1">
            <w:pPr>
              <w:keepNext w:val="0"/>
              <w:keepLines w:val="0"/>
              <w:pageBreakBefore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□采购人</w:t>
            </w:r>
          </w:p>
          <w:p w14:paraId="5A0018C0">
            <w:pPr>
              <w:keepNext w:val="0"/>
              <w:keepLines w:val="0"/>
              <w:pageBreakBefore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■采购人委托评标委员会</w:t>
            </w:r>
          </w:p>
        </w:tc>
      </w:tr>
      <w:tr w14:paraId="24C08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1B66B683">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8.1</w:t>
            </w:r>
          </w:p>
        </w:tc>
        <w:tc>
          <w:tcPr>
            <w:tcW w:w="2006" w:type="dxa"/>
            <w:gridSpan w:val="2"/>
            <w:vAlign w:val="center"/>
          </w:tcPr>
          <w:p w14:paraId="5A2B5573">
            <w:pPr>
              <w:keepNext w:val="0"/>
              <w:keepLines w:val="0"/>
              <w:pageBreakBefore w:val="0"/>
              <w:kinsoku/>
              <w:wordWrap/>
              <w:overflowPunct/>
              <w:topLinePunct w:val="0"/>
              <w:autoSpaceDE w:val="0"/>
              <w:autoSpaceDN w:val="0"/>
              <w:bidi w:val="0"/>
              <w:adjustRightInd w:val="0"/>
              <w:snapToGrid w:val="0"/>
              <w:spacing w:line="400" w:lineRule="exact"/>
              <w:jc w:val="center"/>
              <w:textAlignment w:val="auto"/>
              <w:outlineLvl w:val="0"/>
              <w:rPr>
                <w:rFonts w:hint="eastAsia" w:asciiTheme="minorEastAsia" w:hAnsiTheme="minorEastAsia" w:eastAsiaTheme="minorEastAsia" w:cstheme="minorEastAsia"/>
                <w:color w:val="auto"/>
                <w:kern w:val="0"/>
                <w:sz w:val="21"/>
                <w:szCs w:val="21"/>
                <w:highlight w:val="none"/>
              </w:rPr>
            </w:pPr>
            <w:bookmarkStart w:id="83" w:name="_Toc3598"/>
            <w:bookmarkStart w:id="84" w:name="_Toc28567"/>
            <w:bookmarkStart w:id="85" w:name="_Toc15320"/>
            <w:bookmarkStart w:id="86" w:name="_Toc9187"/>
            <w:bookmarkStart w:id="87" w:name="_Toc19394"/>
            <w:bookmarkStart w:id="88" w:name="_Toc27209"/>
            <w:bookmarkStart w:id="89" w:name="_Toc6837"/>
            <w:r>
              <w:rPr>
                <w:rFonts w:hint="eastAsia" w:asciiTheme="minorEastAsia" w:hAnsiTheme="minorEastAsia" w:eastAsiaTheme="minorEastAsia" w:cstheme="minorEastAsia"/>
                <w:color w:val="auto"/>
                <w:kern w:val="0"/>
                <w:sz w:val="21"/>
                <w:szCs w:val="21"/>
                <w:highlight w:val="none"/>
              </w:rPr>
              <w:t>推荐的中标候选人数量</w:t>
            </w:r>
            <w:bookmarkEnd w:id="83"/>
            <w:bookmarkEnd w:id="84"/>
            <w:bookmarkEnd w:id="85"/>
            <w:bookmarkEnd w:id="86"/>
            <w:bookmarkEnd w:id="87"/>
            <w:bookmarkEnd w:id="88"/>
            <w:bookmarkEnd w:id="89"/>
          </w:p>
        </w:tc>
        <w:tc>
          <w:tcPr>
            <w:tcW w:w="6184" w:type="dxa"/>
            <w:vAlign w:val="center"/>
          </w:tcPr>
          <w:p w14:paraId="2AD9E917">
            <w:pPr>
              <w:keepNext w:val="0"/>
              <w:keepLines w:val="0"/>
              <w:pageBreakBefore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u w:val="single"/>
                <w:lang w:val="en-US" w:eastAsia="zh-CN"/>
              </w:rPr>
              <w:t>3</w:t>
            </w:r>
            <w:r>
              <w:rPr>
                <w:rFonts w:hint="eastAsia" w:asciiTheme="minorEastAsia" w:hAnsiTheme="minorEastAsia" w:eastAsiaTheme="minorEastAsia" w:cstheme="minorEastAsia"/>
                <w:color w:val="auto"/>
                <w:kern w:val="0"/>
                <w:sz w:val="21"/>
                <w:szCs w:val="21"/>
                <w:highlight w:val="none"/>
              </w:rPr>
              <w:t>名</w:t>
            </w:r>
          </w:p>
        </w:tc>
      </w:tr>
      <w:tr w14:paraId="0FF6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563DFF53">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rPr>
              <w:t>8.1</w:t>
            </w:r>
          </w:p>
        </w:tc>
        <w:tc>
          <w:tcPr>
            <w:tcW w:w="2006" w:type="dxa"/>
            <w:gridSpan w:val="2"/>
            <w:vAlign w:val="center"/>
          </w:tcPr>
          <w:p w14:paraId="799C6A96">
            <w:pPr>
              <w:keepNext w:val="0"/>
              <w:keepLines w:val="0"/>
              <w:pageBreakBefore w:val="0"/>
              <w:kinsoku/>
              <w:wordWrap/>
              <w:overflowPunct/>
              <w:topLinePunct w:val="0"/>
              <w:autoSpaceDE w:val="0"/>
              <w:autoSpaceDN w:val="0"/>
              <w:bidi w:val="0"/>
              <w:adjustRightInd w:val="0"/>
              <w:snapToGrid w:val="0"/>
              <w:spacing w:line="400" w:lineRule="exact"/>
              <w:jc w:val="center"/>
              <w:textAlignment w:val="auto"/>
              <w:outlineLvl w:val="0"/>
              <w:rPr>
                <w:rFonts w:hint="eastAsia" w:asciiTheme="minorEastAsia" w:hAnsiTheme="minorEastAsia" w:eastAsiaTheme="minorEastAsia" w:cstheme="minorEastAsia"/>
                <w:color w:val="auto"/>
                <w:kern w:val="0"/>
                <w:sz w:val="21"/>
                <w:szCs w:val="21"/>
                <w:highlight w:val="none"/>
                <w:u w:val="none"/>
              </w:rPr>
            </w:pPr>
            <w:bookmarkStart w:id="90" w:name="_Toc20282"/>
            <w:bookmarkStart w:id="91" w:name="_Toc29237"/>
            <w:bookmarkStart w:id="92" w:name="_Toc9020"/>
            <w:bookmarkStart w:id="93" w:name="_Toc1499"/>
            <w:bookmarkStart w:id="94" w:name="_Toc10035"/>
            <w:r>
              <w:rPr>
                <w:rFonts w:hint="eastAsia" w:asciiTheme="minorEastAsia" w:hAnsiTheme="minorEastAsia" w:eastAsiaTheme="minorEastAsia" w:cstheme="minorEastAsia"/>
                <w:color w:val="auto"/>
                <w:kern w:val="0"/>
                <w:sz w:val="21"/>
                <w:szCs w:val="21"/>
                <w:highlight w:val="none"/>
                <w:u w:val="none"/>
              </w:rPr>
              <w:t>确定中标人的方式</w:t>
            </w:r>
            <w:bookmarkEnd w:id="90"/>
            <w:bookmarkEnd w:id="91"/>
            <w:bookmarkEnd w:id="92"/>
            <w:bookmarkEnd w:id="93"/>
            <w:bookmarkEnd w:id="94"/>
          </w:p>
        </w:tc>
        <w:tc>
          <w:tcPr>
            <w:tcW w:w="6184" w:type="dxa"/>
            <w:vAlign w:val="center"/>
          </w:tcPr>
          <w:p w14:paraId="327FBC1E">
            <w:pPr>
              <w:keepNext w:val="0"/>
              <w:keepLines w:val="0"/>
              <w:pageBreakBefore w:val="0"/>
              <w:widowControl/>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u w:val="none"/>
              </w:rPr>
            </w:pPr>
            <w:r>
              <w:rPr>
                <w:rFonts w:hint="eastAsia" w:asciiTheme="minorEastAsia" w:hAnsiTheme="minorEastAsia" w:eastAsiaTheme="minorEastAsia" w:cstheme="minorEastAsia"/>
                <w:color w:val="auto"/>
                <w:kern w:val="0"/>
                <w:sz w:val="21"/>
                <w:szCs w:val="21"/>
                <w:highlight w:val="none"/>
                <w:u w:val="none"/>
                <w:lang w:eastAsia="zh-CN"/>
              </w:rPr>
              <w:t>□</w:t>
            </w:r>
            <w:r>
              <w:rPr>
                <w:rFonts w:hint="eastAsia" w:asciiTheme="minorEastAsia" w:hAnsiTheme="minorEastAsia" w:eastAsiaTheme="minorEastAsia" w:cstheme="minorEastAsia"/>
                <w:color w:val="auto"/>
                <w:kern w:val="0"/>
                <w:sz w:val="21"/>
                <w:szCs w:val="21"/>
                <w:highlight w:val="none"/>
                <w:u w:val="none"/>
              </w:rPr>
              <w:t>采购人委托评标委员会直接确认中标人</w:t>
            </w:r>
          </w:p>
          <w:p w14:paraId="6E4EA8CF">
            <w:pPr>
              <w:keepNext w:val="0"/>
              <w:keepLines w:val="0"/>
              <w:pageBreakBefore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u w:val="none"/>
              </w:rPr>
            </w:pPr>
            <w:r>
              <w:rPr>
                <w:rFonts w:hint="eastAsia" w:asciiTheme="minorEastAsia" w:hAnsiTheme="minorEastAsia" w:eastAsiaTheme="minorEastAsia" w:cstheme="minorEastAsia"/>
                <w:color w:val="auto"/>
                <w:kern w:val="0"/>
                <w:sz w:val="21"/>
                <w:szCs w:val="21"/>
                <w:highlight w:val="none"/>
              </w:rPr>
              <w:t>■</w:t>
            </w:r>
            <w:r>
              <w:rPr>
                <w:rFonts w:hint="eastAsia" w:asciiTheme="minorEastAsia" w:hAnsiTheme="minorEastAsia" w:eastAsiaTheme="minorEastAsia" w:cstheme="minorEastAsia"/>
                <w:color w:val="auto"/>
                <w:kern w:val="0"/>
                <w:sz w:val="21"/>
                <w:szCs w:val="21"/>
                <w:highlight w:val="none"/>
                <w:u w:val="none"/>
              </w:rPr>
              <w:t>采购人确认中标人</w:t>
            </w:r>
          </w:p>
        </w:tc>
      </w:tr>
      <w:tr w14:paraId="17EB9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0CD64740">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b/>
                <w:bCs/>
                <w:color w:val="auto"/>
                <w:kern w:val="0"/>
                <w:sz w:val="21"/>
                <w:szCs w:val="21"/>
                <w:highlight w:val="none"/>
              </w:rPr>
            </w:pPr>
            <w:r>
              <w:rPr>
                <w:rFonts w:hint="eastAsia" w:asciiTheme="minorEastAsia" w:hAnsiTheme="minorEastAsia" w:eastAsiaTheme="minorEastAsia" w:cstheme="minorEastAsia"/>
                <w:b/>
                <w:bCs/>
                <w:color w:val="auto"/>
                <w:kern w:val="0"/>
                <w:sz w:val="21"/>
                <w:szCs w:val="21"/>
                <w:highlight w:val="none"/>
              </w:rPr>
              <w:t>8.4.1</w:t>
            </w:r>
          </w:p>
        </w:tc>
        <w:tc>
          <w:tcPr>
            <w:tcW w:w="2006" w:type="dxa"/>
            <w:gridSpan w:val="2"/>
            <w:vAlign w:val="center"/>
          </w:tcPr>
          <w:p w14:paraId="336C0C0B">
            <w:pPr>
              <w:keepNext w:val="0"/>
              <w:keepLines w:val="0"/>
              <w:pageBreakBefore w:val="0"/>
              <w:kinsoku/>
              <w:wordWrap/>
              <w:overflowPunct/>
              <w:topLinePunct w:val="0"/>
              <w:autoSpaceDE w:val="0"/>
              <w:autoSpaceDN w:val="0"/>
              <w:bidi w:val="0"/>
              <w:adjustRightInd w:val="0"/>
              <w:snapToGrid w:val="0"/>
              <w:spacing w:line="400" w:lineRule="exact"/>
              <w:jc w:val="center"/>
              <w:textAlignment w:val="auto"/>
              <w:outlineLvl w:val="0"/>
              <w:rPr>
                <w:rFonts w:hint="eastAsia" w:asciiTheme="minorEastAsia" w:hAnsiTheme="minorEastAsia" w:eastAsiaTheme="minorEastAsia" w:cstheme="minorEastAsia"/>
                <w:color w:val="auto"/>
                <w:kern w:val="0"/>
                <w:sz w:val="21"/>
                <w:szCs w:val="21"/>
                <w:highlight w:val="none"/>
              </w:rPr>
            </w:pPr>
            <w:bookmarkStart w:id="95" w:name="_Toc23037"/>
            <w:r>
              <w:rPr>
                <w:rFonts w:hint="eastAsia" w:ascii="宋体" w:hAnsi="宋体" w:eastAsia="宋体" w:cs="宋体"/>
                <w:color w:val="auto"/>
                <w:kern w:val="0"/>
                <w:sz w:val="21"/>
                <w:szCs w:val="21"/>
                <w:highlight w:val="none"/>
              </w:rPr>
              <w:t>履约保证金</w:t>
            </w:r>
            <w:bookmarkEnd w:id="95"/>
          </w:p>
        </w:tc>
        <w:tc>
          <w:tcPr>
            <w:tcW w:w="6184" w:type="dxa"/>
            <w:vAlign w:val="center"/>
          </w:tcPr>
          <w:p w14:paraId="4F0824BD">
            <w:pPr>
              <w:keepNext w:val="0"/>
              <w:keepLines w:val="0"/>
              <w:pageBreakBefore w:val="0"/>
              <w:kinsoku/>
              <w:wordWrap/>
              <w:overflowPunct/>
              <w:topLinePunct w:val="0"/>
              <w:autoSpaceDE w:val="0"/>
              <w:autoSpaceDN w:val="0"/>
              <w:bidi w:val="0"/>
              <w:adjustRightInd w:val="0"/>
              <w:snapToGrid w:val="0"/>
              <w:spacing w:line="400" w:lineRule="exact"/>
              <w:jc w:val="left"/>
              <w:textAlignment w:val="auto"/>
              <w:outlineLvl w:val="0"/>
              <w:rPr>
                <w:rFonts w:hint="eastAsia" w:asciiTheme="minorEastAsia" w:hAnsiTheme="minorEastAsia" w:eastAsiaTheme="minorEastAsia" w:cstheme="minorEastAsia"/>
                <w:color w:val="auto"/>
                <w:kern w:val="0"/>
                <w:sz w:val="21"/>
                <w:szCs w:val="21"/>
                <w:highlight w:val="none"/>
                <w:lang w:val="en-US" w:eastAsia="zh-CN"/>
              </w:rPr>
            </w:pPr>
            <w:bookmarkStart w:id="96" w:name="_Toc9673"/>
            <w:r>
              <w:rPr>
                <w:rFonts w:hint="eastAsia" w:asciiTheme="minorEastAsia" w:hAnsiTheme="minorEastAsia" w:eastAsiaTheme="minorEastAsia" w:cstheme="minorEastAsia"/>
                <w:color w:val="auto"/>
                <w:kern w:val="0"/>
                <w:sz w:val="21"/>
                <w:szCs w:val="21"/>
                <w:highlight w:val="none"/>
                <w:lang w:val="en-US" w:eastAsia="zh-CN"/>
              </w:rPr>
              <w:t>是否要求中标人提交履约保证金：</w:t>
            </w:r>
            <w:bookmarkEnd w:id="96"/>
          </w:p>
          <w:p w14:paraId="695E1D4F">
            <w:pPr>
              <w:keepNext w:val="0"/>
              <w:keepLines w:val="0"/>
              <w:pageBreakBefore w:val="0"/>
              <w:kinsoku/>
              <w:wordWrap/>
              <w:overflowPunct/>
              <w:topLinePunct w:val="0"/>
              <w:autoSpaceDE w:val="0"/>
              <w:autoSpaceDN w:val="0"/>
              <w:bidi w:val="0"/>
              <w:adjustRightInd w:val="0"/>
              <w:snapToGrid w:val="0"/>
              <w:spacing w:line="400" w:lineRule="exact"/>
              <w:jc w:val="left"/>
              <w:textAlignment w:val="auto"/>
              <w:outlineLvl w:val="0"/>
              <w:rPr>
                <w:rFonts w:hint="eastAsia" w:asciiTheme="minorEastAsia" w:hAnsiTheme="minorEastAsia" w:eastAsiaTheme="minorEastAsia" w:cstheme="minorEastAsia"/>
                <w:color w:val="auto"/>
                <w:kern w:val="0"/>
                <w:sz w:val="21"/>
                <w:szCs w:val="21"/>
                <w:highlight w:val="none"/>
              </w:rPr>
            </w:pPr>
            <w:bookmarkStart w:id="97" w:name="_Toc14678"/>
            <w:r>
              <w:rPr>
                <w:rFonts w:hint="eastAsia" w:asciiTheme="minorEastAsia" w:hAnsiTheme="minorEastAsia" w:eastAsiaTheme="minorEastAsia" w:cstheme="minorEastAsia"/>
                <w:color w:val="auto"/>
                <w:kern w:val="0"/>
                <w:sz w:val="21"/>
                <w:szCs w:val="21"/>
                <w:highlight w:val="none"/>
              </w:rPr>
              <w:t>■</w:t>
            </w:r>
            <w:r>
              <w:rPr>
                <w:rFonts w:hint="eastAsia" w:asciiTheme="minorEastAsia" w:hAnsiTheme="minorEastAsia" w:eastAsiaTheme="minorEastAsia" w:cstheme="minorEastAsia"/>
                <w:color w:val="auto"/>
                <w:kern w:val="0"/>
                <w:sz w:val="21"/>
                <w:szCs w:val="21"/>
                <w:highlight w:val="none"/>
                <w:lang w:val="en-US" w:eastAsia="zh-CN"/>
              </w:rPr>
              <w:t>不要求</w:t>
            </w:r>
            <w:bookmarkEnd w:id="97"/>
          </w:p>
          <w:p w14:paraId="5D1476EE">
            <w:pPr>
              <w:keepNext w:val="0"/>
              <w:keepLines w:val="0"/>
              <w:pageBreakBefore w:val="0"/>
              <w:kinsoku/>
              <w:wordWrap/>
              <w:overflowPunct/>
              <w:topLinePunct w:val="0"/>
              <w:autoSpaceDE w:val="0"/>
              <w:autoSpaceDN w:val="0"/>
              <w:bidi w:val="0"/>
              <w:adjustRightInd w:val="0"/>
              <w:snapToGrid w:val="0"/>
              <w:spacing w:line="400" w:lineRule="exact"/>
              <w:jc w:val="left"/>
              <w:textAlignment w:val="auto"/>
              <w:outlineLvl w:val="0"/>
              <w:rPr>
                <w:rFonts w:hint="eastAsia" w:asciiTheme="minorEastAsia" w:hAnsiTheme="minorEastAsia" w:eastAsiaTheme="minorEastAsia" w:cstheme="minorEastAsia"/>
                <w:color w:val="auto"/>
                <w:kern w:val="0"/>
                <w:sz w:val="21"/>
                <w:szCs w:val="21"/>
                <w:highlight w:val="none"/>
                <w:lang w:val="en-US" w:eastAsia="zh-CN"/>
              </w:rPr>
            </w:pPr>
            <w:bookmarkStart w:id="98" w:name="_Toc10317"/>
            <w:r>
              <w:rPr>
                <w:rFonts w:hint="eastAsia" w:asciiTheme="minorEastAsia" w:hAnsiTheme="minorEastAsia" w:eastAsiaTheme="minorEastAsia" w:cstheme="minorEastAsia"/>
                <w:color w:val="auto"/>
                <w:kern w:val="0"/>
                <w:sz w:val="21"/>
                <w:szCs w:val="21"/>
                <w:highlight w:val="none"/>
              </w:rPr>
              <w:t>□</w:t>
            </w:r>
            <w:r>
              <w:rPr>
                <w:rFonts w:hint="eastAsia" w:asciiTheme="minorEastAsia" w:hAnsiTheme="minorEastAsia" w:eastAsiaTheme="minorEastAsia" w:cstheme="minorEastAsia"/>
                <w:color w:val="auto"/>
                <w:kern w:val="0"/>
                <w:sz w:val="21"/>
                <w:szCs w:val="21"/>
                <w:highlight w:val="none"/>
                <w:lang w:val="en-US" w:eastAsia="zh-CN"/>
              </w:rPr>
              <w:t>要求</w:t>
            </w:r>
            <w:bookmarkEnd w:id="98"/>
          </w:p>
          <w:p w14:paraId="2E2CA045">
            <w:pPr>
              <w:keepNext w:val="0"/>
              <w:keepLines w:val="0"/>
              <w:pageBreakBefore w:val="0"/>
              <w:kinsoku/>
              <w:wordWrap/>
              <w:overflowPunct/>
              <w:topLinePunct w:val="0"/>
              <w:autoSpaceDE w:val="0"/>
              <w:autoSpaceDN w:val="0"/>
              <w:bidi w:val="0"/>
              <w:adjustRightInd w:val="0"/>
              <w:snapToGrid w:val="0"/>
              <w:spacing w:line="400" w:lineRule="exact"/>
              <w:jc w:val="left"/>
              <w:textAlignment w:val="auto"/>
              <w:outlineLvl w:val="0"/>
              <w:rPr>
                <w:rFonts w:hint="default" w:asciiTheme="minorEastAsia" w:hAnsiTheme="minorEastAsia" w:eastAsiaTheme="minorEastAsia" w:cstheme="minorEastAsia"/>
                <w:color w:val="auto"/>
                <w:kern w:val="0"/>
                <w:sz w:val="21"/>
                <w:szCs w:val="21"/>
                <w:highlight w:val="none"/>
                <w:lang w:val="en-US" w:eastAsia="zh-CN"/>
              </w:rPr>
            </w:pPr>
            <w:bookmarkStart w:id="99" w:name="_Toc29506"/>
            <w:r>
              <w:rPr>
                <w:rFonts w:hint="eastAsia" w:asciiTheme="minorEastAsia" w:hAnsiTheme="minorEastAsia" w:eastAsiaTheme="minorEastAsia" w:cstheme="minorEastAsia"/>
                <w:color w:val="auto"/>
                <w:kern w:val="0"/>
                <w:sz w:val="21"/>
                <w:szCs w:val="21"/>
                <w:highlight w:val="none"/>
                <w:lang w:val="en-US" w:eastAsia="zh-CN"/>
              </w:rPr>
              <w:t>1.履约保证金的形式：</w:t>
            </w:r>
            <w:bookmarkEnd w:id="99"/>
            <w:r>
              <w:rPr>
                <w:rFonts w:hint="eastAsia" w:asciiTheme="minorEastAsia" w:hAnsiTheme="minorEastAsia" w:eastAsiaTheme="minorEastAsia" w:cstheme="minorEastAsia"/>
                <w:color w:val="auto"/>
                <w:kern w:val="0"/>
                <w:sz w:val="21"/>
                <w:szCs w:val="21"/>
                <w:highlight w:val="none"/>
                <w:u w:val="single"/>
                <w:lang w:val="en-US" w:eastAsia="zh-CN"/>
              </w:rPr>
              <w:t xml:space="preserve">      </w:t>
            </w:r>
            <w:r>
              <w:rPr>
                <w:rFonts w:hint="eastAsia" w:asciiTheme="minorEastAsia" w:hAnsiTheme="minorEastAsia" w:eastAsiaTheme="minorEastAsia" w:cstheme="minorEastAsia"/>
                <w:color w:val="auto"/>
                <w:kern w:val="0"/>
                <w:sz w:val="21"/>
                <w:szCs w:val="21"/>
                <w:highlight w:val="none"/>
                <w:lang w:val="en-US" w:eastAsia="zh-CN"/>
              </w:rPr>
              <w:t>。</w:t>
            </w:r>
          </w:p>
          <w:p w14:paraId="60B412EF">
            <w:pPr>
              <w:keepNext w:val="0"/>
              <w:keepLines w:val="0"/>
              <w:pageBreakBefore w:val="0"/>
              <w:kinsoku/>
              <w:wordWrap/>
              <w:overflowPunct/>
              <w:topLinePunct w:val="0"/>
              <w:autoSpaceDE w:val="0"/>
              <w:autoSpaceDN w:val="0"/>
              <w:bidi w:val="0"/>
              <w:adjustRightInd w:val="0"/>
              <w:snapToGrid w:val="0"/>
              <w:spacing w:line="400" w:lineRule="exact"/>
              <w:jc w:val="left"/>
              <w:textAlignment w:val="auto"/>
              <w:outlineLvl w:val="0"/>
              <w:rPr>
                <w:rFonts w:hint="eastAsia" w:asciiTheme="minorEastAsia" w:hAnsiTheme="minorEastAsia" w:eastAsiaTheme="minorEastAsia" w:cstheme="minorEastAsia"/>
                <w:color w:val="auto"/>
                <w:kern w:val="0"/>
                <w:sz w:val="21"/>
                <w:szCs w:val="21"/>
                <w:highlight w:val="none"/>
                <w:lang w:val="en-US" w:eastAsia="zh-CN"/>
              </w:rPr>
            </w:pPr>
            <w:bookmarkStart w:id="100" w:name="_Toc19659"/>
            <w:r>
              <w:rPr>
                <w:rFonts w:hint="eastAsia" w:asciiTheme="minorEastAsia" w:hAnsiTheme="minorEastAsia" w:eastAsiaTheme="minorEastAsia" w:cstheme="minorEastAsia"/>
                <w:color w:val="auto"/>
                <w:kern w:val="0"/>
                <w:sz w:val="21"/>
                <w:szCs w:val="21"/>
                <w:highlight w:val="none"/>
                <w:lang w:val="en-US" w:eastAsia="zh-CN"/>
              </w:rPr>
              <w:t>2.履约保证金的金额为：</w:t>
            </w:r>
            <w:bookmarkEnd w:id="100"/>
            <w:r>
              <w:rPr>
                <w:rFonts w:hint="eastAsia" w:asciiTheme="minorEastAsia" w:hAnsiTheme="minorEastAsia" w:eastAsiaTheme="minorEastAsia" w:cstheme="minorEastAsia"/>
                <w:color w:val="auto"/>
                <w:kern w:val="0"/>
                <w:sz w:val="21"/>
                <w:szCs w:val="21"/>
                <w:highlight w:val="none"/>
                <w:u w:val="single"/>
                <w:lang w:val="en-US" w:eastAsia="zh-CN"/>
              </w:rPr>
              <w:t xml:space="preserve">      </w:t>
            </w:r>
            <w:r>
              <w:rPr>
                <w:rFonts w:hint="eastAsia" w:asciiTheme="minorEastAsia" w:hAnsiTheme="minorEastAsia" w:eastAsiaTheme="minorEastAsia" w:cstheme="minorEastAsia"/>
                <w:color w:val="auto"/>
                <w:kern w:val="0"/>
                <w:sz w:val="21"/>
                <w:szCs w:val="21"/>
                <w:highlight w:val="none"/>
                <w:lang w:val="en-US" w:eastAsia="zh-CN"/>
              </w:rPr>
              <w:t>。</w:t>
            </w:r>
          </w:p>
          <w:p w14:paraId="164B7DFD">
            <w:pPr>
              <w:keepNext w:val="0"/>
              <w:keepLines w:val="0"/>
              <w:pageBreakBefore w:val="0"/>
              <w:kinsoku/>
              <w:wordWrap/>
              <w:overflowPunct/>
              <w:topLinePunct w:val="0"/>
              <w:autoSpaceDE w:val="0"/>
              <w:autoSpaceDN w:val="0"/>
              <w:bidi w:val="0"/>
              <w:adjustRightInd w:val="0"/>
              <w:snapToGrid w:val="0"/>
              <w:spacing w:line="400" w:lineRule="exact"/>
              <w:jc w:val="left"/>
              <w:textAlignment w:val="auto"/>
              <w:outlineLvl w:val="0"/>
              <w:rPr>
                <w:rFonts w:hint="eastAsia" w:asciiTheme="minorEastAsia" w:hAnsiTheme="minorEastAsia" w:eastAsiaTheme="minorEastAsia" w:cstheme="minorEastAsia"/>
                <w:color w:val="auto"/>
                <w:kern w:val="0"/>
                <w:sz w:val="21"/>
                <w:szCs w:val="21"/>
                <w:highlight w:val="none"/>
                <w:lang w:val="en-US" w:eastAsia="zh-CN"/>
              </w:rPr>
            </w:pPr>
            <w:bookmarkStart w:id="101" w:name="_Toc19236"/>
            <w:r>
              <w:rPr>
                <w:rFonts w:hint="eastAsia" w:asciiTheme="minorEastAsia" w:hAnsiTheme="minorEastAsia" w:eastAsiaTheme="minorEastAsia" w:cstheme="minorEastAsia"/>
                <w:color w:val="auto"/>
                <w:kern w:val="0"/>
                <w:sz w:val="21"/>
                <w:szCs w:val="21"/>
                <w:highlight w:val="none"/>
                <w:lang w:val="en-US" w:eastAsia="zh-CN"/>
              </w:rPr>
              <w:t>3.履约保证金的交纳时间：</w:t>
            </w:r>
            <w:bookmarkEnd w:id="101"/>
            <w:r>
              <w:rPr>
                <w:rFonts w:hint="eastAsia" w:asciiTheme="minorEastAsia" w:hAnsiTheme="minorEastAsia" w:eastAsiaTheme="minorEastAsia" w:cstheme="minorEastAsia"/>
                <w:color w:val="auto"/>
                <w:kern w:val="0"/>
                <w:sz w:val="21"/>
                <w:szCs w:val="21"/>
                <w:highlight w:val="none"/>
                <w:u w:val="single"/>
                <w:lang w:val="en-US" w:eastAsia="zh-CN"/>
              </w:rPr>
              <w:t xml:space="preserve">      </w:t>
            </w:r>
            <w:r>
              <w:rPr>
                <w:rFonts w:hint="eastAsia" w:asciiTheme="minorEastAsia" w:hAnsiTheme="minorEastAsia" w:eastAsiaTheme="minorEastAsia" w:cstheme="minorEastAsia"/>
                <w:color w:val="auto"/>
                <w:kern w:val="0"/>
                <w:sz w:val="21"/>
                <w:szCs w:val="21"/>
                <w:highlight w:val="none"/>
                <w:lang w:val="en-US" w:eastAsia="zh-CN"/>
              </w:rPr>
              <w:t>。</w:t>
            </w:r>
          </w:p>
          <w:p w14:paraId="0B6BDC98">
            <w:pPr>
              <w:keepNext w:val="0"/>
              <w:keepLines w:val="0"/>
              <w:pageBreakBefore w:val="0"/>
              <w:kinsoku/>
              <w:wordWrap/>
              <w:overflowPunct/>
              <w:topLinePunct w:val="0"/>
              <w:autoSpaceDE w:val="0"/>
              <w:autoSpaceDN w:val="0"/>
              <w:bidi w:val="0"/>
              <w:adjustRightInd w:val="0"/>
              <w:snapToGrid w:val="0"/>
              <w:spacing w:line="400" w:lineRule="exact"/>
              <w:jc w:val="left"/>
              <w:textAlignment w:val="auto"/>
              <w:outlineLvl w:val="0"/>
              <w:rPr>
                <w:rFonts w:hint="eastAsia" w:asciiTheme="minorEastAsia" w:hAnsiTheme="minorEastAsia" w:eastAsiaTheme="minorEastAsia" w:cstheme="minorEastAsia"/>
                <w:color w:val="auto"/>
                <w:kern w:val="0"/>
                <w:sz w:val="21"/>
                <w:szCs w:val="21"/>
                <w:highlight w:val="none"/>
                <w:lang w:val="en-US" w:eastAsia="zh-CN"/>
              </w:rPr>
            </w:pPr>
            <w:bookmarkStart w:id="102" w:name="_Toc16553"/>
            <w:r>
              <w:rPr>
                <w:rFonts w:hint="eastAsia" w:asciiTheme="minorEastAsia" w:hAnsiTheme="minorEastAsia" w:eastAsiaTheme="minorEastAsia" w:cstheme="minorEastAsia"/>
                <w:color w:val="auto"/>
                <w:kern w:val="0"/>
                <w:sz w:val="21"/>
                <w:szCs w:val="21"/>
                <w:highlight w:val="none"/>
                <w:lang w:val="en-US" w:eastAsia="zh-CN"/>
              </w:rPr>
              <w:t>4.履约保证金的退还：</w:t>
            </w:r>
            <w:bookmarkEnd w:id="102"/>
            <w:r>
              <w:rPr>
                <w:rFonts w:hint="eastAsia" w:asciiTheme="minorEastAsia" w:hAnsiTheme="minorEastAsia" w:eastAsiaTheme="minorEastAsia" w:cstheme="minorEastAsia"/>
                <w:color w:val="auto"/>
                <w:kern w:val="0"/>
                <w:sz w:val="21"/>
                <w:szCs w:val="21"/>
                <w:highlight w:val="none"/>
                <w:u w:val="single"/>
                <w:lang w:val="en-US" w:eastAsia="zh-CN"/>
              </w:rPr>
              <w:t xml:space="preserve">      </w:t>
            </w:r>
            <w:r>
              <w:rPr>
                <w:rFonts w:hint="eastAsia" w:asciiTheme="minorEastAsia" w:hAnsiTheme="minorEastAsia" w:eastAsiaTheme="minorEastAsia" w:cstheme="minorEastAsia"/>
                <w:color w:val="auto"/>
                <w:kern w:val="0"/>
                <w:sz w:val="21"/>
                <w:szCs w:val="21"/>
                <w:highlight w:val="none"/>
                <w:lang w:val="en-US" w:eastAsia="zh-CN"/>
              </w:rPr>
              <w:t>。</w:t>
            </w:r>
          </w:p>
          <w:p w14:paraId="69D16420">
            <w:pPr>
              <w:keepNext w:val="0"/>
              <w:keepLines w:val="0"/>
              <w:pageBreakBefore w:val="0"/>
              <w:kinsoku/>
              <w:wordWrap/>
              <w:overflowPunct/>
              <w:topLinePunct w:val="0"/>
              <w:autoSpaceDE w:val="0"/>
              <w:autoSpaceDN w:val="0"/>
              <w:bidi w:val="0"/>
              <w:adjustRightInd w:val="0"/>
              <w:snapToGrid w:val="0"/>
              <w:spacing w:line="400" w:lineRule="exact"/>
              <w:jc w:val="left"/>
              <w:textAlignment w:val="auto"/>
              <w:outlineLvl w:val="0"/>
              <w:rPr>
                <w:rFonts w:hint="eastAsia" w:asciiTheme="minorEastAsia" w:hAnsiTheme="minorEastAsia" w:eastAsiaTheme="minorEastAsia" w:cstheme="minorEastAsia"/>
                <w:color w:val="auto"/>
                <w:kern w:val="0"/>
                <w:sz w:val="21"/>
                <w:szCs w:val="21"/>
                <w:highlight w:val="none"/>
                <w:lang w:val="en-US" w:eastAsia="zh-CN"/>
              </w:rPr>
            </w:pPr>
            <w:bookmarkStart w:id="103" w:name="_Toc6684"/>
            <w:r>
              <w:rPr>
                <w:rFonts w:hint="eastAsia" w:asciiTheme="minorEastAsia" w:hAnsiTheme="minorEastAsia" w:eastAsiaTheme="minorEastAsia" w:cstheme="minorEastAsia"/>
                <w:color w:val="auto"/>
                <w:kern w:val="0"/>
                <w:sz w:val="21"/>
                <w:szCs w:val="21"/>
                <w:highlight w:val="none"/>
                <w:lang w:val="en-US" w:eastAsia="zh-CN"/>
              </w:rPr>
              <w:t>5.履约保证金不予退还的情形：</w:t>
            </w:r>
            <w:bookmarkEnd w:id="103"/>
            <w:r>
              <w:rPr>
                <w:rFonts w:hint="eastAsia" w:asciiTheme="minorEastAsia" w:hAnsiTheme="minorEastAsia" w:eastAsiaTheme="minorEastAsia" w:cstheme="minorEastAsia"/>
                <w:color w:val="auto"/>
                <w:kern w:val="0"/>
                <w:sz w:val="21"/>
                <w:szCs w:val="21"/>
                <w:highlight w:val="none"/>
                <w:u w:val="single"/>
                <w:lang w:val="en-US" w:eastAsia="zh-CN"/>
              </w:rPr>
              <w:t xml:space="preserve">      </w:t>
            </w:r>
            <w:r>
              <w:rPr>
                <w:rFonts w:hint="eastAsia" w:asciiTheme="minorEastAsia" w:hAnsiTheme="minorEastAsia" w:eastAsiaTheme="minorEastAsia" w:cstheme="minorEastAsia"/>
                <w:color w:val="auto"/>
                <w:kern w:val="0"/>
                <w:sz w:val="21"/>
                <w:szCs w:val="21"/>
                <w:highlight w:val="none"/>
                <w:lang w:val="en-US" w:eastAsia="zh-CN"/>
              </w:rPr>
              <w:t>。</w:t>
            </w:r>
          </w:p>
        </w:tc>
      </w:tr>
      <w:tr w14:paraId="34A5E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28AACE86">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b/>
                <w:bCs/>
                <w:color w:val="auto"/>
                <w:kern w:val="0"/>
                <w:sz w:val="21"/>
                <w:szCs w:val="21"/>
                <w:highlight w:val="none"/>
              </w:rPr>
              <w:t>10</w:t>
            </w:r>
          </w:p>
        </w:tc>
        <w:tc>
          <w:tcPr>
            <w:tcW w:w="8190" w:type="dxa"/>
            <w:gridSpan w:val="3"/>
            <w:vAlign w:val="center"/>
          </w:tcPr>
          <w:p w14:paraId="5BA65403">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需要补充的其他内容</w:t>
            </w:r>
          </w:p>
        </w:tc>
      </w:tr>
      <w:tr w14:paraId="03A58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09C6D47F">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rPr>
              <w:t>10.1</w:t>
            </w:r>
          </w:p>
        </w:tc>
        <w:tc>
          <w:tcPr>
            <w:tcW w:w="1946" w:type="dxa"/>
            <w:vAlign w:val="center"/>
          </w:tcPr>
          <w:p w14:paraId="010D12AD">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构成投标文件技术部分的其他资料</w:t>
            </w:r>
          </w:p>
        </w:tc>
        <w:tc>
          <w:tcPr>
            <w:tcW w:w="6244" w:type="dxa"/>
            <w:gridSpan w:val="2"/>
            <w:vAlign w:val="center"/>
          </w:tcPr>
          <w:p w14:paraId="0F56BF76">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招标文件中所涉及到的相关资料及证明文件或投标人认为必须提供的其他相关资料</w:t>
            </w:r>
            <w:r>
              <w:rPr>
                <w:rFonts w:hint="eastAsia" w:asciiTheme="minorEastAsia" w:hAnsiTheme="minorEastAsia" w:eastAsiaTheme="minorEastAsia" w:cstheme="minorEastAsia"/>
                <w:color w:val="auto"/>
                <w:kern w:val="0"/>
                <w:sz w:val="21"/>
                <w:szCs w:val="21"/>
                <w:highlight w:val="none"/>
                <w:lang w:eastAsia="zh-CN"/>
              </w:rPr>
              <w:t>。</w:t>
            </w:r>
          </w:p>
        </w:tc>
      </w:tr>
      <w:tr w14:paraId="3F78F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665E030C">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rPr>
              <w:t>10.2</w:t>
            </w:r>
          </w:p>
        </w:tc>
        <w:tc>
          <w:tcPr>
            <w:tcW w:w="1946" w:type="dxa"/>
            <w:vAlign w:val="center"/>
          </w:tcPr>
          <w:p w14:paraId="0C299D10">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★关于失信行为及不良履约行为的要求</w:t>
            </w:r>
          </w:p>
        </w:tc>
        <w:tc>
          <w:tcPr>
            <w:tcW w:w="6244" w:type="dxa"/>
            <w:gridSpan w:val="2"/>
            <w:vAlign w:val="center"/>
          </w:tcPr>
          <w:p w14:paraId="3E9DD91A">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若投标人在政府采购活动中存在失信或不良履约行为被行政主管部门通报的，其投标不予接受，已经中标的，取消其中标资格，已签订合同的，采购人有权终止合同，造成的一切损失由投标人承担。</w:t>
            </w:r>
          </w:p>
        </w:tc>
      </w:tr>
      <w:tr w14:paraId="79079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67961814">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10.3</w:t>
            </w:r>
          </w:p>
        </w:tc>
        <w:tc>
          <w:tcPr>
            <w:tcW w:w="1946" w:type="dxa"/>
            <w:vAlign w:val="center"/>
          </w:tcPr>
          <w:p w14:paraId="4C272A37">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rPr>
              <w:t>知识产权</w:t>
            </w:r>
          </w:p>
        </w:tc>
        <w:tc>
          <w:tcPr>
            <w:tcW w:w="6244" w:type="dxa"/>
            <w:gridSpan w:val="2"/>
            <w:vAlign w:val="center"/>
          </w:tcPr>
          <w:p w14:paraId="21D4851A">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rPr>
              <w:t>构成本招标文件各个组成部分的文件，未经</w:t>
            </w:r>
            <w:r>
              <w:rPr>
                <w:rFonts w:hint="eastAsia" w:asciiTheme="minorEastAsia" w:hAnsiTheme="minorEastAsia" w:eastAsiaTheme="minorEastAsia" w:cstheme="minorEastAsia"/>
                <w:color w:val="auto"/>
                <w:kern w:val="0"/>
                <w:sz w:val="21"/>
                <w:szCs w:val="21"/>
                <w:highlight w:val="none"/>
                <w:lang w:eastAsia="zh-CN"/>
              </w:rPr>
              <w:t>采购人</w:t>
            </w:r>
            <w:r>
              <w:rPr>
                <w:rFonts w:hint="eastAsia" w:asciiTheme="minorEastAsia" w:hAnsiTheme="minorEastAsia" w:eastAsiaTheme="minorEastAsia" w:cstheme="minorEastAsia"/>
                <w:color w:val="auto"/>
                <w:kern w:val="0"/>
                <w:sz w:val="21"/>
                <w:szCs w:val="21"/>
                <w:highlight w:val="none"/>
              </w:rPr>
              <w:t>书面同意，投标人不得擅自复印和用于非本招标项目所需的其他目的。</w:t>
            </w:r>
            <w:r>
              <w:rPr>
                <w:rFonts w:hint="eastAsia" w:asciiTheme="minorEastAsia" w:hAnsiTheme="minorEastAsia" w:eastAsiaTheme="minorEastAsia" w:cstheme="minorEastAsia"/>
                <w:color w:val="auto"/>
                <w:kern w:val="0"/>
                <w:sz w:val="21"/>
                <w:szCs w:val="21"/>
                <w:highlight w:val="none"/>
                <w:lang w:eastAsia="zh-CN"/>
              </w:rPr>
              <w:t>采购人</w:t>
            </w:r>
            <w:r>
              <w:rPr>
                <w:rFonts w:hint="eastAsia" w:asciiTheme="minorEastAsia" w:hAnsiTheme="minorEastAsia" w:eastAsiaTheme="minorEastAsia" w:cstheme="minorEastAsia"/>
                <w:color w:val="auto"/>
                <w:kern w:val="0"/>
                <w:sz w:val="21"/>
                <w:szCs w:val="21"/>
                <w:highlight w:val="none"/>
              </w:rPr>
              <w:t>全部或者部分使用未中标人投标文件中的技术成果或技术方案时，需征得其书面同意，并不得擅自复印或提供给第三人。</w:t>
            </w:r>
          </w:p>
        </w:tc>
      </w:tr>
      <w:tr w14:paraId="35BC3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72712776">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10.4</w:t>
            </w:r>
          </w:p>
        </w:tc>
        <w:tc>
          <w:tcPr>
            <w:tcW w:w="1946" w:type="dxa"/>
            <w:vAlign w:val="center"/>
          </w:tcPr>
          <w:p w14:paraId="753F3B3D">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其他（1）</w:t>
            </w:r>
          </w:p>
        </w:tc>
        <w:tc>
          <w:tcPr>
            <w:tcW w:w="6244" w:type="dxa"/>
            <w:gridSpan w:val="2"/>
            <w:vAlign w:val="center"/>
          </w:tcPr>
          <w:p w14:paraId="4FC03ACE">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投标人提供的产品及服务不存在任何不合法的情形，也不存在任何与第三方专利权、著作权、商标权或工业设计权相关的任何争议。如有任何因</w:t>
            </w:r>
            <w:r>
              <w:rPr>
                <w:rFonts w:hint="eastAsia" w:asciiTheme="minorEastAsia" w:hAnsiTheme="minorEastAsia" w:eastAsiaTheme="minorEastAsia" w:cstheme="minorEastAsia"/>
                <w:color w:val="auto"/>
                <w:kern w:val="0"/>
                <w:sz w:val="21"/>
                <w:szCs w:val="21"/>
                <w:highlight w:val="none"/>
                <w:lang w:eastAsia="zh-CN"/>
              </w:rPr>
              <w:t>采购人</w:t>
            </w:r>
            <w:r>
              <w:rPr>
                <w:rFonts w:hint="eastAsia" w:asciiTheme="minorEastAsia" w:hAnsiTheme="minorEastAsia" w:eastAsiaTheme="minorEastAsia" w:cstheme="minorEastAsia"/>
                <w:color w:val="auto"/>
                <w:kern w:val="0"/>
                <w:sz w:val="21"/>
                <w:szCs w:val="21"/>
                <w:highlight w:val="none"/>
              </w:rPr>
              <w:t>使用投标人提供的产品及服务而引起的侵权指控，投标人应承担全部责任。</w:t>
            </w:r>
          </w:p>
        </w:tc>
      </w:tr>
      <w:tr w14:paraId="69D36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vAlign w:val="center"/>
          </w:tcPr>
          <w:p w14:paraId="6387690F">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10.5</w:t>
            </w:r>
          </w:p>
        </w:tc>
        <w:tc>
          <w:tcPr>
            <w:tcW w:w="1946" w:type="dxa"/>
            <w:vAlign w:val="center"/>
          </w:tcPr>
          <w:p w14:paraId="492F0E5D">
            <w:pPr>
              <w:keepNext w:val="0"/>
              <w:keepLines w:val="0"/>
              <w:pageBreakBefore w:val="0"/>
              <w:kinsoku/>
              <w:wordWrap/>
              <w:overflowPunct/>
              <w:topLinePunct w:val="0"/>
              <w:autoSpaceDE w:val="0"/>
              <w:autoSpaceDN w:val="0"/>
              <w:bidi w:val="0"/>
              <w:adjustRightInd w:val="0"/>
              <w:snapToGrid w:val="0"/>
              <w:spacing w:line="400" w:lineRule="exact"/>
              <w:jc w:val="center"/>
              <w:textAlignment w:val="auto"/>
              <w:rPr>
                <w:rFonts w:hint="eastAsia" w:eastAsia="宋体" w:asciiTheme="minorEastAsia" w:hAnsiTheme="minorEastAsia" w:cstheme="minorEastAsia"/>
                <w:color w:val="auto"/>
                <w:kern w:val="0"/>
                <w:sz w:val="21"/>
                <w:szCs w:val="21"/>
                <w:highlight w:val="none"/>
                <w:lang w:val="en-US" w:eastAsia="zh-CN"/>
              </w:rPr>
            </w:pPr>
            <w:r>
              <w:rPr>
                <w:rFonts w:hint="eastAsia" w:ascii="宋体" w:hAnsi="宋体" w:cs="仿宋_GB2312"/>
                <w:color w:val="auto"/>
                <w:kern w:val="0"/>
                <w:sz w:val="21"/>
                <w:szCs w:val="21"/>
                <w:highlight w:val="none"/>
              </w:rPr>
              <w:t>其他</w:t>
            </w:r>
            <w:r>
              <w:rPr>
                <w:rFonts w:hint="eastAsia" w:ascii="宋体" w:hAnsi="宋体" w:cs="仿宋_GB2312"/>
                <w:color w:val="auto"/>
                <w:kern w:val="0"/>
                <w:sz w:val="21"/>
                <w:szCs w:val="21"/>
                <w:highlight w:val="none"/>
                <w:lang w:eastAsia="zh-CN"/>
              </w:rPr>
              <w:t>（</w:t>
            </w:r>
            <w:r>
              <w:rPr>
                <w:rFonts w:hint="eastAsia" w:ascii="宋体" w:hAnsi="宋体" w:cs="仿宋_GB2312"/>
                <w:color w:val="auto"/>
                <w:kern w:val="0"/>
                <w:sz w:val="21"/>
                <w:szCs w:val="21"/>
                <w:highlight w:val="none"/>
                <w:lang w:val="en-US" w:eastAsia="zh-CN"/>
              </w:rPr>
              <w:t>2</w:t>
            </w:r>
            <w:r>
              <w:rPr>
                <w:rFonts w:hint="eastAsia" w:ascii="宋体" w:hAnsi="宋体" w:cs="仿宋_GB2312"/>
                <w:color w:val="auto"/>
                <w:kern w:val="0"/>
                <w:sz w:val="21"/>
                <w:szCs w:val="21"/>
                <w:highlight w:val="none"/>
                <w:lang w:eastAsia="zh-CN"/>
              </w:rPr>
              <w:t>）</w:t>
            </w:r>
          </w:p>
        </w:tc>
        <w:tc>
          <w:tcPr>
            <w:tcW w:w="6244" w:type="dxa"/>
            <w:gridSpan w:val="2"/>
            <w:vAlign w:val="top"/>
          </w:tcPr>
          <w:p w14:paraId="59251FCB">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eastAsia="zh-CN"/>
              </w:rPr>
              <w:t>招标文件</w:t>
            </w:r>
            <w:r>
              <w:rPr>
                <w:rFonts w:hint="eastAsia" w:asciiTheme="minorEastAsia" w:hAnsiTheme="minorEastAsia" w:eastAsiaTheme="minorEastAsia" w:cstheme="minorEastAsia"/>
                <w:color w:val="auto"/>
                <w:kern w:val="0"/>
                <w:sz w:val="21"/>
                <w:szCs w:val="21"/>
                <w:highlight w:val="none"/>
              </w:rPr>
              <w:t>《采购需求》中出现的产品或设备参考品牌、型号或分类号等，仅为描述有关产品或设备的性能档次。供应商在投标中可以选用替代标准、品牌、型号或分类号，但这些替代应实质上相当于或优于《采购需求》中的相关要求，并且能够提供相关技术证明文件。</w:t>
            </w:r>
          </w:p>
        </w:tc>
      </w:tr>
      <w:tr w14:paraId="680D6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shd w:val="clear" w:color="auto" w:fill="auto"/>
            <w:vAlign w:val="center"/>
          </w:tcPr>
          <w:p w14:paraId="61705563">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10.6</w:t>
            </w:r>
          </w:p>
        </w:tc>
        <w:tc>
          <w:tcPr>
            <w:tcW w:w="1946" w:type="dxa"/>
            <w:shd w:val="clear" w:color="auto" w:fill="auto"/>
            <w:vAlign w:val="center"/>
          </w:tcPr>
          <w:p w14:paraId="42AAA4B7">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注意事项（1）</w:t>
            </w:r>
          </w:p>
        </w:tc>
        <w:tc>
          <w:tcPr>
            <w:tcW w:w="6244" w:type="dxa"/>
            <w:gridSpan w:val="2"/>
            <w:shd w:val="clear" w:color="auto" w:fill="auto"/>
            <w:vAlign w:val="center"/>
          </w:tcPr>
          <w:p w14:paraId="10940A95">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 xml:space="preserve">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 </w:t>
            </w:r>
          </w:p>
        </w:tc>
      </w:tr>
      <w:tr w14:paraId="2798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shd w:val="clear" w:color="auto" w:fill="auto"/>
            <w:vAlign w:val="center"/>
          </w:tcPr>
          <w:p w14:paraId="79AEFACA">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10.7</w:t>
            </w:r>
          </w:p>
        </w:tc>
        <w:tc>
          <w:tcPr>
            <w:tcW w:w="1946" w:type="dxa"/>
            <w:shd w:val="clear" w:color="auto" w:fill="auto"/>
            <w:vAlign w:val="center"/>
          </w:tcPr>
          <w:p w14:paraId="6FB2FFDE">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注意事项（2）</w:t>
            </w:r>
          </w:p>
        </w:tc>
        <w:tc>
          <w:tcPr>
            <w:tcW w:w="6244" w:type="dxa"/>
            <w:gridSpan w:val="2"/>
            <w:shd w:val="clear" w:color="auto" w:fill="auto"/>
            <w:vAlign w:val="center"/>
          </w:tcPr>
          <w:p w14:paraId="3B1BE586">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事业单位参与投标时，可不提供财务状况报告、社会保障资金和税收缴纳证明；依法免税或不需要缴纳社会保障资金的供应商，应提供相应证明文件，证明其依法免税或不需要缴纳社会保障资金；自然人（仅限中国公民）参与投标时，只须提供身份证复印件。</w:t>
            </w:r>
          </w:p>
        </w:tc>
      </w:tr>
      <w:tr w14:paraId="3357D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shd w:val="clear" w:color="auto" w:fill="auto"/>
            <w:vAlign w:val="center"/>
          </w:tcPr>
          <w:p w14:paraId="4011862F">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10.8</w:t>
            </w:r>
          </w:p>
        </w:tc>
        <w:tc>
          <w:tcPr>
            <w:tcW w:w="1946" w:type="dxa"/>
            <w:shd w:val="clear" w:color="auto" w:fill="auto"/>
            <w:vAlign w:val="center"/>
          </w:tcPr>
          <w:p w14:paraId="7D6E9F4A">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注意事项（3）</w:t>
            </w:r>
          </w:p>
        </w:tc>
        <w:tc>
          <w:tcPr>
            <w:tcW w:w="6244" w:type="dxa"/>
            <w:gridSpan w:val="2"/>
            <w:shd w:val="clear" w:color="auto" w:fill="auto"/>
            <w:vAlign w:val="center"/>
          </w:tcPr>
          <w:p w14:paraId="614FE846">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招标文件提供格式的投标人按照其格式填报，未提供格式的投标人可以自拟。</w:t>
            </w:r>
          </w:p>
        </w:tc>
      </w:tr>
      <w:tr w14:paraId="77C2C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96" w:type="dxa"/>
            <w:shd w:val="clear" w:color="auto" w:fill="auto"/>
            <w:vAlign w:val="center"/>
          </w:tcPr>
          <w:p w14:paraId="3C979F1E">
            <w:pPr>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10.9</w:t>
            </w:r>
          </w:p>
        </w:tc>
        <w:tc>
          <w:tcPr>
            <w:tcW w:w="8190" w:type="dxa"/>
            <w:gridSpan w:val="3"/>
            <w:shd w:val="clear" w:color="auto" w:fill="auto"/>
            <w:vAlign w:val="center"/>
          </w:tcPr>
          <w:p w14:paraId="0920019C">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中标人须知：在《云南省政府采购网》查询到中标公示后，需办理以下事宜：</w:t>
            </w:r>
          </w:p>
          <w:p w14:paraId="6D208F43">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1.按招标文件要求缴纳中标服务费。</w:t>
            </w:r>
          </w:p>
          <w:p w14:paraId="0611CA6A">
            <w:pPr>
              <w:keepNext w:val="0"/>
              <w:keepLines w:val="0"/>
              <w:pageBreakBefore w:val="0"/>
              <w:widowControl w:val="0"/>
              <w:kinsoku/>
              <w:wordWrap/>
              <w:overflowPunct/>
              <w:topLinePunct w:val="0"/>
              <w:autoSpaceDE w:val="0"/>
              <w:autoSpaceDN w:val="0"/>
              <w:bidi w:val="0"/>
              <w:adjustRightInd w:val="0"/>
              <w:snapToGrid w:val="0"/>
              <w:spacing w:line="400" w:lineRule="exact"/>
              <w:jc w:val="left"/>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2.领取中标通知书，并与采购人联系、洽谈采购合同。</w:t>
            </w:r>
          </w:p>
        </w:tc>
      </w:tr>
      <w:bookmarkEnd w:id="20"/>
    </w:tbl>
    <w:p w14:paraId="4F08A572">
      <w:pPr>
        <w:keepNext w:val="0"/>
        <w:keepLines w:val="0"/>
        <w:pageBreakBefore w:val="0"/>
        <w:widowControl w:val="0"/>
        <w:kinsoku/>
        <w:wordWrap/>
        <w:overflowPunct/>
        <w:topLinePunct w:val="0"/>
        <w:autoSpaceDE/>
        <w:autoSpaceDN/>
        <w:bidi w:val="0"/>
        <w:adjustRightInd/>
        <w:snapToGrid/>
        <w:spacing w:before="0" w:beforeLines="50" w:line="360" w:lineRule="auto"/>
        <w:jc w:val="center"/>
        <w:textAlignment w:val="auto"/>
        <w:rPr>
          <w:rFonts w:hint="eastAsia"/>
          <w:b/>
          <w:bCs/>
          <w:color w:val="auto"/>
          <w:sz w:val="22"/>
          <w:szCs w:val="28"/>
          <w:highlight w:val="none"/>
          <w:lang w:val="en-US" w:eastAsia="zh-CN"/>
        </w:rPr>
      </w:pPr>
      <w:r>
        <w:rPr>
          <w:rFonts w:hint="eastAsia"/>
          <w:b/>
          <w:bCs/>
          <w:color w:val="auto"/>
          <w:sz w:val="24"/>
          <w:szCs w:val="32"/>
          <w:highlight w:val="none"/>
        </w:rPr>
        <w:t>注：投标人须知正文与本表不一致的以本表为准。标记“■”的选项意为适用于本项目，标记“□”的选项意为不适用于本项目。</w:t>
      </w:r>
    </w:p>
    <w:p w14:paraId="62CD5726">
      <w:pPr>
        <w:bidi w:val="0"/>
        <w:spacing w:line="360" w:lineRule="auto"/>
        <w:jc w:val="center"/>
        <w:rPr>
          <w:rFonts w:hint="eastAsia"/>
          <w:b/>
          <w:bCs/>
          <w:color w:val="auto"/>
          <w:sz w:val="22"/>
          <w:szCs w:val="28"/>
          <w:highlight w:val="none"/>
          <w:lang w:val="en-US" w:eastAsia="zh-CN"/>
        </w:rPr>
      </w:pPr>
    </w:p>
    <w:p w14:paraId="28619D17">
      <w:pPr>
        <w:pStyle w:val="56"/>
        <w:rPr>
          <w:rFonts w:hint="eastAsia"/>
          <w:color w:val="auto"/>
          <w:highlight w:val="none"/>
        </w:rPr>
      </w:pPr>
    </w:p>
    <w:p w14:paraId="7F59CDD5">
      <w:pPr>
        <w:autoSpaceDE w:val="0"/>
        <w:autoSpaceDN w:val="0"/>
        <w:adjustRightInd w:val="0"/>
        <w:snapToGrid w:val="0"/>
        <w:spacing w:afterLines="50"/>
        <w:jc w:val="left"/>
        <w:rPr>
          <w:rFonts w:ascii="宋体" w:hAnsi="宋体" w:cs="黑体"/>
          <w:color w:val="auto"/>
          <w:kern w:val="0"/>
          <w:sz w:val="28"/>
          <w:szCs w:val="28"/>
          <w:highlight w:val="none"/>
        </w:rPr>
      </w:pPr>
    </w:p>
    <w:p w14:paraId="6D942CA4">
      <w:pPr>
        <w:pStyle w:val="3"/>
        <w:numPr>
          <w:ilvl w:val="0"/>
          <w:numId w:val="3"/>
        </w:numPr>
        <w:bidi w:val="0"/>
        <w:spacing w:line="360" w:lineRule="auto"/>
        <w:ind w:left="0" w:leftChars="0" w:firstLine="420" w:firstLineChars="0"/>
        <w:jc w:val="center"/>
        <w:rPr>
          <w:rFonts w:ascii="宋体" w:hAnsi="宋体" w:cs="黑体"/>
          <w:color w:val="auto"/>
          <w:kern w:val="0"/>
          <w:sz w:val="28"/>
          <w:szCs w:val="28"/>
          <w:highlight w:val="none"/>
        </w:rPr>
      </w:pPr>
      <w:r>
        <w:rPr>
          <w:rFonts w:ascii="宋体" w:hAnsi="宋体" w:cs="仿宋_GB2312"/>
          <w:color w:val="auto"/>
          <w:kern w:val="0"/>
          <w:szCs w:val="21"/>
          <w:highlight w:val="none"/>
        </w:rPr>
        <w:br w:type="page"/>
      </w:r>
      <w:bookmarkStart w:id="104" w:name="_Toc26328"/>
      <w:bookmarkStart w:id="105" w:name="_Toc14301"/>
      <w:r>
        <w:rPr>
          <w:rFonts w:hint="eastAsia" w:ascii="黑体" w:hAnsi="黑体" w:eastAsia="黑体" w:cs="黑体"/>
          <w:b/>
          <w:bCs/>
          <w:color w:val="auto"/>
          <w:sz w:val="32"/>
          <w:szCs w:val="32"/>
          <w:highlight w:val="none"/>
          <w:lang w:val="en-US" w:eastAsia="zh-CN"/>
        </w:rPr>
        <w:t>投标人须知</w:t>
      </w:r>
      <w:bookmarkEnd w:id="104"/>
      <w:bookmarkEnd w:id="105"/>
    </w:p>
    <w:p w14:paraId="154211B2">
      <w:pPr>
        <w:keepNext w:val="0"/>
        <w:keepLines w:val="0"/>
        <w:pageBreakBefore w:val="0"/>
        <w:widowControl w:val="0"/>
        <w:numPr>
          <w:ilvl w:val="0"/>
          <w:numId w:val="4"/>
        </w:numPr>
        <w:kinsoku/>
        <w:wordWrap/>
        <w:overflowPunct/>
        <w:topLinePunct w:val="0"/>
        <w:autoSpaceDE w:val="0"/>
        <w:autoSpaceDN w:val="0"/>
        <w:bidi w:val="0"/>
        <w:adjustRightInd w:val="0"/>
        <w:spacing w:line="360" w:lineRule="auto"/>
        <w:textAlignment w:val="auto"/>
        <w:outlineLvl w:val="2"/>
        <w:rPr>
          <w:rFonts w:hint="eastAsia" w:ascii="宋体" w:hAnsi="宋体" w:eastAsia="宋体" w:cs="宋体"/>
          <w:color w:val="auto"/>
          <w:kern w:val="0"/>
          <w:sz w:val="24"/>
          <w:szCs w:val="24"/>
          <w:highlight w:val="none"/>
        </w:rPr>
      </w:pPr>
      <w:bookmarkStart w:id="106" w:name="_Toc195921793"/>
      <w:bookmarkStart w:id="107" w:name="_Toc23590"/>
      <w:bookmarkStart w:id="108" w:name="_Toc23205"/>
      <w:r>
        <w:rPr>
          <w:rFonts w:hint="eastAsia" w:ascii="宋体" w:hAnsi="宋体" w:eastAsia="宋体" w:cs="宋体"/>
          <w:color w:val="auto"/>
          <w:kern w:val="0"/>
          <w:sz w:val="24"/>
          <w:szCs w:val="24"/>
          <w:highlight w:val="none"/>
        </w:rPr>
        <w:t>总则</w:t>
      </w:r>
      <w:bookmarkEnd w:id="106"/>
      <w:bookmarkEnd w:id="107"/>
      <w:bookmarkEnd w:id="108"/>
    </w:p>
    <w:p w14:paraId="5EA34FD2">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09" w:name="_Toc195921794"/>
      <w:r>
        <w:rPr>
          <w:rFonts w:hint="eastAsia" w:ascii="宋体" w:hAnsi="宋体" w:eastAsia="宋体" w:cs="宋体"/>
          <w:color w:val="auto"/>
          <w:kern w:val="0"/>
          <w:sz w:val="24"/>
          <w:szCs w:val="24"/>
          <w:highlight w:val="none"/>
        </w:rPr>
        <w:t>项目概况</w:t>
      </w:r>
      <w:bookmarkEnd w:id="109"/>
    </w:p>
    <w:p w14:paraId="7B909AF6">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根据《中华人民共和国政府采购法》和《中华人民共和国政府采购法实施条例》等有关法律、法规和规章的规定，对本招标项目进行招标。</w:t>
      </w:r>
    </w:p>
    <w:p w14:paraId="7F1F26C7">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w:t>
      </w:r>
      <w:r>
        <w:rPr>
          <w:rFonts w:hint="eastAsia" w:ascii="宋体" w:hAnsi="宋体" w:eastAsia="宋体" w:cs="宋体"/>
          <w:color w:val="auto"/>
          <w:sz w:val="24"/>
          <w:szCs w:val="24"/>
          <w:highlight w:val="none"/>
        </w:rPr>
        <w:t>指依法进行政府采购的国家机关、事业单位、团体组织。本项目采购人见</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kern w:val="0"/>
          <w:sz w:val="24"/>
          <w:szCs w:val="24"/>
          <w:highlight w:val="none"/>
        </w:rPr>
        <w:t>。</w:t>
      </w:r>
    </w:p>
    <w:p w14:paraId="0ADA5001">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采购代理机构：</w:t>
      </w:r>
      <w:r>
        <w:rPr>
          <w:rFonts w:hint="eastAsia" w:ascii="宋体" w:hAnsi="宋体" w:eastAsia="宋体" w:cs="宋体"/>
          <w:color w:val="auto"/>
          <w:sz w:val="24"/>
          <w:szCs w:val="24"/>
          <w:highlight w:val="none"/>
        </w:rPr>
        <w:t>指采购人委托的采购代理机构。本项目采购代理机构见</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kern w:val="0"/>
          <w:sz w:val="24"/>
          <w:szCs w:val="24"/>
          <w:highlight w:val="none"/>
        </w:rPr>
        <w:t>。</w:t>
      </w:r>
    </w:p>
    <w:p w14:paraId="46E1BAAC">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采购服务名称</w:t>
      </w:r>
    </w:p>
    <w:p w14:paraId="48743C67">
      <w:pPr>
        <w:keepNext w:val="0"/>
        <w:keepLines w:val="0"/>
        <w:pageBreakBefore w:val="0"/>
        <w:widowControl w:val="0"/>
        <w:kinsoku/>
        <w:wordWrap/>
        <w:overflowPunct/>
        <w:topLinePunct w:val="0"/>
        <w:autoSpaceDE w:val="0"/>
        <w:autoSpaceDN w:val="0"/>
        <w:bidi w:val="0"/>
        <w:adjustRightInd w:val="0"/>
        <w:snapToGrid w:val="0"/>
        <w:spacing w:line="360" w:lineRule="auto"/>
        <w:ind w:left="107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746C01C8">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采购标的对应的中小企业划分标准所属行业：</w:t>
      </w:r>
      <w:r>
        <w:rPr>
          <w:rFonts w:hint="eastAsia" w:ascii="宋体" w:hAnsi="宋体" w:eastAsia="宋体" w:cs="宋体"/>
          <w:color w:val="auto"/>
          <w:kern w:val="0"/>
          <w:sz w:val="24"/>
          <w:szCs w:val="24"/>
          <w:highlight w:val="none"/>
        </w:rPr>
        <w:t>见投标人须知前附表</w:t>
      </w:r>
      <w:r>
        <w:rPr>
          <w:rFonts w:hint="eastAsia" w:ascii="宋体" w:hAnsi="宋体" w:eastAsia="宋体" w:cs="宋体"/>
          <w:color w:val="auto"/>
          <w:kern w:val="0"/>
          <w:sz w:val="24"/>
          <w:szCs w:val="24"/>
          <w:highlight w:val="none"/>
          <w:lang w:eastAsia="zh-CN"/>
        </w:rPr>
        <w:t>。</w:t>
      </w:r>
    </w:p>
    <w:p w14:paraId="46B838F2">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10" w:name="_Toc195921795"/>
      <w:r>
        <w:rPr>
          <w:rFonts w:hint="eastAsia" w:ascii="宋体" w:hAnsi="宋体" w:eastAsia="宋体" w:cs="宋体"/>
          <w:color w:val="auto"/>
          <w:kern w:val="0"/>
          <w:sz w:val="24"/>
          <w:szCs w:val="24"/>
          <w:highlight w:val="none"/>
        </w:rPr>
        <w:t>采购预算</w:t>
      </w:r>
      <w:bookmarkEnd w:id="110"/>
    </w:p>
    <w:p w14:paraId="4815D3BA">
      <w:pPr>
        <w:keepNext w:val="0"/>
        <w:keepLines w:val="0"/>
        <w:pageBreakBefore w:val="0"/>
        <w:widowControl w:val="0"/>
        <w:kinsoku/>
        <w:wordWrap/>
        <w:overflowPunct/>
        <w:topLinePunct w:val="0"/>
        <w:autoSpaceDE w:val="0"/>
        <w:autoSpaceDN w:val="0"/>
        <w:bidi w:val="0"/>
        <w:adjustRightInd w:val="0"/>
        <w:snapToGrid w:val="0"/>
        <w:spacing w:line="360" w:lineRule="auto"/>
        <w:ind w:left="107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3AFB6581">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11" w:name="_Toc195921796"/>
      <w:r>
        <w:rPr>
          <w:rFonts w:hint="eastAsia" w:ascii="宋体" w:hAnsi="宋体" w:eastAsia="宋体" w:cs="宋体"/>
          <w:color w:val="auto"/>
          <w:kern w:val="0"/>
          <w:sz w:val="24"/>
          <w:szCs w:val="24"/>
          <w:highlight w:val="none"/>
        </w:rPr>
        <w:t>最高限价</w:t>
      </w:r>
    </w:p>
    <w:p w14:paraId="55961984">
      <w:pPr>
        <w:keepNext w:val="0"/>
        <w:keepLines w:val="0"/>
        <w:pageBreakBefore w:val="0"/>
        <w:widowControl w:val="0"/>
        <w:kinsoku/>
        <w:wordWrap/>
        <w:overflowPunct/>
        <w:topLinePunct w:val="0"/>
        <w:autoSpaceDE w:val="0"/>
        <w:autoSpaceDN w:val="0"/>
        <w:bidi w:val="0"/>
        <w:adjustRightInd w:val="0"/>
        <w:snapToGrid w:val="0"/>
        <w:spacing w:line="360" w:lineRule="auto"/>
        <w:ind w:left="107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42E30F3B">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招标范围、服务期和质量要求</w:t>
      </w:r>
      <w:bookmarkEnd w:id="111"/>
    </w:p>
    <w:p w14:paraId="09F6D20B">
      <w:pPr>
        <w:keepNext w:val="0"/>
        <w:keepLines w:val="0"/>
        <w:pageBreakBefore w:val="0"/>
        <w:widowControl w:val="0"/>
        <w:kinsoku/>
        <w:wordWrap/>
        <w:overflowPunct/>
        <w:topLinePunct w:val="0"/>
        <w:autoSpaceDE w:val="0"/>
        <w:autoSpaceDN w:val="0"/>
        <w:bidi w:val="0"/>
        <w:adjustRightInd w:val="0"/>
        <w:snapToGrid w:val="0"/>
        <w:spacing w:line="360" w:lineRule="auto"/>
        <w:ind w:left="107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见采购需求。</w:t>
      </w:r>
    </w:p>
    <w:p w14:paraId="33527926">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指响应招标、参加投标竞争的法人、其他组织或者自然人</w:t>
      </w:r>
      <w:r>
        <w:rPr>
          <w:rFonts w:hint="eastAsia" w:ascii="宋体" w:hAnsi="宋体" w:eastAsia="宋体" w:cs="宋体"/>
          <w:color w:val="auto"/>
          <w:kern w:val="0"/>
          <w:sz w:val="24"/>
          <w:szCs w:val="24"/>
          <w:highlight w:val="none"/>
        </w:rPr>
        <w:t>。</w:t>
      </w:r>
    </w:p>
    <w:p w14:paraId="3672F72F">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12" w:name="_Ref426956497"/>
      <w:r>
        <w:rPr>
          <w:rFonts w:hint="eastAsia" w:ascii="宋体" w:hAnsi="宋体" w:eastAsia="宋体" w:cs="宋体"/>
          <w:color w:val="auto"/>
          <w:kern w:val="0"/>
          <w:sz w:val="24"/>
          <w:szCs w:val="24"/>
          <w:highlight w:val="none"/>
        </w:rPr>
        <w:t>合格的</w:t>
      </w:r>
      <w:r>
        <w:rPr>
          <w:rFonts w:hint="eastAsia" w:ascii="宋体" w:hAnsi="宋体" w:eastAsia="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应具备以下条件：</w:t>
      </w:r>
      <w:bookmarkEnd w:id="112"/>
    </w:p>
    <w:p w14:paraId="3DF896D3">
      <w:pPr>
        <w:keepNext w:val="0"/>
        <w:keepLines w:val="0"/>
        <w:pageBreakBefore w:val="0"/>
        <w:widowControl w:val="0"/>
        <w:kinsoku/>
        <w:wordWrap/>
        <w:overflowPunct/>
        <w:topLinePunct w:val="0"/>
        <w:autoSpaceDE w:val="0"/>
        <w:autoSpaceDN w:val="0"/>
        <w:bidi w:val="0"/>
        <w:adjustRightInd w:val="0"/>
        <w:snapToGrid w:val="0"/>
        <w:spacing w:line="360" w:lineRule="auto"/>
        <w:ind w:left="107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74F7A3E4">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本项目是否专门面向中小企业或小型、微型企业采购：见招标公告。</w:t>
      </w:r>
    </w:p>
    <w:p w14:paraId="5B647903">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投标人应当遵循公平竞争的原则，不得恶意串通，不得妨碍其他投标人的竞争行为，不得损害采购人或者其他投标人的合法权益。</w:t>
      </w:r>
    </w:p>
    <w:p w14:paraId="5128F792">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投标人不得以向采购人、评标委员会成员行贿或者采取其他不正当手段谋取中标。</w:t>
      </w:r>
    </w:p>
    <w:p w14:paraId="1820AECA">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本项目将执行在政府采购活动中查询及使用信用记录的规定，具体要求为：</w:t>
      </w:r>
    </w:p>
    <w:p w14:paraId="0549607E">
      <w:pPr>
        <w:keepNext w:val="0"/>
        <w:keepLines w:val="0"/>
        <w:pageBreakBefore w:val="0"/>
        <w:widowControl w:val="0"/>
        <w:numPr>
          <w:ilvl w:val="0"/>
          <w:numId w:val="5"/>
        </w:numPr>
        <w:tabs>
          <w:tab w:val="left" w:pos="1701"/>
        </w:tabs>
        <w:kinsoku/>
        <w:wordWrap/>
        <w:overflowPunct/>
        <w:topLinePunct w:val="0"/>
        <w:autoSpaceDE w:val="0"/>
        <w:autoSpaceDN w:val="0"/>
        <w:bidi w:val="0"/>
        <w:adjustRightInd w:val="0"/>
        <w:snapToGrid w:val="0"/>
        <w:spacing w:line="360" w:lineRule="auto"/>
        <w:ind w:left="1701" w:hanging="6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信用信息查询的截止时点：投标截止时间。 </w:t>
      </w:r>
    </w:p>
    <w:p w14:paraId="303808B5">
      <w:pPr>
        <w:keepNext w:val="0"/>
        <w:keepLines w:val="0"/>
        <w:pageBreakBefore w:val="0"/>
        <w:widowControl w:val="0"/>
        <w:numPr>
          <w:ilvl w:val="0"/>
          <w:numId w:val="5"/>
        </w:numPr>
        <w:tabs>
          <w:tab w:val="left" w:pos="1701"/>
        </w:tabs>
        <w:kinsoku/>
        <w:wordWrap/>
        <w:overflowPunct/>
        <w:topLinePunct w:val="0"/>
        <w:autoSpaceDE w:val="0"/>
        <w:autoSpaceDN w:val="0"/>
        <w:bidi w:val="0"/>
        <w:adjustRightInd w:val="0"/>
        <w:snapToGrid w:val="0"/>
        <w:spacing w:line="360" w:lineRule="auto"/>
        <w:ind w:left="1701" w:hanging="6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查询渠道：</w:t>
      </w:r>
      <w:r>
        <w:rPr>
          <w:rFonts w:hint="eastAsia" w:ascii="宋体" w:hAnsi="宋体" w:eastAsia="宋体" w:cs="宋体"/>
          <w:color w:val="auto"/>
          <w:sz w:val="24"/>
          <w:szCs w:val="24"/>
          <w:highlight w:val="none"/>
          <w:lang w:val="en-US" w:eastAsia="zh-CN"/>
        </w:rPr>
        <w:t>详见招标公告。</w:t>
      </w:r>
    </w:p>
    <w:p w14:paraId="694A6E15">
      <w:pPr>
        <w:keepNext w:val="0"/>
        <w:keepLines w:val="0"/>
        <w:pageBreakBefore w:val="0"/>
        <w:widowControl w:val="0"/>
        <w:numPr>
          <w:ilvl w:val="0"/>
          <w:numId w:val="5"/>
        </w:numPr>
        <w:tabs>
          <w:tab w:val="left" w:pos="1701"/>
        </w:tabs>
        <w:kinsoku/>
        <w:wordWrap/>
        <w:overflowPunct/>
        <w:topLinePunct w:val="0"/>
        <w:autoSpaceDE w:val="0"/>
        <w:autoSpaceDN w:val="0"/>
        <w:bidi w:val="0"/>
        <w:adjustRightInd w:val="0"/>
        <w:snapToGrid w:val="0"/>
        <w:spacing w:line="360" w:lineRule="auto"/>
        <w:ind w:left="1701" w:hanging="6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信用信息查询记录和证据留存具体方式：投标人的</w:t>
      </w:r>
      <w:r>
        <w:rPr>
          <w:rFonts w:hint="eastAsia" w:ascii="宋体" w:hAnsi="宋体" w:eastAsia="宋体" w:cs="宋体"/>
          <w:color w:val="auto"/>
          <w:sz w:val="24"/>
          <w:szCs w:val="24"/>
          <w:highlight w:val="none"/>
          <w:lang w:val="en-US" w:eastAsia="zh-CN"/>
        </w:rPr>
        <w:t>信用信息</w:t>
      </w:r>
      <w:r>
        <w:rPr>
          <w:rFonts w:hint="eastAsia" w:ascii="宋体" w:hAnsi="宋体" w:eastAsia="宋体" w:cs="宋体"/>
          <w:color w:val="auto"/>
          <w:sz w:val="24"/>
          <w:szCs w:val="24"/>
          <w:highlight w:val="none"/>
        </w:rPr>
        <w:t>查询结果网页截图作为查询记录和证据，与其他</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一并保存</w:t>
      </w:r>
      <w:r>
        <w:rPr>
          <w:rFonts w:hint="eastAsia" w:ascii="宋体" w:hAnsi="宋体" w:eastAsia="宋体" w:cs="宋体"/>
          <w:color w:val="auto"/>
          <w:sz w:val="24"/>
          <w:szCs w:val="24"/>
          <w:highlight w:val="none"/>
          <w:lang w:eastAsia="zh-CN"/>
        </w:rPr>
        <w:t>。</w:t>
      </w:r>
    </w:p>
    <w:p w14:paraId="3590B613">
      <w:pPr>
        <w:keepNext w:val="0"/>
        <w:keepLines w:val="0"/>
        <w:pageBreakBefore w:val="0"/>
        <w:widowControl w:val="0"/>
        <w:numPr>
          <w:ilvl w:val="0"/>
          <w:numId w:val="5"/>
        </w:numPr>
        <w:tabs>
          <w:tab w:val="left" w:pos="1701"/>
        </w:tabs>
        <w:kinsoku/>
        <w:wordWrap/>
        <w:overflowPunct/>
        <w:topLinePunct w:val="0"/>
        <w:autoSpaceDE w:val="0"/>
        <w:autoSpaceDN w:val="0"/>
        <w:bidi w:val="0"/>
        <w:adjustRightInd w:val="0"/>
        <w:snapToGrid w:val="0"/>
        <w:spacing w:line="360" w:lineRule="auto"/>
        <w:ind w:left="1701" w:hanging="6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信用信息的使用规则：本政府采购项目的投标人在信用信息查询截止时点（含）之前存在第一章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条第</w:t>
      </w:r>
      <w:r>
        <w:rPr>
          <w:rFonts w:hint="eastAsia" w:ascii="宋体" w:hAnsi="宋体" w:eastAsia="宋体" w:cs="宋体"/>
          <w:color w:val="auto"/>
          <w:sz w:val="24"/>
          <w:szCs w:val="24"/>
          <w:highlight w:val="none"/>
          <w:lang w:val="en-US" w:eastAsia="zh-CN"/>
        </w:rPr>
        <w:t>2.3.1</w:t>
      </w:r>
      <w:r>
        <w:rPr>
          <w:rFonts w:hint="eastAsia" w:ascii="宋体" w:hAnsi="宋体" w:eastAsia="宋体" w:cs="宋体"/>
          <w:color w:val="auto"/>
          <w:sz w:val="24"/>
          <w:szCs w:val="24"/>
          <w:highlight w:val="none"/>
        </w:rPr>
        <w:t>款所述不良信用记录的，投标无效。</w:t>
      </w:r>
    </w:p>
    <w:p w14:paraId="311C66AC">
      <w:pPr>
        <w:keepNext w:val="0"/>
        <w:keepLines w:val="0"/>
        <w:pageBreakBefore w:val="0"/>
        <w:widowControl w:val="0"/>
        <w:numPr>
          <w:ilvl w:val="0"/>
          <w:numId w:val="5"/>
        </w:numPr>
        <w:tabs>
          <w:tab w:val="left" w:pos="1701"/>
        </w:tabs>
        <w:kinsoku/>
        <w:wordWrap/>
        <w:overflowPunct/>
        <w:topLinePunct w:val="0"/>
        <w:autoSpaceDE w:val="0"/>
        <w:autoSpaceDN w:val="0"/>
        <w:bidi w:val="0"/>
        <w:adjustRightInd w:val="0"/>
        <w:snapToGrid w:val="0"/>
        <w:spacing w:line="360" w:lineRule="auto"/>
        <w:ind w:left="1701" w:hanging="6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w:t>
      </w:r>
      <w:r>
        <w:rPr>
          <w:rFonts w:hint="eastAsia" w:ascii="宋体" w:hAnsi="宋体" w:eastAsia="宋体" w:cs="宋体"/>
          <w:color w:val="auto"/>
          <w:sz w:val="24"/>
          <w:szCs w:val="24"/>
          <w:highlight w:val="none"/>
          <w:lang w:val="en-US" w:eastAsia="zh-CN"/>
        </w:rPr>
        <w:t>信息</w:t>
      </w:r>
      <w:r>
        <w:rPr>
          <w:rFonts w:hint="eastAsia" w:ascii="宋体" w:hAnsi="宋体" w:eastAsia="宋体" w:cs="宋体"/>
          <w:color w:val="auto"/>
          <w:sz w:val="24"/>
          <w:szCs w:val="24"/>
          <w:highlight w:val="none"/>
        </w:rPr>
        <w:t>查询主体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szCs w:val="24"/>
          <w:highlight w:val="none"/>
        </w:rPr>
        <w:t>见投标人须知前附表</w:t>
      </w:r>
      <w:r>
        <w:rPr>
          <w:rFonts w:hint="eastAsia" w:ascii="宋体" w:hAnsi="宋体" w:eastAsia="宋体" w:cs="宋体"/>
          <w:color w:val="auto"/>
          <w:sz w:val="24"/>
          <w:szCs w:val="24"/>
          <w:highlight w:val="none"/>
        </w:rPr>
        <w:t>资格审查主体</w:t>
      </w:r>
      <w:r>
        <w:rPr>
          <w:rFonts w:hint="eastAsia" w:ascii="宋体" w:hAnsi="宋体" w:eastAsia="宋体" w:cs="宋体"/>
          <w:color w:val="auto"/>
          <w:sz w:val="24"/>
          <w:szCs w:val="24"/>
          <w:highlight w:val="none"/>
          <w:lang w:eastAsia="zh-CN"/>
        </w:rPr>
        <w:t>。</w:t>
      </w:r>
    </w:p>
    <w:p w14:paraId="37068FB6">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招标公告</w:t>
      </w:r>
      <w:r>
        <w:rPr>
          <w:rFonts w:hint="eastAsia" w:ascii="宋体" w:hAnsi="宋体" w:eastAsia="宋体" w:cs="宋体"/>
          <w:color w:val="auto"/>
          <w:kern w:val="0"/>
          <w:sz w:val="24"/>
          <w:szCs w:val="24"/>
          <w:highlight w:val="none"/>
        </w:rPr>
        <w:t>规定接受联合体投标的，除应符合本章第</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REF _Ref426956497 \r \h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1.5.1</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项和第</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REF _Ref426956497 \r \h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1.5.</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项的要求外，还应遵守以下规定：</w:t>
      </w:r>
    </w:p>
    <w:p w14:paraId="50B7D941">
      <w:pPr>
        <w:keepNext w:val="0"/>
        <w:keepLines w:val="0"/>
        <w:pageBreakBefore w:val="0"/>
        <w:widowControl w:val="0"/>
        <w:numPr>
          <w:ilvl w:val="0"/>
          <w:numId w:val="6"/>
        </w:numPr>
        <w:tabs>
          <w:tab w:val="left" w:pos="1701"/>
        </w:tabs>
        <w:kinsoku/>
        <w:wordWrap/>
        <w:overflowPunct/>
        <w:topLinePunct w:val="0"/>
        <w:autoSpaceDE w:val="0"/>
        <w:autoSpaceDN w:val="0"/>
        <w:bidi w:val="0"/>
        <w:adjustRightInd w:val="0"/>
        <w:snapToGrid w:val="0"/>
        <w:spacing w:line="360" w:lineRule="auto"/>
        <w:ind w:left="1701" w:hanging="6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联合体各方应按招标文件提供的格式签订联合体协议书，明确联合体牵头人和各方工作内容和义务</w:t>
      </w:r>
      <w:r>
        <w:rPr>
          <w:rFonts w:hint="eastAsia" w:ascii="宋体" w:hAnsi="宋体" w:eastAsia="宋体" w:cs="宋体"/>
          <w:color w:val="auto"/>
          <w:sz w:val="24"/>
          <w:szCs w:val="24"/>
          <w:highlight w:val="none"/>
          <w:lang w:eastAsia="zh-CN"/>
        </w:rPr>
        <w:t>。</w:t>
      </w:r>
    </w:p>
    <w:p w14:paraId="05F0811E">
      <w:pPr>
        <w:keepNext w:val="0"/>
        <w:keepLines w:val="0"/>
        <w:pageBreakBefore w:val="0"/>
        <w:widowControl w:val="0"/>
        <w:numPr>
          <w:ilvl w:val="0"/>
          <w:numId w:val="6"/>
        </w:numPr>
        <w:tabs>
          <w:tab w:val="left" w:pos="1701"/>
        </w:tabs>
        <w:kinsoku/>
        <w:wordWrap/>
        <w:overflowPunct/>
        <w:topLinePunct w:val="0"/>
        <w:autoSpaceDE w:val="0"/>
        <w:autoSpaceDN w:val="0"/>
        <w:bidi w:val="0"/>
        <w:adjustRightInd w:val="0"/>
        <w:snapToGrid w:val="0"/>
        <w:spacing w:line="360" w:lineRule="auto"/>
        <w:ind w:left="1701" w:hanging="6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联合体中有同类资质的投标人按照联合体分工承担相同工作的，应当按照资质等级较低的投标人确定联合体的资质等级。</w:t>
      </w:r>
    </w:p>
    <w:p w14:paraId="143949D8">
      <w:pPr>
        <w:keepNext w:val="0"/>
        <w:keepLines w:val="0"/>
        <w:pageBreakBefore w:val="0"/>
        <w:widowControl w:val="0"/>
        <w:numPr>
          <w:ilvl w:val="0"/>
          <w:numId w:val="6"/>
        </w:numPr>
        <w:tabs>
          <w:tab w:val="left" w:pos="1701"/>
        </w:tabs>
        <w:kinsoku/>
        <w:wordWrap/>
        <w:overflowPunct/>
        <w:topLinePunct w:val="0"/>
        <w:autoSpaceDE w:val="0"/>
        <w:autoSpaceDN w:val="0"/>
        <w:bidi w:val="0"/>
        <w:adjustRightInd w:val="0"/>
        <w:snapToGrid w:val="0"/>
        <w:spacing w:line="360" w:lineRule="auto"/>
        <w:ind w:left="1701" w:hanging="6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联合体各方不得再单独参加或者与其他投标人另外组成联合体参加同一合同项下的投标。</w:t>
      </w:r>
    </w:p>
    <w:p w14:paraId="3AC5E668">
      <w:pPr>
        <w:keepNext w:val="0"/>
        <w:keepLines w:val="0"/>
        <w:pageBreakBefore w:val="0"/>
        <w:widowControl w:val="0"/>
        <w:numPr>
          <w:ilvl w:val="0"/>
          <w:numId w:val="6"/>
        </w:numPr>
        <w:tabs>
          <w:tab w:val="left" w:pos="1701"/>
        </w:tabs>
        <w:kinsoku/>
        <w:wordWrap/>
        <w:overflowPunct/>
        <w:topLinePunct w:val="0"/>
        <w:autoSpaceDE w:val="0"/>
        <w:autoSpaceDN w:val="0"/>
        <w:bidi w:val="0"/>
        <w:adjustRightInd w:val="0"/>
        <w:snapToGrid w:val="0"/>
        <w:spacing w:line="360" w:lineRule="auto"/>
        <w:ind w:left="1701" w:hanging="6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联合体各方应当共同与采购人签订采购合同，就采购合同约定的事项对采购人承担连带责任。</w:t>
      </w:r>
    </w:p>
    <w:p w14:paraId="61EF80E2">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分包</w:t>
      </w:r>
    </w:p>
    <w:p w14:paraId="420D12EE">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政府采购合同分包履行的，中标、成交投标人就采购项目和分包项目向采购人负责，分包人就分包项目承担责任。</w:t>
      </w:r>
    </w:p>
    <w:p w14:paraId="2A5E3175">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13" w:name="_Toc195921799"/>
      <w:r>
        <w:rPr>
          <w:rFonts w:hint="eastAsia" w:ascii="宋体" w:hAnsi="宋体" w:eastAsia="宋体" w:cs="宋体"/>
          <w:color w:val="auto"/>
          <w:kern w:val="0"/>
          <w:sz w:val="24"/>
          <w:szCs w:val="24"/>
          <w:highlight w:val="none"/>
        </w:rPr>
        <w:t>合格的服务</w:t>
      </w:r>
    </w:p>
    <w:p w14:paraId="32EC5350">
      <w:pPr>
        <w:keepNext w:val="0"/>
        <w:keepLines w:val="0"/>
        <w:pageBreakBefore w:val="0"/>
        <w:widowControl w:val="0"/>
        <w:numPr>
          <w:ilvl w:val="2"/>
          <w:numId w:val="4"/>
        </w:numPr>
        <w:kinsoku/>
        <w:wordWrap/>
        <w:overflowPunct/>
        <w:topLinePunct w:val="0"/>
        <w:bidi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合同中提供的所有服务，均应来自上述</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REF _Ref426956497 \r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1.5.1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项所规定的合格投标人。</w:t>
      </w:r>
    </w:p>
    <w:p w14:paraId="60BD2676">
      <w:pPr>
        <w:keepNext w:val="0"/>
        <w:keepLines w:val="0"/>
        <w:pageBreakBefore w:val="0"/>
        <w:widowControl w:val="0"/>
        <w:kinsoku/>
        <w:wordWrap/>
        <w:overflowPunct/>
        <w:topLinePunct w:val="0"/>
        <w:bidi w:val="0"/>
        <w:snapToGrid w:val="0"/>
        <w:spacing w:line="360" w:lineRule="auto"/>
        <w:ind w:left="1134" w:leftChars="540"/>
        <w:textAlignment w:val="auto"/>
        <w:rPr>
          <w:rFonts w:hint="eastAsia" w:ascii="宋体" w:hAnsi="宋体" w:eastAsia="宋体" w:cs="宋体"/>
          <w:i w:val="0"/>
          <w:color w:val="auto"/>
          <w:kern w:val="0"/>
          <w:sz w:val="24"/>
          <w:szCs w:val="24"/>
          <w:highlight w:val="none"/>
        </w:rPr>
      </w:pPr>
      <w:r>
        <w:rPr>
          <w:rFonts w:hint="eastAsia" w:ascii="宋体" w:hAnsi="宋体" w:eastAsia="宋体" w:cs="宋体"/>
          <w:i w:val="0"/>
          <w:color w:val="auto"/>
          <w:kern w:val="0"/>
          <w:sz w:val="24"/>
          <w:szCs w:val="24"/>
          <w:highlight w:val="none"/>
        </w:rPr>
        <w:t>服务系指招标文件规定的</w:t>
      </w:r>
      <w:r>
        <w:rPr>
          <w:rFonts w:hint="eastAsia" w:ascii="宋体" w:hAnsi="宋体" w:eastAsia="宋体" w:cs="宋体"/>
          <w:i w:val="0"/>
          <w:color w:val="auto"/>
          <w:kern w:val="0"/>
          <w:sz w:val="24"/>
          <w:szCs w:val="24"/>
          <w:highlight w:val="none"/>
          <w:lang w:eastAsia="zh-CN"/>
        </w:rPr>
        <w:t>投标人</w:t>
      </w:r>
      <w:r>
        <w:rPr>
          <w:rFonts w:hint="eastAsia" w:ascii="宋体" w:hAnsi="宋体" w:eastAsia="宋体" w:cs="宋体"/>
          <w:i w:val="0"/>
          <w:color w:val="auto"/>
          <w:kern w:val="0"/>
          <w:sz w:val="24"/>
          <w:szCs w:val="24"/>
          <w:highlight w:val="none"/>
        </w:rPr>
        <w:t>须承担的与本次招标需求有关的</w:t>
      </w:r>
      <w:r>
        <w:rPr>
          <w:rFonts w:hint="eastAsia" w:ascii="宋体" w:hAnsi="宋体" w:cs="宋体"/>
          <w:b/>
          <w:bCs/>
          <w:i w:val="0"/>
          <w:color w:val="auto"/>
          <w:kern w:val="0"/>
          <w:sz w:val="24"/>
          <w:szCs w:val="24"/>
          <w:highlight w:val="none"/>
          <w:u w:val="single"/>
          <w:lang w:eastAsia="zh-CN"/>
        </w:rPr>
        <w:t>西南林业大学工会2025至2027年教职工健康体检服务（第一年）</w:t>
      </w:r>
      <w:r>
        <w:rPr>
          <w:rFonts w:hint="eastAsia" w:ascii="宋体" w:hAnsi="宋体" w:eastAsia="宋体" w:cs="宋体"/>
          <w:i w:val="0"/>
          <w:color w:val="auto"/>
          <w:kern w:val="0"/>
          <w:sz w:val="24"/>
          <w:szCs w:val="24"/>
          <w:highlight w:val="none"/>
        </w:rPr>
        <w:t>及其他相关的服务。</w:t>
      </w:r>
    </w:p>
    <w:p w14:paraId="7C834887">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费用承担</w:t>
      </w:r>
      <w:bookmarkEnd w:id="113"/>
    </w:p>
    <w:p w14:paraId="27DD7FBA">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投标人准备和参加投标活动发生的费用自理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包括但不限于：</w:t>
      </w:r>
    </w:p>
    <w:p w14:paraId="240D3694">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14" w:name="_Toc195921800"/>
      <w:r>
        <w:rPr>
          <w:rFonts w:hint="eastAsia" w:ascii="宋体" w:hAnsi="宋体" w:eastAsia="宋体" w:cs="宋体"/>
          <w:color w:val="auto"/>
          <w:kern w:val="0"/>
          <w:sz w:val="24"/>
          <w:szCs w:val="24"/>
          <w:highlight w:val="none"/>
        </w:rPr>
        <w:t>中标服务费：招标代理服务费参照计价格［2002］1980号文规定的收费标准及发改办价格[2003]857号文规定的收费标准下浮20%收取，不足2000元的按2000元收取。由中标人承担，计算基准价为中标金额。</w:t>
      </w:r>
    </w:p>
    <w:p w14:paraId="0CD1645D">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保密</w:t>
      </w:r>
      <w:bookmarkEnd w:id="114"/>
    </w:p>
    <w:p w14:paraId="6D844805">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参与招标投标活动的各方应对招标文件和投标文件中的商业和技术等秘密保密，违者应对由此造成的后果承担法律责任。</w:t>
      </w:r>
    </w:p>
    <w:p w14:paraId="6F546E67">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15" w:name="_Toc195921801"/>
      <w:r>
        <w:rPr>
          <w:rFonts w:hint="eastAsia" w:ascii="宋体" w:hAnsi="宋体" w:eastAsia="宋体" w:cs="宋体"/>
          <w:color w:val="auto"/>
          <w:kern w:val="0"/>
          <w:sz w:val="24"/>
          <w:szCs w:val="24"/>
          <w:highlight w:val="none"/>
        </w:rPr>
        <w:t>语言文字</w:t>
      </w:r>
      <w:bookmarkEnd w:id="115"/>
    </w:p>
    <w:p w14:paraId="2700C5CA">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除专用术语外，与招标投标有关的语言均使用中文。必要时专用术语应附有中文注释。</w:t>
      </w:r>
    </w:p>
    <w:p w14:paraId="58C8B478">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16" w:name="_Toc195921802"/>
      <w:r>
        <w:rPr>
          <w:rFonts w:hint="eastAsia" w:ascii="宋体" w:hAnsi="宋体" w:eastAsia="宋体" w:cs="宋体"/>
          <w:color w:val="auto"/>
          <w:kern w:val="0"/>
          <w:sz w:val="24"/>
          <w:szCs w:val="24"/>
          <w:highlight w:val="none"/>
        </w:rPr>
        <w:t>计量单位</w:t>
      </w:r>
      <w:bookmarkEnd w:id="116"/>
    </w:p>
    <w:p w14:paraId="271B5E87">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所有计量均采用中华人民共和国法定计量单位。</w:t>
      </w:r>
    </w:p>
    <w:p w14:paraId="2BCA08D2">
      <w:pPr>
        <w:keepNext w:val="0"/>
        <w:keepLines w:val="0"/>
        <w:pageBreakBefore w:val="0"/>
        <w:widowControl w:val="0"/>
        <w:numPr>
          <w:ilvl w:val="0"/>
          <w:numId w:val="4"/>
        </w:numPr>
        <w:kinsoku/>
        <w:wordWrap/>
        <w:overflowPunct/>
        <w:topLinePunct w:val="0"/>
        <w:autoSpaceDE w:val="0"/>
        <w:autoSpaceDN w:val="0"/>
        <w:bidi w:val="0"/>
        <w:adjustRightInd w:val="0"/>
        <w:spacing w:line="360" w:lineRule="auto"/>
        <w:textAlignment w:val="auto"/>
        <w:outlineLvl w:val="2"/>
        <w:rPr>
          <w:rFonts w:hint="eastAsia" w:ascii="宋体" w:hAnsi="宋体" w:eastAsia="宋体" w:cs="宋体"/>
          <w:color w:val="auto"/>
          <w:kern w:val="0"/>
          <w:sz w:val="24"/>
          <w:szCs w:val="24"/>
          <w:highlight w:val="none"/>
        </w:rPr>
      </w:pPr>
      <w:bookmarkStart w:id="117" w:name="_Toc5023"/>
      <w:bookmarkStart w:id="118" w:name="_Toc195921807"/>
      <w:bookmarkStart w:id="119" w:name="_Toc29841"/>
      <w:r>
        <w:rPr>
          <w:rFonts w:hint="eastAsia" w:ascii="宋体" w:hAnsi="宋体" w:eastAsia="宋体" w:cs="宋体"/>
          <w:color w:val="auto"/>
          <w:kern w:val="0"/>
          <w:sz w:val="24"/>
          <w:szCs w:val="24"/>
          <w:highlight w:val="none"/>
        </w:rPr>
        <w:t>招标文件</w:t>
      </w:r>
      <w:bookmarkEnd w:id="117"/>
      <w:bookmarkEnd w:id="118"/>
      <w:bookmarkEnd w:id="119"/>
    </w:p>
    <w:p w14:paraId="51437699">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20" w:name="_Toc195921808"/>
      <w:r>
        <w:rPr>
          <w:rFonts w:hint="eastAsia" w:ascii="宋体" w:hAnsi="宋体" w:eastAsia="宋体" w:cs="宋体"/>
          <w:color w:val="auto"/>
          <w:kern w:val="0"/>
          <w:sz w:val="24"/>
          <w:szCs w:val="24"/>
          <w:highlight w:val="none"/>
        </w:rPr>
        <w:t>招标文件的组成</w:t>
      </w:r>
      <w:bookmarkEnd w:id="120"/>
    </w:p>
    <w:p w14:paraId="1B7FDCBF">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本招标文件包括：</w:t>
      </w:r>
    </w:p>
    <w:p w14:paraId="5BCB253A">
      <w:pPr>
        <w:keepNext w:val="0"/>
        <w:keepLines w:val="0"/>
        <w:pageBreakBefore w:val="0"/>
        <w:widowControl w:val="0"/>
        <w:kinsoku/>
        <w:wordWrap/>
        <w:overflowPunct/>
        <w:topLinePunct w:val="0"/>
        <w:autoSpaceDE w:val="0"/>
        <w:autoSpaceDN w:val="0"/>
        <w:bidi w:val="0"/>
        <w:adjustRightInd w:val="0"/>
        <w:snapToGrid w:val="0"/>
        <w:spacing w:line="360" w:lineRule="auto"/>
        <w:ind w:left="1617" w:leftChars="513" w:hanging="540" w:hangingChars="225"/>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（1）招标公告；</w:t>
      </w:r>
    </w:p>
    <w:p w14:paraId="44BB6105">
      <w:pPr>
        <w:keepNext w:val="0"/>
        <w:keepLines w:val="0"/>
        <w:pageBreakBefore w:val="0"/>
        <w:widowControl w:val="0"/>
        <w:kinsoku/>
        <w:wordWrap/>
        <w:overflowPunct/>
        <w:topLinePunct w:val="0"/>
        <w:autoSpaceDE w:val="0"/>
        <w:autoSpaceDN w:val="0"/>
        <w:bidi w:val="0"/>
        <w:adjustRightInd w:val="0"/>
        <w:snapToGrid w:val="0"/>
        <w:spacing w:line="360" w:lineRule="auto"/>
        <w:ind w:left="1617" w:leftChars="513" w:hanging="540" w:hangingChars="225"/>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（2）投标人须知；</w:t>
      </w:r>
    </w:p>
    <w:p w14:paraId="05E8B737">
      <w:pPr>
        <w:keepNext w:val="0"/>
        <w:keepLines w:val="0"/>
        <w:pageBreakBefore w:val="0"/>
        <w:widowControl w:val="0"/>
        <w:kinsoku/>
        <w:wordWrap/>
        <w:overflowPunct/>
        <w:topLinePunct w:val="0"/>
        <w:autoSpaceDE w:val="0"/>
        <w:autoSpaceDN w:val="0"/>
        <w:bidi w:val="0"/>
        <w:adjustRightInd w:val="0"/>
        <w:snapToGrid w:val="0"/>
        <w:spacing w:line="360" w:lineRule="auto"/>
        <w:ind w:left="1617" w:leftChars="513" w:hanging="540" w:hangingChars="225"/>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（3）资格审查、评标办法和标准；</w:t>
      </w:r>
    </w:p>
    <w:p w14:paraId="1ECE0D5D">
      <w:pPr>
        <w:keepNext w:val="0"/>
        <w:keepLines w:val="0"/>
        <w:pageBreakBefore w:val="0"/>
        <w:widowControl w:val="0"/>
        <w:kinsoku/>
        <w:wordWrap/>
        <w:overflowPunct/>
        <w:topLinePunct w:val="0"/>
        <w:autoSpaceDE w:val="0"/>
        <w:autoSpaceDN w:val="0"/>
        <w:bidi w:val="0"/>
        <w:adjustRightInd w:val="0"/>
        <w:snapToGrid w:val="0"/>
        <w:spacing w:line="360" w:lineRule="auto"/>
        <w:ind w:left="1617" w:leftChars="513" w:hanging="540" w:hangingChars="225"/>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（4）合同条款；</w:t>
      </w:r>
    </w:p>
    <w:p w14:paraId="531C1969">
      <w:pPr>
        <w:keepNext w:val="0"/>
        <w:keepLines w:val="0"/>
        <w:pageBreakBefore w:val="0"/>
        <w:widowControl w:val="0"/>
        <w:kinsoku/>
        <w:wordWrap/>
        <w:overflowPunct/>
        <w:topLinePunct w:val="0"/>
        <w:autoSpaceDE w:val="0"/>
        <w:autoSpaceDN w:val="0"/>
        <w:bidi w:val="0"/>
        <w:adjustRightInd w:val="0"/>
        <w:snapToGrid w:val="0"/>
        <w:spacing w:line="360" w:lineRule="auto"/>
        <w:ind w:left="1617" w:leftChars="513" w:hanging="540" w:hangingChars="225"/>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eastAsia" w:ascii="宋体" w:hAnsi="宋体" w:eastAsia="宋体" w:cs="宋体"/>
          <w:color w:val="auto"/>
          <w:sz w:val="24"/>
          <w:szCs w:val="24"/>
          <w:highlight w:val="none"/>
        </w:rPr>
        <w:t>采购需求</w:t>
      </w:r>
      <w:r>
        <w:rPr>
          <w:rFonts w:hint="eastAsia" w:ascii="宋体" w:hAnsi="宋体" w:eastAsia="宋体" w:cs="宋体"/>
          <w:color w:val="auto"/>
          <w:kern w:val="0"/>
          <w:sz w:val="24"/>
          <w:szCs w:val="24"/>
          <w:highlight w:val="none"/>
        </w:rPr>
        <w:t>；</w:t>
      </w:r>
    </w:p>
    <w:p w14:paraId="482300CA">
      <w:pPr>
        <w:keepNext w:val="0"/>
        <w:keepLines w:val="0"/>
        <w:pageBreakBefore w:val="0"/>
        <w:widowControl w:val="0"/>
        <w:kinsoku/>
        <w:wordWrap/>
        <w:overflowPunct/>
        <w:topLinePunct w:val="0"/>
        <w:autoSpaceDE w:val="0"/>
        <w:autoSpaceDN w:val="0"/>
        <w:bidi w:val="0"/>
        <w:adjustRightInd w:val="0"/>
        <w:snapToGrid w:val="0"/>
        <w:spacing w:line="360" w:lineRule="auto"/>
        <w:ind w:left="1617" w:leftChars="513" w:hanging="540" w:hangingChars="225"/>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（6）投标文件格式。</w:t>
      </w:r>
    </w:p>
    <w:p w14:paraId="69F28576">
      <w:pPr>
        <w:keepNext w:val="0"/>
        <w:keepLines w:val="0"/>
        <w:pageBreakBefore w:val="0"/>
        <w:widowControl w:val="0"/>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根据本章第</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REF _Ref426441946 \r \h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3款和第</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REF _Ref426441954 \r \h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4款对招标文件所作的澄清、修改，构成招标文件的组成部分。</w:t>
      </w:r>
    </w:p>
    <w:p w14:paraId="162D70D7">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21" w:name="_Toc195921809"/>
      <w:bookmarkStart w:id="122" w:name="_Ref426441946"/>
      <w:r>
        <w:rPr>
          <w:rFonts w:hint="eastAsia" w:ascii="宋体" w:hAnsi="宋体" w:eastAsia="宋体" w:cs="宋体"/>
          <w:color w:val="auto"/>
          <w:kern w:val="0"/>
          <w:sz w:val="24"/>
          <w:szCs w:val="24"/>
          <w:highlight w:val="none"/>
        </w:rPr>
        <w:t>根据采购项目技术构成、产品价格比重等确定核心产品，核心产品见投标人须知前附表。</w:t>
      </w:r>
    </w:p>
    <w:p w14:paraId="29D6B715">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招标文件的澄清</w:t>
      </w:r>
      <w:bookmarkEnd w:id="121"/>
      <w:bookmarkEnd w:id="122"/>
    </w:p>
    <w:p w14:paraId="1BD977C3">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投标人应仔细阅读和检查招标文件的全部内容。如发现缺页或附件不全，应及时向采购人提出，以便补齐。</w:t>
      </w:r>
    </w:p>
    <w:p w14:paraId="3B9818F9">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kern w:val="0"/>
          <w:sz w:val="24"/>
          <w:szCs w:val="24"/>
          <w:highlight w:val="none"/>
        </w:rPr>
        <w:t>如有疑问</w:t>
      </w:r>
      <w:r>
        <w:rPr>
          <w:rFonts w:hint="eastAsia" w:ascii="宋体" w:hAnsi="宋体" w:eastAsia="宋体" w:cs="宋体"/>
          <w:color w:val="auto"/>
          <w:sz w:val="24"/>
          <w:szCs w:val="24"/>
          <w:highlight w:val="none"/>
        </w:rPr>
        <w:t>可以向采购人提出询问</w:t>
      </w:r>
      <w:r>
        <w:rPr>
          <w:rFonts w:hint="eastAsia" w:ascii="宋体" w:hAnsi="宋体" w:eastAsia="宋体" w:cs="宋体"/>
          <w:color w:val="auto"/>
          <w:kern w:val="0"/>
          <w:sz w:val="24"/>
          <w:szCs w:val="24"/>
          <w:highlight w:val="none"/>
        </w:rPr>
        <w:t>，要求采购人对招标文件予以澄清。</w:t>
      </w:r>
    </w:p>
    <w:p w14:paraId="54F4282F">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采购人或者采购代理机构可以对已发出的招标文件进行必要的澄清。该澄清在原公告发布媒体上发布澄清（更正）公告。澄清的内容为招标文件的组成部分。</w:t>
      </w:r>
      <w:r>
        <w:rPr>
          <w:rFonts w:hint="eastAsia" w:ascii="宋体" w:hAnsi="宋体" w:eastAsia="宋体" w:cs="宋体"/>
          <w:color w:val="auto"/>
          <w:kern w:val="0"/>
          <w:sz w:val="24"/>
          <w:szCs w:val="24"/>
          <w:highlight w:val="none"/>
        </w:rPr>
        <w:t>投标人须</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中规定的投标截止日前，随时查询招标公告发布媒体的信息，获取对招标文件澄清的信息。</w:t>
      </w:r>
    </w:p>
    <w:p w14:paraId="505CEAA1">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澄清的内容可能影响投标文件编制的，采购人或者采购代理机构在投标截止时间至少15日前，以澄清（更正）公告形式通知所有获取招标文件的潜在投标人；不足15日的，采购人或者采购代理机构将顺延提交投标文件的截止时间。</w:t>
      </w:r>
    </w:p>
    <w:p w14:paraId="7CC86725">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投标人在收到澄清文件后，应将加盖公章的回执以书面方式通知采购人，确认已收到该澄清。</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电子标不适用</w:t>
      </w:r>
      <w:r>
        <w:rPr>
          <w:rFonts w:hint="eastAsia" w:ascii="宋体" w:hAnsi="宋体" w:eastAsia="宋体" w:cs="宋体"/>
          <w:color w:val="auto"/>
          <w:kern w:val="0"/>
          <w:sz w:val="24"/>
          <w:szCs w:val="24"/>
          <w:highlight w:val="none"/>
          <w:lang w:eastAsia="zh-CN"/>
        </w:rPr>
        <w:t>）</w:t>
      </w:r>
    </w:p>
    <w:p w14:paraId="43F3A546">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无须确认。供应商应在电子</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文件提交截止时间前及时登录政采云平台查看有关该项目</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文件的澄清内容。如因供应商自身原因导致未及时查看有关该项目</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文件的澄清内容，由此造成的一切后果由供应商自行承担。</w:t>
      </w:r>
    </w:p>
    <w:p w14:paraId="611344AC">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23" w:name="_Ref426441954"/>
      <w:bookmarkStart w:id="124" w:name="_Toc195921810"/>
      <w:r>
        <w:rPr>
          <w:rFonts w:hint="eastAsia" w:ascii="宋体" w:hAnsi="宋体" w:eastAsia="宋体" w:cs="宋体"/>
          <w:color w:val="auto"/>
          <w:kern w:val="0"/>
          <w:sz w:val="24"/>
          <w:szCs w:val="24"/>
          <w:highlight w:val="none"/>
        </w:rPr>
        <w:t>招标文件的修改</w:t>
      </w:r>
      <w:bookmarkEnd w:id="123"/>
      <w:bookmarkEnd w:id="124"/>
    </w:p>
    <w:p w14:paraId="58002588">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采购人或者采购代理机构可以对已发出的招标文件进行必要的修改。该修改在原公告发布媒体上发布澄清（更正）公告。修改的内容为招标文件的组成部分。</w:t>
      </w:r>
      <w:r>
        <w:rPr>
          <w:rFonts w:hint="eastAsia" w:ascii="宋体" w:hAnsi="宋体" w:eastAsia="宋体" w:cs="宋体"/>
          <w:color w:val="auto"/>
          <w:kern w:val="0"/>
          <w:sz w:val="24"/>
          <w:szCs w:val="24"/>
          <w:highlight w:val="none"/>
        </w:rPr>
        <w:t>投标人须</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投</w:t>
      </w:r>
      <w:r>
        <w:rPr>
          <w:rFonts w:hint="eastAsia" w:ascii="宋体" w:hAnsi="宋体" w:eastAsia="宋体" w:cs="宋体"/>
          <w:color w:val="auto"/>
          <w:sz w:val="24"/>
          <w:szCs w:val="24"/>
          <w:highlight w:val="none"/>
        </w:rPr>
        <w:t>标截止日前，随时查询招标公告发布媒体的信息，获取对招标文件修改的信息。</w:t>
      </w:r>
    </w:p>
    <w:p w14:paraId="68383AA9">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leftChars="54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修改的内容可能影响投标文件编制的，采购人或者采购代理机构在投标截止时间至少15日前，以澄清（更正）公告形式通知所有获取招标文件的潜在投标人；不足15日的，采购人或者采购代理机构将顺延提交投标文件的截止时间。</w:t>
      </w:r>
    </w:p>
    <w:p w14:paraId="2E5E8E16">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投标人收到修改文件后，应将加盖公章的回执以书面方式通知采购人，确认已收到该修改。</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电子标不适用</w:t>
      </w:r>
      <w:r>
        <w:rPr>
          <w:rFonts w:hint="eastAsia" w:ascii="宋体" w:hAnsi="宋体" w:eastAsia="宋体" w:cs="宋体"/>
          <w:color w:val="auto"/>
          <w:kern w:val="0"/>
          <w:sz w:val="24"/>
          <w:szCs w:val="24"/>
          <w:highlight w:val="none"/>
          <w:lang w:eastAsia="zh-CN"/>
        </w:rPr>
        <w:t>）</w:t>
      </w:r>
    </w:p>
    <w:p w14:paraId="2B394326">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无须确认。供应商应在电子投标文件提交截止时间前及时登录政采云平台查看有关该项目招标文件的修改内容。如因供应商自身原因导致未及时查看有关该项目招标文件的修改内容，由此造成的一切后果由供应商自行承担。</w:t>
      </w:r>
    </w:p>
    <w:p w14:paraId="28BB34E4">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投标人认为</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使其权益受到损害的，在收到</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之日或</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公告期限届满之日起七个工作日内，按投标人须知前附表中接收质疑函的方式以书面形式一次性提出质疑。</w:t>
      </w:r>
    </w:p>
    <w:p w14:paraId="3AF4C4A9">
      <w:pPr>
        <w:keepNext w:val="0"/>
        <w:keepLines w:val="0"/>
        <w:pageBreakBefore w:val="0"/>
        <w:widowControl w:val="0"/>
        <w:numPr>
          <w:ilvl w:val="0"/>
          <w:numId w:val="4"/>
        </w:numPr>
        <w:kinsoku/>
        <w:wordWrap/>
        <w:overflowPunct/>
        <w:topLinePunct w:val="0"/>
        <w:autoSpaceDE w:val="0"/>
        <w:autoSpaceDN w:val="0"/>
        <w:bidi w:val="0"/>
        <w:adjustRightInd w:val="0"/>
        <w:spacing w:line="360" w:lineRule="auto"/>
        <w:textAlignment w:val="auto"/>
        <w:outlineLvl w:val="2"/>
        <w:rPr>
          <w:rFonts w:hint="eastAsia" w:ascii="宋体" w:hAnsi="宋体" w:eastAsia="宋体" w:cs="宋体"/>
          <w:color w:val="auto"/>
          <w:kern w:val="0"/>
          <w:sz w:val="24"/>
          <w:szCs w:val="24"/>
          <w:highlight w:val="none"/>
        </w:rPr>
      </w:pPr>
      <w:bookmarkStart w:id="125" w:name="_Toc6502"/>
      <w:bookmarkStart w:id="126" w:name="_Toc25864"/>
      <w:bookmarkStart w:id="127" w:name="_Toc195921811"/>
      <w:r>
        <w:rPr>
          <w:rFonts w:hint="eastAsia" w:ascii="宋体" w:hAnsi="宋体" w:eastAsia="宋体" w:cs="宋体"/>
          <w:color w:val="auto"/>
          <w:kern w:val="0"/>
          <w:sz w:val="24"/>
          <w:szCs w:val="24"/>
          <w:highlight w:val="none"/>
        </w:rPr>
        <w:t>投标文件</w:t>
      </w:r>
      <w:bookmarkEnd w:id="125"/>
      <w:bookmarkEnd w:id="126"/>
      <w:bookmarkEnd w:id="127"/>
    </w:p>
    <w:p w14:paraId="18C0F013">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28" w:name="_Toc195921812"/>
      <w:r>
        <w:rPr>
          <w:rFonts w:hint="eastAsia" w:ascii="宋体" w:hAnsi="宋体" w:eastAsia="宋体" w:cs="宋体"/>
          <w:color w:val="auto"/>
          <w:kern w:val="0"/>
          <w:sz w:val="24"/>
          <w:szCs w:val="24"/>
          <w:highlight w:val="none"/>
        </w:rPr>
        <w:t>投标文件的组成</w:t>
      </w:r>
      <w:bookmarkEnd w:id="128"/>
    </w:p>
    <w:p w14:paraId="702949E7">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投标人编写的投标文件应按第六章“投标文件格式”要求填写。</w:t>
      </w:r>
    </w:p>
    <w:p w14:paraId="49B58135">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bookmarkStart w:id="129" w:name="_Toc195921813"/>
      <w:r>
        <w:rPr>
          <w:rFonts w:hint="eastAsia" w:ascii="宋体" w:hAnsi="宋体" w:eastAsia="宋体" w:cs="宋体"/>
          <w:color w:val="auto"/>
          <w:kern w:val="0"/>
          <w:sz w:val="24"/>
          <w:szCs w:val="24"/>
          <w:highlight w:val="none"/>
        </w:rPr>
        <w:t>投标报价</w:t>
      </w:r>
      <w:bookmarkEnd w:id="129"/>
    </w:p>
    <w:p w14:paraId="3683E064">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30" w:name="_Toc195921814"/>
      <w:r>
        <w:rPr>
          <w:rFonts w:hint="eastAsia" w:ascii="宋体" w:hAnsi="宋体" w:eastAsia="宋体" w:cs="宋体"/>
          <w:color w:val="auto"/>
          <w:kern w:val="0"/>
          <w:sz w:val="24"/>
          <w:szCs w:val="24"/>
          <w:highlight w:val="none"/>
        </w:rPr>
        <w:t>投标人应按招标文件第六章提供的格式进行投标报价。</w:t>
      </w:r>
    </w:p>
    <w:p w14:paraId="7F1B60BC">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所有根据合同或其它原因应由投标人支付的税款和其它应交纳的费用都应包括在投标人提交的投标价格中。</w:t>
      </w:r>
    </w:p>
    <w:p w14:paraId="6C80B71C">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的投标报价包括但不限于：体检套餐所涉及的一切费用、出具体检报告的费用、市场价格变化的风险费用、利润、国家、地方规定的税费、代理服务费及其它一切费用，投标报价应符合市场行情并能保证供应商完成履行合同所需的一切工作。合同一旦签订，此价格在合同实施期间将不因市场价格等的变化而调整。供应商应依据招标文件的要求及有关资料，执行国家或行业现行技术、</w:t>
      </w:r>
      <w:r>
        <w:rPr>
          <w:rFonts w:hint="eastAsia" w:ascii="宋体" w:hAnsi="宋体" w:eastAsia="宋体" w:cs="宋体"/>
          <w:b w:val="0"/>
          <w:bCs w:val="0"/>
          <w:color w:val="auto"/>
          <w:kern w:val="0"/>
          <w:sz w:val="24"/>
          <w:szCs w:val="24"/>
          <w:highlight w:val="none"/>
        </w:rPr>
        <w:t>经济标准及规范，根据现行市场价格自行测算出满足采购要求的服务的投标报价。</w:t>
      </w:r>
      <w:r>
        <w:rPr>
          <w:rFonts w:hint="eastAsia" w:asciiTheme="minorEastAsia" w:hAnsiTheme="minorEastAsia" w:eastAsiaTheme="minorEastAsia" w:cstheme="minorEastAsia"/>
          <w:b w:val="0"/>
          <w:bCs w:val="0"/>
          <w:color w:val="000000" w:themeColor="text1"/>
          <w:kern w:val="0"/>
          <w:sz w:val="24"/>
          <w:szCs w:val="24"/>
          <w:highlight w:val="none"/>
          <w14:textFill>
            <w14:solidFill>
              <w14:schemeClr w14:val="tx1"/>
            </w14:solidFill>
          </w14:textFill>
        </w:rPr>
        <w:t>投标人</w:t>
      </w:r>
      <w:r>
        <w:rPr>
          <w:rFonts w:hint="eastAsia" w:asciiTheme="minorEastAsia" w:hAnsiTheme="minorEastAsia" w:eastAsiaTheme="minorEastAsia" w:cstheme="minorEastAsia"/>
          <w:b w:val="0"/>
          <w:bCs w:val="0"/>
          <w:color w:val="000000" w:themeColor="text1"/>
          <w:kern w:val="0"/>
          <w:sz w:val="24"/>
          <w:szCs w:val="24"/>
          <w:highlight w:val="none"/>
          <w:lang w:eastAsia="zh-CN"/>
          <w14:textFill>
            <w14:solidFill>
              <w14:schemeClr w14:val="tx1"/>
            </w14:solidFill>
          </w14:textFill>
        </w:rPr>
        <w:t>报价</w:t>
      </w:r>
      <w:r>
        <w:rPr>
          <w:rFonts w:hint="eastAsia" w:asciiTheme="minorEastAsia" w:hAnsiTheme="minorEastAsia" w:eastAsiaTheme="minorEastAsia" w:cstheme="minorEastAsia"/>
          <w:b w:val="0"/>
          <w:bCs w:val="0"/>
          <w:color w:val="000000" w:themeColor="text1"/>
          <w:kern w:val="0"/>
          <w:sz w:val="24"/>
          <w:szCs w:val="24"/>
          <w:highlight w:val="none"/>
          <w14:textFill>
            <w14:solidFill>
              <w14:schemeClr w14:val="tx1"/>
            </w14:solidFill>
          </w14:textFill>
        </w:rPr>
        <w:t>错误或漏项的风险一律由投标人自行承担</w:t>
      </w:r>
      <w:r>
        <w:rPr>
          <w:rFonts w:hint="eastAsia" w:ascii="宋体" w:hAnsi="宋体" w:eastAsia="宋体" w:cs="宋体"/>
          <w:b w:val="0"/>
          <w:bCs w:val="0"/>
          <w:color w:val="auto"/>
          <w:kern w:val="0"/>
          <w:sz w:val="24"/>
          <w:szCs w:val="24"/>
          <w:highlight w:val="none"/>
          <w:lang w:eastAsia="zh-CN"/>
        </w:rPr>
        <w:t>。</w:t>
      </w:r>
    </w:p>
    <w:p w14:paraId="4F7C4E2C">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投标人应仔细阅读所有招标文件，填报自己认为正确的报价。</w:t>
      </w:r>
    </w:p>
    <w:p w14:paraId="211640F4">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投标人对采购内容只允许有一个报价，采购人不接受任何有选择的报价。</w:t>
      </w:r>
    </w:p>
    <w:p w14:paraId="76F58DCF">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投标人根据本招标文件的规定将投标价分成几部分，只是为了方便</w:t>
      </w:r>
      <w:r>
        <w:rPr>
          <w:rFonts w:hint="eastAsia" w:ascii="宋体" w:hAnsi="宋体" w:eastAsia="宋体" w:cs="宋体"/>
          <w:color w:val="auto"/>
          <w:kern w:val="0"/>
          <w:sz w:val="24"/>
          <w:szCs w:val="24"/>
          <w:highlight w:val="none"/>
          <w:lang w:val="en-US" w:eastAsia="zh-CN"/>
        </w:rPr>
        <w:t>采购人</w:t>
      </w:r>
      <w:r>
        <w:rPr>
          <w:rFonts w:hint="eastAsia" w:ascii="宋体" w:hAnsi="宋体" w:eastAsia="宋体" w:cs="宋体"/>
          <w:color w:val="auto"/>
          <w:kern w:val="0"/>
          <w:sz w:val="24"/>
          <w:szCs w:val="24"/>
          <w:highlight w:val="none"/>
        </w:rPr>
        <w:t>对投标文件进行比较，并不限制采购人以上述任何条件订立合同的权力。</w:t>
      </w:r>
    </w:p>
    <w:p w14:paraId="6702C365">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除非合同另有约定，投标人所报的投标价在合同执行过程中是固定不变的，不得以任何理由予以变更。任何包含价格调整要求的投标，将被认为是非响应性投标而予以拒绝。</w:t>
      </w:r>
    </w:p>
    <w:p w14:paraId="553262A9">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bookmarkStart w:id="131" w:name="_Ref421009326"/>
      <w:r>
        <w:rPr>
          <w:rFonts w:hint="eastAsia" w:ascii="宋体" w:hAnsi="宋体" w:eastAsia="宋体" w:cs="宋体"/>
          <w:color w:val="auto"/>
          <w:kern w:val="0"/>
          <w:sz w:val="24"/>
          <w:szCs w:val="24"/>
          <w:highlight w:val="none"/>
        </w:rPr>
        <w:t>投标有效期</w:t>
      </w:r>
      <w:bookmarkEnd w:id="130"/>
      <w:bookmarkEnd w:id="131"/>
    </w:p>
    <w:p w14:paraId="7119BC38">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本项目投标有效期见投标人须知前附表。投标有效期从提交投标文件的截止之日起算。投标文件中承诺的投标有效期应当不少于招标文件中载明的投标有效期。</w:t>
      </w:r>
    </w:p>
    <w:p w14:paraId="0A65C7D8">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在投标人须知前附表规定的投标有效期内，投标人不得要求修改其投标文件。</w:t>
      </w:r>
    </w:p>
    <w:p w14:paraId="196EC5F5">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bookmarkStart w:id="132" w:name="_Toc195921815"/>
      <w:r>
        <w:rPr>
          <w:rFonts w:hint="eastAsia" w:ascii="宋体" w:hAnsi="宋体" w:eastAsia="宋体" w:cs="宋体"/>
          <w:color w:val="auto"/>
          <w:kern w:val="0"/>
          <w:sz w:val="24"/>
          <w:szCs w:val="24"/>
          <w:highlight w:val="none"/>
        </w:rPr>
        <w:t>投标保证金</w:t>
      </w:r>
      <w:bookmarkEnd w:id="132"/>
    </w:p>
    <w:p w14:paraId="3BEB8893">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33" w:name="_Ref419361076"/>
      <w:r>
        <w:rPr>
          <w:rFonts w:hint="eastAsia" w:ascii="宋体" w:hAnsi="宋体" w:eastAsia="宋体" w:cs="宋体"/>
          <w:color w:val="auto"/>
          <w:kern w:val="0"/>
          <w:sz w:val="24"/>
          <w:szCs w:val="24"/>
          <w:highlight w:val="none"/>
        </w:rPr>
        <w:t>投标人应按投标人须知前附表规定的金额、形式递交投标保证金，并作为其投标文件的组成部分。联合体投标的，可以由联合体中的一方或者共同提交投标保证金，以一方名义提交投标保证金的，对联合体各方均具有约束力。</w:t>
      </w:r>
      <w:bookmarkEnd w:id="133"/>
    </w:p>
    <w:p w14:paraId="5FA2FE9B">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投标人不按本章第</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REF _Ref419361076 \r \h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3.7.1</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项要求提交投标保证金的，其投标文件无效。</w:t>
      </w:r>
    </w:p>
    <w:p w14:paraId="1DEC5B49">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4"/>
          <w:szCs w:val="24"/>
          <w:highlight w:val="none"/>
        </w:rPr>
      </w:pPr>
      <w:bookmarkStart w:id="134" w:name="_Ref419361088"/>
      <w:r>
        <w:rPr>
          <w:rFonts w:hint="eastAsia" w:ascii="宋体" w:hAnsi="宋体" w:eastAsia="宋体" w:cs="宋体"/>
          <w:color w:val="auto"/>
          <w:sz w:val="24"/>
          <w:szCs w:val="24"/>
          <w:highlight w:val="none"/>
        </w:rPr>
        <w:t>投标人在投标截止时间3日前，按招标文件的要求向招标代理机构递交投标保证金，投标截止时间之后递交的投标保证金</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将被拒绝。</w:t>
      </w:r>
      <w:bookmarkEnd w:id="134"/>
    </w:p>
    <w:p w14:paraId="1FF7A514">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投标人在汇款时务必注明所投标项目的招标编号及用途，否则，因款项用途不明导致投标无效等后果由投标人自行承担。</w:t>
      </w:r>
    </w:p>
    <w:p w14:paraId="64684CBB">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采购人或者采购代理机构应当自中标通知书发出之日起5个工作日内退还未中标人的投标保证金，自政府采购合同签订之日起5个工作日内退还中标人的投标保证金</w:t>
      </w:r>
      <w:r>
        <w:rPr>
          <w:rFonts w:hint="eastAsia" w:ascii="宋体" w:hAnsi="宋体" w:eastAsia="宋体" w:cs="宋体"/>
          <w:color w:val="auto"/>
          <w:sz w:val="24"/>
          <w:szCs w:val="24"/>
          <w:highlight w:val="none"/>
        </w:rPr>
        <w:t>或者转为中标人的履约保证金</w:t>
      </w:r>
      <w:r>
        <w:rPr>
          <w:rFonts w:hint="eastAsia" w:ascii="宋体" w:hAnsi="宋体" w:eastAsia="宋体" w:cs="宋体"/>
          <w:color w:val="auto"/>
          <w:kern w:val="0"/>
          <w:sz w:val="24"/>
          <w:szCs w:val="24"/>
          <w:highlight w:val="none"/>
        </w:rPr>
        <w:t>。</w:t>
      </w:r>
    </w:p>
    <w:p w14:paraId="74223E9F">
      <w:pPr>
        <w:keepNext w:val="0"/>
        <w:keepLines w:val="0"/>
        <w:pageBreakBefore w:val="0"/>
        <w:widowControl w:val="0"/>
        <w:numPr>
          <w:ilvl w:val="0"/>
          <w:numId w:val="0"/>
        </w:numPr>
        <w:tabs>
          <w:tab w:val="left" w:pos="1260"/>
        </w:tabs>
        <w:kinsoku/>
        <w:wordWrap/>
        <w:overflowPunct/>
        <w:topLinePunct w:val="0"/>
        <w:autoSpaceDE w:val="0"/>
        <w:autoSpaceDN w:val="0"/>
        <w:bidi w:val="0"/>
        <w:adjustRightInd w:val="0"/>
        <w:snapToGrid w:val="0"/>
        <w:spacing w:line="360" w:lineRule="auto"/>
        <w:ind w:left="1058" w:hanging="1058" w:hangingChars="441"/>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采购人或者采购代理机构逾期退还投标保证金的，除退还投标保证金本金外，还应当按中国人民银行同期贷款基准利率上浮20％后的利率支付超期资金占用费，但因投标人自身原因导致无法及时退还的除外。</w:t>
      </w:r>
    </w:p>
    <w:p w14:paraId="5E19CFC3">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投标人有下列行为之一者，其投标保证金可不予退还：</w:t>
      </w:r>
    </w:p>
    <w:p w14:paraId="53A6F88D">
      <w:pPr>
        <w:keepNext w:val="0"/>
        <w:keepLines w:val="0"/>
        <w:pageBreakBefore w:val="0"/>
        <w:widowControl w:val="0"/>
        <w:tabs>
          <w:tab w:val="left" w:pos="1843"/>
        </w:tabs>
        <w:kinsoku/>
        <w:wordWrap/>
        <w:overflowPunct/>
        <w:topLinePunct w:val="0"/>
        <w:autoSpaceDE w:val="0"/>
        <w:autoSpaceDN w:val="0"/>
        <w:bidi w:val="0"/>
        <w:adjustRightInd w:val="0"/>
        <w:snapToGrid w:val="0"/>
        <w:spacing w:line="360" w:lineRule="auto"/>
        <w:ind w:left="1734" w:leftChars="540" w:hanging="600" w:hangingChars="25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（1）投标人在投标有效期内撤</w:t>
      </w:r>
      <w:r>
        <w:rPr>
          <w:rFonts w:hint="eastAsia" w:ascii="宋体" w:hAnsi="宋体" w:eastAsia="宋体" w:cs="宋体"/>
          <w:color w:val="auto"/>
          <w:kern w:val="0"/>
          <w:sz w:val="24"/>
          <w:szCs w:val="24"/>
          <w:highlight w:val="none"/>
          <w:lang w:val="en-US" w:eastAsia="zh-CN"/>
        </w:rPr>
        <w:t>销</w:t>
      </w:r>
      <w:r>
        <w:rPr>
          <w:rFonts w:hint="eastAsia" w:ascii="宋体" w:hAnsi="宋体" w:eastAsia="宋体" w:cs="宋体"/>
          <w:color w:val="auto"/>
          <w:kern w:val="0"/>
          <w:sz w:val="24"/>
          <w:szCs w:val="24"/>
          <w:highlight w:val="none"/>
        </w:rPr>
        <w:t>投标文件的；</w:t>
      </w:r>
    </w:p>
    <w:p w14:paraId="0560DEFF">
      <w:pPr>
        <w:keepNext w:val="0"/>
        <w:keepLines w:val="0"/>
        <w:pageBreakBefore w:val="0"/>
        <w:widowControl w:val="0"/>
        <w:tabs>
          <w:tab w:val="left" w:pos="1843"/>
        </w:tabs>
        <w:kinsoku/>
        <w:wordWrap/>
        <w:overflowPunct/>
        <w:topLinePunct w:val="0"/>
        <w:autoSpaceDE w:val="0"/>
        <w:autoSpaceDN w:val="0"/>
        <w:bidi w:val="0"/>
        <w:adjustRightInd w:val="0"/>
        <w:snapToGrid w:val="0"/>
        <w:spacing w:line="360" w:lineRule="auto"/>
        <w:ind w:left="1734" w:leftChars="540" w:hanging="600" w:hangingChars="25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（2）投标人在投标文件中提供虚假材料的；</w:t>
      </w:r>
    </w:p>
    <w:p w14:paraId="6C86E2D8">
      <w:pPr>
        <w:keepNext w:val="0"/>
        <w:keepLines w:val="0"/>
        <w:pageBreakBefore w:val="0"/>
        <w:widowControl w:val="0"/>
        <w:tabs>
          <w:tab w:val="left" w:pos="1843"/>
        </w:tabs>
        <w:kinsoku/>
        <w:wordWrap/>
        <w:overflowPunct/>
        <w:topLinePunct w:val="0"/>
        <w:autoSpaceDE w:val="0"/>
        <w:autoSpaceDN w:val="0"/>
        <w:bidi w:val="0"/>
        <w:adjustRightInd w:val="0"/>
        <w:snapToGrid w:val="0"/>
        <w:spacing w:line="360" w:lineRule="auto"/>
        <w:ind w:left="1734" w:leftChars="540" w:hanging="600" w:hangingChars="25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（3）除因不可抗力或招标文件认可的情形以外，中标人不与采购人签订合同的；</w:t>
      </w:r>
    </w:p>
    <w:p w14:paraId="4438BA35">
      <w:pPr>
        <w:keepNext w:val="0"/>
        <w:keepLines w:val="0"/>
        <w:pageBreakBefore w:val="0"/>
        <w:widowControl w:val="0"/>
        <w:tabs>
          <w:tab w:val="left" w:pos="1843"/>
        </w:tabs>
        <w:kinsoku/>
        <w:wordWrap/>
        <w:overflowPunct/>
        <w:topLinePunct w:val="0"/>
        <w:autoSpaceDE w:val="0"/>
        <w:autoSpaceDN w:val="0"/>
        <w:bidi w:val="0"/>
        <w:adjustRightInd w:val="0"/>
        <w:snapToGrid w:val="0"/>
        <w:spacing w:line="360" w:lineRule="auto"/>
        <w:ind w:left="1734" w:leftChars="540" w:hanging="600" w:hangingChars="25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（4）投标人与采购人、其他投标人或者采购代理机构恶意串通的；</w:t>
      </w:r>
    </w:p>
    <w:p w14:paraId="0222CB77">
      <w:pPr>
        <w:keepNext w:val="0"/>
        <w:keepLines w:val="0"/>
        <w:pageBreakBefore w:val="0"/>
        <w:widowControl w:val="0"/>
        <w:tabs>
          <w:tab w:val="left" w:pos="1843"/>
        </w:tabs>
        <w:kinsoku/>
        <w:wordWrap/>
        <w:overflowPunct/>
        <w:topLinePunct w:val="0"/>
        <w:autoSpaceDE w:val="0"/>
        <w:autoSpaceDN w:val="0"/>
        <w:bidi w:val="0"/>
        <w:adjustRightInd w:val="0"/>
        <w:snapToGrid w:val="0"/>
        <w:spacing w:line="360" w:lineRule="auto"/>
        <w:ind w:left="1734" w:leftChars="540" w:hanging="600" w:hangingChars="25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）招标文件规定的其他情形</w:t>
      </w:r>
      <w:r>
        <w:rPr>
          <w:rFonts w:hint="eastAsia" w:ascii="宋体" w:hAnsi="宋体" w:eastAsia="宋体" w:cs="宋体"/>
          <w:color w:val="auto"/>
          <w:kern w:val="0"/>
          <w:sz w:val="24"/>
          <w:szCs w:val="24"/>
          <w:highlight w:val="none"/>
          <w:lang w:eastAsia="zh-CN"/>
        </w:rPr>
        <w:t>；</w:t>
      </w:r>
    </w:p>
    <w:p w14:paraId="27B66CB1">
      <w:pPr>
        <w:keepNext w:val="0"/>
        <w:keepLines w:val="0"/>
        <w:pageBreakBefore w:val="0"/>
        <w:widowControl w:val="0"/>
        <w:tabs>
          <w:tab w:val="left" w:pos="1843"/>
        </w:tabs>
        <w:kinsoku/>
        <w:wordWrap/>
        <w:overflowPunct/>
        <w:topLinePunct w:val="0"/>
        <w:autoSpaceDE w:val="0"/>
        <w:autoSpaceDN w:val="0"/>
        <w:bidi w:val="0"/>
        <w:adjustRightInd w:val="0"/>
        <w:snapToGrid w:val="0"/>
        <w:spacing w:line="360" w:lineRule="auto"/>
        <w:ind w:left="1734" w:leftChars="540" w:hanging="600" w:hangingChars="25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6）存在其他违法违规行为的。</w:t>
      </w:r>
    </w:p>
    <w:p w14:paraId="7A81C4B0">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bookmarkStart w:id="135" w:name="_Toc195921818"/>
      <w:r>
        <w:rPr>
          <w:rFonts w:hint="eastAsia" w:ascii="宋体" w:hAnsi="宋体" w:eastAsia="宋体" w:cs="宋体"/>
          <w:color w:val="auto"/>
          <w:kern w:val="0"/>
          <w:sz w:val="24"/>
          <w:szCs w:val="24"/>
          <w:highlight w:val="none"/>
        </w:rPr>
        <w:t>投标文件的编制</w:t>
      </w:r>
      <w:bookmarkEnd w:id="135"/>
    </w:p>
    <w:p w14:paraId="7E89652D">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投标文件应按第六章“投标文件格式”进行编写，如有必要，可以增加附页，作为投标文件的组成部分。投标人可以提出比招标文件要求更有利于采购人的承诺。</w:t>
      </w:r>
    </w:p>
    <w:p w14:paraId="2B475E41">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投标文件应当对招标文件有关</w:t>
      </w:r>
      <w:r>
        <w:rPr>
          <w:rFonts w:hint="eastAsia" w:ascii="宋体" w:hAnsi="宋体" w:cs="宋体"/>
          <w:color w:val="auto"/>
          <w:kern w:val="0"/>
          <w:sz w:val="24"/>
          <w:szCs w:val="24"/>
          <w:highlight w:val="none"/>
          <w:lang w:val="en-US" w:eastAsia="zh-CN"/>
        </w:rPr>
        <w:t>服务期</w:t>
      </w:r>
      <w:r>
        <w:rPr>
          <w:rFonts w:hint="eastAsia" w:ascii="宋体" w:hAnsi="宋体" w:eastAsia="宋体" w:cs="宋体"/>
          <w:color w:val="auto"/>
          <w:kern w:val="0"/>
          <w:sz w:val="24"/>
          <w:szCs w:val="24"/>
          <w:highlight w:val="none"/>
        </w:rPr>
        <w:t>、投标有效期、对招标范围以及</w:t>
      </w:r>
      <w:r>
        <w:rPr>
          <w:rFonts w:hint="eastAsia" w:ascii="宋体" w:hAnsi="宋体" w:eastAsia="宋体" w:cs="宋体"/>
          <w:color w:val="auto"/>
          <w:sz w:val="24"/>
          <w:szCs w:val="24"/>
          <w:highlight w:val="none"/>
        </w:rPr>
        <w:t>采购项目的技术</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lang w:val="en-US" w:eastAsia="zh-CN"/>
        </w:rPr>
        <w:t>内容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验收</w:t>
      </w:r>
      <w:r>
        <w:rPr>
          <w:rFonts w:hint="eastAsia" w:ascii="宋体" w:hAnsi="宋体" w:eastAsia="宋体" w:cs="宋体"/>
          <w:color w:val="auto"/>
          <w:sz w:val="24"/>
          <w:szCs w:val="24"/>
          <w:highlight w:val="none"/>
        </w:rPr>
        <w:t>标准</w:t>
      </w:r>
      <w:r>
        <w:rPr>
          <w:rFonts w:hint="eastAsia" w:ascii="宋体" w:hAnsi="宋体" w:eastAsia="宋体" w:cs="宋体"/>
          <w:color w:val="auto"/>
          <w:kern w:val="0"/>
          <w:sz w:val="24"/>
          <w:szCs w:val="24"/>
          <w:highlight w:val="none"/>
        </w:rPr>
        <w:t>等实质性内容作出响应。</w:t>
      </w:r>
    </w:p>
    <w:p w14:paraId="5AA210AC">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应使用“政釆云”平台（https://www. zcygov. cn）中下载的政釆云电子投标客户端制作，并进行电子签章及加密后上传至政釆云平台。编制要求见《电子投文件编制要求》。</w:t>
      </w:r>
    </w:p>
    <w:p w14:paraId="7A5BE7AF">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如供应商提交的电子标书不符合要求或开标时无法读取导入或解密，其</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将不予受理。</w:t>
      </w:r>
    </w:p>
    <w:p w14:paraId="2B1715EC">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按照“政釆云”平台的要求编制、加密后在</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提交截止时间前上传至“政釆云”平台，</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提交截止时间前未完成</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上传的，视为撤回</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w:t>
      </w:r>
    </w:p>
    <w:p w14:paraId="484F6734">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投标文件应尽量避免涂改、行间插字或删除。如果出现上述情况，改动之处应加盖单位章或由投标人的法定代表人（签名或盖章）确认。</w:t>
      </w:r>
    </w:p>
    <w:p w14:paraId="482C1236">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关键内容字迹潦草、表达不清、未按要求填写而导致非唯一理解，视为未实质性响应招标文件的投标文件。</w:t>
      </w:r>
    </w:p>
    <w:p w14:paraId="6989ADDC">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投标文件中提供的资料（扫描件），内容必须清晰可辨，若内容模糊，无法辨识，均视为未提供。</w:t>
      </w:r>
    </w:p>
    <w:p w14:paraId="095DF10E">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投标文件的签署的要求见投标人须知前附表。</w:t>
      </w:r>
    </w:p>
    <w:p w14:paraId="323E29F9">
      <w:pPr>
        <w:keepNext w:val="0"/>
        <w:keepLines w:val="0"/>
        <w:pageBreakBefore w:val="0"/>
        <w:widowControl w:val="0"/>
        <w:numPr>
          <w:ilvl w:val="0"/>
          <w:numId w:val="4"/>
        </w:numPr>
        <w:kinsoku/>
        <w:wordWrap/>
        <w:overflowPunct/>
        <w:topLinePunct w:val="0"/>
        <w:autoSpaceDE w:val="0"/>
        <w:autoSpaceDN w:val="0"/>
        <w:bidi w:val="0"/>
        <w:adjustRightInd w:val="0"/>
        <w:spacing w:line="360" w:lineRule="auto"/>
        <w:textAlignment w:val="auto"/>
        <w:outlineLvl w:val="2"/>
        <w:rPr>
          <w:rFonts w:hint="eastAsia" w:ascii="宋体" w:hAnsi="宋体" w:eastAsia="宋体" w:cs="宋体"/>
          <w:color w:val="auto"/>
          <w:kern w:val="0"/>
          <w:sz w:val="24"/>
          <w:szCs w:val="24"/>
          <w:highlight w:val="none"/>
        </w:rPr>
      </w:pPr>
      <w:bookmarkStart w:id="136" w:name="_Toc30699"/>
      <w:bookmarkStart w:id="137" w:name="_Toc15970"/>
      <w:bookmarkStart w:id="138" w:name="_Toc195921819"/>
      <w:r>
        <w:rPr>
          <w:rFonts w:hint="eastAsia" w:ascii="宋体" w:hAnsi="宋体" w:eastAsia="宋体" w:cs="宋体"/>
          <w:color w:val="auto"/>
          <w:kern w:val="0"/>
          <w:sz w:val="24"/>
          <w:szCs w:val="24"/>
          <w:highlight w:val="none"/>
        </w:rPr>
        <w:t>投标</w:t>
      </w:r>
      <w:bookmarkEnd w:id="136"/>
      <w:bookmarkEnd w:id="137"/>
      <w:bookmarkEnd w:id="138"/>
    </w:p>
    <w:p w14:paraId="6165693C">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bookmarkStart w:id="139" w:name="_Toc195921820"/>
      <w:r>
        <w:rPr>
          <w:rFonts w:hint="eastAsia" w:ascii="宋体" w:hAnsi="宋体" w:eastAsia="宋体" w:cs="宋体"/>
          <w:color w:val="auto"/>
          <w:kern w:val="0"/>
          <w:sz w:val="24"/>
          <w:szCs w:val="24"/>
          <w:highlight w:val="none"/>
        </w:rPr>
        <w:t>投标文件的密封和标记</w:t>
      </w:r>
      <w:bookmarkEnd w:id="139"/>
    </w:p>
    <w:p w14:paraId="3D96A16E">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网上递交的投标文件需要对投标文件进行加密。</w:t>
      </w:r>
    </w:p>
    <w:p w14:paraId="443503A8">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40" w:name="_Ref421008478"/>
      <w:r>
        <w:rPr>
          <w:rFonts w:hint="eastAsia" w:ascii="宋体" w:hAnsi="宋体" w:eastAsia="宋体" w:cs="宋体"/>
          <w:color w:val="auto"/>
          <w:kern w:val="0"/>
          <w:sz w:val="24"/>
          <w:szCs w:val="24"/>
          <w:highlight w:val="none"/>
        </w:rPr>
        <w:t>投标文件的封套上应标识的其他内容见投标人须知前附表。</w:t>
      </w:r>
      <w:bookmarkEnd w:id="140"/>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本项目不适用</w:t>
      </w:r>
      <w:r>
        <w:rPr>
          <w:rFonts w:hint="eastAsia" w:ascii="宋体" w:hAnsi="宋体" w:eastAsia="宋体" w:cs="宋体"/>
          <w:color w:val="auto"/>
          <w:kern w:val="0"/>
          <w:sz w:val="24"/>
          <w:szCs w:val="24"/>
          <w:highlight w:val="none"/>
          <w:lang w:eastAsia="zh-CN"/>
        </w:rPr>
        <w:t>）</w:t>
      </w:r>
    </w:p>
    <w:p w14:paraId="193E20BC">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未按本章第</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REF _Ref421008470 \r \h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4.1.1</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项或第</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REF _Ref421008478 \r \h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4.1.2</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项要求密封和加写标识的投标文件，采购人不予受理。</w:t>
      </w:r>
    </w:p>
    <w:p w14:paraId="67CDFEAF">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bookmarkStart w:id="141" w:name="_Toc195921821"/>
      <w:r>
        <w:rPr>
          <w:rFonts w:hint="eastAsia" w:ascii="宋体" w:hAnsi="宋体" w:eastAsia="宋体" w:cs="宋体"/>
          <w:color w:val="auto"/>
          <w:kern w:val="0"/>
          <w:sz w:val="24"/>
          <w:szCs w:val="24"/>
          <w:highlight w:val="none"/>
        </w:rPr>
        <w:t>投标文件的递交</w:t>
      </w:r>
      <w:bookmarkEnd w:id="141"/>
    </w:p>
    <w:p w14:paraId="55B8C16F">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投标人应</w:t>
      </w:r>
      <w:r>
        <w:rPr>
          <w:rFonts w:hint="eastAsia" w:ascii="宋体" w:hAnsi="宋体" w:eastAsia="宋体" w:cs="宋体"/>
          <w:color w:val="auto"/>
          <w:sz w:val="24"/>
          <w:szCs w:val="24"/>
          <w:highlight w:val="none"/>
        </w:rPr>
        <w:t>在招标文件要求提交投标文件的截止时间前递交电子投标文件</w:t>
      </w:r>
      <w:r>
        <w:rPr>
          <w:rFonts w:hint="eastAsia" w:ascii="宋体" w:hAnsi="宋体" w:eastAsia="宋体" w:cs="宋体"/>
          <w:color w:val="auto"/>
          <w:kern w:val="0"/>
          <w:sz w:val="24"/>
          <w:szCs w:val="24"/>
          <w:highlight w:val="none"/>
        </w:rPr>
        <w:t>。</w:t>
      </w:r>
    </w:p>
    <w:p w14:paraId="12B789CC">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投标人递交投标文件的地点：见</w:t>
      </w:r>
      <w:r>
        <w:rPr>
          <w:rFonts w:hint="eastAsia" w:ascii="宋体" w:hAnsi="宋体" w:eastAsia="宋体" w:cs="宋体"/>
          <w:color w:val="auto"/>
          <w:kern w:val="0"/>
          <w:sz w:val="24"/>
          <w:szCs w:val="24"/>
          <w:highlight w:val="none"/>
          <w:lang w:val="en-US" w:eastAsia="zh-CN"/>
        </w:rPr>
        <w:t>招标公告</w:t>
      </w:r>
      <w:r>
        <w:rPr>
          <w:rFonts w:hint="eastAsia" w:ascii="宋体" w:hAnsi="宋体" w:eastAsia="宋体" w:cs="宋体"/>
          <w:color w:val="auto"/>
          <w:kern w:val="0"/>
          <w:sz w:val="24"/>
          <w:szCs w:val="24"/>
          <w:highlight w:val="none"/>
        </w:rPr>
        <w:t>。</w:t>
      </w:r>
    </w:p>
    <w:p w14:paraId="6B7D3A77">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除投标人不足3家未开标情形外，投标人所递交的</w:t>
      </w:r>
      <w:r>
        <w:rPr>
          <w:rFonts w:hint="eastAsia" w:ascii="宋体" w:hAnsi="宋体" w:eastAsia="宋体" w:cs="宋体"/>
          <w:color w:val="auto"/>
          <w:kern w:val="0"/>
          <w:sz w:val="24"/>
          <w:szCs w:val="24"/>
          <w:highlight w:val="none"/>
          <w:lang w:val="en-US" w:eastAsia="zh-CN"/>
        </w:rPr>
        <w:t>电子</w:t>
      </w:r>
      <w:r>
        <w:rPr>
          <w:rFonts w:hint="eastAsia" w:ascii="宋体" w:hAnsi="宋体" w:eastAsia="宋体" w:cs="宋体"/>
          <w:color w:val="auto"/>
          <w:kern w:val="0"/>
          <w:sz w:val="24"/>
          <w:szCs w:val="24"/>
          <w:highlight w:val="none"/>
        </w:rPr>
        <w:t>投标文件不予退还。</w:t>
      </w:r>
    </w:p>
    <w:p w14:paraId="3B5A9342">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逾期送达或者未按照招标文件要求</w:t>
      </w:r>
      <w:r>
        <w:rPr>
          <w:rFonts w:hint="eastAsia" w:ascii="宋体" w:hAnsi="宋体" w:eastAsia="宋体" w:cs="宋体"/>
          <w:color w:val="auto"/>
          <w:sz w:val="24"/>
          <w:szCs w:val="24"/>
          <w:highlight w:val="none"/>
          <w:lang w:val="en-US" w:eastAsia="zh-CN"/>
        </w:rPr>
        <w:t>递交的电子</w:t>
      </w:r>
      <w:r>
        <w:rPr>
          <w:rFonts w:hint="eastAsia" w:ascii="宋体" w:hAnsi="宋体" w:eastAsia="宋体" w:cs="宋体"/>
          <w:color w:val="auto"/>
          <w:sz w:val="24"/>
          <w:szCs w:val="24"/>
          <w:highlight w:val="none"/>
        </w:rPr>
        <w:t>投标文件，采购人、采购代理机构应当拒收</w:t>
      </w:r>
      <w:r>
        <w:rPr>
          <w:rFonts w:hint="eastAsia" w:ascii="宋体" w:hAnsi="宋体" w:eastAsia="宋体" w:cs="宋体"/>
          <w:color w:val="auto"/>
          <w:kern w:val="0"/>
          <w:sz w:val="24"/>
          <w:szCs w:val="24"/>
          <w:highlight w:val="none"/>
        </w:rPr>
        <w:t>。</w:t>
      </w:r>
    </w:p>
    <w:p w14:paraId="118B62A5">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bookmarkStart w:id="142" w:name="_Toc195921822"/>
      <w:r>
        <w:rPr>
          <w:rFonts w:hint="eastAsia" w:ascii="宋体" w:hAnsi="宋体" w:eastAsia="宋体" w:cs="宋体"/>
          <w:color w:val="auto"/>
          <w:kern w:val="0"/>
          <w:sz w:val="24"/>
          <w:szCs w:val="24"/>
          <w:highlight w:val="none"/>
        </w:rPr>
        <w:t>投标文件的修改与撤回</w:t>
      </w:r>
      <w:bookmarkEnd w:id="142"/>
    </w:p>
    <w:p w14:paraId="3A3C18B5">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提交截止时间前，供应商可以在政釆云平台修改或撤回已在网上递交的</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，无须书面形式通知釆购人。</w:t>
      </w:r>
    </w:p>
    <w:p w14:paraId="56AEE2BA">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修改的内容为投标文件的组成部分。修改的投标文件应按照本章第3条、第4条规定进行编制、</w:t>
      </w:r>
      <w:r>
        <w:rPr>
          <w:rFonts w:hint="eastAsia" w:ascii="宋体" w:hAnsi="宋体" w:eastAsia="宋体" w:cs="宋体"/>
          <w:color w:val="auto"/>
          <w:kern w:val="0"/>
          <w:sz w:val="24"/>
          <w:szCs w:val="24"/>
          <w:highlight w:val="none"/>
          <w:lang w:val="en-US" w:eastAsia="zh-CN"/>
        </w:rPr>
        <w:t>加密</w:t>
      </w:r>
      <w:r>
        <w:rPr>
          <w:rFonts w:hint="eastAsia" w:ascii="宋体" w:hAnsi="宋体" w:eastAsia="宋体" w:cs="宋体"/>
          <w:color w:val="auto"/>
          <w:kern w:val="0"/>
          <w:sz w:val="24"/>
          <w:szCs w:val="24"/>
          <w:highlight w:val="none"/>
        </w:rPr>
        <w:t>和递交。</w:t>
      </w:r>
    </w:p>
    <w:p w14:paraId="0A9E6FF8">
      <w:pPr>
        <w:keepNext w:val="0"/>
        <w:keepLines w:val="0"/>
        <w:pageBreakBefore w:val="0"/>
        <w:widowControl w:val="0"/>
        <w:numPr>
          <w:ilvl w:val="0"/>
          <w:numId w:val="4"/>
        </w:numPr>
        <w:kinsoku/>
        <w:wordWrap/>
        <w:overflowPunct/>
        <w:topLinePunct w:val="0"/>
        <w:autoSpaceDE w:val="0"/>
        <w:autoSpaceDN w:val="0"/>
        <w:bidi w:val="0"/>
        <w:adjustRightInd w:val="0"/>
        <w:spacing w:line="360" w:lineRule="auto"/>
        <w:textAlignment w:val="auto"/>
        <w:outlineLvl w:val="2"/>
        <w:rPr>
          <w:rFonts w:hint="eastAsia" w:ascii="宋体" w:hAnsi="宋体" w:eastAsia="宋体" w:cs="宋体"/>
          <w:color w:val="auto"/>
          <w:kern w:val="0"/>
          <w:sz w:val="24"/>
          <w:szCs w:val="24"/>
          <w:highlight w:val="none"/>
        </w:rPr>
      </w:pPr>
      <w:bookmarkStart w:id="143" w:name="_Toc28544"/>
      <w:bookmarkStart w:id="144" w:name="_Toc195921823"/>
      <w:bookmarkStart w:id="145" w:name="_Toc16836"/>
      <w:r>
        <w:rPr>
          <w:rFonts w:hint="eastAsia" w:ascii="宋体" w:hAnsi="宋体" w:eastAsia="宋体" w:cs="宋体"/>
          <w:color w:val="auto"/>
          <w:kern w:val="0"/>
          <w:sz w:val="24"/>
          <w:szCs w:val="24"/>
          <w:highlight w:val="none"/>
          <w:lang w:val="en-US" w:eastAsia="zh-CN"/>
        </w:rPr>
        <w:t>电子</w:t>
      </w:r>
      <w:r>
        <w:rPr>
          <w:rFonts w:hint="eastAsia" w:ascii="宋体" w:hAnsi="宋体" w:eastAsia="宋体" w:cs="宋体"/>
          <w:color w:val="auto"/>
          <w:kern w:val="0"/>
          <w:sz w:val="24"/>
          <w:szCs w:val="24"/>
          <w:highlight w:val="none"/>
        </w:rPr>
        <w:t>开标</w:t>
      </w:r>
      <w:bookmarkEnd w:id="143"/>
      <w:bookmarkEnd w:id="144"/>
      <w:bookmarkEnd w:id="145"/>
    </w:p>
    <w:p w14:paraId="7D836D32">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bookmarkStart w:id="146" w:name="_Toc195921824"/>
      <w:r>
        <w:rPr>
          <w:rFonts w:hint="eastAsia" w:ascii="宋体" w:hAnsi="宋体" w:eastAsia="宋体" w:cs="宋体"/>
          <w:color w:val="auto"/>
          <w:kern w:val="0"/>
          <w:sz w:val="24"/>
          <w:szCs w:val="24"/>
          <w:highlight w:val="none"/>
          <w:lang w:val="en-US" w:eastAsia="zh-CN"/>
        </w:rPr>
        <w:t>电子</w:t>
      </w:r>
      <w:r>
        <w:rPr>
          <w:rFonts w:hint="eastAsia" w:ascii="宋体" w:hAnsi="宋体" w:eastAsia="宋体" w:cs="宋体"/>
          <w:color w:val="auto"/>
          <w:kern w:val="0"/>
          <w:sz w:val="24"/>
          <w:szCs w:val="24"/>
          <w:highlight w:val="none"/>
        </w:rPr>
        <w:t>开标时间和地点</w:t>
      </w:r>
      <w:bookmarkEnd w:id="146"/>
    </w:p>
    <w:p w14:paraId="2502ACC7">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若供应商熟悉“政釆云”相关投标程序，不到现场参加投标的，应提前在自有场地配置有音视频通话（带摄像头及话筒的电脑）功能的相应设备及稳定网络环境，并按“政釆云”开标大厅中的提示完成釆购活动。</w:t>
      </w:r>
    </w:p>
    <w:p w14:paraId="6DD5E5EE">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到现场参与投标的供应商，建议于</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提交截止时间前携带编制</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时的加密数字证书（CA）、具有摄像头及话筒的笔记本电脑至釆购代理机构开标地点参与投标。</w:t>
      </w:r>
    </w:p>
    <w:p w14:paraId="1AE358D1">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开标时，应当由投标人或者其推选的代表检查投标文件的密封情况；经确认无误后，由</w:t>
      </w:r>
      <w:r>
        <w:rPr>
          <w:rFonts w:hint="eastAsia" w:ascii="宋体" w:hAnsi="宋体" w:eastAsia="宋体" w:cs="宋体"/>
          <w:color w:val="auto"/>
          <w:sz w:val="24"/>
          <w:szCs w:val="24"/>
          <w:highlight w:val="none"/>
        </w:rPr>
        <w:t>采购人或者采购代理机构工作人员当众拆封，宣布投标人名称、投标价格和招标文件规定的需要宣布的其他内容</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（电子标不适用）</w:t>
      </w:r>
    </w:p>
    <w:p w14:paraId="07A87459">
      <w:pPr>
        <w:pStyle w:val="87"/>
        <w:keepNext w:val="0"/>
        <w:keepLines w:val="0"/>
        <w:pageBreakBefore w:val="0"/>
        <w:widowControl w:val="0"/>
        <w:kinsoku/>
        <w:wordWrap/>
        <w:overflowPunct/>
        <w:topLinePunct w:val="0"/>
        <w:bidi w:val="0"/>
        <w:snapToGrid w:val="0"/>
        <w:spacing w:line="360" w:lineRule="auto"/>
        <w:ind w:left="1734" w:leftChars="540" w:hanging="600" w:hanging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投标人不足3家的，不进行开标。</w:t>
      </w:r>
    </w:p>
    <w:p w14:paraId="29E1E1FA">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开标程序：</w:t>
      </w:r>
    </w:p>
    <w:p w14:paraId="2987340B">
      <w:pPr>
        <w:pStyle w:val="87"/>
        <w:keepNext w:val="0"/>
        <w:keepLines w:val="0"/>
        <w:pageBreakBefore w:val="0"/>
        <w:widowControl w:val="0"/>
        <w:kinsoku/>
        <w:wordWrap/>
        <w:overflowPunct/>
        <w:topLinePunct w:val="0"/>
        <w:bidi w:val="0"/>
        <w:snapToGrid w:val="0"/>
        <w:spacing w:line="360" w:lineRule="auto"/>
        <w:ind w:left="1132" w:leftChars="539"/>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釆购人宣布开启电子投标文件后，供应商登陆“政釆云”开标大厅，使用供应商编制投标文件时的加密数字证书对投标文件进行解密。</w:t>
      </w:r>
    </w:p>
    <w:p w14:paraId="501D8B36">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开标过程由采购人或者采购代理机构负责记录，由参加开标的各投标人代表和相关工作人员签字确认后随</w:t>
      </w:r>
      <w:r>
        <w:rPr>
          <w:rFonts w:hint="eastAsia" w:ascii="宋体" w:hAnsi="宋体" w:eastAsia="宋体" w:cs="宋体"/>
          <w:color w:val="auto"/>
          <w:kern w:val="0"/>
          <w:sz w:val="24"/>
          <w:szCs w:val="24"/>
          <w:highlight w:val="none"/>
          <w:lang w:eastAsia="zh-CN"/>
        </w:rPr>
        <w:t>招标文件</w:t>
      </w:r>
      <w:r>
        <w:rPr>
          <w:rFonts w:hint="eastAsia" w:ascii="宋体" w:hAnsi="宋体" w:eastAsia="宋体" w:cs="宋体"/>
          <w:color w:val="auto"/>
          <w:kern w:val="0"/>
          <w:sz w:val="24"/>
          <w:szCs w:val="24"/>
          <w:highlight w:val="none"/>
        </w:rPr>
        <w:t>一并存档。</w:t>
      </w:r>
    </w:p>
    <w:p w14:paraId="50BE900D">
      <w:pPr>
        <w:pStyle w:val="87"/>
        <w:keepNext w:val="0"/>
        <w:keepLines w:val="0"/>
        <w:pageBreakBefore w:val="0"/>
        <w:widowControl w:val="0"/>
        <w:kinsoku/>
        <w:wordWrap/>
        <w:overflowPunct/>
        <w:topLinePunct w:val="0"/>
        <w:bidi w:val="0"/>
        <w:snapToGrid w:val="0"/>
        <w:spacing w:line="360" w:lineRule="auto"/>
        <w:ind w:left="1132" w:leftChars="53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投标人代表对开标过程和开标记录有疑义，以及认为采购人、采购代理机构相关工作人员有需要回避的情形的，应当场提出询问或者回避申请。</w:t>
      </w:r>
    </w:p>
    <w:p w14:paraId="636F9CC2">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投标人对开标过程有疑义的，在开标结束后七个工作日内，按本须知2.5款接收质疑函的方式以书面形式一次性提出质疑。</w:t>
      </w:r>
    </w:p>
    <w:p w14:paraId="55AFBA29">
      <w:pPr>
        <w:keepNext w:val="0"/>
        <w:keepLines w:val="0"/>
        <w:pageBreakBefore w:val="0"/>
        <w:widowControl w:val="0"/>
        <w:numPr>
          <w:ilvl w:val="0"/>
          <w:numId w:val="4"/>
        </w:numPr>
        <w:kinsoku/>
        <w:wordWrap/>
        <w:overflowPunct/>
        <w:topLinePunct w:val="0"/>
        <w:autoSpaceDE w:val="0"/>
        <w:autoSpaceDN w:val="0"/>
        <w:bidi w:val="0"/>
        <w:adjustRightInd w:val="0"/>
        <w:spacing w:line="360" w:lineRule="auto"/>
        <w:textAlignment w:val="auto"/>
        <w:outlineLvl w:val="2"/>
        <w:rPr>
          <w:rFonts w:hint="eastAsia" w:ascii="宋体" w:hAnsi="宋体" w:eastAsia="宋体" w:cs="宋体"/>
          <w:color w:val="auto"/>
          <w:kern w:val="0"/>
          <w:sz w:val="24"/>
          <w:szCs w:val="24"/>
          <w:highlight w:val="none"/>
        </w:rPr>
      </w:pPr>
      <w:bookmarkStart w:id="147" w:name="_Toc26435"/>
      <w:bookmarkStart w:id="148" w:name="_Toc6719"/>
      <w:bookmarkStart w:id="149" w:name="_Toc195921826"/>
      <w:r>
        <w:rPr>
          <w:rFonts w:hint="eastAsia" w:ascii="宋体" w:hAnsi="宋体" w:eastAsia="宋体" w:cs="宋体"/>
          <w:color w:val="auto"/>
          <w:kern w:val="0"/>
          <w:sz w:val="24"/>
          <w:szCs w:val="24"/>
          <w:highlight w:val="none"/>
        </w:rPr>
        <w:t>资格审查</w:t>
      </w:r>
      <w:bookmarkEnd w:id="147"/>
      <w:bookmarkEnd w:id="148"/>
    </w:p>
    <w:p w14:paraId="3219B116">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开标结束后，采购代理机构依法对投标人的资格进行审查。</w:t>
      </w:r>
    </w:p>
    <w:p w14:paraId="2CD89B2A">
      <w:pPr>
        <w:pStyle w:val="87"/>
        <w:keepNext w:val="0"/>
        <w:keepLines w:val="0"/>
        <w:pageBreakBefore w:val="0"/>
        <w:widowControl w:val="0"/>
        <w:kinsoku/>
        <w:wordWrap/>
        <w:overflowPunct/>
        <w:topLinePunct w:val="0"/>
        <w:bidi w:val="0"/>
        <w:snapToGrid w:val="0"/>
        <w:spacing w:line="360" w:lineRule="auto"/>
        <w:ind w:left="1132" w:leftChars="53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通过资格审查的投标人不足3家的，不</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评标。</w:t>
      </w:r>
    </w:p>
    <w:p w14:paraId="384F8170">
      <w:pPr>
        <w:keepNext w:val="0"/>
        <w:keepLines w:val="0"/>
        <w:pageBreakBefore w:val="0"/>
        <w:widowControl w:val="0"/>
        <w:numPr>
          <w:ilvl w:val="0"/>
          <w:numId w:val="4"/>
        </w:numPr>
        <w:kinsoku/>
        <w:wordWrap/>
        <w:overflowPunct/>
        <w:topLinePunct w:val="0"/>
        <w:autoSpaceDE w:val="0"/>
        <w:autoSpaceDN w:val="0"/>
        <w:bidi w:val="0"/>
        <w:adjustRightInd w:val="0"/>
        <w:spacing w:line="360" w:lineRule="auto"/>
        <w:textAlignment w:val="auto"/>
        <w:outlineLvl w:val="2"/>
        <w:rPr>
          <w:rFonts w:hint="eastAsia" w:ascii="宋体" w:hAnsi="宋体" w:eastAsia="宋体" w:cs="宋体"/>
          <w:color w:val="auto"/>
          <w:kern w:val="0"/>
          <w:sz w:val="24"/>
          <w:szCs w:val="24"/>
          <w:highlight w:val="none"/>
        </w:rPr>
      </w:pPr>
      <w:bookmarkStart w:id="150" w:name="_Toc23719"/>
      <w:bookmarkStart w:id="151" w:name="_Toc30234"/>
      <w:r>
        <w:rPr>
          <w:rFonts w:hint="eastAsia" w:ascii="宋体" w:hAnsi="宋体" w:eastAsia="宋体" w:cs="宋体"/>
          <w:color w:val="auto"/>
          <w:kern w:val="0"/>
          <w:sz w:val="24"/>
          <w:szCs w:val="24"/>
          <w:highlight w:val="none"/>
        </w:rPr>
        <w:t>评标</w:t>
      </w:r>
      <w:bookmarkEnd w:id="149"/>
      <w:bookmarkEnd w:id="150"/>
      <w:bookmarkEnd w:id="151"/>
    </w:p>
    <w:p w14:paraId="1F3C987B">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bookmarkStart w:id="152" w:name="_Toc195921827"/>
      <w:r>
        <w:rPr>
          <w:rFonts w:hint="eastAsia" w:ascii="宋体" w:hAnsi="宋体" w:eastAsia="宋体" w:cs="宋体"/>
          <w:color w:val="auto"/>
          <w:kern w:val="0"/>
          <w:sz w:val="24"/>
          <w:szCs w:val="24"/>
          <w:highlight w:val="none"/>
        </w:rPr>
        <w:t>评标委员会</w:t>
      </w:r>
      <w:bookmarkEnd w:id="152"/>
    </w:p>
    <w:p w14:paraId="53A3EB9C">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评标由采购人依法组建的评标委员会负责。评标委员会由采购人代表和有关技术、经济等方面的专家组成，成员人数应当为5人或以上单数。其中，技术、经济等方面的专家不得少于成员总数的三分之二。</w:t>
      </w:r>
    </w:p>
    <w:p w14:paraId="10D76BF1">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采购人委派代表参加评标委员会的，要向采购代理机构出具授权函。</w:t>
      </w:r>
    </w:p>
    <w:p w14:paraId="619D2068">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评标委员会成员有下列情形之一的，应当回避：</w:t>
      </w:r>
    </w:p>
    <w:p w14:paraId="38DA6308">
      <w:pPr>
        <w:pStyle w:val="87"/>
        <w:keepNext w:val="0"/>
        <w:keepLines w:val="0"/>
        <w:pageBreakBefore w:val="0"/>
        <w:widowControl w:val="0"/>
        <w:kinsoku/>
        <w:wordWrap/>
        <w:overflowPunct/>
        <w:topLinePunct w:val="0"/>
        <w:bidi w:val="0"/>
        <w:snapToGrid w:val="0"/>
        <w:spacing w:line="360" w:lineRule="auto"/>
        <w:ind w:left="1734" w:leftChars="540" w:hanging="600" w:hanging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（1）参加采购活动前3年内与投标人存在劳动关系；</w:t>
      </w:r>
    </w:p>
    <w:p w14:paraId="2C856395">
      <w:pPr>
        <w:pStyle w:val="87"/>
        <w:keepNext w:val="0"/>
        <w:keepLines w:val="0"/>
        <w:pageBreakBefore w:val="0"/>
        <w:widowControl w:val="0"/>
        <w:kinsoku/>
        <w:wordWrap/>
        <w:overflowPunct/>
        <w:topLinePunct w:val="0"/>
        <w:bidi w:val="0"/>
        <w:snapToGrid w:val="0"/>
        <w:spacing w:line="360" w:lineRule="auto"/>
        <w:ind w:left="1734" w:leftChars="540" w:hanging="600" w:hanging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（2）参加采购活动前3年内担任投标人的董事、监事；</w:t>
      </w:r>
    </w:p>
    <w:p w14:paraId="703B9FFF">
      <w:pPr>
        <w:pStyle w:val="87"/>
        <w:keepNext w:val="0"/>
        <w:keepLines w:val="0"/>
        <w:pageBreakBefore w:val="0"/>
        <w:widowControl w:val="0"/>
        <w:kinsoku/>
        <w:wordWrap/>
        <w:overflowPunct/>
        <w:topLinePunct w:val="0"/>
        <w:bidi w:val="0"/>
        <w:snapToGrid w:val="0"/>
        <w:spacing w:line="360" w:lineRule="auto"/>
        <w:ind w:left="1734" w:leftChars="540" w:hanging="600" w:hanging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（3）参加采购活动前3年内是投标人的控股股东或者实际控制人；</w:t>
      </w:r>
    </w:p>
    <w:p w14:paraId="2C09A025">
      <w:pPr>
        <w:pStyle w:val="87"/>
        <w:keepNext w:val="0"/>
        <w:keepLines w:val="0"/>
        <w:pageBreakBefore w:val="0"/>
        <w:widowControl w:val="0"/>
        <w:kinsoku/>
        <w:wordWrap/>
        <w:overflowPunct/>
        <w:topLinePunct w:val="0"/>
        <w:bidi w:val="0"/>
        <w:snapToGrid w:val="0"/>
        <w:spacing w:line="360" w:lineRule="auto"/>
        <w:ind w:left="1734" w:leftChars="540" w:hanging="600" w:hanging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（4）与投标人的法定代表人或者负责人有夫妻、直系血亲、三代以内旁系血亲或者近姻亲关系；</w:t>
      </w:r>
    </w:p>
    <w:p w14:paraId="30E56BE2">
      <w:pPr>
        <w:pStyle w:val="87"/>
        <w:keepNext w:val="0"/>
        <w:keepLines w:val="0"/>
        <w:pageBreakBefore w:val="0"/>
        <w:widowControl w:val="0"/>
        <w:kinsoku/>
        <w:wordWrap/>
        <w:overflowPunct/>
        <w:topLinePunct w:val="0"/>
        <w:bidi w:val="0"/>
        <w:snapToGrid w:val="0"/>
        <w:spacing w:line="360" w:lineRule="auto"/>
        <w:ind w:left="1734" w:leftChars="540" w:hanging="600" w:hanging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（5）与投标人有其他可能影响政府采购活动公平、公正进行的关系。</w:t>
      </w:r>
    </w:p>
    <w:p w14:paraId="625EC009">
      <w:pPr>
        <w:keepNext w:val="0"/>
        <w:keepLines w:val="0"/>
        <w:pageBreakBefore w:val="0"/>
        <w:widowControl w:val="0"/>
        <w:numPr>
          <w:ilvl w:val="2"/>
          <w:numId w:val="4"/>
        </w:numPr>
        <w:tabs>
          <w:tab w:val="left" w:pos="1260"/>
          <w:tab w:val="left" w:pos="1418"/>
          <w:tab w:val="left" w:pos="180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评标委员会</w:t>
      </w:r>
      <w:r>
        <w:rPr>
          <w:rFonts w:hint="eastAsia" w:ascii="宋体" w:hAnsi="宋体" w:eastAsia="宋体" w:cs="宋体"/>
          <w:color w:val="auto"/>
          <w:sz w:val="24"/>
          <w:szCs w:val="24"/>
          <w:highlight w:val="none"/>
        </w:rPr>
        <w:t>负责具体评标事务，并独立履行下列职责</w:t>
      </w:r>
      <w:r>
        <w:rPr>
          <w:rFonts w:hint="eastAsia" w:ascii="宋体" w:hAnsi="宋体" w:eastAsia="宋体" w:cs="宋体"/>
          <w:color w:val="auto"/>
          <w:kern w:val="0"/>
          <w:sz w:val="24"/>
          <w:szCs w:val="24"/>
          <w:highlight w:val="none"/>
        </w:rPr>
        <w:t>：</w:t>
      </w:r>
    </w:p>
    <w:p w14:paraId="0807AAC7">
      <w:pPr>
        <w:pStyle w:val="87"/>
        <w:keepNext w:val="0"/>
        <w:keepLines w:val="0"/>
        <w:pageBreakBefore w:val="0"/>
        <w:widowControl w:val="0"/>
        <w:kinsoku/>
        <w:wordWrap/>
        <w:overflowPunct/>
        <w:topLinePunct w:val="0"/>
        <w:bidi w:val="0"/>
        <w:snapToGrid w:val="0"/>
        <w:spacing w:line="360" w:lineRule="auto"/>
        <w:ind w:left="1840" w:leftChars="539" w:hanging="708" w:hangingChars="295"/>
        <w:textAlignment w:val="auto"/>
        <w:rPr>
          <w:rFonts w:hint="eastAsia" w:ascii="宋体" w:hAnsi="宋体" w:eastAsia="宋体" w:cs="宋体"/>
          <w:color w:val="auto"/>
          <w:sz w:val="24"/>
          <w:szCs w:val="24"/>
          <w:highlight w:val="none"/>
        </w:rPr>
      </w:pPr>
      <w:bookmarkStart w:id="153" w:name="_Toc195921828"/>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审查、评价投标文件是否符合招标文件的商务、技术等实质性要求；</w:t>
      </w:r>
    </w:p>
    <w:p w14:paraId="6165FBA7">
      <w:pPr>
        <w:pStyle w:val="87"/>
        <w:keepNext w:val="0"/>
        <w:keepLines w:val="0"/>
        <w:pageBreakBefore w:val="0"/>
        <w:widowControl w:val="0"/>
        <w:kinsoku/>
        <w:wordWrap/>
        <w:overflowPunct/>
        <w:topLinePunct w:val="0"/>
        <w:bidi w:val="0"/>
        <w:snapToGrid w:val="0"/>
        <w:spacing w:line="360" w:lineRule="auto"/>
        <w:ind w:left="1840" w:leftChars="539" w:hanging="708" w:hangingChars="2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要求投标人对投标文件有关事项作出澄清或者说明；</w:t>
      </w:r>
    </w:p>
    <w:p w14:paraId="68F4FEAF">
      <w:pPr>
        <w:pStyle w:val="87"/>
        <w:keepNext w:val="0"/>
        <w:keepLines w:val="0"/>
        <w:pageBreakBefore w:val="0"/>
        <w:widowControl w:val="0"/>
        <w:kinsoku/>
        <w:wordWrap/>
        <w:overflowPunct/>
        <w:topLinePunct w:val="0"/>
        <w:bidi w:val="0"/>
        <w:snapToGrid w:val="0"/>
        <w:spacing w:line="360" w:lineRule="auto"/>
        <w:ind w:left="1840" w:leftChars="539" w:hanging="708" w:hangingChars="2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对投标文件进行比较和评价；</w:t>
      </w:r>
    </w:p>
    <w:p w14:paraId="776E5D5A">
      <w:pPr>
        <w:pStyle w:val="87"/>
        <w:keepNext w:val="0"/>
        <w:keepLines w:val="0"/>
        <w:pageBreakBefore w:val="0"/>
        <w:widowControl w:val="0"/>
        <w:kinsoku/>
        <w:wordWrap/>
        <w:overflowPunct/>
        <w:topLinePunct w:val="0"/>
        <w:bidi w:val="0"/>
        <w:snapToGrid w:val="0"/>
        <w:spacing w:line="360" w:lineRule="auto"/>
        <w:ind w:left="1840" w:leftChars="539" w:hanging="708" w:hangingChars="2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确定中标候选人名单，以及根据采购人委托直接确定中标人；</w:t>
      </w:r>
    </w:p>
    <w:p w14:paraId="15BAC64A">
      <w:pPr>
        <w:pStyle w:val="87"/>
        <w:keepNext w:val="0"/>
        <w:keepLines w:val="0"/>
        <w:pageBreakBefore w:val="0"/>
        <w:widowControl w:val="0"/>
        <w:kinsoku/>
        <w:wordWrap/>
        <w:overflowPunct/>
        <w:topLinePunct w:val="0"/>
        <w:bidi w:val="0"/>
        <w:snapToGrid w:val="0"/>
        <w:spacing w:line="360" w:lineRule="auto"/>
        <w:ind w:left="1840" w:leftChars="539" w:hanging="708" w:hangingChars="2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向采购人、采购代理机构或者有关部门报告评标中发现的违法行为。</w:t>
      </w:r>
    </w:p>
    <w:p w14:paraId="2264588C">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评标委员会应当对符合资格的投标人的投标文件进行符合性审查，以确定其是否满足招标文件的实质性要求。</w:t>
      </w:r>
      <w:bookmarkEnd w:id="153"/>
    </w:p>
    <w:p w14:paraId="184E5B0A">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同品牌产品不同投标人的处理方式：相同品牌产品且通过资格审查、符合性审查的不同投标人参加同一合同项下投标的，按一家投标人计算，评审后得分最高的同品牌投标人获得中标人推荐资格</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评审得分相同的，由采购人或者采购人委托评标委员会按照招标文件规定的方式确定一个投标人获得中标人推荐资格；招标文件未规定的采取随机抽取方式确定</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其他同品牌投标人不作为中标候选人。非单一产品采购项目</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采购人应当根据采购项目技术构成、产品价格比重等合理确定核心产品，并在招标文件中载明。多家投标人提供的核心产品品牌相同的，按前款规定处理。</w:t>
      </w:r>
    </w:p>
    <w:p w14:paraId="0A9B4C55">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2" w:leftChars="539"/>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按上述条款执行后，有效投标人不足3家的，本项目应予废标。</w:t>
      </w:r>
    </w:p>
    <w:p w14:paraId="26B9225A">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按照第三章“资格审查、评标办法和标准”规定的评标方法和标准，对符合性审查合格的投标文件进行商务和技术评估，综合比较与评价。“评标办法”没有规定的方法、评审因素和标准，不作为评标依据。</w:t>
      </w:r>
    </w:p>
    <w:p w14:paraId="40B4D3FF">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在评标过程中发现投标人有不遵循公平竞争的原则，恶意串通，妨碍其他投标人的竞争行为，损害采购人或者其他投标人的合法权益的，评标委员会应当认定其投标无效，并书面报告本级财政部门。</w:t>
      </w:r>
    </w:p>
    <w:p w14:paraId="2BC01B7D">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公开招标数额标准以上的采购项目，投标截止后投标人不足3家或者通过资格审查或符合性审查的投标人不足3家的，除采购任务取消情形外，将重新招标或采用其他采购方式采购。</w:t>
      </w:r>
    </w:p>
    <w:p w14:paraId="17ACC9AE">
      <w:pPr>
        <w:keepNext w:val="0"/>
        <w:keepLines w:val="0"/>
        <w:pageBreakBefore w:val="0"/>
        <w:widowControl w:val="0"/>
        <w:numPr>
          <w:ilvl w:val="0"/>
          <w:numId w:val="4"/>
        </w:numPr>
        <w:kinsoku/>
        <w:wordWrap/>
        <w:overflowPunct/>
        <w:topLinePunct w:val="0"/>
        <w:autoSpaceDE w:val="0"/>
        <w:autoSpaceDN w:val="0"/>
        <w:bidi w:val="0"/>
        <w:adjustRightInd w:val="0"/>
        <w:spacing w:line="360" w:lineRule="auto"/>
        <w:textAlignment w:val="auto"/>
        <w:outlineLvl w:val="2"/>
        <w:rPr>
          <w:rFonts w:hint="eastAsia" w:ascii="宋体" w:hAnsi="宋体" w:eastAsia="宋体" w:cs="宋体"/>
          <w:color w:val="auto"/>
          <w:kern w:val="0"/>
          <w:sz w:val="24"/>
          <w:szCs w:val="24"/>
          <w:highlight w:val="none"/>
        </w:rPr>
      </w:pPr>
      <w:bookmarkStart w:id="154" w:name="_Toc15839"/>
      <w:bookmarkStart w:id="155" w:name="_Toc195921830"/>
      <w:bookmarkStart w:id="156" w:name="_Toc19223"/>
      <w:r>
        <w:rPr>
          <w:rFonts w:hint="eastAsia" w:ascii="宋体" w:hAnsi="宋体" w:eastAsia="宋体" w:cs="宋体"/>
          <w:color w:val="auto"/>
          <w:kern w:val="0"/>
          <w:sz w:val="24"/>
          <w:szCs w:val="24"/>
          <w:highlight w:val="none"/>
        </w:rPr>
        <w:t>合同授予</w:t>
      </w:r>
      <w:bookmarkEnd w:id="154"/>
      <w:bookmarkEnd w:id="155"/>
      <w:bookmarkEnd w:id="156"/>
    </w:p>
    <w:p w14:paraId="1A5F7C0F">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680" w:hanging="1680" w:hangingChars="700"/>
        <w:textAlignment w:val="auto"/>
        <w:rPr>
          <w:rFonts w:hint="eastAsia" w:ascii="宋体" w:hAnsi="宋体" w:eastAsia="宋体" w:cs="宋体"/>
          <w:color w:val="auto"/>
          <w:kern w:val="0"/>
          <w:sz w:val="24"/>
          <w:szCs w:val="24"/>
          <w:highlight w:val="none"/>
        </w:rPr>
      </w:pPr>
      <w:bookmarkStart w:id="157" w:name="_Toc195921831"/>
      <w:r>
        <w:rPr>
          <w:rFonts w:hint="eastAsia" w:ascii="宋体" w:hAnsi="宋体" w:eastAsia="宋体" w:cs="宋体"/>
          <w:color w:val="auto"/>
          <w:kern w:val="0"/>
          <w:sz w:val="24"/>
          <w:szCs w:val="24"/>
          <w:highlight w:val="none"/>
        </w:rPr>
        <w:t>定标方式</w:t>
      </w:r>
      <w:bookmarkEnd w:id="157"/>
    </w:p>
    <w:p w14:paraId="3F2C66A1">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采购人按评标报告确定的中标候选人名单中按顺序确定中标人。评标委员会确定的中标候选人的人数见投标人须知前附表。</w:t>
      </w:r>
    </w:p>
    <w:p w14:paraId="5ECC6512">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680" w:hanging="1680" w:hangingChars="7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中标公告</w:t>
      </w:r>
    </w:p>
    <w:p w14:paraId="31585BB2">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采购人或者采购代理机构应当自中标人确定之日起2个工作日内，在省级以上财政部门指定的媒体上公告中标结果。</w:t>
      </w:r>
    </w:p>
    <w:p w14:paraId="5DCC488D">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中标公告期限为1个工作日。</w:t>
      </w:r>
    </w:p>
    <w:p w14:paraId="39ABC2F1">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投标人</w:t>
      </w:r>
      <w:r>
        <w:rPr>
          <w:rFonts w:hint="eastAsia" w:ascii="宋体" w:hAnsi="宋体" w:eastAsia="宋体" w:cs="宋体"/>
          <w:color w:val="auto"/>
          <w:kern w:val="0"/>
          <w:sz w:val="24"/>
          <w:szCs w:val="24"/>
          <w:highlight w:val="none"/>
          <w:lang w:val="en-US" w:eastAsia="zh-CN"/>
        </w:rPr>
        <w:t>认为</w:t>
      </w:r>
      <w:r>
        <w:rPr>
          <w:rFonts w:hint="eastAsia" w:ascii="宋体" w:hAnsi="宋体" w:eastAsia="宋体" w:cs="宋体"/>
          <w:color w:val="auto"/>
          <w:kern w:val="0"/>
          <w:sz w:val="24"/>
          <w:szCs w:val="24"/>
          <w:highlight w:val="none"/>
          <w:lang w:eastAsia="zh-CN"/>
        </w:rPr>
        <w:t>中标结果</w:t>
      </w:r>
      <w:r>
        <w:rPr>
          <w:rFonts w:hint="eastAsia" w:ascii="宋体" w:hAnsi="宋体" w:eastAsia="宋体" w:cs="宋体"/>
          <w:color w:val="auto"/>
          <w:kern w:val="0"/>
          <w:sz w:val="24"/>
          <w:szCs w:val="24"/>
          <w:highlight w:val="none"/>
        </w:rPr>
        <w:t>使自己的权益受到损害的</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在中标公告期限届满之日</w:t>
      </w:r>
      <w:r>
        <w:rPr>
          <w:rFonts w:hint="eastAsia" w:ascii="宋体" w:hAnsi="宋体" w:eastAsia="宋体" w:cs="宋体"/>
          <w:color w:val="auto"/>
          <w:sz w:val="24"/>
          <w:szCs w:val="24"/>
          <w:highlight w:val="none"/>
        </w:rPr>
        <w:t>起七个工作日内，按本须知2.5款接收质疑函的方式以书面形式一次性提出对中标结果的质疑。</w:t>
      </w:r>
    </w:p>
    <w:p w14:paraId="341E1F6D">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680" w:hanging="1680" w:hangingChars="700"/>
        <w:textAlignment w:val="auto"/>
        <w:rPr>
          <w:rFonts w:hint="eastAsia" w:ascii="宋体" w:hAnsi="宋体" w:eastAsia="宋体" w:cs="宋体"/>
          <w:color w:val="auto"/>
          <w:kern w:val="0"/>
          <w:sz w:val="24"/>
          <w:szCs w:val="24"/>
          <w:highlight w:val="none"/>
        </w:rPr>
      </w:pPr>
      <w:bookmarkStart w:id="158" w:name="_Toc195921832"/>
      <w:r>
        <w:rPr>
          <w:rFonts w:hint="eastAsia" w:ascii="宋体" w:hAnsi="宋体" w:eastAsia="宋体" w:cs="宋体"/>
          <w:color w:val="auto"/>
          <w:kern w:val="0"/>
          <w:sz w:val="24"/>
          <w:szCs w:val="24"/>
          <w:highlight w:val="none"/>
        </w:rPr>
        <w:t>中标通知</w:t>
      </w:r>
      <w:bookmarkEnd w:id="158"/>
    </w:p>
    <w:p w14:paraId="0B58A9D0">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在公告中标结果的同时，采购人以书面形式向中标人发出中标通知书，同时将中标结果通知未中标的投标人。</w:t>
      </w:r>
    </w:p>
    <w:p w14:paraId="15AC0573">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中标通知书发出后，采购人不得违法改变中标结果，中标人无正当理由不得放弃中标。</w:t>
      </w:r>
    </w:p>
    <w:p w14:paraId="1EA4D8B2">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履约保证金</w:t>
      </w:r>
    </w:p>
    <w:p w14:paraId="05FFE652">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bookmarkStart w:id="159" w:name="_Ref421009348"/>
      <w:r>
        <w:rPr>
          <w:rFonts w:hint="eastAsia" w:ascii="宋体" w:hAnsi="宋体" w:eastAsia="宋体" w:cs="宋体"/>
          <w:color w:val="auto"/>
          <w:kern w:val="0"/>
          <w:sz w:val="24"/>
          <w:szCs w:val="24"/>
          <w:highlight w:val="none"/>
        </w:rPr>
        <w:t>在签订合同</w:t>
      </w:r>
      <w:r>
        <w:rPr>
          <w:rFonts w:hint="eastAsia" w:ascii="宋体" w:hAnsi="宋体" w:eastAsia="宋体" w:cs="宋体"/>
          <w:color w:val="auto"/>
          <w:kern w:val="0"/>
          <w:sz w:val="24"/>
          <w:szCs w:val="24"/>
          <w:highlight w:val="none"/>
          <w:lang w:val="en-US" w:eastAsia="zh-CN"/>
        </w:rPr>
        <w:t>前</w:t>
      </w:r>
      <w:r>
        <w:rPr>
          <w:rFonts w:hint="eastAsia" w:ascii="宋体" w:hAnsi="宋体" w:eastAsia="宋体" w:cs="宋体"/>
          <w:color w:val="auto"/>
          <w:kern w:val="0"/>
          <w:sz w:val="24"/>
          <w:szCs w:val="24"/>
          <w:highlight w:val="none"/>
        </w:rPr>
        <w:t>，中标人应按投标人须知前附表规定的金额、担保形式和招标文件第四章“合同条款及格式”规定的履约保证金格式向采购人提交履约保证金。</w:t>
      </w:r>
      <w:bookmarkEnd w:id="159"/>
    </w:p>
    <w:p w14:paraId="6F5A6774">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中标人不能按本章第</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REF _Ref421009348 \r \h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.4.1</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项要求提交履约保证金的，视为放弃中标，其投标保证金不予退还，给采购人造成的损失超过投标保证金数额的，中标人还应当对超过部分予以赔偿。</w:t>
      </w:r>
    </w:p>
    <w:p w14:paraId="5548FB62">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bookmarkStart w:id="160" w:name="_Toc195921834"/>
      <w:r>
        <w:rPr>
          <w:rFonts w:hint="eastAsia" w:ascii="宋体" w:hAnsi="宋体" w:eastAsia="宋体" w:cs="宋体"/>
          <w:color w:val="auto"/>
          <w:kern w:val="0"/>
          <w:sz w:val="24"/>
          <w:szCs w:val="24"/>
          <w:highlight w:val="none"/>
        </w:rPr>
        <w:t>签订合同</w:t>
      </w:r>
      <w:bookmarkEnd w:id="160"/>
    </w:p>
    <w:p w14:paraId="48D3637A">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采购人应当自中标通知书发出之日起30日内，按照招标文件和中标人投标文件的规定，与中标人签订书面合同。所签订的合同不得对招标文件确定的事项和中标人投标文件作实质性修改。</w:t>
      </w:r>
    </w:p>
    <w:p w14:paraId="0AAF5A24">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采购人不得向中标人提出任何不合理的要求作为签订合同的条件。</w:t>
      </w:r>
    </w:p>
    <w:p w14:paraId="092B4681">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中标或者成交</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拒绝与采购人签订合同的，采购人可以按照评审报告推荐的中标或者成交候选人名单排序，确定下一候选人为中标或者成交</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，也可以重新开展政府采购活动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中标人无正当理由拒签合同的，采购人取消其中标资格，其投标保证金不予退还；给采购人造成的损失超过投标保证金数额的，中标人还应当对超过部分予以赔偿。</w:t>
      </w:r>
    </w:p>
    <w:p w14:paraId="6449BEBD">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发出中标通知书后，采购人无正当理由拒签合同的，采购人向中标人退还投标保证金；给中标人造成损失的，还应当赔偿损失。</w:t>
      </w:r>
    </w:p>
    <w:p w14:paraId="7671EFFB">
      <w:pPr>
        <w:keepNext w:val="0"/>
        <w:keepLines w:val="0"/>
        <w:pageBreakBefore w:val="0"/>
        <w:widowControl w:val="0"/>
        <w:numPr>
          <w:ilvl w:val="2"/>
          <w:numId w:val="4"/>
        </w:numPr>
        <w:tabs>
          <w:tab w:val="left" w:pos="1260"/>
        </w:tabs>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依据</w:t>
      </w:r>
      <w:r>
        <w:rPr>
          <w:rFonts w:hint="eastAsia" w:ascii="宋体" w:hAnsi="宋体" w:eastAsia="宋体" w:cs="宋体"/>
          <w:color w:val="auto"/>
          <w:kern w:val="0"/>
          <w:sz w:val="24"/>
          <w:szCs w:val="24"/>
          <w:highlight w:val="none"/>
        </w:rPr>
        <w:t>《政府采购促进中小企业发展管理办法》（财库〔2020〕46号）</w:t>
      </w:r>
      <w:r>
        <w:rPr>
          <w:rFonts w:hint="eastAsia" w:ascii="宋体" w:hAnsi="宋体" w:eastAsia="宋体" w:cs="宋体"/>
          <w:color w:val="auto"/>
          <w:kern w:val="0"/>
          <w:sz w:val="24"/>
          <w:szCs w:val="24"/>
          <w:highlight w:val="none"/>
          <w:lang w:val="en-US" w:eastAsia="zh-CN"/>
        </w:rPr>
        <w:t>规定享受扶持政策获得政府采购合同的，小微企业不得将合同分包给大中型企业，中型企业不得将合同分包给大型企业。</w:t>
      </w:r>
    </w:p>
    <w:p w14:paraId="129C386A">
      <w:pPr>
        <w:keepNext w:val="0"/>
        <w:keepLines w:val="0"/>
        <w:pageBreakBefore w:val="0"/>
        <w:widowControl w:val="0"/>
        <w:numPr>
          <w:ilvl w:val="0"/>
          <w:numId w:val="4"/>
        </w:numPr>
        <w:kinsoku/>
        <w:wordWrap/>
        <w:overflowPunct/>
        <w:topLinePunct w:val="0"/>
        <w:autoSpaceDE w:val="0"/>
        <w:autoSpaceDN w:val="0"/>
        <w:bidi w:val="0"/>
        <w:adjustRightInd w:val="0"/>
        <w:spacing w:line="360" w:lineRule="auto"/>
        <w:textAlignment w:val="auto"/>
        <w:outlineLvl w:val="2"/>
        <w:rPr>
          <w:rFonts w:hint="eastAsia" w:ascii="宋体" w:hAnsi="宋体" w:eastAsia="宋体" w:cs="宋体"/>
          <w:color w:val="auto"/>
          <w:kern w:val="0"/>
          <w:sz w:val="24"/>
          <w:szCs w:val="24"/>
          <w:highlight w:val="none"/>
        </w:rPr>
      </w:pPr>
      <w:bookmarkStart w:id="161" w:name="_Toc4032"/>
      <w:bookmarkStart w:id="162" w:name="_Toc2343"/>
      <w:bookmarkStart w:id="163" w:name="_Toc195921838"/>
      <w:r>
        <w:rPr>
          <w:rFonts w:hint="eastAsia" w:ascii="宋体" w:hAnsi="宋体" w:eastAsia="宋体" w:cs="宋体"/>
          <w:color w:val="auto"/>
          <w:kern w:val="0"/>
          <w:sz w:val="24"/>
          <w:szCs w:val="24"/>
          <w:highlight w:val="none"/>
        </w:rPr>
        <w:t>纪律和监督</w:t>
      </w:r>
      <w:bookmarkEnd w:id="161"/>
      <w:bookmarkEnd w:id="162"/>
      <w:bookmarkEnd w:id="163"/>
    </w:p>
    <w:p w14:paraId="51733F9F">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bookmarkStart w:id="164" w:name="_Toc195921839"/>
      <w:r>
        <w:rPr>
          <w:rFonts w:hint="eastAsia" w:ascii="宋体" w:hAnsi="宋体" w:eastAsia="宋体" w:cs="宋体"/>
          <w:color w:val="auto"/>
          <w:kern w:val="0"/>
          <w:sz w:val="24"/>
          <w:szCs w:val="24"/>
          <w:highlight w:val="none"/>
        </w:rPr>
        <w:t>对采购人的要求</w:t>
      </w:r>
      <w:bookmarkEnd w:id="164"/>
    </w:p>
    <w:p w14:paraId="3F076FD6">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采购人在政府采购活动中应当维护国家利益和社会公共利益，公正廉洁，诚实守信，执行政府采购政策。采购人不得向投标人索要或者接受其给予的赠品、回扣或者与采购无关的其他商品、服务</w:t>
      </w:r>
      <w:r>
        <w:rPr>
          <w:rFonts w:hint="eastAsia" w:ascii="宋体" w:hAnsi="宋体" w:eastAsia="宋体" w:cs="宋体"/>
          <w:color w:val="auto"/>
          <w:kern w:val="0"/>
          <w:sz w:val="24"/>
          <w:szCs w:val="24"/>
          <w:highlight w:val="none"/>
        </w:rPr>
        <w:t>。</w:t>
      </w:r>
    </w:p>
    <w:p w14:paraId="27E202E0">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bookmarkStart w:id="165" w:name="_Toc195921840"/>
      <w:r>
        <w:rPr>
          <w:rFonts w:hint="eastAsia" w:ascii="宋体" w:hAnsi="宋体" w:eastAsia="宋体" w:cs="宋体"/>
          <w:color w:val="auto"/>
          <w:kern w:val="0"/>
          <w:sz w:val="24"/>
          <w:szCs w:val="24"/>
          <w:highlight w:val="none"/>
        </w:rPr>
        <w:t>对采购代理机构的要求</w:t>
      </w:r>
    </w:p>
    <w:p w14:paraId="386C07DF">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采购代理机构不得与采购人、投标人恶意串通操纵政府采购活动。</w:t>
      </w:r>
    </w:p>
    <w:p w14:paraId="31F953E3">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采购代理机构工作人员不得接受采购人或者投标人组织的宴请、旅游、娱乐，不得收受礼品、现金、有价证券等，不得向采购人或者投标人报销应当由个人承担的费用。</w:t>
      </w:r>
    </w:p>
    <w:p w14:paraId="17172435">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对投标人的纪律要求</w:t>
      </w:r>
      <w:bookmarkEnd w:id="165"/>
    </w:p>
    <w:p w14:paraId="77F70F12">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2D3B76C6">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bookmarkStart w:id="166" w:name="_Toc195921841"/>
      <w:r>
        <w:rPr>
          <w:rFonts w:hint="eastAsia" w:ascii="宋体" w:hAnsi="宋体" w:eastAsia="宋体" w:cs="宋体"/>
          <w:color w:val="auto"/>
          <w:kern w:val="0"/>
          <w:sz w:val="24"/>
          <w:szCs w:val="24"/>
          <w:highlight w:val="none"/>
        </w:rPr>
        <w:t>评标委员会及其成员不得有下列行为</w:t>
      </w:r>
      <w:bookmarkEnd w:id="166"/>
    </w:p>
    <w:p w14:paraId="7078DB31">
      <w:pPr>
        <w:keepNext w:val="0"/>
        <w:keepLines w:val="0"/>
        <w:pageBreakBefore w:val="0"/>
        <w:widowControl w:val="0"/>
        <w:kinsoku/>
        <w:wordWrap/>
        <w:overflowPunct/>
        <w:topLinePunct w:val="0"/>
        <w:bidi w:val="0"/>
        <w:snapToGrid w:val="0"/>
        <w:spacing w:line="360" w:lineRule="auto"/>
        <w:ind w:left="1840" w:leftChars="539" w:hanging="708" w:hangingChars="2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确定参与评标至评标结束前私自接触投标人；</w:t>
      </w:r>
    </w:p>
    <w:p w14:paraId="0A3F374F">
      <w:pPr>
        <w:keepNext w:val="0"/>
        <w:keepLines w:val="0"/>
        <w:pageBreakBefore w:val="0"/>
        <w:widowControl w:val="0"/>
        <w:kinsoku/>
        <w:wordWrap/>
        <w:overflowPunct/>
        <w:topLinePunct w:val="0"/>
        <w:bidi w:val="0"/>
        <w:snapToGrid w:val="0"/>
        <w:spacing w:line="360" w:lineRule="auto"/>
        <w:ind w:left="1840" w:leftChars="539" w:hanging="708" w:hangingChars="2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接受投标人提出的与投标文件不一致的澄清或者说明，评标委员会要求投标人作出必要的澄清、说明或者补正的情形除外；</w:t>
      </w:r>
    </w:p>
    <w:p w14:paraId="2732620D">
      <w:pPr>
        <w:keepNext w:val="0"/>
        <w:keepLines w:val="0"/>
        <w:pageBreakBefore w:val="0"/>
        <w:widowControl w:val="0"/>
        <w:kinsoku/>
        <w:wordWrap/>
        <w:overflowPunct/>
        <w:topLinePunct w:val="0"/>
        <w:bidi w:val="0"/>
        <w:snapToGrid w:val="0"/>
        <w:spacing w:line="360" w:lineRule="auto"/>
        <w:ind w:left="1840" w:leftChars="539" w:hanging="708" w:hangingChars="2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违反评标纪律发表倾向性意见或者征询采购人的倾向性意见；</w:t>
      </w:r>
    </w:p>
    <w:p w14:paraId="4722CD6F">
      <w:pPr>
        <w:keepNext w:val="0"/>
        <w:keepLines w:val="0"/>
        <w:pageBreakBefore w:val="0"/>
        <w:widowControl w:val="0"/>
        <w:kinsoku/>
        <w:wordWrap/>
        <w:overflowPunct/>
        <w:topLinePunct w:val="0"/>
        <w:bidi w:val="0"/>
        <w:snapToGrid w:val="0"/>
        <w:spacing w:line="360" w:lineRule="auto"/>
        <w:ind w:left="1840" w:leftChars="539" w:hanging="708" w:hangingChars="2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对需要专业判断的主观评审因素协商评分；</w:t>
      </w:r>
    </w:p>
    <w:p w14:paraId="59C64BC5">
      <w:pPr>
        <w:keepNext w:val="0"/>
        <w:keepLines w:val="0"/>
        <w:pageBreakBefore w:val="0"/>
        <w:widowControl w:val="0"/>
        <w:kinsoku/>
        <w:wordWrap/>
        <w:overflowPunct/>
        <w:topLinePunct w:val="0"/>
        <w:bidi w:val="0"/>
        <w:snapToGrid w:val="0"/>
        <w:spacing w:line="360" w:lineRule="auto"/>
        <w:ind w:left="1840" w:leftChars="539" w:hanging="708" w:hangingChars="2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在评标过程中擅离职守，影响评标程序正常进行的；</w:t>
      </w:r>
    </w:p>
    <w:p w14:paraId="6B47202B">
      <w:pPr>
        <w:keepNext w:val="0"/>
        <w:keepLines w:val="0"/>
        <w:pageBreakBefore w:val="0"/>
        <w:widowControl w:val="0"/>
        <w:kinsoku/>
        <w:wordWrap/>
        <w:overflowPunct/>
        <w:topLinePunct w:val="0"/>
        <w:bidi w:val="0"/>
        <w:snapToGrid w:val="0"/>
        <w:spacing w:line="360" w:lineRule="auto"/>
        <w:ind w:left="1840" w:leftChars="539" w:hanging="708" w:hangingChars="2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记录、复制或者带走任何评标资料；</w:t>
      </w:r>
    </w:p>
    <w:p w14:paraId="08D5D09C">
      <w:pPr>
        <w:keepNext w:val="0"/>
        <w:keepLines w:val="0"/>
        <w:pageBreakBefore w:val="0"/>
        <w:widowControl w:val="0"/>
        <w:kinsoku/>
        <w:wordWrap/>
        <w:overflowPunct/>
        <w:topLinePunct w:val="0"/>
        <w:bidi w:val="0"/>
        <w:snapToGrid w:val="0"/>
        <w:spacing w:line="360" w:lineRule="auto"/>
        <w:ind w:left="1840" w:leftChars="539" w:hanging="708" w:hangingChars="29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其他不遵守评标纪律的行为。</w:t>
      </w:r>
    </w:p>
    <w:p w14:paraId="0B79D909">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bookmarkStart w:id="167" w:name="_Toc195921842"/>
      <w:r>
        <w:rPr>
          <w:rFonts w:hint="eastAsia" w:ascii="宋体" w:hAnsi="宋体" w:eastAsia="宋体" w:cs="宋体"/>
          <w:color w:val="auto"/>
          <w:kern w:val="0"/>
          <w:sz w:val="24"/>
          <w:szCs w:val="24"/>
          <w:highlight w:val="none"/>
        </w:rPr>
        <w:t>对与评标活动有关的工作人员的纪律要求</w:t>
      </w:r>
      <w:bookmarkEnd w:id="167"/>
    </w:p>
    <w:p w14:paraId="1AA727FE">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28A92DE9">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920" w:hanging="1920" w:hangingChars="800"/>
        <w:textAlignment w:val="auto"/>
        <w:rPr>
          <w:rFonts w:hint="eastAsia" w:ascii="宋体" w:hAnsi="宋体" w:eastAsia="宋体" w:cs="宋体"/>
          <w:color w:val="auto"/>
          <w:kern w:val="0"/>
          <w:sz w:val="24"/>
          <w:szCs w:val="24"/>
          <w:highlight w:val="none"/>
        </w:rPr>
      </w:pPr>
      <w:bookmarkStart w:id="168" w:name="_Toc195921843"/>
      <w:r>
        <w:rPr>
          <w:rFonts w:hint="eastAsia" w:ascii="宋体" w:hAnsi="宋体" w:eastAsia="宋体" w:cs="宋体"/>
          <w:color w:val="auto"/>
          <w:kern w:val="0"/>
          <w:sz w:val="24"/>
          <w:szCs w:val="24"/>
          <w:highlight w:val="none"/>
        </w:rPr>
        <w:t>投诉</w:t>
      </w:r>
      <w:bookmarkEnd w:id="168"/>
    </w:p>
    <w:p w14:paraId="3BE2902F">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投标人和其他利害关系人认为本次招标活动违反法律、法规和规章规定的，有权向有关行政监督部门投诉。</w:t>
      </w:r>
    </w:p>
    <w:p w14:paraId="24F9929A">
      <w:pPr>
        <w:keepNext w:val="0"/>
        <w:keepLines w:val="0"/>
        <w:pageBreakBefore w:val="0"/>
        <w:widowControl w:val="0"/>
        <w:numPr>
          <w:ilvl w:val="0"/>
          <w:numId w:val="4"/>
        </w:numPr>
        <w:kinsoku/>
        <w:wordWrap/>
        <w:overflowPunct/>
        <w:topLinePunct w:val="0"/>
        <w:autoSpaceDE w:val="0"/>
        <w:autoSpaceDN w:val="0"/>
        <w:bidi w:val="0"/>
        <w:adjustRightInd w:val="0"/>
        <w:spacing w:line="360" w:lineRule="auto"/>
        <w:textAlignment w:val="auto"/>
        <w:outlineLvl w:val="2"/>
        <w:rPr>
          <w:rFonts w:hint="eastAsia" w:ascii="宋体" w:hAnsi="宋体" w:eastAsia="宋体" w:cs="宋体"/>
          <w:color w:val="auto"/>
          <w:kern w:val="0"/>
          <w:sz w:val="24"/>
          <w:szCs w:val="24"/>
          <w:highlight w:val="none"/>
        </w:rPr>
      </w:pPr>
      <w:bookmarkStart w:id="169" w:name="_Toc29652"/>
      <w:bookmarkStart w:id="170" w:name="_Toc19571"/>
      <w:bookmarkStart w:id="171" w:name="_Toc195921844"/>
      <w:r>
        <w:rPr>
          <w:rFonts w:hint="eastAsia" w:ascii="宋体" w:hAnsi="宋体" w:eastAsia="宋体" w:cs="宋体"/>
          <w:color w:val="auto"/>
          <w:kern w:val="0"/>
          <w:sz w:val="24"/>
          <w:szCs w:val="24"/>
          <w:highlight w:val="none"/>
        </w:rPr>
        <w:t>需要补充的其他内容</w:t>
      </w:r>
      <w:bookmarkEnd w:id="169"/>
      <w:bookmarkEnd w:id="170"/>
      <w:bookmarkEnd w:id="171"/>
    </w:p>
    <w:p w14:paraId="4FDF43CF">
      <w:pPr>
        <w:keepNext w:val="0"/>
        <w:keepLines w:val="0"/>
        <w:pageBreakBefore w:val="0"/>
        <w:widowControl w:val="0"/>
        <w:numPr>
          <w:ilvl w:val="0"/>
          <w:numId w:val="0"/>
        </w:numPr>
        <w:tabs>
          <w:tab w:val="left" w:pos="1843"/>
        </w:tabs>
        <w:kinsoku/>
        <w:wordWrap/>
        <w:overflowPunct/>
        <w:topLinePunct w:val="0"/>
        <w:autoSpaceDE w:val="0"/>
        <w:autoSpaceDN w:val="0"/>
        <w:bidi w:val="0"/>
        <w:adjustRightInd w:val="0"/>
        <w:snapToGrid w:val="0"/>
        <w:spacing w:line="360" w:lineRule="auto"/>
        <w:ind w:left="1021" w:left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需要补充的其他内容：见投标人须知前附表。</w:t>
      </w:r>
    </w:p>
    <w:p w14:paraId="17EA8092">
      <w:pPr>
        <w:keepNext w:val="0"/>
        <w:keepLines w:val="0"/>
        <w:pageBreakBefore w:val="0"/>
        <w:widowControl w:val="0"/>
        <w:numPr>
          <w:ilvl w:val="0"/>
          <w:numId w:val="4"/>
        </w:numPr>
        <w:kinsoku/>
        <w:wordWrap/>
        <w:overflowPunct/>
        <w:topLinePunct w:val="0"/>
        <w:autoSpaceDE w:val="0"/>
        <w:autoSpaceDN w:val="0"/>
        <w:bidi w:val="0"/>
        <w:adjustRightInd w:val="0"/>
        <w:spacing w:line="360" w:lineRule="auto"/>
        <w:textAlignment w:val="auto"/>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关于中小企业</w:t>
      </w:r>
    </w:p>
    <w:p w14:paraId="4D147111">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1A0BDB35">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符合中小企业划分标准的个体工商户，在政府采购活动中视同中小企业。</w:t>
      </w:r>
    </w:p>
    <w:p w14:paraId="6823E569">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在政府采购活动中，</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提供的货物、工程或者服务符合下列情形的，享受《关于印发&lt;政府采购促进中小企业发展管理办法&gt;的通知》（财库〔2020〕46号）规定的中小企业扶持政策：</w:t>
      </w:r>
    </w:p>
    <w:p w14:paraId="4270D438">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（一）在货物采购项目中，货物由中小企业制造，即货物由中小企业生产且使用该中小企业商号或者注册商标；</w:t>
      </w:r>
    </w:p>
    <w:p w14:paraId="66ED070A">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（二）在工程采购项目中，工程由中小企业承建，即工程施工单位为中小企业；</w:t>
      </w:r>
    </w:p>
    <w:p w14:paraId="37FE61DA">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（三）在服务采购项目中，服务由中小企业承接，即提供服务的人员为中小企业依照《中华人民共和国劳动合同法》订立劳动合同的从业人员。</w:t>
      </w:r>
    </w:p>
    <w:p w14:paraId="08BDA8C2">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在货物采购项目中，</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提供的货物既有中小企业制造货物，也有大型企业制造货物的，不享受本办法规定的中小企业扶持政策。</w:t>
      </w:r>
    </w:p>
    <w:p w14:paraId="6A07C31D">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以联合体形式参加政府采购活动，联合体各方均为中小企业的，联合体视同中小企业。其中，联合体各方均为小微企业的,联合体视同小微企业。</w:t>
      </w:r>
    </w:p>
    <w:p w14:paraId="3B0CC67B">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中小企业参加政府采购活动，应当出具《关于印发&lt;政府采购促进中小企业发展管理办法&gt;的通知》（财库〔2020〕46号）规定的《中小企业声明函》，否则不得享受相关中小企业扶持政策。</w:t>
      </w:r>
    </w:p>
    <w:p w14:paraId="4B3C0A0D">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规定依据《关于印发&lt;政府采购促进中小企业发展管理办法&gt;的通知》（财库〔2020〕46号）规定享受扶持政策获得政府采购合同的，小微企业不得将合同分包给大中型企业，中型企业不得将合同分包给大型企业。</w:t>
      </w:r>
    </w:p>
    <w:p w14:paraId="48DCF638">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中标、</w:t>
      </w:r>
      <w:r>
        <w:rPr>
          <w:rFonts w:hint="eastAsia" w:ascii="宋体" w:hAnsi="宋体" w:eastAsia="宋体" w:cs="宋体"/>
          <w:color w:val="auto"/>
          <w:kern w:val="0"/>
          <w:sz w:val="24"/>
          <w:szCs w:val="24"/>
          <w:highlight w:val="none"/>
          <w:lang w:eastAsia="zh-CN"/>
        </w:rPr>
        <w:t>中标人</w:t>
      </w:r>
      <w:r>
        <w:rPr>
          <w:rFonts w:hint="eastAsia" w:ascii="宋体" w:hAnsi="宋体" w:eastAsia="宋体" w:cs="宋体"/>
          <w:color w:val="auto"/>
          <w:kern w:val="0"/>
          <w:sz w:val="24"/>
          <w:szCs w:val="24"/>
          <w:highlight w:val="none"/>
        </w:rPr>
        <w:t>享受本办法规定的中小企业扶持政策的，采购人、采购代理机构应当随中标、成交结果公开中标、</w:t>
      </w:r>
      <w:r>
        <w:rPr>
          <w:rFonts w:hint="eastAsia" w:ascii="宋体" w:hAnsi="宋体" w:eastAsia="宋体" w:cs="宋体"/>
          <w:color w:val="auto"/>
          <w:kern w:val="0"/>
          <w:sz w:val="24"/>
          <w:szCs w:val="24"/>
          <w:highlight w:val="none"/>
          <w:lang w:eastAsia="zh-CN"/>
        </w:rPr>
        <w:t>中标人</w:t>
      </w:r>
      <w:r>
        <w:rPr>
          <w:rFonts w:hint="eastAsia" w:ascii="宋体" w:hAnsi="宋体" w:eastAsia="宋体" w:cs="宋体"/>
          <w:color w:val="auto"/>
          <w:kern w:val="0"/>
          <w:sz w:val="24"/>
          <w:szCs w:val="24"/>
          <w:highlight w:val="none"/>
        </w:rPr>
        <w:t>的《中小企业声明函》。</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按照本办法规定提供声明函内容不实的，属于提供虚假材料谋取中标、成交，依照《中华人民共和国政府采购法》等国家有关规定追究相应责任。</w:t>
      </w:r>
    </w:p>
    <w:p w14:paraId="5B5052ED">
      <w:pPr>
        <w:keepNext w:val="0"/>
        <w:keepLines w:val="0"/>
        <w:pageBreakBefore w:val="0"/>
        <w:widowControl w:val="0"/>
        <w:numPr>
          <w:ilvl w:val="0"/>
          <w:numId w:val="4"/>
        </w:numPr>
        <w:kinsoku/>
        <w:wordWrap/>
        <w:overflowPunct/>
        <w:topLinePunct w:val="0"/>
        <w:autoSpaceDE w:val="0"/>
        <w:autoSpaceDN w:val="0"/>
        <w:bidi w:val="0"/>
        <w:adjustRightInd w:val="0"/>
        <w:spacing w:line="360" w:lineRule="auto"/>
        <w:textAlignment w:val="auto"/>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关于节能产品及环境标志产品</w:t>
      </w:r>
    </w:p>
    <w:p w14:paraId="485D4FB4">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根据《财政部 发展改革委 生态环境部 市场监管总局 关于调整优化节能产品、环境标志产品政府采购执行机制的通知》（财库〔2019〕9号），对政府采购节能产品、环境标志产品实施品目清单管理。</w:t>
      </w:r>
    </w:p>
    <w:p w14:paraId="5F93BF42">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节能产品是指列入财政部和发展改革委公布的《关于印发节能产品政府采购品目清单的通知》（财库〔2019〕19号）《节能产品政府采购品目清单》中的产品，其中以“★”标注的为政府强制采购产品。</w:t>
      </w:r>
    </w:p>
    <w:p w14:paraId="530FD49C">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环境标志产品是指列入财政部和生态环境部公布的《关于印发环境标志产品政府采购品目清单的通知》（财库〔2019〕18号）《环境标志产品政府采购品目清单》中的产品。</w:t>
      </w:r>
    </w:p>
    <w:p w14:paraId="4843AA8B">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产品属于节能产品或环境标志产品的，</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需在</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458DA7DD">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若</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在</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中未提供或未按要求提供产品经国家确定的参与实施政府采购节能产品认证机构或参与实施政府采购环境标志产品认证机构出具的、处于有效期之内的节能产品、环境标志产品认证证书，在评审过程中将不予认可，由此造成的一切后果</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自行承担。</w:t>
      </w:r>
    </w:p>
    <w:p w14:paraId="2207CD6F">
      <w:pPr>
        <w:keepNext w:val="0"/>
        <w:keepLines w:val="0"/>
        <w:pageBreakBefore w:val="0"/>
        <w:widowControl w:val="0"/>
        <w:numPr>
          <w:ilvl w:val="0"/>
          <w:numId w:val="4"/>
        </w:numPr>
        <w:kinsoku/>
        <w:wordWrap/>
        <w:overflowPunct/>
        <w:topLinePunct w:val="0"/>
        <w:autoSpaceDE w:val="0"/>
        <w:autoSpaceDN w:val="0"/>
        <w:bidi w:val="0"/>
        <w:adjustRightInd w:val="0"/>
        <w:spacing w:line="360" w:lineRule="auto"/>
        <w:textAlignment w:val="auto"/>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关于监狱企业</w:t>
      </w:r>
    </w:p>
    <w:p w14:paraId="49B5CAFA">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8C35E5F">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监狱企业参加政府采购活动时，应当提供由省级以上监狱管理局、戒毒管理局（含新疆生产建设兵团）出具的属于监狱企业的证明文件。</w:t>
      </w:r>
    </w:p>
    <w:p w14:paraId="404CB599">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在政府采购活动中，监狱企业视同小型、微型企业，享受预留份额、评审中价格扣除等政府采购促进中小企业发展的政府采购政策。</w:t>
      </w:r>
    </w:p>
    <w:p w14:paraId="5164746A">
      <w:pPr>
        <w:keepNext w:val="0"/>
        <w:keepLines w:val="0"/>
        <w:pageBreakBefore w:val="0"/>
        <w:widowControl w:val="0"/>
        <w:numPr>
          <w:ilvl w:val="0"/>
          <w:numId w:val="4"/>
        </w:numPr>
        <w:kinsoku/>
        <w:wordWrap/>
        <w:overflowPunct/>
        <w:topLinePunct w:val="0"/>
        <w:autoSpaceDE w:val="0"/>
        <w:autoSpaceDN w:val="0"/>
        <w:bidi w:val="0"/>
        <w:adjustRightInd w:val="0"/>
        <w:spacing w:line="360" w:lineRule="auto"/>
        <w:textAlignment w:val="auto"/>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关于残疾人福利性单位</w:t>
      </w:r>
    </w:p>
    <w:p w14:paraId="29C61935">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根据《三部门联合发布关于促进残疾人就业政府采购政策的通知》（财库〔2017〕141号）的规定，享受政府采购支持政策的残疾人福利性单位应当同时满足以下条件：</w:t>
      </w:r>
    </w:p>
    <w:p w14:paraId="681E44FF">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（一）安置的残疾人占本单位在职职工人数的比例不低于25%（含25%），并且安置的残疾人人数不少于10人（含10人）；</w:t>
      </w:r>
    </w:p>
    <w:p w14:paraId="14740B74">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（二）依法与安置的每位残疾人签订了一年以上（含一年）的劳动合同或服务协议；</w:t>
      </w:r>
    </w:p>
    <w:p w14:paraId="3F9A576F">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（三）为安置的每位残疾人按月足额缴纳了基本养老保险、基本医疗保险、失业保险、工伤保险和生育保险等社会保险费；</w:t>
      </w:r>
    </w:p>
    <w:p w14:paraId="05B475BB">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（四）通过银行等金融机构向安置的每位残疾人，按月支付了不低于单位所在区县适用的经省级人民政府批准的月最低工资标准的工资；</w:t>
      </w:r>
    </w:p>
    <w:p w14:paraId="75423371">
      <w:pPr>
        <w:keepNext w:val="0"/>
        <w:keepLines w:val="0"/>
        <w:pageBreakBefore w:val="0"/>
        <w:widowControl w:val="0"/>
        <w:tabs>
          <w:tab w:val="left" w:pos="1260"/>
        </w:tabs>
        <w:kinsoku/>
        <w:wordWrap/>
        <w:overflowPunct/>
        <w:topLinePunct w:val="0"/>
        <w:autoSpaceDE w:val="0"/>
        <w:autoSpaceDN w:val="0"/>
        <w:bidi w:val="0"/>
        <w:adjustRightInd w:val="0"/>
        <w:snapToGrid w:val="0"/>
        <w:spacing w:line="360" w:lineRule="auto"/>
        <w:ind w:left="1134"/>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（五）提供本单位制造的货物、承担的工程或者服务（以下简称产品），或者提供其他残疾人福利性单位制造的货物（不包括使用非残疾人福利性单位注册商标的货物）。</w:t>
      </w:r>
    </w:p>
    <w:p w14:paraId="18929865">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52A60CB">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2"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符合条件的残疾人福利性单位在参加政府采购活动时，应当按《三部门联合发布关于促进残疾人就业政府采购政策的通知》（财库〔2017〕141号）提供规定的《残疾人福利性单位声明函》，并对声明的真实性负责。</w:t>
      </w:r>
    </w:p>
    <w:p w14:paraId="525ACF0A">
      <w:pPr>
        <w:keepNext w:val="0"/>
        <w:keepLines w:val="0"/>
        <w:pageBreakBefore w:val="0"/>
        <w:widowControl w:val="0"/>
        <w:numPr>
          <w:ilvl w:val="1"/>
          <w:numId w:val="4"/>
        </w:numPr>
        <w:kinsoku/>
        <w:wordWrap/>
        <w:overflowPunct/>
        <w:topLinePunct w:val="0"/>
        <w:autoSpaceDE w:val="0"/>
        <w:autoSpaceDN w:val="0"/>
        <w:bidi w:val="0"/>
        <w:adjustRightInd w:val="0"/>
        <w:snapToGrid w:val="0"/>
        <w:spacing w:line="360" w:lineRule="auto"/>
        <w:ind w:left="1133" w:hanging="1137" w:hangingChars="472"/>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本项目针对残疾人福利性单位产品的价格给予10%的扣除，用扣除后的价格参与评审。</w:t>
      </w:r>
      <w:r>
        <w:rPr>
          <w:rFonts w:hint="eastAsia" w:ascii="宋体" w:hAnsi="宋体" w:eastAsia="宋体" w:cs="宋体"/>
          <w:color w:val="auto"/>
          <w:kern w:val="0"/>
          <w:sz w:val="24"/>
          <w:szCs w:val="24"/>
          <w:highlight w:val="none"/>
        </w:rPr>
        <w:t>残疾人福利性单位属于小型、微型企业的，不重复享受政策。</w:t>
      </w:r>
    </w:p>
    <w:p w14:paraId="7F7A681E">
      <w:pPr>
        <w:pStyle w:val="40"/>
        <w:ind w:left="0" w:leftChars="0" w:firstLine="0" w:firstLineChars="0"/>
        <w:jc w:val="both"/>
        <w:rPr>
          <w:color w:val="auto"/>
          <w:highlight w:val="none"/>
        </w:rPr>
      </w:pPr>
    </w:p>
    <w:p w14:paraId="5A4FA22B">
      <w:pPr>
        <w:pStyle w:val="2"/>
        <w:numPr>
          <w:ilvl w:val="0"/>
          <w:numId w:val="0"/>
        </w:numPr>
        <w:spacing w:line="360" w:lineRule="auto"/>
        <w:jc w:val="center"/>
        <w:rPr>
          <w:rFonts w:ascii="宋体" w:hAnsi="宋体" w:cs="黑体"/>
          <w:color w:val="auto"/>
          <w:kern w:val="0"/>
          <w:sz w:val="32"/>
          <w:szCs w:val="32"/>
          <w:highlight w:val="none"/>
        </w:rPr>
      </w:pPr>
      <w:r>
        <w:rPr>
          <w:color w:val="auto"/>
          <w:highlight w:val="none"/>
        </w:rPr>
        <w:br w:type="page"/>
      </w:r>
      <w:bookmarkStart w:id="172" w:name="_Toc195921851"/>
      <w:bookmarkStart w:id="173" w:name="_Toc29029"/>
      <w:bookmarkStart w:id="174" w:name="_Toc1666"/>
      <w:bookmarkStart w:id="175" w:name="_Toc18216"/>
      <w:bookmarkStart w:id="176" w:name="_Toc31916"/>
      <w:r>
        <w:rPr>
          <w:rFonts w:hint="eastAsia" w:ascii="黑体" w:hAnsi="黑体" w:eastAsia="黑体" w:cs="Times New Roman"/>
          <w:b/>
          <w:bCs/>
          <w:color w:val="auto"/>
          <w:kern w:val="44"/>
          <w:sz w:val="36"/>
          <w:szCs w:val="36"/>
          <w:highlight w:val="none"/>
          <w:lang w:val="en-US" w:eastAsia="zh-CN" w:bidi="ar-SA"/>
        </w:rPr>
        <w:t>第三章 资格审查、评标办法</w:t>
      </w:r>
      <w:bookmarkEnd w:id="172"/>
      <w:r>
        <w:rPr>
          <w:rFonts w:hint="eastAsia" w:ascii="黑体" w:hAnsi="黑体" w:eastAsia="黑体" w:cs="Times New Roman"/>
          <w:b/>
          <w:bCs/>
          <w:color w:val="auto"/>
          <w:kern w:val="44"/>
          <w:sz w:val="36"/>
          <w:szCs w:val="36"/>
          <w:highlight w:val="none"/>
          <w:lang w:val="en-US" w:eastAsia="zh-CN" w:bidi="ar-SA"/>
        </w:rPr>
        <w:t>和标准</w:t>
      </w:r>
      <w:bookmarkEnd w:id="173"/>
      <w:bookmarkEnd w:id="174"/>
      <w:bookmarkEnd w:id="175"/>
      <w:bookmarkEnd w:id="176"/>
    </w:p>
    <w:p w14:paraId="1C60F6F2">
      <w:pPr>
        <w:keepNext w:val="0"/>
        <w:keepLines w:val="0"/>
        <w:pageBreakBefore w:val="0"/>
        <w:widowControl w:val="0"/>
        <w:numPr>
          <w:ilvl w:val="0"/>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outlineLvl w:val="1"/>
        <w:rPr>
          <w:rFonts w:hint="eastAsia" w:ascii="宋体" w:hAnsi="宋体" w:eastAsia="宋体" w:cs="宋体"/>
          <w:color w:val="auto"/>
          <w:kern w:val="0"/>
          <w:sz w:val="24"/>
          <w:szCs w:val="24"/>
          <w:highlight w:val="none"/>
        </w:rPr>
      </w:pPr>
      <w:bookmarkStart w:id="177" w:name="_Toc31577"/>
      <w:bookmarkStart w:id="178" w:name="_Toc12877"/>
      <w:r>
        <w:rPr>
          <w:rFonts w:hint="eastAsia" w:ascii="宋体" w:hAnsi="宋体" w:eastAsia="宋体" w:cs="宋体"/>
          <w:color w:val="auto"/>
          <w:kern w:val="0"/>
          <w:sz w:val="24"/>
          <w:szCs w:val="24"/>
          <w:highlight w:val="none"/>
        </w:rPr>
        <w:t>资格审查及标准</w:t>
      </w:r>
      <w:bookmarkEnd w:id="177"/>
      <w:bookmarkEnd w:id="178"/>
    </w:p>
    <w:p w14:paraId="67EB3E8B">
      <w:pPr>
        <w:keepNext w:val="0"/>
        <w:keepLines w:val="0"/>
        <w:pageBreakBefore w:val="0"/>
        <w:widowControl w:val="0"/>
        <w:kinsoku/>
        <w:wordWrap/>
        <w:overflowPunct/>
        <w:topLinePunct w:val="0"/>
        <w:autoSpaceDE w:val="0"/>
        <w:autoSpaceDN w:val="0"/>
        <w:bidi w:val="0"/>
        <w:adjustRightInd w:val="0"/>
        <w:snapToGrid w:val="0"/>
        <w:spacing w:line="360" w:lineRule="auto"/>
        <w:ind w:left="991" w:leftChars="472"/>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详见投标人须知前附表6.1，由</w:t>
      </w:r>
      <w:r>
        <w:rPr>
          <w:rFonts w:hint="eastAsia" w:ascii="宋体" w:hAnsi="宋体" w:eastAsia="宋体" w:cs="宋体"/>
          <w:color w:val="auto"/>
          <w:kern w:val="0"/>
          <w:sz w:val="24"/>
          <w:szCs w:val="24"/>
          <w:highlight w:val="none"/>
        </w:rPr>
        <w:t>采购代理机构按附表一所列审查标准，对投标人资格进行审查，以确定投标人是否具备投标资格，投标人未通过资格审查的，其投标无效。</w:t>
      </w:r>
    </w:p>
    <w:p w14:paraId="177C71E8">
      <w:pPr>
        <w:keepNext w:val="0"/>
        <w:keepLines w:val="0"/>
        <w:pageBreakBefore w:val="0"/>
        <w:widowControl w:val="0"/>
        <w:kinsoku/>
        <w:wordWrap/>
        <w:overflowPunct/>
        <w:topLinePunct w:val="0"/>
        <w:autoSpaceDE w:val="0"/>
        <w:autoSpaceDN w:val="0"/>
        <w:bidi w:val="0"/>
        <w:adjustRightInd w:val="0"/>
        <w:snapToGrid w:val="0"/>
        <w:spacing w:line="360" w:lineRule="auto"/>
        <w:ind w:left="991" w:leftChars="472"/>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同品牌产品不同投标人的处理方式</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款规定处理。按上述条款执行后，有效投标人不足3家的，本项目应予废标。</w:t>
      </w:r>
    </w:p>
    <w:p w14:paraId="13DA7440">
      <w:pPr>
        <w:keepNext w:val="0"/>
        <w:keepLines w:val="0"/>
        <w:pageBreakBefore w:val="0"/>
        <w:widowControl w:val="0"/>
        <w:numPr>
          <w:ilvl w:val="0"/>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outlineLvl w:val="1"/>
        <w:rPr>
          <w:rFonts w:hint="eastAsia" w:ascii="宋体" w:hAnsi="宋体" w:eastAsia="宋体" w:cs="宋体"/>
          <w:color w:val="auto"/>
          <w:kern w:val="0"/>
          <w:sz w:val="24"/>
          <w:szCs w:val="24"/>
          <w:highlight w:val="none"/>
        </w:rPr>
      </w:pPr>
      <w:bookmarkStart w:id="179" w:name="_Toc25013"/>
      <w:bookmarkStart w:id="180" w:name="_Toc25398"/>
      <w:r>
        <w:rPr>
          <w:rFonts w:hint="eastAsia" w:ascii="宋体" w:hAnsi="宋体" w:eastAsia="宋体" w:cs="宋体"/>
          <w:color w:val="auto"/>
          <w:kern w:val="0"/>
          <w:sz w:val="24"/>
          <w:szCs w:val="24"/>
          <w:highlight w:val="none"/>
        </w:rPr>
        <w:t>评标方法</w:t>
      </w:r>
      <w:bookmarkEnd w:id="179"/>
      <w:bookmarkEnd w:id="180"/>
    </w:p>
    <w:p w14:paraId="51BE7A8B">
      <w:pPr>
        <w:keepNext w:val="0"/>
        <w:keepLines w:val="0"/>
        <w:pageBreakBefore w:val="0"/>
        <w:widowControl w:val="0"/>
        <w:kinsoku/>
        <w:wordWrap/>
        <w:overflowPunct/>
        <w:topLinePunct w:val="0"/>
        <w:autoSpaceDE w:val="0"/>
        <w:autoSpaceDN w:val="0"/>
        <w:bidi w:val="0"/>
        <w:adjustRightInd w:val="0"/>
        <w:snapToGrid w:val="0"/>
        <w:spacing w:line="360" w:lineRule="auto"/>
        <w:ind w:left="991" w:leftChars="472"/>
        <w:textAlignment w:val="auto"/>
        <w:rPr>
          <w:rFonts w:hint="eastAsia" w:ascii="宋体" w:hAnsi="宋体" w:eastAsia="宋体" w:cs="宋体"/>
          <w:color w:val="auto"/>
          <w:kern w:val="0"/>
          <w:sz w:val="24"/>
          <w:szCs w:val="24"/>
          <w:highlight w:val="none"/>
          <w:lang w:val="en-US" w:eastAsia="zh-CN"/>
        </w:rPr>
      </w:pPr>
      <w:bookmarkStart w:id="181" w:name="_Toc14616"/>
      <w:bookmarkStart w:id="182" w:name="_Toc12642"/>
      <w:bookmarkStart w:id="183" w:name="_Toc23815"/>
      <w:r>
        <w:rPr>
          <w:rFonts w:hint="eastAsia" w:ascii="宋体" w:hAnsi="宋体" w:eastAsia="宋体" w:cs="宋体"/>
          <w:color w:val="auto"/>
          <w:kern w:val="0"/>
          <w:sz w:val="24"/>
          <w:szCs w:val="24"/>
          <w:highlight w:val="none"/>
          <w:lang w:val="en-US" w:eastAsia="zh-CN"/>
        </w:rPr>
        <w:t>本次评标采用综合评分法。评标委员会对满足招标文件实质性要求的投标文件，按照本章第</w:t>
      </w:r>
      <w:r>
        <w:rPr>
          <w:rFonts w:hint="eastAsia" w:ascii="宋体" w:hAnsi="宋体" w:eastAsia="宋体" w:cs="宋体"/>
          <w:color w:val="auto"/>
          <w:kern w:val="0"/>
          <w:sz w:val="24"/>
          <w:szCs w:val="24"/>
          <w:highlight w:val="none"/>
          <w:lang w:val="en-US" w:eastAsia="zh-CN"/>
        </w:rPr>
        <w:fldChar w:fldCharType="begin"/>
      </w:r>
      <w:r>
        <w:rPr>
          <w:rFonts w:hint="eastAsia" w:ascii="宋体" w:hAnsi="宋体" w:eastAsia="宋体" w:cs="宋体"/>
          <w:color w:val="auto"/>
          <w:kern w:val="0"/>
          <w:sz w:val="24"/>
          <w:szCs w:val="24"/>
          <w:highlight w:val="none"/>
          <w:lang w:val="en-US" w:eastAsia="zh-CN"/>
        </w:rPr>
        <w:instrText xml:space="preserve"> REF _Ref507665740 \r \h </w:instrText>
      </w:r>
      <w:r>
        <w:rPr>
          <w:rFonts w:hint="eastAsia" w:ascii="宋体" w:hAnsi="宋体" w:eastAsia="宋体" w:cs="宋体"/>
          <w:color w:val="auto"/>
          <w:kern w:val="0"/>
          <w:sz w:val="24"/>
          <w:szCs w:val="24"/>
          <w:highlight w:val="none"/>
          <w:lang w:val="en-US" w:eastAsia="zh-CN"/>
        </w:rPr>
        <w:fldChar w:fldCharType="separate"/>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fldChar w:fldCharType="end"/>
      </w:r>
      <w:r>
        <w:rPr>
          <w:rFonts w:hint="eastAsia" w:ascii="宋体" w:hAnsi="宋体" w:eastAsia="宋体" w:cs="宋体"/>
          <w:color w:val="auto"/>
          <w:kern w:val="0"/>
          <w:sz w:val="24"/>
          <w:szCs w:val="24"/>
          <w:highlight w:val="none"/>
          <w:lang w:val="en-US" w:eastAsia="zh-CN"/>
        </w:rPr>
        <w:t>条规定的评审标准进行打分，并按得分由高到低顺序推荐中标候选人，或根据采购人授权直接确定中标人。</w:t>
      </w:r>
      <w:bookmarkEnd w:id="181"/>
      <w:bookmarkEnd w:id="182"/>
      <w:bookmarkEnd w:id="183"/>
      <w:r>
        <w:rPr>
          <w:rFonts w:hint="eastAsia" w:ascii="宋体" w:hAnsi="宋体" w:eastAsia="宋体" w:cs="宋体"/>
          <w:color w:val="auto"/>
          <w:kern w:val="0"/>
          <w:sz w:val="24"/>
          <w:szCs w:val="24"/>
          <w:highlight w:val="none"/>
          <w:lang w:val="en-US" w:eastAsia="zh-CN"/>
        </w:rPr>
        <w:t>得分相同的，按投标报价由低到高顺序排列。得分且投标报价相同的中标候选人并列的，按照技术及商务部分评审得分最高的投标人为排序在前。若商务及技术部分评审得分相同的，由采购人委托评标委员会全体成员无记名投票，得票多的排序在前。</w:t>
      </w:r>
    </w:p>
    <w:p w14:paraId="5513EBCD">
      <w:pPr>
        <w:keepNext w:val="0"/>
        <w:keepLines w:val="0"/>
        <w:pageBreakBefore w:val="0"/>
        <w:widowControl w:val="0"/>
        <w:numPr>
          <w:ilvl w:val="0"/>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outlineLvl w:val="1"/>
        <w:rPr>
          <w:rFonts w:hint="eastAsia" w:ascii="宋体" w:hAnsi="宋体" w:eastAsia="宋体" w:cs="宋体"/>
          <w:color w:val="auto"/>
          <w:kern w:val="0"/>
          <w:sz w:val="24"/>
          <w:szCs w:val="24"/>
          <w:highlight w:val="none"/>
        </w:rPr>
      </w:pPr>
      <w:bookmarkStart w:id="184" w:name="_Toc18507"/>
      <w:bookmarkStart w:id="185" w:name="_Toc12479"/>
      <w:r>
        <w:rPr>
          <w:rFonts w:hint="eastAsia" w:ascii="宋体" w:hAnsi="宋体" w:eastAsia="宋体" w:cs="宋体"/>
          <w:color w:val="auto"/>
          <w:kern w:val="0"/>
          <w:sz w:val="24"/>
          <w:szCs w:val="24"/>
          <w:highlight w:val="none"/>
        </w:rPr>
        <w:t>评审标准</w:t>
      </w:r>
      <w:bookmarkEnd w:id="184"/>
      <w:bookmarkEnd w:id="185"/>
    </w:p>
    <w:p w14:paraId="43F29864">
      <w:pPr>
        <w:keepNext w:val="0"/>
        <w:keepLines w:val="0"/>
        <w:pageBreakBefore w:val="0"/>
        <w:widowControl w:val="0"/>
        <w:numPr>
          <w:ilvl w:val="1"/>
          <w:numId w:val="7"/>
        </w:numPr>
        <w:tabs>
          <w:tab w:val="left" w:pos="993"/>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符合性评审标准：见附表二。投标人须满足附表二符合性审查表的全部内容，否则其投标无效。</w:t>
      </w:r>
    </w:p>
    <w:p w14:paraId="40FD1BA7">
      <w:pPr>
        <w:keepNext w:val="0"/>
        <w:keepLines w:val="0"/>
        <w:pageBreakBefore w:val="0"/>
        <w:widowControl w:val="0"/>
        <w:numPr>
          <w:ilvl w:val="1"/>
          <w:numId w:val="7"/>
        </w:numPr>
        <w:tabs>
          <w:tab w:val="left" w:pos="993"/>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分值构成</w:t>
      </w:r>
    </w:p>
    <w:p w14:paraId="1FF500A2">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2264" w:leftChars="514" w:hanging="1185" w:hangingChars="494"/>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分值构成：总分100分，其中</w:t>
      </w:r>
    </w:p>
    <w:p w14:paraId="7E9BA73B">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2409" w:leftChars="1147" w:firstLine="2" w:firstLineChars="1"/>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商务部分</w:t>
      </w:r>
      <w:r>
        <w:rPr>
          <w:rFonts w:hint="eastAsia" w:ascii="宋体" w:hAnsi="宋体" w:eastAsia="宋体" w:cs="宋体"/>
          <w:color w:val="auto"/>
          <w:kern w:val="0"/>
          <w:sz w:val="24"/>
          <w:szCs w:val="24"/>
          <w:highlight w:val="none"/>
          <w:lang w:val="en-US" w:eastAsia="zh-CN"/>
        </w:rPr>
        <w:t>得分</w:t>
      </w:r>
      <w:r>
        <w:rPr>
          <w:rFonts w:hint="eastAsia" w:ascii="宋体" w:hAnsi="宋体" w:eastAsia="宋体" w:cs="宋体"/>
          <w:color w:val="auto"/>
          <w:kern w:val="0"/>
          <w:sz w:val="24"/>
          <w:szCs w:val="24"/>
          <w:highlight w:val="none"/>
        </w:rPr>
        <w:t>（A）：</w:t>
      </w:r>
      <w:r>
        <w:rPr>
          <w:rFonts w:hint="eastAsia" w:ascii="宋体" w:hAnsi="宋体" w:cs="宋体"/>
          <w:color w:val="auto"/>
          <w:kern w:val="0"/>
          <w:sz w:val="24"/>
          <w:szCs w:val="24"/>
          <w:highlight w:val="none"/>
          <w:lang w:val="en-US" w:eastAsia="zh-CN"/>
        </w:rPr>
        <w:t>30</w:t>
      </w:r>
      <w:r>
        <w:rPr>
          <w:rFonts w:hint="eastAsia" w:ascii="宋体" w:hAnsi="宋体" w:eastAsia="宋体" w:cs="宋体"/>
          <w:color w:val="auto"/>
          <w:kern w:val="0"/>
          <w:sz w:val="24"/>
          <w:szCs w:val="24"/>
          <w:highlight w:val="none"/>
          <w:lang w:val="en-US" w:eastAsia="zh-CN"/>
        </w:rPr>
        <w:t>分；</w:t>
      </w:r>
    </w:p>
    <w:p w14:paraId="6CEC26C4">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2409" w:leftChars="1147" w:firstLine="2" w:firstLineChars="1"/>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技术部分</w:t>
      </w:r>
      <w:r>
        <w:rPr>
          <w:rFonts w:hint="eastAsia" w:ascii="宋体" w:hAnsi="宋体" w:eastAsia="宋体" w:cs="宋体"/>
          <w:color w:val="auto"/>
          <w:kern w:val="0"/>
          <w:sz w:val="24"/>
          <w:szCs w:val="24"/>
          <w:highlight w:val="none"/>
          <w:lang w:val="en-US" w:eastAsia="zh-CN"/>
        </w:rPr>
        <w:t>得分</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B</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60</w:t>
      </w:r>
      <w:r>
        <w:rPr>
          <w:rFonts w:hint="eastAsia" w:ascii="宋体" w:hAnsi="宋体" w:eastAsia="宋体" w:cs="宋体"/>
          <w:color w:val="auto"/>
          <w:kern w:val="0"/>
          <w:sz w:val="24"/>
          <w:szCs w:val="24"/>
          <w:highlight w:val="none"/>
          <w:lang w:val="en-US" w:eastAsia="zh-CN"/>
        </w:rPr>
        <w:t>分；</w:t>
      </w:r>
    </w:p>
    <w:p w14:paraId="6DEA9D3D">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2409" w:leftChars="1147" w:firstLine="2" w:firstLineChars="1"/>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报价部分</w:t>
      </w:r>
      <w:r>
        <w:rPr>
          <w:rFonts w:hint="eastAsia" w:ascii="宋体" w:hAnsi="宋体" w:eastAsia="宋体" w:cs="宋体"/>
          <w:color w:val="auto"/>
          <w:kern w:val="0"/>
          <w:sz w:val="24"/>
          <w:szCs w:val="24"/>
          <w:highlight w:val="none"/>
          <w:lang w:val="en-US" w:eastAsia="zh-CN"/>
        </w:rPr>
        <w:t>得分</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C</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分</w:t>
      </w:r>
      <w:r>
        <w:rPr>
          <w:rFonts w:hint="eastAsia" w:ascii="宋体" w:hAnsi="宋体" w:eastAsia="宋体" w:cs="宋体"/>
          <w:color w:val="auto"/>
          <w:kern w:val="0"/>
          <w:sz w:val="24"/>
          <w:szCs w:val="24"/>
          <w:highlight w:val="none"/>
        </w:rPr>
        <w:t>。</w:t>
      </w:r>
    </w:p>
    <w:p w14:paraId="443F373F">
      <w:pPr>
        <w:keepNext w:val="0"/>
        <w:keepLines w:val="0"/>
        <w:pageBreakBefore w:val="0"/>
        <w:widowControl w:val="0"/>
        <w:numPr>
          <w:ilvl w:val="1"/>
          <w:numId w:val="7"/>
        </w:numPr>
        <w:tabs>
          <w:tab w:val="left" w:pos="993"/>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4"/>
          <w:szCs w:val="24"/>
          <w:highlight w:val="none"/>
        </w:rPr>
      </w:pPr>
      <w:bookmarkStart w:id="186" w:name="_Ref426362114"/>
      <w:r>
        <w:rPr>
          <w:rFonts w:hint="eastAsia" w:ascii="宋体" w:hAnsi="宋体" w:eastAsia="宋体" w:cs="宋体"/>
          <w:color w:val="auto"/>
          <w:kern w:val="0"/>
          <w:sz w:val="24"/>
          <w:szCs w:val="24"/>
          <w:highlight w:val="none"/>
        </w:rPr>
        <w:t>商务和技术评审标准</w:t>
      </w:r>
      <w:bookmarkEnd w:id="186"/>
    </w:p>
    <w:p w14:paraId="39378F10">
      <w:pPr>
        <w:keepNext w:val="0"/>
        <w:keepLines w:val="0"/>
        <w:pageBreakBefore w:val="0"/>
        <w:widowControl w:val="0"/>
        <w:numPr>
          <w:ilvl w:val="2"/>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bookmarkStart w:id="187" w:name="_Ref426362140"/>
      <w:r>
        <w:rPr>
          <w:rFonts w:hint="eastAsia" w:ascii="宋体" w:hAnsi="宋体" w:eastAsia="宋体" w:cs="宋体"/>
          <w:color w:val="auto"/>
          <w:kern w:val="0"/>
          <w:sz w:val="24"/>
          <w:szCs w:val="24"/>
          <w:highlight w:val="none"/>
        </w:rPr>
        <w:t>商务部分评分标准：见附表</w:t>
      </w:r>
      <w:bookmarkEnd w:id="187"/>
      <w:r>
        <w:rPr>
          <w:rFonts w:hint="eastAsia" w:ascii="宋体" w:hAnsi="宋体" w:eastAsia="宋体" w:cs="宋体"/>
          <w:color w:val="auto"/>
          <w:kern w:val="0"/>
          <w:sz w:val="24"/>
          <w:szCs w:val="24"/>
          <w:highlight w:val="none"/>
        </w:rPr>
        <w:t>三</w:t>
      </w:r>
      <w:r>
        <w:rPr>
          <w:rFonts w:hint="eastAsia" w:ascii="宋体" w:hAnsi="宋体" w:eastAsia="宋体" w:cs="宋体"/>
          <w:color w:val="auto"/>
          <w:kern w:val="0"/>
          <w:sz w:val="24"/>
          <w:szCs w:val="24"/>
          <w:highlight w:val="none"/>
          <w:lang w:eastAsia="zh-CN"/>
        </w:rPr>
        <w:t>。</w:t>
      </w:r>
    </w:p>
    <w:p w14:paraId="2C53A625">
      <w:pPr>
        <w:keepNext w:val="0"/>
        <w:keepLines w:val="0"/>
        <w:pageBreakBefore w:val="0"/>
        <w:widowControl w:val="0"/>
        <w:numPr>
          <w:ilvl w:val="2"/>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bookmarkStart w:id="188" w:name="_Ref426362158"/>
      <w:r>
        <w:rPr>
          <w:rFonts w:hint="eastAsia" w:ascii="宋体" w:hAnsi="宋体" w:eastAsia="宋体" w:cs="宋体"/>
          <w:color w:val="auto"/>
          <w:kern w:val="0"/>
          <w:sz w:val="24"/>
          <w:szCs w:val="24"/>
          <w:highlight w:val="none"/>
        </w:rPr>
        <w:t>技术部分评分标准：见附表</w:t>
      </w:r>
      <w:bookmarkEnd w:id="188"/>
      <w:r>
        <w:rPr>
          <w:rFonts w:hint="eastAsia" w:ascii="宋体" w:hAnsi="宋体" w:cs="宋体"/>
          <w:color w:val="auto"/>
          <w:kern w:val="0"/>
          <w:sz w:val="24"/>
          <w:szCs w:val="24"/>
          <w:highlight w:val="none"/>
          <w:lang w:eastAsia="zh-CN"/>
        </w:rPr>
        <w:t>三</w:t>
      </w:r>
      <w:r>
        <w:rPr>
          <w:rFonts w:hint="eastAsia" w:ascii="宋体" w:hAnsi="宋体" w:eastAsia="宋体" w:cs="宋体"/>
          <w:color w:val="auto"/>
          <w:kern w:val="0"/>
          <w:sz w:val="24"/>
          <w:szCs w:val="24"/>
          <w:highlight w:val="none"/>
          <w:lang w:eastAsia="zh-CN"/>
        </w:rPr>
        <w:t>。</w:t>
      </w:r>
    </w:p>
    <w:p w14:paraId="106F34AF">
      <w:pPr>
        <w:keepNext w:val="0"/>
        <w:keepLines w:val="0"/>
        <w:pageBreakBefore w:val="0"/>
        <w:widowControl w:val="0"/>
        <w:numPr>
          <w:ilvl w:val="2"/>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bookmarkStart w:id="189" w:name="_Ref426362176"/>
      <w:r>
        <w:rPr>
          <w:rFonts w:hint="eastAsia" w:ascii="宋体" w:hAnsi="宋体" w:eastAsia="宋体" w:cs="宋体"/>
          <w:color w:val="auto"/>
          <w:kern w:val="0"/>
          <w:sz w:val="24"/>
          <w:szCs w:val="24"/>
          <w:highlight w:val="none"/>
        </w:rPr>
        <w:t>投标报价评分标准：</w:t>
      </w:r>
      <w:bookmarkEnd w:id="189"/>
    </w:p>
    <w:p w14:paraId="2A6D4A74">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1696" w:leftChars="513" w:hanging="619" w:hangingChars="258"/>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（1）根据《政府采购促进中小企业发展</w:t>
      </w:r>
      <w:r>
        <w:rPr>
          <w:rFonts w:hint="eastAsia" w:ascii="宋体" w:hAnsi="宋体" w:eastAsia="宋体" w:cs="宋体"/>
          <w:color w:val="auto"/>
          <w:kern w:val="0"/>
          <w:sz w:val="24"/>
          <w:szCs w:val="24"/>
          <w:highlight w:val="none"/>
          <w:lang w:val="en-US" w:eastAsia="zh-CN"/>
        </w:rPr>
        <w:t>管理</w:t>
      </w:r>
      <w:r>
        <w:rPr>
          <w:rFonts w:hint="eastAsia" w:ascii="宋体" w:hAnsi="宋体" w:eastAsia="宋体" w:cs="宋体"/>
          <w:color w:val="auto"/>
          <w:kern w:val="0"/>
          <w:sz w:val="24"/>
          <w:szCs w:val="24"/>
          <w:highlight w:val="none"/>
        </w:rPr>
        <w:t>办法》（财库〔20</w:t>
      </w:r>
      <w:r>
        <w:rPr>
          <w:rFonts w:hint="eastAsia" w:ascii="宋体" w:hAnsi="宋体" w:eastAsia="宋体" w:cs="宋体"/>
          <w:color w:val="auto"/>
          <w:kern w:val="0"/>
          <w:sz w:val="24"/>
          <w:szCs w:val="24"/>
          <w:highlight w:val="none"/>
          <w:lang w:val="en-US" w:eastAsia="zh-CN"/>
        </w:rPr>
        <w:t>20</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46</w:t>
      </w:r>
      <w:r>
        <w:rPr>
          <w:rFonts w:hint="eastAsia" w:ascii="宋体" w:hAnsi="宋体" w:eastAsia="宋体" w:cs="宋体"/>
          <w:color w:val="auto"/>
          <w:kern w:val="0"/>
          <w:sz w:val="24"/>
          <w:szCs w:val="24"/>
          <w:highlight w:val="none"/>
        </w:rPr>
        <w:t>号）</w:t>
      </w:r>
      <w:r>
        <w:rPr>
          <w:rFonts w:hint="eastAsia" w:ascii="宋体" w:hAnsi="宋体" w:eastAsia="宋体" w:cs="宋体"/>
          <w:color w:val="auto"/>
          <w:kern w:val="0"/>
          <w:sz w:val="24"/>
          <w:szCs w:val="24"/>
          <w:highlight w:val="none"/>
          <w:lang w:val="en-US" w:eastAsia="zh-CN"/>
        </w:rPr>
        <w:t>及《财政部关于进一步加大政府采购支持中小企业力度的通知》（财库〔2022〕19号)</w:t>
      </w:r>
      <w:r>
        <w:rPr>
          <w:rFonts w:hint="eastAsia" w:ascii="宋体" w:hAnsi="宋体" w:eastAsia="宋体" w:cs="宋体"/>
          <w:color w:val="auto"/>
          <w:kern w:val="0"/>
          <w:sz w:val="24"/>
          <w:szCs w:val="24"/>
          <w:highlight w:val="none"/>
        </w:rPr>
        <w:t>调整投标人参与评标的价格</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用扣除后的价格参加评审</w:t>
      </w:r>
      <w:r>
        <w:rPr>
          <w:rFonts w:hint="eastAsia" w:ascii="宋体" w:hAnsi="宋体" w:eastAsia="宋体" w:cs="宋体"/>
          <w:color w:val="auto"/>
          <w:kern w:val="0"/>
          <w:sz w:val="24"/>
          <w:szCs w:val="24"/>
          <w:highlight w:val="none"/>
        </w:rPr>
        <w:t>。（非专门面向中小企业的项目）</w:t>
      </w:r>
    </w:p>
    <w:p w14:paraId="5AE80E52">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1699" w:leftChars="809"/>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对小型和微型企业</w:t>
      </w:r>
      <w:r>
        <w:rPr>
          <w:rFonts w:hint="eastAsia" w:ascii="宋体" w:hAnsi="宋体" w:eastAsia="宋体" w:cs="宋体"/>
          <w:b/>
          <w:bCs/>
          <w:color w:val="auto"/>
          <w:kern w:val="0"/>
          <w:sz w:val="24"/>
          <w:szCs w:val="24"/>
          <w:highlight w:val="none"/>
          <w:lang w:val="en-US" w:eastAsia="zh-CN"/>
        </w:rPr>
        <w:t>报价</w:t>
      </w:r>
      <w:r>
        <w:rPr>
          <w:rFonts w:hint="eastAsia" w:ascii="宋体" w:hAnsi="宋体" w:eastAsia="宋体" w:cs="宋体"/>
          <w:b/>
          <w:bCs/>
          <w:color w:val="auto"/>
          <w:kern w:val="0"/>
          <w:sz w:val="24"/>
          <w:szCs w:val="24"/>
          <w:highlight w:val="none"/>
        </w:rPr>
        <w:t>给予</w:t>
      </w:r>
      <w:r>
        <w:rPr>
          <w:rFonts w:hint="eastAsia" w:ascii="宋体" w:hAnsi="宋体" w:eastAsia="宋体" w:cs="宋体"/>
          <w:b/>
          <w:bCs/>
          <w:color w:val="auto"/>
          <w:kern w:val="0"/>
          <w:sz w:val="24"/>
          <w:szCs w:val="24"/>
          <w:highlight w:val="none"/>
          <w:lang w:val="en-US" w:eastAsia="zh-CN"/>
        </w:rPr>
        <w:t>10</w:t>
      </w:r>
      <w:r>
        <w:rPr>
          <w:rFonts w:hint="eastAsia" w:ascii="宋体" w:hAnsi="宋体" w:eastAsia="宋体" w:cs="宋体"/>
          <w:b/>
          <w:bCs/>
          <w:color w:val="auto"/>
          <w:kern w:val="0"/>
          <w:sz w:val="24"/>
          <w:szCs w:val="24"/>
          <w:highlight w:val="none"/>
        </w:rPr>
        <w:t>%的扣除。</w:t>
      </w:r>
      <w:r>
        <w:rPr>
          <w:rFonts w:hint="eastAsia" w:ascii="宋体" w:hAnsi="宋体" w:eastAsia="宋体" w:cs="宋体"/>
          <w:color w:val="auto"/>
          <w:kern w:val="0"/>
          <w:sz w:val="24"/>
          <w:szCs w:val="24"/>
          <w:highlight w:val="none"/>
        </w:rPr>
        <w:t>或</w:t>
      </w:r>
      <w:r>
        <w:rPr>
          <w:rFonts w:hint="eastAsia" w:ascii="宋体" w:hAnsi="宋体" w:eastAsia="宋体" w:cs="宋体"/>
          <w:color w:val="auto"/>
          <w:kern w:val="0"/>
          <w:sz w:val="24"/>
          <w:szCs w:val="24"/>
          <w:highlight w:val="none"/>
          <w:lang w:val="en-US" w:eastAsia="zh-CN"/>
        </w:rPr>
        <w:t>大中型企业与小型、微型企业组成联合体，联合协议约定</w:t>
      </w:r>
      <w:r>
        <w:rPr>
          <w:rFonts w:hint="eastAsia" w:ascii="宋体" w:hAnsi="宋体" w:eastAsia="宋体" w:cs="宋体"/>
          <w:color w:val="auto"/>
          <w:kern w:val="0"/>
          <w:sz w:val="24"/>
          <w:szCs w:val="24"/>
          <w:highlight w:val="none"/>
        </w:rPr>
        <w:t>小型、微型企业的合同</w:t>
      </w:r>
      <w:r>
        <w:rPr>
          <w:rFonts w:hint="eastAsia" w:ascii="宋体" w:hAnsi="宋体" w:eastAsia="宋体" w:cs="宋体"/>
          <w:color w:val="auto"/>
          <w:kern w:val="0"/>
          <w:sz w:val="24"/>
          <w:szCs w:val="24"/>
          <w:highlight w:val="none"/>
          <w:lang w:val="en-US" w:eastAsia="zh-CN"/>
        </w:rPr>
        <w:t>份</w:t>
      </w:r>
      <w:r>
        <w:rPr>
          <w:rFonts w:hint="eastAsia" w:ascii="宋体" w:hAnsi="宋体" w:eastAsia="宋体" w:cs="宋体"/>
          <w:color w:val="auto"/>
          <w:kern w:val="0"/>
          <w:sz w:val="24"/>
          <w:szCs w:val="24"/>
          <w:highlight w:val="none"/>
        </w:rPr>
        <w:t>额占到合同总金额30%以上的，联合体</w:t>
      </w:r>
      <w:r>
        <w:rPr>
          <w:rFonts w:hint="eastAsia" w:ascii="宋体" w:hAnsi="宋体" w:eastAsia="宋体" w:cs="宋体"/>
          <w:color w:val="auto"/>
          <w:kern w:val="0"/>
          <w:sz w:val="24"/>
          <w:szCs w:val="24"/>
          <w:highlight w:val="none"/>
          <w:lang w:val="en-US" w:eastAsia="zh-CN"/>
        </w:rPr>
        <w:t>的报价给予/</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%至</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%）的扣除。</w:t>
      </w:r>
    </w:p>
    <w:p w14:paraId="0518B7CE">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1699" w:leftChars="809"/>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分包意向协议约定小型、微型企业的合同份额占到合同总金额30%以上的，大中型企业的报价给予/%（4</w:t>
      </w:r>
      <w:r>
        <w:rPr>
          <w:rFonts w:hint="eastAsia" w:ascii="宋体" w:hAnsi="宋体" w:eastAsia="宋体" w:cs="宋体"/>
          <w:color w:val="auto"/>
          <w:kern w:val="0"/>
          <w:sz w:val="24"/>
          <w:szCs w:val="24"/>
          <w:highlight w:val="none"/>
        </w:rPr>
        <w:t>%至</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的扣除。</w:t>
      </w:r>
    </w:p>
    <w:p w14:paraId="600CED08">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1699" w:leftChars="809"/>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联合体各方均为小型、微型企业的，联合体视同小型、微型企业；</w:t>
      </w:r>
      <w:r>
        <w:rPr>
          <w:rFonts w:hint="eastAsia" w:ascii="宋体" w:hAnsi="宋体" w:eastAsia="宋体" w:cs="宋体"/>
          <w:color w:val="auto"/>
          <w:kern w:val="0"/>
          <w:sz w:val="24"/>
          <w:szCs w:val="24"/>
          <w:highlight w:val="none"/>
        </w:rPr>
        <w:t>监狱企业、残疾人福利性单位视同小微企业；监狱企业、残疾人福利性单位属于小型、微型企业的，不重复享受政策。</w:t>
      </w:r>
    </w:p>
    <w:p w14:paraId="7512ECD2">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2041" w:leftChars="515" w:hanging="960" w:hangingChars="4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（2）评标基准价</w:t>
      </w:r>
    </w:p>
    <w:p w14:paraId="0978FA75">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1699" w:leftChars="809"/>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有效投标文件中的并3.3.3项（1）进行调整的最低报价为评标基准价。</w:t>
      </w:r>
    </w:p>
    <w:p w14:paraId="0E130F29">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2041" w:leftChars="515" w:hanging="960" w:hangingChars="4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（3）投标人报价（按3.3.3项（1）进行调整后价格）得分：</w:t>
      </w:r>
    </w:p>
    <w:p w14:paraId="094AA1AE">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2041" w:leftChars="810" w:hanging="340" w:hangingChars="141"/>
        <w:jc w:val="left"/>
        <w:textAlignment w:val="auto"/>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投标报价得分=(评标基准价／投标报价)×</w:t>
      </w:r>
      <w:r>
        <w:rPr>
          <w:rFonts w:hint="eastAsia" w:ascii="宋体" w:hAnsi="宋体" w:cs="宋体"/>
          <w:b/>
          <w:bCs/>
          <w:color w:val="auto"/>
          <w:kern w:val="0"/>
          <w:sz w:val="24"/>
          <w:szCs w:val="24"/>
          <w:highlight w:val="none"/>
          <w:lang w:val="en-US" w:eastAsia="zh-CN"/>
        </w:rPr>
        <w:t>10</w:t>
      </w:r>
    </w:p>
    <w:p w14:paraId="74141C43">
      <w:pPr>
        <w:keepNext w:val="0"/>
        <w:keepLines w:val="0"/>
        <w:pageBreakBefore w:val="0"/>
        <w:widowControl w:val="0"/>
        <w:numPr>
          <w:ilvl w:val="0"/>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outlineLvl w:val="1"/>
        <w:rPr>
          <w:rFonts w:hint="eastAsia" w:ascii="宋体" w:hAnsi="宋体" w:eastAsia="宋体" w:cs="宋体"/>
          <w:color w:val="auto"/>
          <w:kern w:val="0"/>
          <w:sz w:val="24"/>
          <w:szCs w:val="24"/>
          <w:highlight w:val="none"/>
        </w:rPr>
      </w:pPr>
      <w:bookmarkStart w:id="190" w:name="_Toc17270"/>
      <w:bookmarkStart w:id="191" w:name="_Toc18443"/>
      <w:r>
        <w:rPr>
          <w:rFonts w:hint="eastAsia" w:ascii="宋体" w:hAnsi="宋体" w:eastAsia="宋体" w:cs="宋体"/>
          <w:color w:val="auto"/>
          <w:kern w:val="0"/>
          <w:sz w:val="24"/>
          <w:szCs w:val="24"/>
          <w:highlight w:val="none"/>
        </w:rPr>
        <w:t>评审程序</w:t>
      </w:r>
      <w:bookmarkEnd w:id="190"/>
      <w:bookmarkEnd w:id="191"/>
    </w:p>
    <w:p w14:paraId="3B49EDFD">
      <w:pPr>
        <w:keepNext w:val="0"/>
        <w:keepLines w:val="0"/>
        <w:pageBreakBefore w:val="0"/>
        <w:widowControl w:val="0"/>
        <w:numPr>
          <w:ilvl w:val="1"/>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符合性检查。</w:t>
      </w:r>
    </w:p>
    <w:p w14:paraId="03A99E8C">
      <w:pPr>
        <w:keepNext w:val="0"/>
        <w:keepLines w:val="0"/>
        <w:pageBreakBefore w:val="0"/>
        <w:widowControl w:val="0"/>
        <w:numPr>
          <w:ilvl w:val="2"/>
          <w:numId w:val="7"/>
        </w:numPr>
        <w:tabs>
          <w:tab w:val="left" w:pos="993"/>
          <w:tab w:val="left" w:pos="1077"/>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评标委员会按附表二所列标准，对投标文件的有效性、完整性和对招标文件的响应程度进行审查，以确定是否对招标文件的实质性要求作出响应。</w:t>
      </w:r>
    </w:p>
    <w:p w14:paraId="1DCD01E9">
      <w:pPr>
        <w:keepNext w:val="0"/>
        <w:keepLines w:val="0"/>
        <w:pageBreakBefore w:val="0"/>
        <w:widowControl w:val="0"/>
        <w:numPr>
          <w:ilvl w:val="2"/>
          <w:numId w:val="7"/>
        </w:numPr>
        <w:tabs>
          <w:tab w:val="left" w:pos="993"/>
          <w:tab w:val="left" w:pos="1077"/>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澄清有关问题。</w:t>
      </w:r>
    </w:p>
    <w:p w14:paraId="56A8EB89">
      <w:pPr>
        <w:keepNext w:val="0"/>
        <w:keepLines w:val="0"/>
        <w:pageBreakBefore w:val="0"/>
        <w:widowControl w:val="0"/>
        <w:tabs>
          <w:tab w:val="left" w:pos="993"/>
          <w:tab w:val="left" w:pos="1418"/>
        </w:tabs>
        <w:kinsoku/>
        <w:wordWrap/>
        <w:overflowPunct/>
        <w:topLinePunct w:val="0"/>
        <w:autoSpaceDE w:val="0"/>
        <w:autoSpaceDN w:val="0"/>
        <w:bidi w:val="0"/>
        <w:adjustRightInd w:val="0"/>
        <w:snapToGrid w:val="0"/>
        <w:spacing w:line="360" w:lineRule="auto"/>
        <w:ind w:left="1699" w:leftChars="472" w:hanging="708" w:hangingChars="29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对投标文件中含义不明确、同类问题表述不一致或者有明显文字和计算错误的内容，评标委员会可以书面形式要求投标人作出必要的澄清、说明或者纠正。投标人的澄清、说明或者补正应当采用书面形式，由其授权的代表签字，并不得超出投标文件的范围或者改变投标文件的实质性内容。</w:t>
      </w:r>
    </w:p>
    <w:p w14:paraId="583533D6">
      <w:pPr>
        <w:keepNext w:val="0"/>
        <w:keepLines w:val="0"/>
        <w:pageBreakBefore w:val="0"/>
        <w:widowControl w:val="0"/>
        <w:tabs>
          <w:tab w:val="left" w:pos="993"/>
          <w:tab w:val="left" w:pos="1418"/>
        </w:tabs>
        <w:kinsoku/>
        <w:wordWrap/>
        <w:overflowPunct/>
        <w:topLinePunct w:val="0"/>
        <w:autoSpaceDE w:val="0"/>
        <w:autoSpaceDN w:val="0"/>
        <w:bidi w:val="0"/>
        <w:adjustRightInd w:val="0"/>
        <w:snapToGrid w:val="0"/>
        <w:spacing w:line="360" w:lineRule="auto"/>
        <w:ind w:left="1699" w:leftChars="472" w:hanging="708" w:hangingChars="29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评标委员会不接受投标人主动提出的澄清、说明或补正。</w:t>
      </w:r>
    </w:p>
    <w:p w14:paraId="2043C197">
      <w:pPr>
        <w:keepNext w:val="0"/>
        <w:keepLines w:val="0"/>
        <w:pageBreakBefore w:val="0"/>
        <w:widowControl w:val="0"/>
        <w:tabs>
          <w:tab w:val="left" w:pos="993"/>
          <w:tab w:val="left" w:pos="1418"/>
        </w:tabs>
        <w:kinsoku/>
        <w:wordWrap/>
        <w:overflowPunct/>
        <w:topLinePunct w:val="0"/>
        <w:autoSpaceDE w:val="0"/>
        <w:autoSpaceDN w:val="0"/>
        <w:bidi w:val="0"/>
        <w:adjustRightInd w:val="0"/>
        <w:snapToGrid w:val="0"/>
        <w:spacing w:line="360" w:lineRule="auto"/>
        <w:ind w:left="1699" w:leftChars="472" w:hanging="708" w:hangingChars="29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投标人的书面澄清、说明和补正属于投标文件的组成部分。</w:t>
      </w:r>
    </w:p>
    <w:p w14:paraId="4272D879">
      <w:pPr>
        <w:keepNext w:val="0"/>
        <w:keepLines w:val="0"/>
        <w:pageBreakBefore w:val="0"/>
        <w:widowControl w:val="0"/>
        <w:tabs>
          <w:tab w:val="left" w:pos="993"/>
          <w:tab w:val="left" w:pos="1418"/>
        </w:tabs>
        <w:kinsoku/>
        <w:wordWrap/>
        <w:overflowPunct/>
        <w:topLinePunct w:val="0"/>
        <w:autoSpaceDE w:val="0"/>
        <w:autoSpaceDN w:val="0"/>
        <w:bidi w:val="0"/>
        <w:adjustRightInd w:val="0"/>
        <w:snapToGrid w:val="0"/>
        <w:spacing w:line="360" w:lineRule="auto"/>
        <w:ind w:left="1699" w:leftChars="472" w:hanging="708" w:hangingChars="29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评标委员会对投标人提交的澄清、说明或补正有疑问的，可以要求投标人进一步澄清、说明或补正，直至满足评标委员会的要求。</w:t>
      </w:r>
    </w:p>
    <w:p w14:paraId="49C08F50">
      <w:pPr>
        <w:keepNext w:val="0"/>
        <w:keepLines w:val="0"/>
        <w:pageBreakBefore w:val="0"/>
        <w:widowControl w:val="0"/>
        <w:numPr>
          <w:ilvl w:val="2"/>
          <w:numId w:val="7"/>
        </w:numPr>
        <w:tabs>
          <w:tab w:val="left" w:pos="993"/>
          <w:tab w:val="left" w:pos="1077"/>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投标文件报价出现前后不一致的，除招标文件另有规定外，按照下列规定修正：</w:t>
      </w:r>
    </w:p>
    <w:p w14:paraId="0E571D95">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1696" w:leftChars="513" w:hanging="619" w:hangingChars="258"/>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投标文件中开标一览表（报价表）内容与投标文件中相应内容不一致的，以开标一览表（报价表）为准；</w:t>
      </w:r>
    </w:p>
    <w:p w14:paraId="7BA3274C">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1696" w:leftChars="513" w:hanging="619" w:hangingChars="258"/>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大写金额和小写金额不一致的，以大写金额为准；</w:t>
      </w:r>
    </w:p>
    <w:p w14:paraId="7952B13F">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1696" w:leftChars="513" w:hanging="619" w:hangingChars="258"/>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单价金额小数点或者百分比有明显错位的，以开标一览表（报价表）的总价为准，并修改单价；</w:t>
      </w:r>
    </w:p>
    <w:p w14:paraId="1E51484D">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1696" w:leftChars="513" w:hanging="619" w:hangingChars="258"/>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总价金额与按单价汇总金额不一致的，以单价金额计算结果为准。</w:t>
      </w:r>
    </w:p>
    <w:p w14:paraId="42186520">
      <w:pPr>
        <w:keepNext w:val="0"/>
        <w:keepLines w:val="0"/>
        <w:pageBreakBefore w:val="0"/>
        <w:widowControl w:val="0"/>
        <w:tabs>
          <w:tab w:val="left" w:pos="993"/>
        </w:tabs>
        <w:kinsoku/>
        <w:wordWrap/>
        <w:overflowPunct/>
        <w:topLinePunct w:val="0"/>
        <w:bidi w:val="0"/>
        <w:snapToGrid w:val="0"/>
        <w:spacing w:line="360" w:lineRule="auto"/>
        <w:ind w:left="991" w:leftChars="472" w:firstLine="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同时出现两种以上不一致的，按照前款规定的顺序修正。修正后的报价经投标人确认后产生约束力，投标人不确认的，其投标无效。</w:t>
      </w:r>
    </w:p>
    <w:p w14:paraId="71A670A2">
      <w:pPr>
        <w:keepNext w:val="0"/>
        <w:keepLines w:val="0"/>
        <w:pageBreakBefore w:val="0"/>
        <w:widowControl w:val="0"/>
        <w:tabs>
          <w:tab w:val="left" w:pos="993"/>
        </w:tabs>
        <w:kinsoku/>
        <w:wordWrap/>
        <w:overflowPunct/>
        <w:topLinePunct w:val="0"/>
        <w:bidi w:val="0"/>
        <w:snapToGrid w:val="0"/>
        <w:spacing w:line="360" w:lineRule="auto"/>
        <w:ind w:left="991" w:leftChars="472" w:firstLine="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投标人的确认应当采用书面形式，并加盖公章，或者由法定代表人或其授权的代表签字。</w:t>
      </w:r>
    </w:p>
    <w:p w14:paraId="513A2EAE">
      <w:pPr>
        <w:keepNext w:val="0"/>
        <w:keepLines w:val="0"/>
        <w:pageBreakBefore w:val="0"/>
        <w:widowControl w:val="0"/>
        <w:numPr>
          <w:ilvl w:val="1"/>
          <w:numId w:val="7"/>
        </w:numPr>
        <w:tabs>
          <w:tab w:val="left" w:pos="993"/>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商务和技术评审</w:t>
      </w:r>
    </w:p>
    <w:p w14:paraId="10FAB55C">
      <w:pPr>
        <w:keepNext w:val="0"/>
        <w:keepLines w:val="0"/>
        <w:pageBreakBefore w:val="0"/>
        <w:widowControl w:val="0"/>
        <w:numPr>
          <w:ilvl w:val="2"/>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比较与评价</w:t>
      </w:r>
    </w:p>
    <w:p w14:paraId="7D4A6762">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991" w:leftChars="472"/>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评标委员会按本章第</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REF _Ref426362114 \r \h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3.3</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款[详细评审标准]</w:t>
      </w:r>
      <w:r>
        <w:rPr>
          <w:rFonts w:hint="eastAsia" w:ascii="宋体" w:hAnsi="宋体" w:eastAsia="宋体" w:cs="宋体"/>
          <w:color w:val="auto"/>
          <w:sz w:val="24"/>
          <w:szCs w:val="24"/>
          <w:highlight w:val="none"/>
        </w:rPr>
        <w:t>对资格审查合格且符合性审查合格的投标文件进行商务和技术评估，综合比较与评价。</w:t>
      </w:r>
    </w:p>
    <w:p w14:paraId="597759AD">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991" w:leftChars="472"/>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color w:val="auto"/>
          <w:sz w:val="24"/>
          <w:szCs w:val="24"/>
          <w:highlight w:val="none"/>
          <w:lang w:eastAsia="zh-CN"/>
        </w:rPr>
        <w:t>否决</w:t>
      </w:r>
      <w:r>
        <w:rPr>
          <w:rFonts w:hint="eastAsia" w:ascii="宋体" w:hAnsi="宋体" w:eastAsia="宋体" w:cs="宋体"/>
          <w:color w:val="auto"/>
          <w:sz w:val="24"/>
          <w:szCs w:val="24"/>
          <w:highlight w:val="none"/>
        </w:rPr>
        <w:t>投标处理。</w:t>
      </w:r>
    </w:p>
    <w:p w14:paraId="5CD9C998">
      <w:pPr>
        <w:keepNext w:val="0"/>
        <w:keepLines w:val="0"/>
        <w:pageBreakBefore w:val="0"/>
        <w:widowControl w:val="0"/>
        <w:numPr>
          <w:ilvl w:val="2"/>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评标委员会按本章第</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REF _Ref426362114 \r \h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3.3</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款规定的量化因素和分值进行打分，并计算出综合评估得分。</w:t>
      </w:r>
    </w:p>
    <w:p w14:paraId="384930D2">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1679" w:leftChars="514" w:hanging="600" w:hangingChars="25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（1）按本章第</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REF _Ref426362140 \r \h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3.3.1</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项规定的评审因素和分值对商务部分计算出得分A；</w:t>
      </w:r>
    </w:p>
    <w:p w14:paraId="0C738442">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1679" w:leftChars="514" w:hanging="600" w:hangingChars="25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（2）按本章第</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REF _Ref426362158 \r \h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3.3.2</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项规定的评审因素和分值对技术部分计算出得分B；</w:t>
      </w:r>
    </w:p>
    <w:p w14:paraId="12E3B98C">
      <w:pPr>
        <w:keepNext w:val="0"/>
        <w:keepLines w:val="0"/>
        <w:pageBreakBefore w:val="0"/>
        <w:widowControl w:val="0"/>
        <w:tabs>
          <w:tab w:val="left" w:pos="993"/>
        </w:tabs>
        <w:kinsoku/>
        <w:wordWrap/>
        <w:overflowPunct/>
        <w:topLinePunct w:val="0"/>
        <w:autoSpaceDE w:val="0"/>
        <w:autoSpaceDN w:val="0"/>
        <w:bidi w:val="0"/>
        <w:adjustRightInd w:val="0"/>
        <w:snapToGrid w:val="0"/>
        <w:spacing w:line="360" w:lineRule="auto"/>
        <w:ind w:left="1679" w:leftChars="514" w:hanging="600" w:hangingChars="25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（3）按本章第</w:t>
      </w:r>
      <w:r>
        <w:rPr>
          <w:rFonts w:hint="eastAsia" w:ascii="宋体" w:hAnsi="宋体" w:eastAsia="宋体" w:cs="宋体"/>
          <w:color w:val="auto"/>
          <w:kern w:val="0"/>
          <w:sz w:val="24"/>
          <w:szCs w:val="24"/>
          <w:highlight w:val="none"/>
        </w:rPr>
        <w:fldChar w:fldCharType="begin"/>
      </w:r>
      <w:r>
        <w:rPr>
          <w:rFonts w:hint="eastAsia" w:ascii="宋体" w:hAnsi="宋体" w:eastAsia="宋体" w:cs="宋体"/>
          <w:color w:val="auto"/>
          <w:kern w:val="0"/>
          <w:sz w:val="24"/>
          <w:szCs w:val="24"/>
          <w:highlight w:val="none"/>
        </w:rPr>
        <w:instrText xml:space="preserve"> REF _Ref426362176 \r \h </w:instrText>
      </w:r>
      <w:r>
        <w:rPr>
          <w:rFonts w:hint="eastAsia" w:ascii="宋体" w:hAnsi="宋体" w:eastAsia="宋体" w:cs="宋体"/>
          <w:color w:val="auto"/>
          <w:kern w:val="0"/>
          <w:sz w:val="24"/>
          <w:szCs w:val="24"/>
          <w:highlight w:val="none"/>
        </w:rPr>
        <w:fldChar w:fldCharType="separate"/>
      </w:r>
      <w:r>
        <w:rPr>
          <w:rFonts w:hint="eastAsia" w:ascii="宋体" w:hAnsi="宋体" w:eastAsia="宋体" w:cs="宋体"/>
          <w:color w:val="auto"/>
          <w:kern w:val="0"/>
          <w:sz w:val="24"/>
          <w:szCs w:val="24"/>
          <w:highlight w:val="none"/>
        </w:rPr>
        <w:t>3.3.3</w:t>
      </w:r>
      <w:r>
        <w:rPr>
          <w:rFonts w:hint="eastAsia" w:ascii="宋体" w:hAnsi="宋体" w:eastAsia="宋体" w:cs="宋体"/>
          <w:color w:val="auto"/>
          <w:kern w:val="0"/>
          <w:sz w:val="24"/>
          <w:szCs w:val="24"/>
          <w:highlight w:val="none"/>
        </w:rPr>
        <w:fldChar w:fldCharType="end"/>
      </w:r>
      <w:r>
        <w:rPr>
          <w:rFonts w:hint="eastAsia" w:ascii="宋体" w:hAnsi="宋体" w:eastAsia="宋体" w:cs="宋体"/>
          <w:color w:val="auto"/>
          <w:kern w:val="0"/>
          <w:sz w:val="24"/>
          <w:szCs w:val="24"/>
          <w:highlight w:val="none"/>
        </w:rPr>
        <w:t>项规定的评审因素和分值对报价部分计算出得分C。</w:t>
      </w:r>
    </w:p>
    <w:p w14:paraId="655C8D28">
      <w:pPr>
        <w:keepNext w:val="0"/>
        <w:keepLines w:val="0"/>
        <w:pageBreakBefore w:val="0"/>
        <w:widowControl w:val="0"/>
        <w:numPr>
          <w:ilvl w:val="2"/>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评分分值计算保留小数点后两位，小数点后第三位“四舍五入”。</w:t>
      </w:r>
    </w:p>
    <w:p w14:paraId="43095876">
      <w:pPr>
        <w:keepNext w:val="0"/>
        <w:keepLines w:val="0"/>
        <w:pageBreakBefore w:val="0"/>
        <w:widowControl w:val="0"/>
        <w:numPr>
          <w:ilvl w:val="2"/>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投标人得分=A＋B＋C</w:t>
      </w:r>
    </w:p>
    <w:p w14:paraId="1BE24D2F">
      <w:pPr>
        <w:keepNext w:val="0"/>
        <w:keepLines w:val="0"/>
        <w:pageBreakBefore w:val="0"/>
        <w:widowControl w:val="0"/>
        <w:numPr>
          <w:ilvl w:val="1"/>
          <w:numId w:val="7"/>
        </w:numPr>
        <w:tabs>
          <w:tab w:val="left" w:pos="993"/>
        </w:tabs>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评标结果</w:t>
      </w:r>
    </w:p>
    <w:p w14:paraId="096F0F96">
      <w:pPr>
        <w:keepNext w:val="0"/>
        <w:keepLines w:val="0"/>
        <w:pageBreakBefore w:val="0"/>
        <w:widowControl w:val="0"/>
        <w:numPr>
          <w:ilvl w:val="2"/>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F3E51B5">
      <w:pPr>
        <w:keepNext w:val="0"/>
        <w:keepLines w:val="0"/>
        <w:pageBreakBefore w:val="0"/>
        <w:widowControl w:val="0"/>
        <w:numPr>
          <w:ilvl w:val="2"/>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除第二章“投标人须知”前附表授权直接确定中标人外，评标委员会按照得分由高到低的顺序推荐中标候选人。</w:t>
      </w:r>
    </w:p>
    <w:p w14:paraId="1B47CBEB">
      <w:pPr>
        <w:keepNext w:val="0"/>
        <w:keepLines w:val="0"/>
        <w:pageBreakBefore w:val="0"/>
        <w:widowControl w:val="0"/>
        <w:numPr>
          <w:ilvl w:val="2"/>
          <w:numId w:val="7"/>
        </w:numPr>
        <w:tabs>
          <w:tab w:val="left" w:pos="993"/>
        </w:tabs>
        <w:kinsoku/>
        <w:wordWrap/>
        <w:overflowPunct/>
        <w:topLinePunct w:val="0"/>
        <w:autoSpaceDE w:val="0"/>
        <w:autoSpaceDN w:val="0"/>
        <w:bidi w:val="0"/>
        <w:adjustRightInd w:val="0"/>
        <w:snapToGrid w:val="0"/>
        <w:spacing w:line="360" w:lineRule="auto"/>
        <w:ind w:left="993" w:hanging="993"/>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评标委员会完成评标后，应当向采购人提交书面评标报告。</w:t>
      </w:r>
    </w:p>
    <w:p w14:paraId="649B1A1A">
      <w:pPr>
        <w:snapToGrid w:val="0"/>
        <w:spacing w:afterLines="50"/>
        <w:ind w:left="1591" w:leftChars="472" w:hanging="600" w:hangingChars="250"/>
        <w:rPr>
          <w:rFonts w:ascii="宋体" w:hAnsi="宋体"/>
          <w:color w:val="auto"/>
          <w:sz w:val="24"/>
          <w:highlight w:val="none"/>
        </w:rPr>
      </w:pPr>
    </w:p>
    <w:p w14:paraId="05563ED6">
      <w:pPr>
        <w:numPr>
          <w:ilvl w:val="0"/>
          <w:numId w:val="0"/>
        </w:numPr>
        <w:snapToGrid w:val="0"/>
        <w:spacing w:afterLines="50"/>
        <w:ind w:left="420" w:leftChars="200"/>
        <w:rPr>
          <w:rFonts w:ascii="宋体" w:hAnsi="宋体"/>
          <w:color w:val="auto"/>
          <w:sz w:val="24"/>
          <w:highlight w:val="none"/>
        </w:rPr>
      </w:pPr>
    </w:p>
    <w:p w14:paraId="289FF042">
      <w:pPr>
        <w:snapToGrid w:val="0"/>
        <w:spacing w:afterLines="50"/>
        <w:ind w:left="1591" w:leftChars="472" w:hanging="600" w:hangingChars="250"/>
        <w:rPr>
          <w:rFonts w:ascii="宋体" w:hAnsi="宋体"/>
          <w:color w:val="auto"/>
          <w:sz w:val="24"/>
          <w:highlight w:val="none"/>
        </w:rPr>
      </w:pPr>
    </w:p>
    <w:p w14:paraId="4033B9DE">
      <w:pPr>
        <w:snapToGrid w:val="0"/>
        <w:spacing w:afterLines="50"/>
        <w:ind w:left="1591" w:leftChars="472" w:hanging="600" w:hangingChars="250"/>
        <w:rPr>
          <w:rFonts w:ascii="宋体" w:hAnsi="宋体"/>
          <w:color w:val="auto"/>
          <w:sz w:val="24"/>
          <w:highlight w:val="none"/>
        </w:rPr>
      </w:pPr>
    </w:p>
    <w:p w14:paraId="3EA32296">
      <w:pPr>
        <w:tabs>
          <w:tab w:val="left" w:pos="-94"/>
          <w:tab w:val="left" w:pos="428"/>
        </w:tabs>
        <w:adjustRightInd w:val="0"/>
        <w:spacing w:line="360" w:lineRule="auto"/>
        <w:ind w:left="23" w:leftChars="11"/>
        <w:jc w:val="center"/>
        <w:textAlignment w:val="baseline"/>
        <w:outlineLvl w:val="1"/>
        <w:rPr>
          <w:b/>
          <w:color w:val="auto"/>
          <w:sz w:val="28"/>
          <w:szCs w:val="28"/>
          <w:highlight w:val="none"/>
        </w:rPr>
      </w:pPr>
      <w:r>
        <w:rPr>
          <w:color w:val="auto"/>
          <w:highlight w:val="none"/>
        </w:rPr>
        <w:br w:type="page"/>
      </w:r>
      <w:bookmarkStart w:id="192" w:name="_Toc410631196"/>
      <w:bookmarkStart w:id="193" w:name="_Toc414446032"/>
      <w:bookmarkStart w:id="194" w:name="_Toc19011"/>
      <w:bookmarkStart w:id="195" w:name="_Toc14445"/>
      <w:r>
        <w:rPr>
          <w:b/>
          <w:color w:val="auto"/>
          <w:sz w:val="28"/>
          <w:szCs w:val="28"/>
          <w:highlight w:val="none"/>
        </w:rPr>
        <w:t>附表一</w:t>
      </w:r>
      <w:r>
        <w:rPr>
          <w:rFonts w:hint="eastAsia"/>
          <w:b/>
          <w:color w:val="auto"/>
          <w:sz w:val="28"/>
          <w:szCs w:val="28"/>
          <w:highlight w:val="none"/>
        </w:rPr>
        <w:t xml:space="preserve"> </w:t>
      </w:r>
      <w:r>
        <w:rPr>
          <w:b/>
          <w:color w:val="auto"/>
          <w:sz w:val="28"/>
          <w:szCs w:val="28"/>
          <w:highlight w:val="none"/>
        </w:rPr>
        <w:t>资格审查表</w:t>
      </w:r>
      <w:bookmarkEnd w:id="192"/>
      <w:bookmarkEnd w:id="193"/>
      <w:bookmarkEnd w:id="194"/>
      <w:bookmarkEnd w:id="195"/>
    </w:p>
    <w:tbl>
      <w:tblPr>
        <w:tblStyle w:val="44"/>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1742"/>
        <w:gridCol w:w="5627"/>
        <w:gridCol w:w="1692"/>
      </w:tblGrid>
      <w:tr w14:paraId="416DF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1" w:type="dxa"/>
            <w:vAlign w:val="center"/>
          </w:tcPr>
          <w:p w14:paraId="3FE42C2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742" w:type="dxa"/>
            <w:vAlign w:val="center"/>
          </w:tcPr>
          <w:p w14:paraId="55683EA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评审内容</w:t>
            </w:r>
          </w:p>
        </w:tc>
        <w:tc>
          <w:tcPr>
            <w:tcW w:w="5627" w:type="dxa"/>
            <w:vAlign w:val="center"/>
          </w:tcPr>
          <w:p w14:paraId="7E02CF0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评审合格标准</w:t>
            </w:r>
          </w:p>
        </w:tc>
        <w:tc>
          <w:tcPr>
            <w:tcW w:w="1692" w:type="dxa"/>
            <w:vAlign w:val="center"/>
          </w:tcPr>
          <w:p w14:paraId="1EE31DC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是否符合要求</w:t>
            </w:r>
            <w:r>
              <w:rPr>
                <w:rFonts w:hint="eastAsia" w:ascii="宋体" w:hAnsi="宋体" w:eastAsia="宋体" w:cs="宋体"/>
                <w:b/>
                <w:caps/>
                <w:color w:val="auto"/>
                <w:sz w:val="21"/>
                <w:szCs w:val="21"/>
                <w:highlight w:val="none"/>
              </w:rPr>
              <w:t>（</w:t>
            </w:r>
            <w:r>
              <w:rPr>
                <w:rFonts w:hint="eastAsia" w:ascii="宋体" w:hAnsi="宋体" w:eastAsia="宋体" w:cs="宋体"/>
                <w:color w:val="auto"/>
                <w:sz w:val="21"/>
                <w:szCs w:val="21"/>
                <w:highlight w:val="none"/>
              </w:rPr>
              <w:t>√</w:t>
            </w:r>
            <w:r>
              <w:rPr>
                <w:rFonts w:hint="eastAsia" w:ascii="宋体" w:hAnsi="宋体" w:eastAsia="宋体" w:cs="宋体"/>
                <w:b/>
                <w:caps/>
                <w:color w:val="auto"/>
                <w:sz w:val="21"/>
                <w:szCs w:val="21"/>
                <w:highlight w:val="none"/>
              </w:rPr>
              <w:t>/</w:t>
            </w:r>
            <w:r>
              <w:rPr>
                <w:rFonts w:hint="eastAsia" w:ascii="宋体" w:hAnsi="宋体" w:eastAsia="宋体" w:cs="宋体"/>
                <w:color w:val="auto"/>
                <w:sz w:val="21"/>
                <w:szCs w:val="21"/>
                <w:highlight w:val="none"/>
              </w:rPr>
              <w:t>×</w:t>
            </w:r>
            <w:r>
              <w:rPr>
                <w:rFonts w:hint="eastAsia" w:ascii="宋体" w:hAnsi="宋体" w:eastAsia="宋体" w:cs="宋体"/>
                <w:b/>
                <w:caps/>
                <w:color w:val="auto"/>
                <w:sz w:val="21"/>
                <w:szCs w:val="21"/>
                <w:highlight w:val="none"/>
              </w:rPr>
              <w:t>）</w:t>
            </w:r>
          </w:p>
        </w:tc>
      </w:tr>
      <w:tr w14:paraId="7EAE3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641" w:type="dxa"/>
            <w:vAlign w:val="center"/>
          </w:tcPr>
          <w:p w14:paraId="1A477E9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w:t>
            </w:r>
          </w:p>
        </w:tc>
        <w:tc>
          <w:tcPr>
            <w:tcW w:w="1742" w:type="dxa"/>
            <w:vAlign w:val="center"/>
          </w:tcPr>
          <w:p w14:paraId="5DF9363D">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投标人名称</w:t>
            </w:r>
          </w:p>
        </w:tc>
        <w:tc>
          <w:tcPr>
            <w:tcW w:w="5627" w:type="dxa"/>
            <w:vAlign w:val="center"/>
          </w:tcPr>
          <w:p w14:paraId="53D80BE6">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与投标报名、营业执照一致（符合法定工商变更程序除外）</w:t>
            </w:r>
          </w:p>
        </w:tc>
        <w:tc>
          <w:tcPr>
            <w:tcW w:w="1692" w:type="dxa"/>
            <w:vAlign w:val="center"/>
          </w:tcPr>
          <w:p w14:paraId="77F74D2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color w:val="auto"/>
                <w:sz w:val="21"/>
                <w:szCs w:val="21"/>
                <w:highlight w:val="none"/>
              </w:rPr>
            </w:pPr>
          </w:p>
        </w:tc>
      </w:tr>
      <w:tr w14:paraId="6D36D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641" w:type="dxa"/>
            <w:vAlign w:val="center"/>
          </w:tcPr>
          <w:p w14:paraId="38DEDD1C">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742" w:type="dxa"/>
            <w:vAlign w:val="center"/>
          </w:tcPr>
          <w:p w14:paraId="6CCCDB60">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具有独立承担民事责任的能力</w:t>
            </w:r>
          </w:p>
        </w:tc>
        <w:tc>
          <w:tcPr>
            <w:tcW w:w="5627" w:type="dxa"/>
            <w:vAlign w:val="center"/>
          </w:tcPr>
          <w:p w14:paraId="699CDDD0">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投标人须在中华人民共和国境内注册，具有独立法人资格或其他组织，具备有效的法人或其他组织的营业执照等证明文件</w:t>
            </w:r>
            <w:r>
              <w:rPr>
                <w:rFonts w:hint="eastAsia" w:ascii="宋体" w:hAnsi="宋体" w:eastAsia="宋体" w:cs="宋体"/>
                <w:bCs/>
                <w:color w:val="auto"/>
                <w:sz w:val="21"/>
                <w:szCs w:val="21"/>
                <w:highlight w:val="none"/>
              </w:rPr>
              <w:t>。</w:t>
            </w:r>
          </w:p>
        </w:tc>
        <w:tc>
          <w:tcPr>
            <w:tcW w:w="1692" w:type="dxa"/>
            <w:vAlign w:val="center"/>
          </w:tcPr>
          <w:p w14:paraId="48DC0B7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color w:val="auto"/>
                <w:sz w:val="21"/>
                <w:szCs w:val="21"/>
                <w:highlight w:val="none"/>
              </w:rPr>
            </w:pPr>
          </w:p>
        </w:tc>
      </w:tr>
      <w:tr w14:paraId="1C3B6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1" w:type="dxa"/>
            <w:vAlign w:val="center"/>
          </w:tcPr>
          <w:p w14:paraId="08FE79B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742" w:type="dxa"/>
            <w:vAlign w:val="center"/>
          </w:tcPr>
          <w:p w14:paraId="7BC5EB56">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具有良好的商业信誉和健全的财务会计制度</w:t>
            </w:r>
          </w:p>
        </w:tc>
        <w:tc>
          <w:tcPr>
            <w:tcW w:w="5627" w:type="dxa"/>
            <w:vAlign w:val="center"/>
          </w:tcPr>
          <w:p w14:paraId="15317781">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具有良好的商业信誉和健全的财务会计制度：①提供供应商2023年度或2024年度的经审计的财务报告复印件（至少包括资产负债表、现金流量表、利润表或损益表，事业单位可提供资产负债表、收入支出表）；②</w:t>
            </w:r>
            <w:r>
              <w:rPr>
                <w:rFonts w:hint="eastAsia" w:ascii="宋体" w:hAnsi="宋体" w:cs="宋体"/>
                <w:color w:val="auto"/>
                <w:sz w:val="21"/>
                <w:szCs w:val="21"/>
                <w:highlight w:val="none"/>
                <w:lang w:eastAsia="zh-CN"/>
              </w:rPr>
              <w:t>2025年内</w:t>
            </w:r>
            <w:r>
              <w:rPr>
                <w:rFonts w:hint="eastAsia" w:ascii="宋体" w:hAnsi="宋体" w:eastAsia="宋体" w:cs="宋体"/>
                <w:color w:val="auto"/>
                <w:sz w:val="21"/>
                <w:szCs w:val="21"/>
                <w:highlight w:val="none"/>
                <w:lang w:eastAsia="zh-CN"/>
              </w:rPr>
              <w:t>基本开户银行出具的资信证明。③根据《财政部关于开展政府采购信用担保试点工作方案》（财库[2012]124号），提供财政部门认可的政府采购专业担保机构出具的投标担保函（需同时提供专业担保机构经财政部门认可的证明文件）扫描件。④2025年度新成立的供应商，提供具有健全财务会计制度的承诺。注：供应商根据自身情况提供上述①、②、③、④任意一种证明材料即可</w:t>
            </w:r>
            <w:r>
              <w:rPr>
                <w:rFonts w:hint="eastAsia" w:ascii="宋体" w:hAnsi="宋体" w:cs="宋体"/>
                <w:color w:val="auto"/>
                <w:sz w:val="21"/>
                <w:szCs w:val="21"/>
                <w:highlight w:val="none"/>
                <w:lang w:eastAsia="zh-CN"/>
              </w:rPr>
              <w:t>。</w:t>
            </w:r>
          </w:p>
          <w:p w14:paraId="42DC41CB">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代理机构查询结果为准）；</w:t>
            </w:r>
          </w:p>
        </w:tc>
        <w:tc>
          <w:tcPr>
            <w:tcW w:w="1692" w:type="dxa"/>
            <w:vAlign w:val="center"/>
          </w:tcPr>
          <w:p w14:paraId="16D92356">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p>
        </w:tc>
      </w:tr>
      <w:tr w14:paraId="556E2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641" w:type="dxa"/>
            <w:vAlign w:val="center"/>
          </w:tcPr>
          <w:p w14:paraId="0F9023EA">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742" w:type="dxa"/>
            <w:vAlign w:val="center"/>
          </w:tcPr>
          <w:p w14:paraId="5C5A5206">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具有履行合同所必需的设备和专业技术能力</w:t>
            </w:r>
          </w:p>
        </w:tc>
        <w:tc>
          <w:tcPr>
            <w:tcW w:w="5627" w:type="dxa"/>
            <w:vAlign w:val="center"/>
          </w:tcPr>
          <w:p w14:paraId="4CDBD3CA">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提供投标人具有履行合同所必需的设备和专业技术能力证明材料或书面声明</w:t>
            </w:r>
            <w:r>
              <w:rPr>
                <w:rFonts w:hint="eastAsia" w:ascii="宋体" w:hAnsi="宋体" w:eastAsia="宋体" w:cs="宋体"/>
                <w:bCs/>
                <w:color w:val="auto"/>
                <w:sz w:val="21"/>
                <w:szCs w:val="21"/>
                <w:highlight w:val="none"/>
              </w:rPr>
              <w:t>。</w:t>
            </w:r>
          </w:p>
        </w:tc>
        <w:tc>
          <w:tcPr>
            <w:tcW w:w="1692" w:type="dxa"/>
            <w:vAlign w:val="center"/>
          </w:tcPr>
          <w:p w14:paraId="36503DA6">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p>
        </w:tc>
      </w:tr>
      <w:tr w14:paraId="5E891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1" w:type="dxa"/>
            <w:vAlign w:val="center"/>
          </w:tcPr>
          <w:p w14:paraId="1B354EB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742" w:type="dxa"/>
            <w:vAlign w:val="center"/>
          </w:tcPr>
          <w:p w14:paraId="58846C5D">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有依法缴纳税收和社会保障资金的良好记录</w:t>
            </w:r>
          </w:p>
        </w:tc>
        <w:tc>
          <w:tcPr>
            <w:tcW w:w="5627" w:type="dxa"/>
            <w:vAlign w:val="center"/>
          </w:tcPr>
          <w:p w14:paraId="3F97340B">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73056815">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p>
        </w:tc>
        <w:tc>
          <w:tcPr>
            <w:tcW w:w="1692" w:type="dxa"/>
            <w:vAlign w:val="center"/>
          </w:tcPr>
          <w:p w14:paraId="281730B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p>
        </w:tc>
      </w:tr>
      <w:tr w14:paraId="23A5F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1" w:type="dxa"/>
            <w:vAlign w:val="center"/>
          </w:tcPr>
          <w:p w14:paraId="1A62727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742" w:type="dxa"/>
            <w:vAlign w:val="center"/>
          </w:tcPr>
          <w:p w14:paraId="0F2DE803">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参加政府采购活动前三年内，在经营活动中没有重大违法记录</w:t>
            </w:r>
          </w:p>
        </w:tc>
        <w:tc>
          <w:tcPr>
            <w:tcW w:w="5627" w:type="dxa"/>
            <w:vAlign w:val="center"/>
          </w:tcPr>
          <w:p w14:paraId="2AA18FBC">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提供投标人参加政府采购活动前三年内，在经营活动中没有重大违法记录（重大违法记录，是指投标人因违法经营受到刑事处罚或者责令停产停业、吊销许可证或者执照、较大数额罚款等行政处罚）的书面声明。</w:t>
            </w:r>
          </w:p>
        </w:tc>
        <w:tc>
          <w:tcPr>
            <w:tcW w:w="1692" w:type="dxa"/>
            <w:vAlign w:val="center"/>
          </w:tcPr>
          <w:p w14:paraId="53F084B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p>
        </w:tc>
      </w:tr>
      <w:tr w14:paraId="4FDE4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641" w:type="dxa"/>
            <w:vAlign w:val="center"/>
          </w:tcPr>
          <w:p w14:paraId="1C71C45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742" w:type="dxa"/>
            <w:vAlign w:val="center"/>
          </w:tcPr>
          <w:p w14:paraId="0B927392">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法律、行政法规规定的其他条件</w:t>
            </w:r>
          </w:p>
        </w:tc>
        <w:tc>
          <w:tcPr>
            <w:tcW w:w="5627" w:type="dxa"/>
            <w:vAlign w:val="center"/>
          </w:tcPr>
          <w:p w14:paraId="3DD6D154">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单位负责人为同一人或者存在</w:t>
            </w:r>
            <w:r>
              <w:rPr>
                <w:rFonts w:hint="eastAsia" w:ascii="宋体" w:hAnsi="宋体" w:eastAsia="宋体" w:cs="宋体"/>
                <w:color w:val="auto"/>
                <w:sz w:val="21"/>
                <w:szCs w:val="21"/>
                <w:highlight w:val="none"/>
                <w:lang w:eastAsia="zh-CN"/>
              </w:rPr>
              <w:t>直接</w:t>
            </w:r>
            <w:r>
              <w:rPr>
                <w:rFonts w:hint="eastAsia" w:ascii="宋体" w:hAnsi="宋体" w:eastAsia="宋体" w:cs="宋体"/>
                <w:color w:val="auto"/>
                <w:sz w:val="21"/>
                <w:szCs w:val="21"/>
                <w:highlight w:val="none"/>
              </w:rPr>
              <w:t>控股、管理关系的不同单位，不得同时参加本项目的投标。</w:t>
            </w:r>
          </w:p>
          <w:p w14:paraId="6DC5064A">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为本项目提供整体设计、规范编制或者项目管理、监理、检测等服务的投标人，不得再参加本项目投标。</w:t>
            </w:r>
          </w:p>
        </w:tc>
        <w:tc>
          <w:tcPr>
            <w:tcW w:w="1692" w:type="dxa"/>
            <w:vAlign w:val="center"/>
          </w:tcPr>
          <w:p w14:paraId="51930CBC">
            <w:pPr>
              <w:keepNext w:val="0"/>
              <w:keepLines w:val="0"/>
              <w:pageBreakBefore w:val="0"/>
              <w:widowControl w:val="0"/>
              <w:kinsoku/>
              <w:wordWrap/>
              <w:overflowPunct/>
              <w:topLinePunct w:val="0"/>
              <w:autoSpaceDE/>
              <w:autoSpaceDN/>
              <w:bidi w:val="0"/>
              <w:adjustRightInd/>
              <w:snapToGrid w:val="0"/>
              <w:spacing w:line="400" w:lineRule="exact"/>
              <w:ind w:left="425"/>
              <w:jc w:val="center"/>
              <w:textAlignment w:val="auto"/>
              <w:rPr>
                <w:rFonts w:hint="eastAsia" w:ascii="宋体" w:hAnsi="宋体" w:eastAsia="宋体" w:cs="宋体"/>
                <w:color w:val="auto"/>
                <w:sz w:val="21"/>
                <w:szCs w:val="21"/>
                <w:highlight w:val="none"/>
              </w:rPr>
            </w:pPr>
          </w:p>
        </w:tc>
      </w:tr>
      <w:tr w14:paraId="5C10C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641" w:type="dxa"/>
            <w:vAlign w:val="center"/>
          </w:tcPr>
          <w:p w14:paraId="6714340D">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742" w:type="dxa"/>
            <w:vAlign w:val="center"/>
          </w:tcPr>
          <w:p w14:paraId="0FA509E3">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联合体投标</w:t>
            </w:r>
          </w:p>
        </w:tc>
        <w:tc>
          <w:tcPr>
            <w:tcW w:w="5627" w:type="dxa"/>
            <w:vAlign w:val="center"/>
          </w:tcPr>
          <w:p w14:paraId="21A0598C">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招标文件允许联合体投标时，提供了满足招标文件要求的联合体协议书。</w:t>
            </w:r>
          </w:p>
        </w:tc>
        <w:tc>
          <w:tcPr>
            <w:tcW w:w="1692" w:type="dxa"/>
            <w:vAlign w:val="center"/>
          </w:tcPr>
          <w:p w14:paraId="4196742D">
            <w:pPr>
              <w:keepNext w:val="0"/>
              <w:keepLines w:val="0"/>
              <w:pageBreakBefore w:val="0"/>
              <w:widowControl w:val="0"/>
              <w:kinsoku/>
              <w:wordWrap/>
              <w:overflowPunct/>
              <w:topLinePunct w:val="0"/>
              <w:autoSpaceDE/>
              <w:autoSpaceDN/>
              <w:bidi w:val="0"/>
              <w:adjustRightInd/>
              <w:snapToGrid w:val="0"/>
              <w:spacing w:line="400" w:lineRule="exact"/>
              <w:ind w:left="425"/>
              <w:jc w:val="center"/>
              <w:textAlignment w:val="auto"/>
              <w:rPr>
                <w:rFonts w:hint="eastAsia" w:ascii="宋体" w:hAnsi="宋体" w:eastAsia="宋体" w:cs="宋体"/>
                <w:color w:val="auto"/>
                <w:sz w:val="21"/>
                <w:szCs w:val="21"/>
                <w:highlight w:val="none"/>
              </w:rPr>
            </w:pPr>
          </w:p>
        </w:tc>
      </w:tr>
      <w:tr w14:paraId="43CA7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641" w:type="dxa"/>
            <w:vAlign w:val="center"/>
          </w:tcPr>
          <w:p w14:paraId="5BA0BE0D">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742" w:type="dxa"/>
            <w:vAlign w:val="center"/>
          </w:tcPr>
          <w:p w14:paraId="06B71AD8">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落实政府采购政策需满足的资格要求</w:t>
            </w:r>
          </w:p>
        </w:tc>
        <w:tc>
          <w:tcPr>
            <w:tcW w:w="5627" w:type="dxa"/>
            <w:vAlign w:val="center"/>
          </w:tcPr>
          <w:p w14:paraId="6DFA405E">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本项目不属于专门面向中小企业采购的项目。本项目小微企业价格扣除优惠比例：10%</w:t>
            </w:r>
            <w:r>
              <w:rPr>
                <w:rFonts w:hint="eastAsia" w:ascii="宋体" w:hAnsi="宋体" w:cs="宋体"/>
                <w:color w:val="auto"/>
                <w:sz w:val="21"/>
                <w:szCs w:val="21"/>
                <w:highlight w:val="none"/>
                <w:lang w:eastAsia="zh-CN"/>
              </w:rPr>
              <w:t>。</w:t>
            </w:r>
          </w:p>
        </w:tc>
        <w:tc>
          <w:tcPr>
            <w:tcW w:w="1692" w:type="dxa"/>
            <w:vAlign w:val="center"/>
          </w:tcPr>
          <w:p w14:paraId="0E409BF8">
            <w:pPr>
              <w:keepNext w:val="0"/>
              <w:keepLines w:val="0"/>
              <w:pageBreakBefore w:val="0"/>
              <w:widowControl w:val="0"/>
              <w:kinsoku/>
              <w:wordWrap/>
              <w:overflowPunct/>
              <w:topLinePunct w:val="0"/>
              <w:autoSpaceDE/>
              <w:autoSpaceDN/>
              <w:bidi w:val="0"/>
              <w:adjustRightInd/>
              <w:snapToGrid w:val="0"/>
              <w:spacing w:line="400" w:lineRule="exact"/>
              <w:ind w:left="425"/>
              <w:jc w:val="center"/>
              <w:textAlignment w:val="auto"/>
              <w:rPr>
                <w:rFonts w:hint="eastAsia" w:ascii="宋体" w:hAnsi="宋体" w:eastAsia="宋体" w:cs="宋体"/>
                <w:color w:val="auto"/>
                <w:sz w:val="21"/>
                <w:szCs w:val="21"/>
                <w:highlight w:val="none"/>
              </w:rPr>
            </w:pPr>
          </w:p>
        </w:tc>
      </w:tr>
      <w:tr w14:paraId="48B9C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1" w:type="dxa"/>
            <w:vAlign w:val="center"/>
          </w:tcPr>
          <w:p w14:paraId="2F4082CA">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742" w:type="dxa"/>
            <w:vAlign w:val="center"/>
          </w:tcPr>
          <w:p w14:paraId="4F035B82">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投标人特定资格条件</w:t>
            </w:r>
          </w:p>
        </w:tc>
        <w:tc>
          <w:tcPr>
            <w:tcW w:w="5627" w:type="dxa"/>
            <w:vAlign w:val="center"/>
          </w:tcPr>
          <w:p w14:paraId="7A5E701A">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投标人须具备有效的《医疗机构执业许可证》，提供有效复印件</w:t>
            </w:r>
            <w:r>
              <w:rPr>
                <w:rFonts w:hint="eastAsia" w:ascii="宋体" w:hAnsi="宋体" w:cs="宋体"/>
                <w:color w:val="auto"/>
                <w:sz w:val="21"/>
                <w:szCs w:val="21"/>
                <w:highlight w:val="none"/>
                <w:lang w:eastAsia="zh-CN"/>
              </w:rPr>
              <w:t>。</w:t>
            </w:r>
          </w:p>
        </w:tc>
        <w:tc>
          <w:tcPr>
            <w:tcW w:w="1692" w:type="dxa"/>
            <w:vAlign w:val="center"/>
          </w:tcPr>
          <w:p w14:paraId="07A2903E">
            <w:pPr>
              <w:keepNext w:val="0"/>
              <w:keepLines w:val="0"/>
              <w:pageBreakBefore w:val="0"/>
              <w:widowControl w:val="0"/>
              <w:kinsoku/>
              <w:wordWrap/>
              <w:overflowPunct/>
              <w:topLinePunct w:val="0"/>
              <w:autoSpaceDE/>
              <w:autoSpaceDN/>
              <w:bidi w:val="0"/>
              <w:adjustRightInd/>
              <w:snapToGrid w:val="0"/>
              <w:spacing w:line="400" w:lineRule="exact"/>
              <w:ind w:left="425"/>
              <w:jc w:val="center"/>
              <w:textAlignment w:val="auto"/>
              <w:rPr>
                <w:rFonts w:hint="eastAsia" w:ascii="宋体" w:hAnsi="宋体" w:eastAsia="宋体" w:cs="宋体"/>
                <w:color w:val="auto"/>
                <w:sz w:val="21"/>
                <w:szCs w:val="21"/>
                <w:highlight w:val="none"/>
              </w:rPr>
            </w:pPr>
          </w:p>
        </w:tc>
      </w:tr>
      <w:tr w14:paraId="67B2C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41" w:type="dxa"/>
            <w:vAlign w:val="center"/>
          </w:tcPr>
          <w:p w14:paraId="0814D9F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p>
        </w:tc>
        <w:tc>
          <w:tcPr>
            <w:tcW w:w="1742" w:type="dxa"/>
            <w:vAlign w:val="center"/>
          </w:tcPr>
          <w:p w14:paraId="72F354E5">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结论</w:t>
            </w:r>
          </w:p>
        </w:tc>
        <w:tc>
          <w:tcPr>
            <w:tcW w:w="5627" w:type="dxa"/>
            <w:vAlign w:val="center"/>
          </w:tcPr>
          <w:p w14:paraId="41508442">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highlight w:val="none"/>
              </w:rPr>
            </w:pPr>
          </w:p>
        </w:tc>
        <w:tc>
          <w:tcPr>
            <w:tcW w:w="1692" w:type="dxa"/>
            <w:vAlign w:val="center"/>
          </w:tcPr>
          <w:p w14:paraId="64B1DA54">
            <w:pPr>
              <w:keepNext w:val="0"/>
              <w:keepLines w:val="0"/>
              <w:pageBreakBefore w:val="0"/>
              <w:widowControl w:val="0"/>
              <w:kinsoku/>
              <w:wordWrap/>
              <w:overflowPunct/>
              <w:topLinePunct w:val="0"/>
              <w:autoSpaceDE/>
              <w:autoSpaceDN/>
              <w:bidi w:val="0"/>
              <w:adjustRightInd/>
              <w:snapToGrid w:val="0"/>
              <w:spacing w:line="400" w:lineRule="exact"/>
              <w:ind w:left="425"/>
              <w:jc w:val="center"/>
              <w:textAlignment w:val="auto"/>
              <w:rPr>
                <w:rFonts w:hint="eastAsia" w:ascii="宋体" w:hAnsi="宋体" w:eastAsia="宋体" w:cs="宋体"/>
                <w:color w:val="auto"/>
                <w:sz w:val="21"/>
                <w:szCs w:val="21"/>
                <w:highlight w:val="none"/>
              </w:rPr>
            </w:pPr>
          </w:p>
        </w:tc>
      </w:tr>
    </w:tbl>
    <w:p w14:paraId="641EB475">
      <w:pPr>
        <w:spacing w:line="0" w:lineRule="atLeast"/>
        <w:ind w:left="425"/>
        <w:rPr>
          <w:b/>
          <w:bCs/>
          <w:color w:val="auto"/>
          <w:szCs w:val="21"/>
          <w:highlight w:val="none"/>
        </w:rPr>
      </w:pPr>
      <w:r>
        <w:rPr>
          <w:rFonts w:hint="eastAsia" w:ascii="宋体" w:hAnsi="宋体"/>
          <w:b/>
          <w:bCs/>
          <w:color w:val="auto"/>
          <w:szCs w:val="21"/>
          <w:highlight w:val="none"/>
        </w:rPr>
        <w:t>注</w:t>
      </w:r>
      <w:r>
        <w:rPr>
          <w:rFonts w:hint="eastAsia"/>
          <w:b/>
          <w:bCs/>
          <w:color w:val="auto"/>
          <w:szCs w:val="21"/>
          <w:highlight w:val="none"/>
        </w:rPr>
        <w:t>：符合要求用“</w:t>
      </w:r>
      <w:r>
        <w:rPr>
          <w:rFonts w:hint="default" w:ascii="Arial" w:hAnsi="Arial" w:cs="Arial"/>
          <w:b/>
          <w:bCs/>
          <w:color w:val="auto"/>
          <w:szCs w:val="21"/>
          <w:highlight w:val="none"/>
        </w:rPr>
        <w:t>√</w:t>
      </w:r>
      <w:r>
        <w:rPr>
          <w:rFonts w:hint="eastAsia"/>
          <w:b/>
          <w:bCs/>
          <w:color w:val="auto"/>
          <w:szCs w:val="21"/>
          <w:highlight w:val="none"/>
        </w:rPr>
        <w:t>”表示，不符合用“×”表示。有一项不符合要求，结论为不合格。</w:t>
      </w:r>
    </w:p>
    <w:p w14:paraId="0658A0BC">
      <w:pPr>
        <w:tabs>
          <w:tab w:val="left" w:pos="-94"/>
          <w:tab w:val="left" w:pos="428"/>
        </w:tabs>
        <w:adjustRightInd w:val="0"/>
        <w:spacing w:line="360" w:lineRule="auto"/>
        <w:ind w:left="23" w:leftChars="11"/>
        <w:jc w:val="center"/>
        <w:textAlignment w:val="baseline"/>
        <w:outlineLvl w:val="1"/>
        <w:rPr>
          <w:b/>
          <w:color w:val="auto"/>
          <w:sz w:val="28"/>
          <w:szCs w:val="28"/>
          <w:highlight w:val="none"/>
        </w:rPr>
      </w:pPr>
      <w:r>
        <w:rPr>
          <w:color w:val="auto"/>
          <w:szCs w:val="21"/>
          <w:highlight w:val="none"/>
        </w:rPr>
        <w:br w:type="page"/>
      </w:r>
      <w:bookmarkStart w:id="196" w:name="_Toc410631197"/>
      <w:bookmarkStart w:id="197" w:name="_Toc414446033"/>
      <w:bookmarkStart w:id="198" w:name="_Toc29013"/>
      <w:bookmarkStart w:id="199" w:name="_Toc23856"/>
      <w:r>
        <w:rPr>
          <w:rFonts w:hint="eastAsia"/>
          <w:b/>
          <w:color w:val="auto"/>
          <w:sz w:val="28"/>
          <w:szCs w:val="28"/>
          <w:highlight w:val="none"/>
        </w:rPr>
        <w:t xml:space="preserve">附表二 </w:t>
      </w:r>
      <w:r>
        <w:rPr>
          <w:b/>
          <w:color w:val="auto"/>
          <w:sz w:val="28"/>
          <w:szCs w:val="28"/>
          <w:highlight w:val="none"/>
        </w:rPr>
        <w:t>符合性审查表</w:t>
      </w:r>
      <w:bookmarkEnd w:id="196"/>
      <w:bookmarkEnd w:id="197"/>
      <w:bookmarkEnd w:id="198"/>
      <w:bookmarkEnd w:id="199"/>
    </w:p>
    <w:tbl>
      <w:tblPr>
        <w:tblStyle w:val="44"/>
        <w:tblW w:w="90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7"/>
        <w:gridCol w:w="1674"/>
        <w:gridCol w:w="5245"/>
        <w:gridCol w:w="1275"/>
      </w:tblGrid>
      <w:tr w14:paraId="72B4C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5EBFEF1F">
            <w:pPr>
              <w:tabs>
                <w:tab w:val="left" w:pos="1260"/>
                <w:tab w:val="left" w:pos="1620"/>
              </w:tabs>
              <w:adjustRightInd w:val="0"/>
              <w:snapToGrid w:val="0"/>
              <w:spacing w:line="240" w:lineRule="auto"/>
              <w:jc w:val="center"/>
              <w:textAlignment w:val="baseline"/>
              <w:rPr>
                <w:rFonts w:ascii="宋体" w:hAnsi="宋体"/>
                <w:b/>
                <w:caps/>
                <w:color w:val="auto"/>
                <w:sz w:val="21"/>
                <w:szCs w:val="21"/>
                <w:highlight w:val="none"/>
              </w:rPr>
            </w:pPr>
            <w:r>
              <w:rPr>
                <w:rFonts w:ascii="宋体" w:hAnsi="宋体"/>
                <w:b/>
                <w:caps/>
                <w:color w:val="auto"/>
                <w:sz w:val="21"/>
                <w:szCs w:val="21"/>
                <w:highlight w:val="none"/>
              </w:rPr>
              <w:t>序号</w:t>
            </w:r>
          </w:p>
        </w:tc>
        <w:tc>
          <w:tcPr>
            <w:tcW w:w="1674" w:type="dxa"/>
            <w:vAlign w:val="center"/>
          </w:tcPr>
          <w:p w14:paraId="0BAB45AB">
            <w:pPr>
              <w:tabs>
                <w:tab w:val="left" w:pos="1260"/>
                <w:tab w:val="left" w:pos="1620"/>
              </w:tabs>
              <w:adjustRightInd w:val="0"/>
              <w:snapToGrid w:val="0"/>
              <w:spacing w:line="240" w:lineRule="auto"/>
              <w:jc w:val="center"/>
              <w:textAlignment w:val="baseline"/>
              <w:rPr>
                <w:rFonts w:ascii="宋体" w:hAnsi="宋体"/>
                <w:b/>
                <w:caps/>
                <w:color w:val="auto"/>
                <w:sz w:val="21"/>
                <w:szCs w:val="21"/>
                <w:highlight w:val="none"/>
              </w:rPr>
            </w:pPr>
            <w:r>
              <w:rPr>
                <w:rFonts w:hint="eastAsia" w:ascii="宋体" w:hAnsi="宋体"/>
                <w:b/>
                <w:caps/>
                <w:color w:val="auto"/>
                <w:sz w:val="21"/>
                <w:szCs w:val="21"/>
                <w:highlight w:val="none"/>
              </w:rPr>
              <w:t>评审项目</w:t>
            </w:r>
          </w:p>
        </w:tc>
        <w:tc>
          <w:tcPr>
            <w:tcW w:w="5245" w:type="dxa"/>
            <w:vAlign w:val="center"/>
          </w:tcPr>
          <w:p w14:paraId="470B0649">
            <w:pPr>
              <w:tabs>
                <w:tab w:val="left" w:pos="1260"/>
                <w:tab w:val="left" w:pos="1620"/>
              </w:tabs>
              <w:adjustRightInd w:val="0"/>
              <w:snapToGrid w:val="0"/>
              <w:spacing w:line="240" w:lineRule="auto"/>
              <w:jc w:val="center"/>
              <w:textAlignment w:val="baseline"/>
              <w:rPr>
                <w:rFonts w:ascii="宋体" w:hAnsi="宋体"/>
                <w:b/>
                <w:caps/>
                <w:color w:val="auto"/>
                <w:sz w:val="21"/>
                <w:szCs w:val="21"/>
                <w:highlight w:val="none"/>
              </w:rPr>
            </w:pPr>
            <w:r>
              <w:rPr>
                <w:rFonts w:hint="eastAsia" w:ascii="宋体" w:hAnsi="宋体"/>
                <w:b/>
                <w:caps/>
                <w:color w:val="auto"/>
                <w:sz w:val="21"/>
                <w:szCs w:val="21"/>
                <w:highlight w:val="none"/>
              </w:rPr>
              <w:t>评审标准</w:t>
            </w:r>
          </w:p>
        </w:tc>
        <w:tc>
          <w:tcPr>
            <w:tcW w:w="1275" w:type="dxa"/>
            <w:vAlign w:val="center"/>
          </w:tcPr>
          <w:p w14:paraId="0895E230">
            <w:pPr>
              <w:tabs>
                <w:tab w:val="left" w:pos="1260"/>
                <w:tab w:val="left" w:pos="1620"/>
              </w:tabs>
              <w:adjustRightInd w:val="0"/>
              <w:snapToGrid w:val="0"/>
              <w:spacing w:line="240" w:lineRule="auto"/>
              <w:jc w:val="center"/>
              <w:textAlignment w:val="baseline"/>
              <w:rPr>
                <w:rFonts w:ascii="宋体" w:hAnsi="宋体"/>
                <w:b/>
                <w:caps/>
                <w:color w:val="auto"/>
                <w:sz w:val="21"/>
                <w:szCs w:val="21"/>
                <w:highlight w:val="none"/>
              </w:rPr>
            </w:pPr>
            <w:r>
              <w:rPr>
                <w:rFonts w:ascii="宋体" w:hAnsi="宋体"/>
                <w:b/>
                <w:caps/>
                <w:color w:val="auto"/>
                <w:sz w:val="21"/>
                <w:szCs w:val="21"/>
                <w:highlight w:val="none"/>
              </w:rPr>
              <w:t>评审结论</w:t>
            </w:r>
          </w:p>
          <w:p w14:paraId="5AE1B81C">
            <w:pPr>
              <w:tabs>
                <w:tab w:val="left" w:pos="1260"/>
                <w:tab w:val="left" w:pos="1620"/>
              </w:tabs>
              <w:adjustRightInd w:val="0"/>
              <w:snapToGrid w:val="0"/>
              <w:spacing w:line="240" w:lineRule="auto"/>
              <w:jc w:val="center"/>
              <w:textAlignment w:val="baseline"/>
              <w:rPr>
                <w:rFonts w:ascii="宋体" w:hAnsi="宋体"/>
                <w:b/>
                <w:caps/>
                <w:color w:val="auto"/>
                <w:sz w:val="21"/>
                <w:szCs w:val="21"/>
                <w:highlight w:val="none"/>
              </w:rPr>
            </w:pPr>
            <w:r>
              <w:rPr>
                <w:rFonts w:ascii="宋体" w:hAnsi="宋体"/>
                <w:b/>
                <w:caps/>
                <w:color w:val="auto"/>
                <w:sz w:val="21"/>
                <w:szCs w:val="21"/>
                <w:highlight w:val="none"/>
              </w:rPr>
              <w:t>（</w:t>
            </w:r>
            <w:r>
              <w:rPr>
                <w:rFonts w:hint="default" w:ascii="Arial" w:hAnsi="Arial" w:cs="Arial"/>
                <w:b/>
                <w:color w:val="auto"/>
                <w:szCs w:val="21"/>
                <w:highlight w:val="none"/>
              </w:rPr>
              <w:t>√</w:t>
            </w:r>
            <w:r>
              <w:rPr>
                <w:rFonts w:ascii="宋体" w:hAnsi="宋体"/>
                <w:b/>
                <w:caps/>
                <w:color w:val="auto"/>
                <w:sz w:val="21"/>
                <w:szCs w:val="21"/>
                <w:highlight w:val="none"/>
              </w:rPr>
              <w:t>/</w:t>
            </w:r>
            <w:r>
              <w:rPr>
                <w:rFonts w:hint="eastAsia" w:ascii="宋体" w:hAnsi="宋体"/>
                <w:color w:val="auto"/>
                <w:sz w:val="21"/>
                <w:szCs w:val="21"/>
                <w:highlight w:val="none"/>
              </w:rPr>
              <w:t>×</w:t>
            </w:r>
            <w:r>
              <w:rPr>
                <w:rFonts w:ascii="宋体" w:hAnsi="宋体"/>
                <w:b/>
                <w:caps/>
                <w:color w:val="auto"/>
                <w:sz w:val="21"/>
                <w:szCs w:val="21"/>
                <w:highlight w:val="none"/>
              </w:rPr>
              <w:t>）</w:t>
            </w:r>
          </w:p>
        </w:tc>
      </w:tr>
      <w:tr w14:paraId="75D72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0C9C37CB">
            <w:pPr>
              <w:numPr>
                <w:ilvl w:val="0"/>
                <w:numId w:val="0"/>
              </w:numPr>
              <w:tabs>
                <w:tab w:val="left" w:pos="1260"/>
                <w:tab w:val="left" w:pos="1620"/>
              </w:tabs>
              <w:adjustRightInd w:val="0"/>
              <w:snapToGrid w:val="0"/>
              <w:spacing w:line="240" w:lineRule="auto"/>
              <w:ind w:left="425" w:leftChars="0" w:hanging="425" w:firstLineChars="0"/>
              <w:jc w:val="center"/>
              <w:textAlignment w:val="baseline"/>
              <w:rPr>
                <w:rFonts w:ascii="宋体" w:hAnsi="宋体"/>
                <w:color w:val="auto"/>
                <w:sz w:val="21"/>
                <w:szCs w:val="21"/>
                <w:highlight w:val="none"/>
              </w:rPr>
            </w:pPr>
            <w:r>
              <w:rPr>
                <w:rFonts w:hint="default" w:ascii="宋体" w:hAnsi="宋体" w:eastAsia="宋体" w:cs="Times New Roman"/>
                <w:color w:val="auto"/>
                <w:kern w:val="2"/>
                <w:sz w:val="21"/>
                <w:szCs w:val="21"/>
                <w:lang w:val="en-US" w:eastAsia="zh-CN" w:bidi="ar-SA"/>
              </w:rPr>
              <w:t>1</w:t>
            </w:r>
          </w:p>
        </w:tc>
        <w:tc>
          <w:tcPr>
            <w:tcW w:w="1674" w:type="dxa"/>
            <w:vAlign w:val="center"/>
          </w:tcPr>
          <w:p w14:paraId="0F039981">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r>
              <w:rPr>
                <w:rFonts w:hint="eastAsia" w:ascii="宋体" w:hAnsi="宋体"/>
                <w:color w:val="auto"/>
                <w:sz w:val="21"/>
                <w:szCs w:val="21"/>
                <w:highlight w:val="none"/>
              </w:rPr>
              <w:t>投标保证金</w:t>
            </w:r>
          </w:p>
        </w:tc>
        <w:tc>
          <w:tcPr>
            <w:tcW w:w="5245" w:type="dxa"/>
            <w:vAlign w:val="center"/>
          </w:tcPr>
          <w:p w14:paraId="67D6C429">
            <w:pPr>
              <w:tabs>
                <w:tab w:val="left" w:pos="1260"/>
                <w:tab w:val="left" w:pos="1620"/>
              </w:tabs>
              <w:adjustRightInd w:val="0"/>
              <w:snapToGrid w:val="0"/>
              <w:spacing w:line="240" w:lineRule="auto"/>
              <w:textAlignment w:val="baseline"/>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按照招标文件的规定提交投标保证金</w:t>
            </w:r>
            <w:r>
              <w:rPr>
                <w:rFonts w:hint="eastAsia" w:ascii="宋体" w:hAnsi="宋体"/>
                <w:color w:val="auto"/>
                <w:sz w:val="21"/>
                <w:szCs w:val="21"/>
                <w:highlight w:val="none"/>
                <w:lang w:eastAsia="zh-CN"/>
              </w:rPr>
              <w:t>。</w:t>
            </w:r>
          </w:p>
        </w:tc>
        <w:tc>
          <w:tcPr>
            <w:tcW w:w="1275" w:type="dxa"/>
            <w:vAlign w:val="center"/>
          </w:tcPr>
          <w:p w14:paraId="1D318DAC">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r w14:paraId="6280C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1181FA8A">
            <w:pPr>
              <w:numPr>
                <w:ilvl w:val="0"/>
                <w:numId w:val="0"/>
              </w:numPr>
              <w:tabs>
                <w:tab w:val="left" w:pos="1260"/>
                <w:tab w:val="left" w:pos="1620"/>
              </w:tabs>
              <w:adjustRightInd w:val="0"/>
              <w:snapToGrid w:val="0"/>
              <w:spacing w:line="240" w:lineRule="auto"/>
              <w:ind w:left="425" w:leftChars="0" w:hanging="425" w:firstLineChars="0"/>
              <w:jc w:val="center"/>
              <w:textAlignment w:val="baseline"/>
              <w:rPr>
                <w:rFonts w:ascii="宋体" w:hAnsi="宋体"/>
                <w:color w:val="auto"/>
                <w:sz w:val="21"/>
                <w:szCs w:val="21"/>
                <w:highlight w:val="none"/>
              </w:rPr>
            </w:pPr>
            <w:r>
              <w:rPr>
                <w:rFonts w:hint="default" w:ascii="宋体" w:hAnsi="宋体" w:eastAsia="宋体" w:cs="Times New Roman"/>
                <w:color w:val="auto"/>
                <w:kern w:val="2"/>
                <w:sz w:val="21"/>
                <w:szCs w:val="21"/>
                <w:lang w:val="en-US" w:eastAsia="zh-CN" w:bidi="ar-SA"/>
              </w:rPr>
              <w:t>2</w:t>
            </w:r>
          </w:p>
        </w:tc>
        <w:tc>
          <w:tcPr>
            <w:tcW w:w="1674" w:type="dxa"/>
            <w:vAlign w:val="center"/>
          </w:tcPr>
          <w:p w14:paraId="41992E29">
            <w:pPr>
              <w:tabs>
                <w:tab w:val="left" w:pos="1260"/>
                <w:tab w:val="left" w:pos="1620"/>
              </w:tabs>
              <w:adjustRightInd w:val="0"/>
              <w:snapToGrid w:val="0"/>
              <w:spacing w:line="240" w:lineRule="auto"/>
              <w:jc w:val="center"/>
              <w:textAlignment w:val="baseline"/>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投标文件格式</w:t>
            </w:r>
          </w:p>
        </w:tc>
        <w:tc>
          <w:tcPr>
            <w:tcW w:w="5245" w:type="dxa"/>
            <w:vAlign w:val="center"/>
          </w:tcPr>
          <w:p w14:paraId="259763B7">
            <w:pPr>
              <w:tabs>
                <w:tab w:val="left" w:pos="1260"/>
                <w:tab w:val="left" w:pos="1620"/>
              </w:tabs>
              <w:adjustRightInd w:val="0"/>
              <w:snapToGrid w:val="0"/>
              <w:spacing w:line="240" w:lineRule="auto"/>
              <w:textAlignment w:val="baseline"/>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按照“第六章投标文件格式”填报，投标文件完整。</w:t>
            </w:r>
          </w:p>
        </w:tc>
        <w:tc>
          <w:tcPr>
            <w:tcW w:w="1275" w:type="dxa"/>
            <w:vAlign w:val="center"/>
          </w:tcPr>
          <w:p w14:paraId="7AE8EF6D">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r w14:paraId="23E4C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8" w:hRule="atLeast"/>
          <w:jc w:val="center"/>
        </w:trPr>
        <w:tc>
          <w:tcPr>
            <w:tcW w:w="817" w:type="dxa"/>
            <w:vAlign w:val="center"/>
          </w:tcPr>
          <w:p w14:paraId="31E2D67E">
            <w:pPr>
              <w:numPr>
                <w:ilvl w:val="0"/>
                <w:numId w:val="0"/>
              </w:numPr>
              <w:tabs>
                <w:tab w:val="left" w:pos="1260"/>
                <w:tab w:val="left" w:pos="1620"/>
              </w:tabs>
              <w:adjustRightInd w:val="0"/>
              <w:snapToGrid w:val="0"/>
              <w:spacing w:line="240" w:lineRule="auto"/>
              <w:ind w:left="425" w:leftChars="0" w:hanging="425" w:firstLineChars="0"/>
              <w:jc w:val="center"/>
              <w:textAlignment w:val="baseline"/>
              <w:rPr>
                <w:rFonts w:ascii="宋体" w:hAnsi="宋体"/>
                <w:color w:val="auto"/>
                <w:sz w:val="21"/>
                <w:szCs w:val="21"/>
                <w:highlight w:val="none"/>
              </w:rPr>
            </w:pPr>
            <w:r>
              <w:rPr>
                <w:rFonts w:hint="default" w:ascii="宋体" w:hAnsi="宋体" w:eastAsia="宋体" w:cs="Times New Roman"/>
                <w:color w:val="auto"/>
                <w:kern w:val="2"/>
                <w:sz w:val="21"/>
                <w:szCs w:val="21"/>
                <w:lang w:val="en-US" w:eastAsia="zh-CN" w:bidi="ar-SA"/>
              </w:rPr>
              <w:t>3</w:t>
            </w:r>
          </w:p>
        </w:tc>
        <w:tc>
          <w:tcPr>
            <w:tcW w:w="1674" w:type="dxa"/>
            <w:vAlign w:val="center"/>
          </w:tcPr>
          <w:p w14:paraId="1D4DEB06">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r>
              <w:rPr>
                <w:rFonts w:hint="eastAsia" w:ascii="宋体" w:hAnsi="宋体"/>
                <w:color w:val="auto"/>
                <w:sz w:val="21"/>
                <w:szCs w:val="21"/>
                <w:highlight w:val="none"/>
              </w:rPr>
              <w:t>投标文件签署盖章</w:t>
            </w:r>
          </w:p>
        </w:tc>
        <w:tc>
          <w:tcPr>
            <w:tcW w:w="5245" w:type="dxa"/>
            <w:vAlign w:val="center"/>
          </w:tcPr>
          <w:p w14:paraId="2B2921E4">
            <w:pPr>
              <w:tabs>
                <w:tab w:val="left" w:pos="1260"/>
                <w:tab w:val="left" w:pos="1620"/>
              </w:tabs>
              <w:adjustRightInd w:val="0"/>
              <w:snapToGrid w:val="0"/>
              <w:spacing w:line="240" w:lineRule="auto"/>
              <w:textAlignment w:val="baseline"/>
              <w:rPr>
                <w:rFonts w:hint="eastAsia" w:ascii="宋体" w:hAnsi="宋体" w:eastAsia="宋体"/>
                <w:color w:val="auto"/>
                <w:sz w:val="21"/>
                <w:szCs w:val="21"/>
                <w:highlight w:val="none"/>
                <w:lang w:eastAsia="zh-CN"/>
              </w:rPr>
            </w:pPr>
            <w:r>
              <w:rPr>
                <w:rFonts w:hint="eastAsia"/>
                <w:color w:val="auto"/>
                <w:highlight w:val="none"/>
              </w:rPr>
              <w:t>按照</w:t>
            </w:r>
            <w:r>
              <w:rPr>
                <w:rFonts w:hint="eastAsia"/>
                <w:color w:val="auto"/>
                <w:highlight w:val="none"/>
                <w:lang w:val="en-US" w:eastAsia="zh-CN"/>
              </w:rPr>
              <w:t>投标</w:t>
            </w:r>
            <w:r>
              <w:rPr>
                <w:rFonts w:hint="eastAsia"/>
                <w:color w:val="auto"/>
                <w:highlight w:val="none"/>
              </w:rPr>
              <w:t>文件格式，采用企业、法定代表人电子签章及数字证书电子签名。</w:t>
            </w:r>
          </w:p>
        </w:tc>
        <w:tc>
          <w:tcPr>
            <w:tcW w:w="1275" w:type="dxa"/>
            <w:vAlign w:val="center"/>
          </w:tcPr>
          <w:p w14:paraId="37986E77">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r w14:paraId="0BB55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72B5D4D1">
            <w:pPr>
              <w:numPr>
                <w:ilvl w:val="0"/>
                <w:numId w:val="0"/>
              </w:numPr>
              <w:tabs>
                <w:tab w:val="left" w:pos="1260"/>
                <w:tab w:val="left" w:pos="1620"/>
              </w:tabs>
              <w:adjustRightInd w:val="0"/>
              <w:snapToGrid w:val="0"/>
              <w:spacing w:line="240" w:lineRule="auto"/>
              <w:ind w:left="425" w:leftChars="0" w:hanging="425" w:firstLineChars="0"/>
              <w:jc w:val="center"/>
              <w:textAlignment w:val="baseline"/>
              <w:rPr>
                <w:rFonts w:ascii="宋体" w:hAnsi="宋体"/>
                <w:color w:val="auto"/>
                <w:sz w:val="21"/>
                <w:szCs w:val="21"/>
                <w:highlight w:val="none"/>
              </w:rPr>
            </w:pPr>
            <w:r>
              <w:rPr>
                <w:rFonts w:hint="default" w:ascii="宋体" w:hAnsi="宋体" w:eastAsia="宋体" w:cs="Times New Roman"/>
                <w:color w:val="auto"/>
                <w:kern w:val="2"/>
                <w:sz w:val="21"/>
                <w:szCs w:val="21"/>
                <w:lang w:val="en-US" w:eastAsia="zh-CN" w:bidi="ar-SA"/>
              </w:rPr>
              <w:t>4</w:t>
            </w:r>
          </w:p>
        </w:tc>
        <w:tc>
          <w:tcPr>
            <w:tcW w:w="1674" w:type="dxa"/>
            <w:vAlign w:val="center"/>
          </w:tcPr>
          <w:p w14:paraId="139B6DB8">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r>
              <w:rPr>
                <w:rFonts w:hint="eastAsia" w:ascii="宋体" w:hAnsi="宋体"/>
                <w:color w:val="auto"/>
                <w:sz w:val="21"/>
                <w:szCs w:val="21"/>
                <w:highlight w:val="none"/>
              </w:rPr>
              <w:t>投标报价</w:t>
            </w:r>
          </w:p>
        </w:tc>
        <w:tc>
          <w:tcPr>
            <w:tcW w:w="5245" w:type="dxa"/>
            <w:vAlign w:val="center"/>
          </w:tcPr>
          <w:p w14:paraId="2C4926E9">
            <w:pPr>
              <w:tabs>
                <w:tab w:val="left" w:pos="1260"/>
                <w:tab w:val="left" w:pos="1620"/>
              </w:tabs>
              <w:adjustRightInd w:val="0"/>
              <w:snapToGrid w:val="0"/>
              <w:spacing w:line="240" w:lineRule="auto"/>
              <w:textAlignment w:val="baseline"/>
              <w:rPr>
                <w:rFonts w:hint="eastAsia" w:ascii="宋体" w:hAnsi="宋体" w:eastAsia="宋体"/>
                <w:color w:val="auto"/>
                <w:sz w:val="21"/>
                <w:szCs w:val="21"/>
                <w:highlight w:val="none"/>
                <w:lang w:eastAsia="zh-CN"/>
              </w:rPr>
            </w:pPr>
            <w:r>
              <w:rPr>
                <w:rFonts w:hint="eastAsia" w:ascii="宋体" w:hAnsi="宋体"/>
                <w:szCs w:val="21"/>
                <w:highlight w:val="none"/>
              </w:rPr>
              <w:t>未超过采购预算，投标分项报价表中各项单价未超过单价最高限价，未出现缺项、漏项，对所投标段内所有内容作出完整唯一的投标报价</w:t>
            </w:r>
            <w:r>
              <w:rPr>
                <w:rFonts w:hint="eastAsia" w:ascii="宋体" w:hAnsi="宋体"/>
                <w:szCs w:val="21"/>
                <w:highlight w:val="none"/>
                <w:lang w:eastAsia="zh-CN"/>
              </w:rPr>
              <w:t>。</w:t>
            </w:r>
          </w:p>
        </w:tc>
        <w:tc>
          <w:tcPr>
            <w:tcW w:w="1275" w:type="dxa"/>
            <w:vAlign w:val="center"/>
          </w:tcPr>
          <w:p w14:paraId="05119E54">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r w14:paraId="24DCA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5253C484">
            <w:pPr>
              <w:numPr>
                <w:ilvl w:val="0"/>
                <w:numId w:val="0"/>
              </w:numPr>
              <w:tabs>
                <w:tab w:val="left" w:pos="1260"/>
                <w:tab w:val="left" w:pos="1620"/>
              </w:tabs>
              <w:adjustRightInd w:val="0"/>
              <w:snapToGrid w:val="0"/>
              <w:spacing w:line="240" w:lineRule="auto"/>
              <w:ind w:left="425" w:leftChars="0" w:hanging="425" w:firstLineChars="0"/>
              <w:jc w:val="center"/>
              <w:textAlignment w:val="baseline"/>
              <w:rPr>
                <w:rFonts w:ascii="宋体" w:hAnsi="宋体"/>
                <w:color w:val="auto"/>
                <w:sz w:val="21"/>
                <w:szCs w:val="21"/>
                <w:highlight w:val="none"/>
              </w:rPr>
            </w:pPr>
            <w:r>
              <w:rPr>
                <w:rFonts w:hint="default" w:ascii="宋体" w:hAnsi="宋体" w:eastAsia="宋体" w:cs="Times New Roman"/>
                <w:color w:val="auto"/>
                <w:kern w:val="2"/>
                <w:sz w:val="21"/>
                <w:szCs w:val="21"/>
                <w:lang w:val="en-US" w:eastAsia="zh-CN" w:bidi="ar-SA"/>
              </w:rPr>
              <w:t>5</w:t>
            </w:r>
          </w:p>
        </w:tc>
        <w:tc>
          <w:tcPr>
            <w:tcW w:w="1674" w:type="dxa"/>
            <w:vAlign w:val="center"/>
          </w:tcPr>
          <w:p w14:paraId="43F87E70">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r>
              <w:rPr>
                <w:rFonts w:hint="eastAsia" w:ascii="宋体" w:hAnsi="宋体"/>
                <w:color w:val="auto"/>
                <w:sz w:val="21"/>
                <w:szCs w:val="21"/>
                <w:highlight w:val="none"/>
              </w:rPr>
              <w:t>附加条件</w:t>
            </w:r>
          </w:p>
        </w:tc>
        <w:tc>
          <w:tcPr>
            <w:tcW w:w="5245" w:type="dxa"/>
            <w:vAlign w:val="center"/>
          </w:tcPr>
          <w:p w14:paraId="3C824499">
            <w:pPr>
              <w:tabs>
                <w:tab w:val="left" w:pos="1260"/>
                <w:tab w:val="left" w:pos="1620"/>
              </w:tabs>
              <w:adjustRightInd w:val="0"/>
              <w:snapToGrid w:val="0"/>
              <w:spacing w:line="240" w:lineRule="auto"/>
              <w:textAlignment w:val="baseline"/>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投标文件不含有采购人不能接受的附加条件</w:t>
            </w:r>
            <w:r>
              <w:rPr>
                <w:rFonts w:hint="eastAsia" w:ascii="宋体" w:hAnsi="宋体"/>
                <w:color w:val="auto"/>
                <w:sz w:val="21"/>
                <w:szCs w:val="21"/>
                <w:highlight w:val="none"/>
                <w:lang w:eastAsia="zh-CN"/>
              </w:rPr>
              <w:t>。</w:t>
            </w:r>
          </w:p>
        </w:tc>
        <w:tc>
          <w:tcPr>
            <w:tcW w:w="1275" w:type="dxa"/>
            <w:vAlign w:val="center"/>
          </w:tcPr>
          <w:p w14:paraId="44C59A87">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r w14:paraId="63EC9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03E9AF33">
            <w:pPr>
              <w:numPr>
                <w:ilvl w:val="0"/>
                <w:numId w:val="0"/>
              </w:numPr>
              <w:tabs>
                <w:tab w:val="left" w:pos="1260"/>
                <w:tab w:val="left" w:pos="1620"/>
              </w:tabs>
              <w:adjustRightInd w:val="0"/>
              <w:snapToGrid w:val="0"/>
              <w:spacing w:line="240" w:lineRule="auto"/>
              <w:ind w:left="425" w:leftChars="0" w:hanging="425" w:firstLineChars="0"/>
              <w:jc w:val="center"/>
              <w:textAlignment w:val="baseline"/>
              <w:rPr>
                <w:rFonts w:ascii="宋体" w:hAnsi="宋体"/>
                <w:color w:val="auto"/>
                <w:sz w:val="21"/>
                <w:szCs w:val="21"/>
                <w:highlight w:val="none"/>
              </w:rPr>
            </w:pPr>
            <w:r>
              <w:rPr>
                <w:rFonts w:hint="default" w:ascii="宋体" w:hAnsi="宋体" w:eastAsia="宋体" w:cs="Times New Roman"/>
                <w:color w:val="auto"/>
                <w:kern w:val="2"/>
                <w:sz w:val="21"/>
                <w:szCs w:val="21"/>
                <w:lang w:val="en-US" w:eastAsia="zh-CN" w:bidi="ar-SA"/>
              </w:rPr>
              <w:t>6</w:t>
            </w:r>
          </w:p>
        </w:tc>
        <w:tc>
          <w:tcPr>
            <w:tcW w:w="1674" w:type="dxa"/>
            <w:vAlign w:val="center"/>
          </w:tcPr>
          <w:p w14:paraId="10F2CC17">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r>
              <w:rPr>
                <w:rFonts w:hint="eastAsia" w:ascii="宋体" w:hAnsi="宋体"/>
                <w:color w:val="auto"/>
                <w:sz w:val="21"/>
                <w:szCs w:val="21"/>
                <w:highlight w:val="none"/>
              </w:rPr>
              <w:t>公平竞争</w:t>
            </w:r>
          </w:p>
        </w:tc>
        <w:tc>
          <w:tcPr>
            <w:tcW w:w="5245" w:type="dxa"/>
            <w:vAlign w:val="center"/>
          </w:tcPr>
          <w:p w14:paraId="2A2464B0">
            <w:pPr>
              <w:tabs>
                <w:tab w:val="left" w:pos="1260"/>
                <w:tab w:val="left" w:pos="1620"/>
              </w:tabs>
              <w:adjustRightInd w:val="0"/>
              <w:snapToGrid w:val="0"/>
              <w:spacing w:line="240" w:lineRule="auto"/>
              <w:textAlignment w:val="baseline"/>
              <w:rPr>
                <w:rFonts w:ascii="宋体" w:hAnsi="宋体"/>
                <w:color w:val="auto"/>
                <w:sz w:val="21"/>
                <w:szCs w:val="21"/>
                <w:highlight w:val="none"/>
              </w:rPr>
            </w:pPr>
            <w:r>
              <w:rPr>
                <w:rFonts w:hint="eastAsia" w:ascii="宋体" w:hAnsi="宋体"/>
                <w:color w:val="auto"/>
                <w:sz w:val="21"/>
                <w:szCs w:val="21"/>
                <w:highlight w:val="none"/>
              </w:rPr>
              <w:t>遵循公平竞争的原则，没有弄虚作假、恶意串通或妨碍其他投标人的竞争行为，损害采购人或者其他投标人的合法权益</w:t>
            </w:r>
            <w:r>
              <w:rPr>
                <w:rFonts w:hint="eastAsia" w:ascii="宋体" w:hAnsi="宋体"/>
                <w:color w:val="auto"/>
                <w:sz w:val="21"/>
                <w:szCs w:val="21"/>
                <w:highlight w:val="none"/>
                <w:lang w:eastAsia="zh-CN"/>
              </w:rPr>
              <w:t>。</w:t>
            </w:r>
          </w:p>
          <w:p w14:paraId="6FAD11DB">
            <w:pPr>
              <w:tabs>
                <w:tab w:val="left" w:pos="1260"/>
                <w:tab w:val="left" w:pos="1620"/>
              </w:tabs>
              <w:adjustRightInd w:val="0"/>
              <w:snapToGrid w:val="0"/>
              <w:spacing w:line="240" w:lineRule="auto"/>
              <w:textAlignment w:val="baseline"/>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弄虚作假、串通投标的情形见附注</w:t>
            </w:r>
            <w:r>
              <w:rPr>
                <w:rFonts w:hint="eastAsia" w:ascii="宋体" w:hAnsi="宋体"/>
                <w:color w:val="auto"/>
                <w:sz w:val="21"/>
                <w:szCs w:val="21"/>
                <w:highlight w:val="none"/>
                <w:lang w:eastAsia="zh-CN"/>
              </w:rPr>
              <w:t>。</w:t>
            </w:r>
          </w:p>
        </w:tc>
        <w:tc>
          <w:tcPr>
            <w:tcW w:w="1275" w:type="dxa"/>
            <w:vAlign w:val="center"/>
          </w:tcPr>
          <w:p w14:paraId="448DDB91">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r w14:paraId="1262F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59422A4F">
            <w:pPr>
              <w:numPr>
                <w:ilvl w:val="0"/>
                <w:numId w:val="0"/>
              </w:numPr>
              <w:tabs>
                <w:tab w:val="left" w:pos="1260"/>
                <w:tab w:val="left" w:pos="1620"/>
              </w:tabs>
              <w:adjustRightInd w:val="0"/>
              <w:snapToGrid w:val="0"/>
              <w:spacing w:line="240" w:lineRule="auto"/>
              <w:ind w:left="425" w:leftChars="0" w:hanging="425" w:firstLineChars="0"/>
              <w:jc w:val="center"/>
              <w:textAlignment w:val="baseline"/>
              <w:rPr>
                <w:rFonts w:ascii="宋体" w:hAnsi="宋体"/>
                <w:color w:val="auto"/>
                <w:sz w:val="21"/>
                <w:szCs w:val="21"/>
                <w:highlight w:val="none"/>
              </w:rPr>
            </w:pPr>
            <w:r>
              <w:rPr>
                <w:rFonts w:hint="default" w:ascii="宋体" w:hAnsi="宋体" w:eastAsia="宋体" w:cs="Times New Roman"/>
                <w:color w:val="auto"/>
                <w:kern w:val="2"/>
                <w:sz w:val="21"/>
                <w:szCs w:val="21"/>
                <w:lang w:val="en-US" w:eastAsia="zh-CN" w:bidi="ar-SA"/>
              </w:rPr>
              <w:t>7</w:t>
            </w:r>
          </w:p>
        </w:tc>
        <w:tc>
          <w:tcPr>
            <w:tcW w:w="1674" w:type="dxa"/>
            <w:vAlign w:val="center"/>
          </w:tcPr>
          <w:p w14:paraId="1C175C00">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r>
              <w:rPr>
                <w:rFonts w:hint="eastAsia" w:ascii="宋体" w:hAnsi="宋体"/>
                <w:color w:val="auto"/>
                <w:sz w:val="21"/>
                <w:szCs w:val="21"/>
                <w:highlight w:val="none"/>
              </w:rPr>
              <w:t>报价修正</w:t>
            </w:r>
          </w:p>
        </w:tc>
        <w:tc>
          <w:tcPr>
            <w:tcW w:w="5245" w:type="dxa"/>
            <w:vAlign w:val="center"/>
          </w:tcPr>
          <w:p w14:paraId="119070B9">
            <w:pPr>
              <w:tabs>
                <w:tab w:val="left" w:pos="1260"/>
                <w:tab w:val="left" w:pos="1620"/>
              </w:tabs>
              <w:adjustRightInd w:val="0"/>
              <w:snapToGrid w:val="0"/>
              <w:spacing w:line="240" w:lineRule="auto"/>
              <w:textAlignment w:val="baseline"/>
              <w:rPr>
                <w:rFonts w:ascii="宋体" w:hAnsi="宋体"/>
                <w:color w:val="auto"/>
                <w:sz w:val="21"/>
                <w:szCs w:val="21"/>
                <w:highlight w:val="none"/>
              </w:rPr>
            </w:pPr>
            <w:r>
              <w:rPr>
                <w:rFonts w:hint="eastAsia" w:ascii="宋体" w:hAnsi="宋体"/>
                <w:color w:val="auto"/>
                <w:sz w:val="21"/>
                <w:szCs w:val="21"/>
                <w:highlight w:val="none"/>
              </w:rPr>
              <w:t>报价出现前后不一致时，投标人按照招标文件评标办法要求确认修正后的报价</w:t>
            </w:r>
            <w:r>
              <w:rPr>
                <w:rFonts w:hint="eastAsia" w:ascii="宋体" w:hAnsi="宋体"/>
                <w:color w:val="auto"/>
                <w:sz w:val="21"/>
                <w:szCs w:val="21"/>
                <w:highlight w:val="none"/>
                <w:lang w:eastAsia="zh-CN"/>
              </w:rPr>
              <w:t>。</w:t>
            </w:r>
          </w:p>
        </w:tc>
        <w:tc>
          <w:tcPr>
            <w:tcW w:w="1275" w:type="dxa"/>
            <w:vAlign w:val="center"/>
          </w:tcPr>
          <w:p w14:paraId="77096695">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r w14:paraId="3A110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27161EEA">
            <w:pPr>
              <w:numPr>
                <w:ilvl w:val="0"/>
                <w:numId w:val="0"/>
              </w:numPr>
              <w:tabs>
                <w:tab w:val="left" w:pos="1260"/>
                <w:tab w:val="left" w:pos="1620"/>
              </w:tabs>
              <w:adjustRightInd w:val="0"/>
              <w:snapToGrid w:val="0"/>
              <w:spacing w:line="240" w:lineRule="auto"/>
              <w:ind w:leftChars="0"/>
              <w:jc w:val="center"/>
              <w:textAlignment w:val="baseline"/>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8</w:t>
            </w:r>
          </w:p>
        </w:tc>
        <w:tc>
          <w:tcPr>
            <w:tcW w:w="1674" w:type="dxa"/>
            <w:vAlign w:val="center"/>
          </w:tcPr>
          <w:p w14:paraId="7184A478">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r>
              <w:rPr>
                <w:rFonts w:hint="eastAsia" w:ascii="宋体" w:hAnsi="宋体"/>
                <w:color w:val="auto"/>
                <w:sz w:val="21"/>
                <w:szCs w:val="21"/>
                <w:highlight w:val="none"/>
              </w:rPr>
              <w:t>其他无效情形</w:t>
            </w:r>
          </w:p>
        </w:tc>
        <w:tc>
          <w:tcPr>
            <w:tcW w:w="5245" w:type="dxa"/>
            <w:vAlign w:val="center"/>
          </w:tcPr>
          <w:p w14:paraId="6BCD958A">
            <w:pPr>
              <w:tabs>
                <w:tab w:val="left" w:pos="1260"/>
                <w:tab w:val="left" w:pos="1620"/>
              </w:tabs>
              <w:adjustRightInd w:val="0"/>
              <w:snapToGrid w:val="0"/>
              <w:spacing w:line="240" w:lineRule="auto"/>
              <w:textAlignment w:val="baseline"/>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法律、法规和招标文件规定的其他无效情形</w:t>
            </w:r>
            <w:r>
              <w:rPr>
                <w:rFonts w:hint="eastAsia" w:ascii="宋体" w:hAnsi="宋体"/>
                <w:color w:val="auto"/>
                <w:sz w:val="21"/>
                <w:szCs w:val="21"/>
                <w:highlight w:val="none"/>
                <w:lang w:eastAsia="zh-CN"/>
              </w:rPr>
              <w:t>。</w:t>
            </w:r>
          </w:p>
        </w:tc>
        <w:tc>
          <w:tcPr>
            <w:tcW w:w="1275" w:type="dxa"/>
            <w:vAlign w:val="center"/>
          </w:tcPr>
          <w:p w14:paraId="6727CD80">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r w14:paraId="28E24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36226C56">
            <w:pPr>
              <w:numPr>
                <w:ilvl w:val="0"/>
                <w:numId w:val="0"/>
              </w:numPr>
              <w:tabs>
                <w:tab w:val="left" w:pos="1260"/>
                <w:tab w:val="left" w:pos="1620"/>
              </w:tabs>
              <w:adjustRightInd w:val="0"/>
              <w:snapToGrid w:val="0"/>
              <w:spacing w:line="240" w:lineRule="auto"/>
              <w:ind w:left="425" w:leftChars="0" w:hanging="425" w:firstLineChars="0"/>
              <w:jc w:val="center"/>
              <w:textAlignment w:val="baseline"/>
              <w:rPr>
                <w:rFonts w:ascii="宋体" w:hAnsi="宋体"/>
                <w:color w:val="auto"/>
                <w:sz w:val="21"/>
                <w:szCs w:val="21"/>
                <w:highlight w:val="none"/>
              </w:rPr>
            </w:pPr>
            <w:r>
              <w:rPr>
                <w:rFonts w:hint="default" w:ascii="宋体" w:hAnsi="宋体" w:eastAsia="宋体" w:cs="Times New Roman"/>
                <w:color w:val="auto"/>
                <w:kern w:val="2"/>
                <w:sz w:val="21"/>
                <w:szCs w:val="21"/>
                <w:lang w:val="en-US" w:eastAsia="zh-CN" w:bidi="ar-SA"/>
              </w:rPr>
              <w:t>1)</w:t>
            </w:r>
          </w:p>
        </w:tc>
        <w:tc>
          <w:tcPr>
            <w:tcW w:w="1674" w:type="dxa"/>
            <w:vAlign w:val="center"/>
          </w:tcPr>
          <w:p w14:paraId="4175D92D">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r>
              <w:rPr>
                <w:rFonts w:hint="eastAsia" w:ascii="宋体" w:hAnsi="宋体"/>
                <w:color w:val="auto"/>
                <w:sz w:val="21"/>
                <w:szCs w:val="21"/>
                <w:highlight w:val="none"/>
              </w:rPr>
              <w:t>投标有效期</w:t>
            </w:r>
          </w:p>
        </w:tc>
        <w:tc>
          <w:tcPr>
            <w:tcW w:w="5245" w:type="dxa"/>
            <w:vAlign w:val="center"/>
          </w:tcPr>
          <w:p w14:paraId="0A257EC3">
            <w:pPr>
              <w:tabs>
                <w:tab w:val="left" w:pos="1260"/>
                <w:tab w:val="left" w:pos="1620"/>
              </w:tabs>
              <w:adjustRightInd w:val="0"/>
              <w:snapToGrid w:val="0"/>
              <w:spacing w:line="240" w:lineRule="auto"/>
              <w:textAlignment w:val="baseline"/>
              <w:rPr>
                <w:rFonts w:hint="eastAsia" w:ascii="宋体" w:hAnsi="宋体" w:eastAsia="宋体"/>
                <w:color w:val="auto"/>
                <w:sz w:val="21"/>
                <w:szCs w:val="21"/>
                <w:highlight w:val="none"/>
                <w:lang w:eastAsia="zh-CN"/>
              </w:rPr>
            </w:pPr>
            <w:r>
              <w:rPr>
                <w:rFonts w:ascii="宋体" w:hAnsi="宋体"/>
                <w:color w:val="auto"/>
                <w:sz w:val="21"/>
                <w:szCs w:val="21"/>
                <w:highlight w:val="none"/>
              </w:rPr>
              <w:t>投标有效期满足招标文件要求的</w:t>
            </w:r>
            <w:r>
              <w:rPr>
                <w:rFonts w:hint="eastAsia" w:ascii="宋体" w:hAnsi="宋体"/>
                <w:color w:val="auto"/>
                <w:sz w:val="21"/>
                <w:szCs w:val="21"/>
                <w:highlight w:val="none"/>
                <w:lang w:eastAsia="zh-CN"/>
              </w:rPr>
              <w:t>。</w:t>
            </w:r>
          </w:p>
        </w:tc>
        <w:tc>
          <w:tcPr>
            <w:tcW w:w="1275" w:type="dxa"/>
            <w:vAlign w:val="center"/>
          </w:tcPr>
          <w:p w14:paraId="56B63B74">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r w14:paraId="79188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7FB20750">
            <w:pPr>
              <w:numPr>
                <w:ilvl w:val="0"/>
                <w:numId w:val="0"/>
              </w:numPr>
              <w:tabs>
                <w:tab w:val="left" w:pos="1260"/>
                <w:tab w:val="left" w:pos="1620"/>
              </w:tabs>
              <w:adjustRightInd w:val="0"/>
              <w:snapToGrid w:val="0"/>
              <w:spacing w:line="240" w:lineRule="auto"/>
              <w:ind w:left="425" w:leftChars="0" w:hanging="425" w:firstLineChars="0"/>
              <w:jc w:val="center"/>
              <w:textAlignment w:val="baseline"/>
              <w:rPr>
                <w:rFonts w:ascii="宋体" w:hAnsi="宋体"/>
                <w:color w:val="auto"/>
                <w:sz w:val="21"/>
                <w:szCs w:val="21"/>
                <w:highlight w:val="none"/>
              </w:rPr>
            </w:pPr>
            <w:r>
              <w:rPr>
                <w:rFonts w:hint="default" w:ascii="宋体" w:hAnsi="宋体" w:eastAsia="宋体" w:cs="Times New Roman"/>
                <w:color w:val="auto"/>
                <w:kern w:val="2"/>
                <w:sz w:val="21"/>
                <w:szCs w:val="21"/>
                <w:lang w:val="en-US" w:eastAsia="zh-CN" w:bidi="ar-SA"/>
              </w:rPr>
              <w:t>2)</w:t>
            </w:r>
          </w:p>
        </w:tc>
        <w:tc>
          <w:tcPr>
            <w:tcW w:w="1674" w:type="dxa"/>
            <w:vAlign w:val="center"/>
          </w:tcPr>
          <w:p w14:paraId="2091A634">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r>
              <w:rPr>
                <w:rFonts w:hint="eastAsia" w:ascii="宋体" w:hAnsi="宋体"/>
                <w:color w:val="auto"/>
                <w:sz w:val="21"/>
                <w:szCs w:val="21"/>
                <w:highlight w:val="none"/>
              </w:rPr>
              <w:t>备选方案</w:t>
            </w:r>
          </w:p>
        </w:tc>
        <w:tc>
          <w:tcPr>
            <w:tcW w:w="5245" w:type="dxa"/>
            <w:vAlign w:val="center"/>
          </w:tcPr>
          <w:p w14:paraId="2888BD12">
            <w:pPr>
              <w:tabs>
                <w:tab w:val="left" w:pos="1260"/>
                <w:tab w:val="left" w:pos="1620"/>
              </w:tabs>
              <w:adjustRightInd w:val="0"/>
              <w:snapToGrid w:val="0"/>
              <w:spacing w:line="240" w:lineRule="auto"/>
              <w:textAlignment w:val="baseline"/>
              <w:rPr>
                <w:rFonts w:ascii="宋体" w:hAnsi="宋体"/>
                <w:strike/>
                <w:color w:val="auto"/>
                <w:sz w:val="21"/>
                <w:szCs w:val="21"/>
                <w:highlight w:val="none"/>
              </w:rPr>
            </w:pPr>
            <w:r>
              <w:rPr>
                <w:rFonts w:hint="eastAsia" w:ascii="宋体" w:hAnsi="宋体"/>
                <w:color w:val="auto"/>
                <w:sz w:val="21"/>
                <w:szCs w:val="21"/>
                <w:highlight w:val="none"/>
              </w:rPr>
              <w:t>投标人不得提交两份或者多份内容不同的投标文件，或者在同一份投标文件中对同一招标项目有两个或者多个报价</w:t>
            </w:r>
            <w:r>
              <w:rPr>
                <w:rFonts w:hint="eastAsia" w:ascii="宋体" w:hAnsi="宋体"/>
                <w:color w:val="auto"/>
                <w:sz w:val="21"/>
                <w:szCs w:val="21"/>
                <w:highlight w:val="none"/>
                <w:lang w:eastAsia="zh-CN"/>
              </w:rPr>
              <w:t>。</w:t>
            </w:r>
          </w:p>
        </w:tc>
        <w:tc>
          <w:tcPr>
            <w:tcW w:w="1275" w:type="dxa"/>
            <w:vAlign w:val="center"/>
          </w:tcPr>
          <w:p w14:paraId="30A306C9">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r w14:paraId="341E8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7F96C1BB">
            <w:pPr>
              <w:numPr>
                <w:ilvl w:val="0"/>
                <w:numId w:val="0"/>
              </w:numPr>
              <w:tabs>
                <w:tab w:val="left" w:pos="1260"/>
                <w:tab w:val="left" w:pos="1620"/>
              </w:tabs>
              <w:adjustRightInd w:val="0"/>
              <w:snapToGrid w:val="0"/>
              <w:spacing w:line="240" w:lineRule="auto"/>
              <w:ind w:left="425" w:leftChars="0" w:hanging="425" w:firstLineChars="0"/>
              <w:jc w:val="center"/>
              <w:textAlignment w:val="baseline"/>
              <w:rPr>
                <w:rFonts w:ascii="宋体" w:hAnsi="宋体"/>
                <w:color w:val="auto"/>
                <w:sz w:val="21"/>
                <w:szCs w:val="21"/>
                <w:highlight w:val="none"/>
              </w:rPr>
            </w:pPr>
            <w:r>
              <w:rPr>
                <w:rFonts w:hint="default" w:ascii="宋体" w:hAnsi="宋体" w:eastAsia="宋体" w:cs="Times New Roman"/>
                <w:color w:val="auto"/>
                <w:kern w:val="2"/>
                <w:sz w:val="21"/>
                <w:szCs w:val="21"/>
                <w:lang w:val="en-US" w:eastAsia="zh-CN" w:bidi="ar-SA"/>
              </w:rPr>
              <w:t>3)</w:t>
            </w:r>
          </w:p>
        </w:tc>
        <w:tc>
          <w:tcPr>
            <w:tcW w:w="1674" w:type="dxa"/>
            <w:vAlign w:val="center"/>
          </w:tcPr>
          <w:p w14:paraId="28976177">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r>
              <w:rPr>
                <w:rFonts w:hint="eastAsia" w:ascii="宋体" w:hAnsi="宋体"/>
                <w:color w:val="auto"/>
                <w:sz w:val="21"/>
                <w:szCs w:val="21"/>
                <w:highlight w:val="none"/>
              </w:rPr>
              <w:t>投标内容</w:t>
            </w:r>
          </w:p>
        </w:tc>
        <w:tc>
          <w:tcPr>
            <w:tcW w:w="5245" w:type="dxa"/>
            <w:vAlign w:val="center"/>
          </w:tcPr>
          <w:p w14:paraId="57095787">
            <w:pPr>
              <w:tabs>
                <w:tab w:val="left" w:pos="1260"/>
                <w:tab w:val="left" w:pos="1620"/>
              </w:tabs>
              <w:adjustRightInd w:val="0"/>
              <w:snapToGrid w:val="0"/>
              <w:spacing w:line="240" w:lineRule="auto"/>
              <w:textAlignment w:val="baseline"/>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投标人提供的服务无实质性遗漏</w:t>
            </w:r>
            <w:r>
              <w:rPr>
                <w:rFonts w:hint="eastAsia" w:ascii="宋体" w:hAnsi="宋体"/>
                <w:color w:val="auto"/>
                <w:sz w:val="21"/>
                <w:szCs w:val="21"/>
                <w:highlight w:val="none"/>
                <w:lang w:eastAsia="zh-CN"/>
              </w:rPr>
              <w:t>。</w:t>
            </w:r>
          </w:p>
        </w:tc>
        <w:tc>
          <w:tcPr>
            <w:tcW w:w="1275" w:type="dxa"/>
            <w:vAlign w:val="center"/>
          </w:tcPr>
          <w:p w14:paraId="65E50A75">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r w14:paraId="16CF3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148D7777">
            <w:pPr>
              <w:numPr>
                <w:ilvl w:val="0"/>
                <w:numId w:val="0"/>
              </w:numPr>
              <w:tabs>
                <w:tab w:val="left" w:pos="1260"/>
                <w:tab w:val="left" w:pos="1620"/>
              </w:tabs>
              <w:adjustRightInd w:val="0"/>
              <w:snapToGrid w:val="0"/>
              <w:spacing w:line="240" w:lineRule="auto"/>
              <w:ind w:left="425" w:leftChars="0" w:hanging="425" w:firstLineChars="0"/>
              <w:jc w:val="center"/>
              <w:textAlignment w:val="baseline"/>
              <w:rPr>
                <w:rFonts w:ascii="宋体" w:hAnsi="宋体"/>
                <w:color w:val="auto"/>
                <w:sz w:val="21"/>
                <w:szCs w:val="21"/>
                <w:highlight w:val="none"/>
              </w:rPr>
            </w:pPr>
            <w:r>
              <w:rPr>
                <w:rFonts w:hint="default" w:ascii="宋体" w:hAnsi="宋体" w:eastAsia="宋体" w:cs="Times New Roman"/>
                <w:color w:val="auto"/>
                <w:kern w:val="2"/>
                <w:sz w:val="21"/>
                <w:szCs w:val="21"/>
                <w:highlight w:val="none"/>
                <w:lang w:val="en-US" w:eastAsia="zh-CN" w:bidi="ar-SA"/>
              </w:rPr>
              <w:t>4)</w:t>
            </w:r>
          </w:p>
        </w:tc>
        <w:tc>
          <w:tcPr>
            <w:tcW w:w="1674" w:type="dxa"/>
            <w:vAlign w:val="center"/>
          </w:tcPr>
          <w:p w14:paraId="6F971D49">
            <w:pPr>
              <w:tabs>
                <w:tab w:val="left" w:pos="1260"/>
                <w:tab w:val="left" w:pos="1620"/>
              </w:tabs>
              <w:adjustRightInd w:val="0"/>
              <w:snapToGrid w:val="0"/>
              <w:spacing w:line="240" w:lineRule="auto"/>
              <w:jc w:val="center"/>
              <w:textAlignment w:val="baseline"/>
              <w:rPr>
                <w:rFonts w:hint="eastAsia" w:ascii="宋体" w:hAnsi="宋体" w:eastAsia="宋体"/>
                <w:color w:val="auto"/>
                <w:sz w:val="21"/>
                <w:szCs w:val="21"/>
                <w:highlight w:val="none"/>
                <w:lang w:val="en-US" w:eastAsia="zh-CN"/>
              </w:rPr>
            </w:pPr>
            <w:r>
              <w:rPr>
                <w:rFonts w:hint="eastAsia" w:ascii="宋体" w:hAnsi="宋体"/>
                <w:color w:val="auto"/>
                <w:szCs w:val="21"/>
                <w:highlight w:val="none"/>
              </w:rPr>
              <w:t>是否允许采用分包方式履行合同</w:t>
            </w:r>
          </w:p>
        </w:tc>
        <w:tc>
          <w:tcPr>
            <w:tcW w:w="5245" w:type="dxa"/>
            <w:vAlign w:val="center"/>
          </w:tcPr>
          <w:p w14:paraId="43D791EA">
            <w:pPr>
              <w:tabs>
                <w:tab w:val="left" w:pos="1260"/>
                <w:tab w:val="left" w:pos="1620"/>
              </w:tabs>
              <w:adjustRightInd w:val="0"/>
              <w:snapToGrid w:val="0"/>
              <w:spacing w:line="240" w:lineRule="auto"/>
              <w:textAlignment w:val="baseline"/>
              <w:rPr>
                <w:rFonts w:hint="eastAsia" w:ascii="宋体" w:hAnsi="宋体"/>
                <w:color w:val="auto"/>
                <w:sz w:val="21"/>
                <w:szCs w:val="21"/>
                <w:highlight w:val="none"/>
              </w:rPr>
            </w:pPr>
            <w:r>
              <w:rPr>
                <w:rFonts w:hint="eastAsia" w:ascii="宋体" w:hAnsi="宋体"/>
                <w:color w:val="auto"/>
                <w:sz w:val="21"/>
                <w:szCs w:val="21"/>
                <w:highlight w:val="none"/>
                <w:lang w:val="en-US" w:eastAsia="zh-CN"/>
              </w:rPr>
              <w:t>招标文件不允许分包时，投标人未分包。</w:t>
            </w:r>
          </w:p>
        </w:tc>
        <w:tc>
          <w:tcPr>
            <w:tcW w:w="1275" w:type="dxa"/>
            <w:vAlign w:val="center"/>
          </w:tcPr>
          <w:p w14:paraId="221A1B71">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r w14:paraId="262E9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73AAADBB">
            <w:pPr>
              <w:numPr>
                <w:ilvl w:val="0"/>
                <w:numId w:val="0"/>
              </w:numPr>
              <w:tabs>
                <w:tab w:val="left" w:pos="1260"/>
                <w:tab w:val="left" w:pos="1620"/>
              </w:tabs>
              <w:adjustRightInd w:val="0"/>
              <w:snapToGrid w:val="0"/>
              <w:spacing w:line="240" w:lineRule="auto"/>
              <w:ind w:left="425" w:leftChars="0" w:hanging="425" w:firstLineChars="0"/>
              <w:jc w:val="center"/>
              <w:textAlignment w:val="baseline"/>
              <w:rPr>
                <w:rFonts w:ascii="宋体" w:hAnsi="宋体"/>
                <w:color w:val="auto"/>
                <w:sz w:val="21"/>
                <w:szCs w:val="21"/>
                <w:highlight w:val="none"/>
              </w:rPr>
            </w:pPr>
            <w:r>
              <w:rPr>
                <w:rFonts w:hint="default" w:ascii="宋体" w:hAnsi="宋体" w:eastAsia="宋体" w:cs="Times New Roman"/>
                <w:color w:val="auto"/>
                <w:kern w:val="2"/>
                <w:sz w:val="21"/>
                <w:szCs w:val="21"/>
                <w:highlight w:val="none"/>
                <w:lang w:val="en-US" w:eastAsia="zh-CN" w:bidi="ar-SA"/>
              </w:rPr>
              <w:t>5)</w:t>
            </w:r>
          </w:p>
        </w:tc>
        <w:tc>
          <w:tcPr>
            <w:tcW w:w="1674" w:type="dxa"/>
            <w:vAlign w:val="center"/>
          </w:tcPr>
          <w:p w14:paraId="076ED10A">
            <w:pPr>
              <w:tabs>
                <w:tab w:val="left" w:pos="1260"/>
                <w:tab w:val="left" w:pos="1620"/>
              </w:tabs>
              <w:adjustRightInd w:val="0"/>
              <w:snapToGrid w:val="0"/>
              <w:spacing w:line="240" w:lineRule="auto"/>
              <w:jc w:val="center"/>
              <w:textAlignment w:val="baseline"/>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技术</w:t>
            </w:r>
            <w:r>
              <w:rPr>
                <w:rFonts w:hint="eastAsia" w:ascii="宋体" w:hAnsi="宋体"/>
                <w:i w:val="0"/>
                <w:iCs w:val="0"/>
                <w:color w:val="auto"/>
                <w:sz w:val="21"/>
                <w:szCs w:val="21"/>
                <w:highlight w:val="none"/>
              </w:rPr>
              <w:t>响应</w:t>
            </w:r>
          </w:p>
        </w:tc>
        <w:tc>
          <w:tcPr>
            <w:tcW w:w="5245" w:type="dxa"/>
            <w:vAlign w:val="center"/>
          </w:tcPr>
          <w:p w14:paraId="7CFE9567">
            <w:pPr>
              <w:tabs>
                <w:tab w:val="left" w:pos="1260"/>
                <w:tab w:val="left" w:pos="1620"/>
              </w:tabs>
              <w:adjustRightInd w:val="0"/>
              <w:snapToGrid w:val="0"/>
              <w:spacing w:line="240" w:lineRule="auto"/>
              <w:textAlignment w:val="baseline"/>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符合“采购需求”要求，无重大偏差</w:t>
            </w:r>
            <w:r>
              <w:rPr>
                <w:rFonts w:hint="eastAsia" w:ascii="宋体" w:hAnsi="宋体"/>
                <w:color w:val="auto"/>
                <w:sz w:val="21"/>
                <w:szCs w:val="21"/>
                <w:highlight w:val="none"/>
                <w:lang w:eastAsia="zh-CN"/>
              </w:rPr>
              <w:t>（满足星号“</w:t>
            </w:r>
            <w:r>
              <w:rPr>
                <w:rFonts w:hint="eastAsia" w:ascii="宋体" w:hAnsi="宋体" w:eastAsia="宋体" w:cs="宋体"/>
                <w:color w:val="auto"/>
                <w:sz w:val="21"/>
                <w:szCs w:val="21"/>
                <w:highlight w:val="none"/>
                <w:lang w:val="en-US" w:eastAsia="zh-CN"/>
              </w:rPr>
              <w:t>★</w:t>
            </w:r>
            <w:r>
              <w:rPr>
                <w:rFonts w:hint="eastAsia" w:ascii="宋体" w:hAnsi="宋体"/>
                <w:color w:val="auto"/>
                <w:sz w:val="21"/>
                <w:szCs w:val="21"/>
                <w:highlight w:val="none"/>
                <w:lang w:eastAsia="zh-CN"/>
              </w:rPr>
              <w:t>”条款要求）</w:t>
            </w:r>
          </w:p>
        </w:tc>
        <w:tc>
          <w:tcPr>
            <w:tcW w:w="1275" w:type="dxa"/>
            <w:vAlign w:val="center"/>
          </w:tcPr>
          <w:p w14:paraId="1BA93DA7">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r w14:paraId="34588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63350EC3">
            <w:pPr>
              <w:numPr>
                <w:ilvl w:val="0"/>
                <w:numId w:val="0"/>
              </w:numPr>
              <w:tabs>
                <w:tab w:val="left" w:pos="1260"/>
                <w:tab w:val="left" w:pos="1620"/>
              </w:tabs>
              <w:adjustRightInd w:val="0"/>
              <w:snapToGrid w:val="0"/>
              <w:spacing w:line="240" w:lineRule="auto"/>
              <w:ind w:left="425" w:leftChars="0" w:hanging="425" w:firstLineChars="0"/>
              <w:jc w:val="center"/>
              <w:textAlignment w:val="baseline"/>
              <w:rPr>
                <w:rFonts w:ascii="宋体" w:hAnsi="宋体"/>
                <w:color w:val="auto"/>
                <w:sz w:val="21"/>
                <w:szCs w:val="21"/>
                <w:highlight w:val="none"/>
              </w:rPr>
            </w:pPr>
            <w:r>
              <w:rPr>
                <w:rFonts w:hint="default" w:ascii="宋体" w:hAnsi="宋体" w:eastAsia="宋体" w:cs="Times New Roman"/>
                <w:color w:val="auto"/>
                <w:kern w:val="2"/>
                <w:sz w:val="21"/>
                <w:szCs w:val="21"/>
                <w:highlight w:val="none"/>
                <w:lang w:val="en-US" w:eastAsia="zh-CN" w:bidi="ar-SA"/>
              </w:rPr>
              <w:t>6)</w:t>
            </w:r>
          </w:p>
        </w:tc>
        <w:tc>
          <w:tcPr>
            <w:tcW w:w="1674" w:type="dxa"/>
            <w:vAlign w:val="center"/>
          </w:tcPr>
          <w:p w14:paraId="56DD1237">
            <w:pPr>
              <w:tabs>
                <w:tab w:val="left" w:pos="1260"/>
                <w:tab w:val="left" w:pos="1620"/>
              </w:tabs>
              <w:adjustRightInd w:val="0"/>
              <w:snapToGrid w:val="0"/>
              <w:spacing w:line="240" w:lineRule="auto"/>
              <w:jc w:val="center"/>
              <w:textAlignment w:val="baseline"/>
              <w:rPr>
                <w:rFonts w:hint="eastAsia" w:ascii="宋体" w:hAnsi="宋体"/>
                <w:color w:val="auto"/>
                <w:sz w:val="21"/>
                <w:szCs w:val="21"/>
                <w:highlight w:val="none"/>
              </w:rPr>
            </w:pPr>
            <w:r>
              <w:rPr>
                <w:rFonts w:hint="eastAsia" w:ascii="宋体" w:hAnsi="宋体"/>
                <w:color w:val="auto"/>
                <w:sz w:val="21"/>
                <w:szCs w:val="21"/>
                <w:highlight w:val="none"/>
              </w:rPr>
              <w:t>质量要求</w:t>
            </w:r>
          </w:p>
        </w:tc>
        <w:tc>
          <w:tcPr>
            <w:tcW w:w="5245" w:type="dxa"/>
            <w:vAlign w:val="center"/>
          </w:tcPr>
          <w:p w14:paraId="0231F850">
            <w:pPr>
              <w:tabs>
                <w:tab w:val="left" w:pos="1260"/>
                <w:tab w:val="left" w:pos="1620"/>
              </w:tabs>
              <w:adjustRightInd w:val="0"/>
              <w:snapToGrid w:val="0"/>
              <w:spacing w:line="240" w:lineRule="auto"/>
              <w:textAlignment w:val="baseline"/>
              <w:rPr>
                <w:rFonts w:hint="eastAsia" w:ascii="宋体" w:hAnsi="宋体"/>
                <w:color w:val="auto"/>
                <w:sz w:val="21"/>
                <w:szCs w:val="21"/>
                <w:highlight w:val="none"/>
              </w:rPr>
            </w:pPr>
            <w:r>
              <w:rPr>
                <w:rFonts w:hint="eastAsia" w:ascii="宋体" w:hAnsi="宋体"/>
                <w:i w:val="0"/>
                <w:iCs w:val="0"/>
                <w:color w:val="auto"/>
                <w:sz w:val="21"/>
                <w:szCs w:val="21"/>
                <w:highlight w:val="none"/>
              </w:rPr>
              <w:t>满足招标文件要求</w:t>
            </w:r>
            <w:r>
              <w:rPr>
                <w:rFonts w:hint="eastAsia" w:ascii="宋体" w:hAnsi="宋体"/>
                <w:i w:val="0"/>
                <w:iCs w:val="0"/>
                <w:color w:val="auto"/>
                <w:sz w:val="21"/>
                <w:szCs w:val="21"/>
                <w:highlight w:val="none"/>
                <w:lang w:eastAsia="zh-CN"/>
              </w:rPr>
              <w:t>。</w:t>
            </w:r>
          </w:p>
        </w:tc>
        <w:tc>
          <w:tcPr>
            <w:tcW w:w="1275" w:type="dxa"/>
            <w:vAlign w:val="center"/>
          </w:tcPr>
          <w:p w14:paraId="6EAD2499">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r w14:paraId="10934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17" w:type="dxa"/>
            <w:vAlign w:val="center"/>
          </w:tcPr>
          <w:p w14:paraId="5E04E46C">
            <w:pPr>
              <w:numPr>
                <w:ilvl w:val="0"/>
                <w:numId w:val="0"/>
              </w:numPr>
              <w:tabs>
                <w:tab w:val="left" w:pos="1260"/>
                <w:tab w:val="left" w:pos="1620"/>
              </w:tabs>
              <w:adjustRightInd w:val="0"/>
              <w:snapToGrid w:val="0"/>
              <w:spacing w:line="240" w:lineRule="auto"/>
              <w:ind w:left="425" w:leftChars="0" w:hanging="425" w:firstLineChars="0"/>
              <w:jc w:val="center"/>
              <w:textAlignment w:val="baseline"/>
              <w:rPr>
                <w:rFonts w:ascii="宋体" w:hAnsi="宋体"/>
                <w:i w:val="0"/>
                <w:iCs w:val="0"/>
                <w:color w:val="auto"/>
                <w:sz w:val="21"/>
                <w:szCs w:val="21"/>
                <w:highlight w:val="none"/>
              </w:rPr>
            </w:pPr>
            <w:r>
              <w:rPr>
                <w:rFonts w:hint="default" w:ascii="宋体" w:hAnsi="宋体" w:eastAsia="宋体" w:cs="Times New Roman"/>
                <w:i w:val="0"/>
                <w:iCs w:val="0"/>
                <w:color w:val="auto"/>
                <w:kern w:val="2"/>
                <w:sz w:val="21"/>
                <w:szCs w:val="21"/>
                <w:highlight w:val="none"/>
                <w:lang w:val="en-US" w:eastAsia="zh-CN" w:bidi="ar-SA"/>
              </w:rPr>
              <w:t>7)</w:t>
            </w:r>
          </w:p>
        </w:tc>
        <w:tc>
          <w:tcPr>
            <w:tcW w:w="1674" w:type="dxa"/>
            <w:vAlign w:val="center"/>
          </w:tcPr>
          <w:p w14:paraId="43D7E0FF">
            <w:pPr>
              <w:tabs>
                <w:tab w:val="left" w:pos="1260"/>
                <w:tab w:val="left" w:pos="1620"/>
              </w:tabs>
              <w:adjustRightInd w:val="0"/>
              <w:snapToGrid w:val="0"/>
              <w:spacing w:line="240" w:lineRule="auto"/>
              <w:jc w:val="center"/>
              <w:textAlignment w:val="baseline"/>
              <w:rPr>
                <w:rFonts w:ascii="宋体" w:hAnsi="宋体"/>
                <w:i w:val="0"/>
                <w:iCs w:val="0"/>
                <w:color w:val="auto"/>
                <w:sz w:val="21"/>
                <w:szCs w:val="21"/>
                <w:highlight w:val="none"/>
              </w:rPr>
            </w:pPr>
            <w:r>
              <w:rPr>
                <w:rFonts w:hint="eastAsia" w:ascii="宋体" w:hAnsi="宋体"/>
                <w:i w:val="0"/>
                <w:iCs w:val="0"/>
                <w:color w:val="auto"/>
                <w:sz w:val="21"/>
                <w:szCs w:val="21"/>
                <w:highlight w:val="none"/>
              </w:rPr>
              <w:t>合同履行期限（</w:t>
            </w:r>
            <w:r>
              <w:rPr>
                <w:rFonts w:hint="eastAsia" w:ascii="宋体" w:hAnsi="宋体"/>
                <w:i w:val="0"/>
                <w:iCs w:val="0"/>
                <w:color w:val="auto"/>
                <w:sz w:val="21"/>
                <w:szCs w:val="21"/>
                <w:highlight w:val="none"/>
                <w:lang w:eastAsia="zh-CN"/>
              </w:rPr>
              <w:t>服务期</w:t>
            </w:r>
            <w:r>
              <w:rPr>
                <w:rFonts w:hint="eastAsia" w:ascii="宋体" w:hAnsi="宋体"/>
                <w:i w:val="0"/>
                <w:iCs w:val="0"/>
                <w:color w:val="auto"/>
                <w:sz w:val="21"/>
                <w:szCs w:val="21"/>
                <w:highlight w:val="none"/>
              </w:rPr>
              <w:t>）</w:t>
            </w:r>
          </w:p>
        </w:tc>
        <w:tc>
          <w:tcPr>
            <w:tcW w:w="5245" w:type="dxa"/>
            <w:vAlign w:val="center"/>
          </w:tcPr>
          <w:p w14:paraId="5697A398">
            <w:pPr>
              <w:tabs>
                <w:tab w:val="left" w:pos="1260"/>
                <w:tab w:val="left" w:pos="1620"/>
              </w:tabs>
              <w:adjustRightInd w:val="0"/>
              <w:snapToGrid w:val="0"/>
              <w:spacing w:line="240" w:lineRule="auto"/>
              <w:textAlignment w:val="baseline"/>
              <w:rPr>
                <w:rFonts w:hint="eastAsia" w:ascii="宋体" w:hAnsi="宋体" w:eastAsia="宋体"/>
                <w:i w:val="0"/>
                <w:iCs w:val="0"/>
                <w:color w:val="auto"/>
                <w:sz w:val="21"/>
                <w:szCs w:val="21"/>
                <w:highlight w:val="none"/>
                <w:lang w:eastAsia="zh-CN"/>
              </w:rPr>
            </w:pPr>
            <w:r>
              <w:rPr>
                <w:rFonts w:hint="eastAsia" w:ascii="宋体" w:hAnsi="宋体"/>
                <w:i w:val="0"/>
                <w:iCs w:val="0"/>
                <w:color w:val="auto"/>
                <w:sz w:val="21"/>
                <w:szCs w:val="21"/>
                <w:highlight w:val="none"/>
                <w:lang w:eastAsia="zh-CN"/>
              </w:rPr>
              <w:t>三年（合同一年一签，上一年度考核合格后续签下一年度合同）</w:t>
            </w:r>
            <w:r>
              <w:rPr>
                <w:rFonts w:hint="eastAsia" w:ascii="宋体" w:hAnsi="宋体" w:eastAsia="宋体"/>
                <w:i w:val="0"/>
                <w:iCs w:val="0"/>
                <w:color w:val="auto"/>
                <w:sz w:val="21"/>
                <w:szCs w:val="21"/>
                <w:highlight w:val="none"/>
                <w:lang w:eastAsia="zh-CN"/>
              </w:rPr>
              <w:t>。</w:t>
            </w:r>
          </w:p>
        </w:tc>
        <w:tc>
          <w:tcPr>
            <w:tcW w:w="1275" w:type="dxa"/>
            <w:vAlign w:val="center"/>
          </w:tcPr>
          <w:p w14:paraId="7F2C4FAE">
            <w:pPr>
              <w:tabs>
                <w:tab w:val="left" w:pos="1260"/>
                <w:tab w:val="left" w:pos="1620"/>
              </w:tabs>
              <w:adjustRightInd w:val="0"/>
              <w:snapToGrid w:val="0"/>
              <w:spacing w:line="240" w:lineRule="auto"/>
              <w:jc w:val="center"/>
              <w:textAlignment w:val="baseline"/>
              <w:rPr>
                <w:rFonts w:ascii="宋体" w:hAnsi="宋体"/>
                <w:i w:val="0"/>
                <w:iCs w:val="0"/>
                <w:color w:val="auto"/>
                <w:sz w:val="21"/>
                <w:szCs w:val="21"/>
                <w:highlight w:val="none"/>
              </w:rPr>
            </w:pPr>
          </w:p>
        </w:tc>
      </w:tr>
      <w:tr w14:paraId="7DF01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7736" w:type="dxa"/>
            <w:gridSpan w:val="3"/>
            <w:vAlign w:val="center"/>
          </w:tcPr>
          <w:p w14:paraId="3079F116">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r>
              <w:rPr>
                <w:rFonts w:ascii="宋体" w:hAnsi="宋体"/>
                <w:b/>
                <w:color w:val="auto"/>
                <w:sz w:val="21"/>
                <w:szCs w:val="21"/>
                <w:highlight w:val="none"/>
              </w:rPr>
              <w:t>结论</w:t>
            </w:r>
          </w:p>
        </w:tc>
        <w:tc>
          <w:tcPr>
            <w:tcW w:w="1275" w:type="dxa"/>
            <w:vAlign w:val="center"/>
          </w:tcPr>
          <w:p w14:paraId="44BA5172">
            <w:pPr>
              <w:tabs>
                <w:tab w:val="left" w:pos="1260"/>
                <w:tab w:val="left" w:pos="1620"/>
              </w:tabs>
              <w:adjustRightInd w:val="0"/>
              <w:snapToGrid w:val="0"/>
              <w:spacing w:line="240" w:lineRule="auto"/>
              <w:jc w:val="center"/>
              <w:textAlignment w:val="baseline"/>
              <w:rPr>
                <w:rFonts w:ascii="宋体" w:hAnsi="宋体"/>
                <w:color w:val="auto"/>
                <w:sz w:val="21"/>
                <w:szCs w:val="21"/>
                <w:highlight w:val="none"/>
              </w:rPr>
            </w:pPr>
          </w:p>
        </w:tc>
      </w:tr>
    </w:tbl>
    <w:p w14:paraId="415F6972">
      <w:pPr>
        <w:tabs>
          <w:tab w:val="left" w:pos="1260"/>
          <w:tab w:val="left" w:pos="1620"/>
        </w:tabs>
        <w:adjustRightInd w:val="0"/>
        <w:spacing w:line="360" w:lineRule="auto"/>
        <w:jc w:val="left"/>
        <w:textAlignment w:val="baseline"/>
        <w:rPr>
          <w:rFonts w:hint="eastAsia"/>
          <w:b/>
          <w:color w:val="auto"/>
          <w:szCs w:val="21"/>
          <w:highlight w:val="none"/>
        </w:rPr>
      </w:pPr>
      <w:r>
        <w:rPr>
          <w:rFonts w:hint="eastAsia"/>
          <w:b/>
          <w:color w:val="auto"/>
          <w:szCs w:val="21"/>
          <w:highlight w:val="none"/>
        </w:rPr>
        <w:t>注：</w:t>
      </w:r>
    </w:p>
    <w:p w14:paraId="3AAA85C6">
      <w:pPr>
        <w:tabs>
          <w:tab w:val="left" w:pos="1260"/>
          <w:tab w:val="left" w:pos="1620"/>
        </w:tabs>
        <w:adjustRightInd w:val="0"/>
        <w:spacing w:line="360" w:lineRule="auto"/>
        <w:jc w:val="left"/>
        <w:textAlignment w:val="baseline"/>
        <w:rPr>
          <w:b/>
          <w:color w:val="auto"/>
          <w:szCs w:val="21"/>
          <w:highlight w:val="none"/>
        </w:rPr>
      </w:pPr>
      <w:r>
        <w:rPr>
          <w:rFonts w:hint="eastAsia"/>
          <w:b/>
          <w:color w:val="auto"/>
          <w:szCs w:val="21"/>
          <w:highlight w:val="none"/>
        </w:rPr>
        <w:t>1、符合招标文件要求用“</w:t>
      </w:r>
      <w:r>
        <w:rPr>
          <w:rFonts w:hint="default" w:ascii="Arial" w:hAnsi="Arial" w:cs="Arial"/>
          <w:b/>
          <w:color w:val="auto"/>
          <w:szCs w:val="21"/>
          <w:highlight w:val="none"/>
        </w:rPr>
        <w:t>√</w:t>
      </w:r>
      <w:r>
        <w:rPr>
          <w:rFonts w:hint="eastAsia"/>
          <w:b/>
          <w:color w:val="auto"/>
          <w:szCs w:val="21"/>
          <w:highlight w:val="none"/>
        </w:rPr>
        <w:t>”表示，不符合用“×”表示。有一项不符合要求，结论为不合格。</w:t>
      </w:r>
    </w:p>
    <w:p w14:paraId="4CB5DFFB">
      <w:pPr>
        <w:tabs>
          <w:tab w:val="left" w:pos="1260"/>
          <w:tab w:val="left" w:pos="1620"/>
        </w:tabs>
        <w:adjustRightInd w:val="0"/>
        <w:spacing w:line="360" w:lineRule="auto"/>
        <w:jc w:val="left"/>
        <w:textAlignment w:val="baseline"/>
        <w:rPr>
          <w:b/>
          <w:color w:val="auto"/>
          <w:szCs w:val="21"/>
          <w:highlight w:val="none"/>
        </w:rPr>
      </w:pPr>
      <w:r>
        <w:rPr>
          <w:rFonts w:hint="eastAsia"/>
          <w:b/>
          <w:color w:val="auto"/>
          <w:szCs w:val="21"/>
          <w:highlight w:val="none"/>
        </w:rPr>
        <w:t>2、有下列情形之一的，视为投标人相互串通投标：</w:t>
      </w:r>
    </w:p>
    <w:p w14:paraId="69079EA1">
      <w:pPr>
        <w:tabs>
          <w:tab w:val="left" w:pos="1260"/>
          <w:tab w:val="left" w:pos="1620"/>
        </w:tabs>
        <w:adjustRightInd w:val="0"/>
        <w:spacing w:line="360" w:lineRule="auto"/>
        <w:jc w:val="left"/>
        <w:textAlignment w:val="baseline"/>
        <w:rPr>
          <w:b w:val="0"/>
          <w:bCs/>
          <w:color w:val="auto"/>
          <w:szCs w:val="21"/>
          <w:highlight w:val="none"/>
        </w:rPr>
      </w:pPr>
      <w:r>
        <w:rPr>
          <w:rFonts w:hint="eastAsia"/>
          <w:b w:val="0"/>
          <w:bCs/>
          <w:color w:val="auto"/>
          <w:szCs w:val="21"/>
          <w:highlight w:val="none"/>
        </w:rPr>
        <w:t>（1）不同投标人的投标文件由同一单位或者个人编制；</w:t>
      </w:r>
    </w:p>
    <w:p w14:paraId="0502EE4E">
      <w:pPr>
        <w:tabs>
          <w:tab w:val="left" w:pos="1260"/>
          <w:tab w:val="left" w:pos="1620"/>
        </w:tabs>
        <w:adjustRightInd w:val="0"/>
        <w:spacing w:line="360" w:lineRule="auto"/>
        <w:jc w:val="left"/>
        <w:textAlignment w:val="baseline"/>
        <w:rPr>
          <w:b w:val="0"/>
          <w:bCs/>
          <w:color w:val="auto"/>
          <w:szCs w:val="21"/>
          <w:highlight w:val="none"/>
        </w:rPr>
      </w:pPr>
      <w:r>
        <w:rPr>
          <w:rFonts w:hint="eastAsia"/>
          <w:b w:val="0"/>
          <w:bCs/>
          <w:color w:val="auto"/>
          <w:szCs w:val="21"/>
          <w:highlight w:val="none"/>
        </w:rPr>
        <w:t>（2）不同投标人委托同一单位或者个人办理投标事宜；</w:t>
      </w:r>
    </w:p>
    <w:p w14:paraId="38049FBB">
      <w:pPr>
        <w:tabs>
          <w:tab w:val="left" w:pos="1260"/>
          <w:tab w:val="left" w:pos="1620"/>
        </w:tabs>
        <w:adjustRightInd w:val="0"/>
        <w:spacing w:line="360" w:lineRule="auto"/>
        <w:jc w:val="left"/>
        <w:textAlignment w:val="baseline"/>
        <w:rPr>
          <w:b w:val="0"/>
          <w:bCs/>
          <w:color w:val="auto"/>
          <w:szCs w:val="21"/>
          <w:highlight w:val="none"/>
        </w:rPr>
      </w:pPr>
      <w:r>
        <w:rPr>
          <w:rFonts w:hint="eastAsia"/>
          <w:b w:val="0"/>
          <w:bCs/>
          <w:color w:val="auto"/>
          <w:szCs w:val="21"/>
          <w:highlight w:val="none"/>
        </w:rPr>
        <w:t>（3）不同投标人的投标文件载明的项目管理成员或者联系人员为同一人；</w:t>
      </w:r>
    </w:p>
    <w:p w14:paraId="17BF97F4">
      <w:pPr>
        <w:tabs>
          <w:tab w:val="left" w:pos="1260"/>
          <w:tab w:val="left" w:pos="1620"/>
        </w:tabs>
        <w:adjustRightInd w:val="0"/>
        <w:spacing w:line="360" w:lineRule="auto"/>
        <w:jc w:val="left"/>
        <w:textAlignment w:val="baseline"/>
        <w:rPr>
          <w:b w:val="0"/>
          <w:bCs/>
          <w:color w:val="auto"/>
          <w:szCs w:val="21"/>
          <w:highlight w:val="none"/>
        </w:rPr>
      </w:pPr>
      <w:r>
        <w:rPr>
          <w:rFonts w:hint="eastAsia"/>
          <w:b w:val="0"/>
          <w:bCs/>
          <w:color w:val="auto"/>
          <w:szCs w:val="21"/>
          <w:highlight w:val="none"/>
        </w:rPr>
        <w:t>（4）不同投标人的投标文件异常一致或者投标报价呈规律性差异；</w:t>
      </w:r>
    </w:p>
    <w:p w14:paraId="7AED3ABD">
      <w:pPr>
        <w:tabs>
          <w:tab w:val="left" w:pos="1260"/>
          <w:tab w:val="left" w:pos="1620"/>
        </w:tabs>
        <w:adjustRightInd w:val="0"/>
        <w:spacing w:line="360" w:lineRule="auto"/>
        <w:jc w:val="left"/>
        <w:textAlignment w:val="baseline"/>
        <w:rPr>
          <w:b w:val="0"/>
          <w:bCs/>
          <w:color w:val="auto"/>
          <w:szCs w:val="21"/>
          <w:highlight w:val="none"/>
        </w:rPr>
      </w:pPr>
      <w:r>
        <w:rPr>
          <w:rFonts w:hint="eastAsia"/>
          <w:b w:val="0"/>
          <w:bCs/>
          <w:color w:val="auto"/>
          <w:szCs w:val="21"/>
          <w:highlight w:val="none"/>
        </w:rPr>
        <w:t>（5）不同投标人的投标文件相互混装；</w:t>
      </w:r>
    </w:p>
    <w:p w14:paraId="15086CF5">
      <w:pPr>
        <w:tabs>
          <w:tab w:val="left" w:pos="1260"/>
          <w:tab w:val="left" w:pos="1620"/>
        </w:tabs>
        <w:adjustRightInd w:val="0"/>
        <w:spacing w:line="360" w:lineRule="auto"/>
        <w:jc w:val="left"/>
        <w:textAlignment w:val="baseline"/>
        <w:rPr>
          <w:b w:val="0"/>
          <w:bCs/>
          <w:color w:val="auto"/>
          <w:szCs w:val="21"/>
          <w:highlight w:val="none"/>
        </w:rPr>
      </w:pPr>
      <w:r>
        <w:rPr>
          <w:rFonts w:hint="eastAsia"/>
          <w:b w:val="0"/>
          <w:bCs/>
          <w:color w:val="auto"/>
          <w:szCs w:val="21"/>
          <w:highlight w:val="none"/>
        </w:rPr>
        <w:t>（6）不同投标人的投标保证金从同一单位或者个人的账户转出。</w:t>
      </w:r>
    </w:p>
    <w:p w14:paraId="7900CD53">
      <w:pPr>
        <w:tabs>
          <w:tab w:val="left" w:pos="1260"/>
          <w:tab w:val="left" w:pos="1620"/>
        </w:tabs>
        <w:adjustRightInd w:val="0"/>
        <w:spacing w:line="360" w:lineRule="auto"/>
        <w:jc w:val="left"/>
        <w:textAlignment w:val="baseline"/>
        <w:rPr>
          <w:b/>
          <w:color w:val="auto"/>
          <w:szCs w:val="21"/>
          <w:highlight w:val="none"/>
        </w:rPr>
      </w:pPr>
      <w:r>
        <w:rPr>
          <w:rFonts w:hint="eastAsia"/>
          <w:b/>
          <w:color w:val="auto"/>
          <w:szCs w:val="21"/>
          <w:highlight w:val="none"/>
        </w:rPr>
        <w:t>3、有下列情形之一的，属于提供虚假材料谋取中标的行为：</w:t>
      </w:r>
    </w:p>
    <w:p w14:paraId="2ABCC04D">
      <w:pPr>
        <w:tabs>
          <w:tab w:val="left" w:pos="1260"/>
          <w:tab w:val="left" w:pos="1620"/>
        </w:tabs>
        <w:adjustRightInd w:val="0"/>
        <w:spacing w:line="360" w:lineRule="auto"/>
        <w:jc w:val="left"/>
        <w:textAlignment w:val="baseline"/>
        <w:rPr>
          <w:b w:val="0"/>
          <w:bCs/>
          <w:color w:val="auto"/>
          <w:szCs w:val="21"/>
          <w:highlight w:val="none"/>
        </w:rPr>
      </w:pPr>
      <w:r>
        <w:rPr>
          <w:rFonts w:hint="eastAsia"/>
          <w:b w:val="0"/>
          <w:bCs/>
          <w:color w:val="auto"/>
          <w:szCs w:val="21"/>
          <w:highlight w:val="none"/>
        </w:rPr>
        <w:t>（1）使用伪造、变造的许可证件；</w:t>
      </w:r>
    </w:p>
    <w:p w14:paraId="3A3EB0C5">
      <w:pPr>
        <w:tabs>
          <w:tab w:val="left" w:pos="1260"/>
          <w:tab w:val="left" w:pos="1620"/>
        </w:tabs>
        <w:adjustRightInd w:val="0"/>
        <w:spacing w:line="360" w:lineRule="auto"/>
        <w:jc w:val="left"/>
        <w:textAlignment w:val="baseline"/>
        <w:rPr>
          <w:b w:val="0"/>
          <w:bCs/>
          <w:color w:val="auto"/>
          <w:szCs w:val="21"/>
          <w:highlight w:val="none"/>
        </w:rPr>
      </w:pPr>
      <w:r>
        <w:rPr>
          <w:rFonts w:hint="eastAsia"/>
          <w:b w:val="0"/>
          <w:bCs/>
          <w:color w:val="auto"/>
          <w:szCs w:val="21"/>
          <w:highlight w:val="none"/>
        </w:rPr>
        <w:t>（2）提供虚假的财务状况或者业绩；</w:t>
      </w:r>
    </w:p>
    <w:p w14:paraId="205A6216">
      <w:pPr>
        <w:tabs>
          <w:tab w:val="left" w:pos="1260"/>
          <w:tab w:val="left" w:pos="1620"/>
        </w:tabs>
        <w:adjustRightInd w:val="0"/>
        <w:spacing w:line="360" w:lineRule="auto"/>
        <w:jc w:val="left"/>
        <w:textAlignment w:val="baseline"/>
        <w:rPr>
          <w:b w:val="0"/>
          <w:bCs/>
          <w:color w:val="auto"/>
          <w:szCs w:val="21"/>
          <w:highlight w:val="none"/>
        </w:rPr>
      </w:pPr>
      <w:r>
        <w:rPr>
          <w:rFonts w:hint="eastAsia"/>
          <w:b w:val="0"/>
          <w:bCs/>
          <w:color w:val="auto"/>
          <w:szCs w:val="21"/>
          <w:highlight w:val="none"/>
        </w:rPr>
        <w:t>（3）提供虚假的项目负责人或者主要技术人员简历、劳动关系证明；</w:t>
      </w:r>
    </w:p>
    <w:p w14:paraId="6AF72EE4">
      <w:pPr>
        <w:tabs>
          <w:tab w:val="left" w:pos="1260"/>
          <w:tab w:val="left" w:pos="1620"/>
        </w:tabs>
        <w:adjustRightInd w:val="0"/>
        <w:spacing w:line="360" w:lineRule="auto"/>
        <w:jc w:val="left"/>
        <w:textAlignment w:val="baseline"/>
        <w:rPr>
          <w:b w:val="0"/>
          <w:bCs/>
          <w:color w:val="auto"/>
          <w:szCs w:val="21"/>
          <w:highlight w:val="none"/>
        </w:rPr>
      </w:pPr>
      <w:r>
        <w:rPr>
          <w:rFonts w:hint="eastAsia"/>
          <w:b w:val="0"/>
          <w:bCs/>
          <w:color w:val="auto"/>
          <w:szCs w:val="21"/>
          <w:highlight w:val="none"/>
        </w:rPr>
        <w:t>（4）提供虚假的信用状况；</w:t>
      </w:r>
    </w:p>
    <w:p w14:paraId="0B3FFAC5">
      <w:pPr>
        <w:tabs>
          <w:tab w:val="left" w:pos="1260"/>
          <w:tab w:val="left" w:pos="1620"/>
        </w:tabs>
        <w:adjustRightInd w:val="0"/>
        <w:spacing w:line="360" w:lineRule="auto"/>
        <w:jc w:val="left"/>
        <w:textAlignment w:val="baseline"/>
        <w:rPr>
          <w:rFonts w:hint="eastAsia"/>
          <w:b w:val="0"/>
          <w:bCs/>
          <w:color w:val="auto"/>
          <w:szCs w:val="21"/>
          <w:highlight w:val="none"/>
        </w:rPr>
      </w:pPr>
      <w:r>
        <w:rPr>
          <w:rFonts w:hint="eastAsia"/>
          <w:b w:val="0"/>
          <w:bCs/>
          <w:color w:val="auto"/>
          <w:szCs w:val="21"/>
          <w:highlight w:val="none"/>
        </w:rPr>
        <w:t>（5）其他弄虚作假的行为。</w:t>
      </w:r>
    </w:p>
    <w:p w14:paraId="0C63DEB3">
      <w:pPr>
        <w:rPr>
          <w:color w:val="auto"/>
          <w:highlight w:val="none"/>
        </w:rPr>
      </w:pPr>
      <w:bookmarkStart w:id="200" w:name="_Toc19454"/>
      <w:bookmarkStart w:id="201" w:name="_Toc9913"/>
      <w:r>
        <w:rPr>
          <w:rFonts w:hint="eastAsia"/>
          <w:b/>
          <w:color w:val="auto"/>
          <w:sz w:val="28"/>
          <w:szCs w:val="28"/>
          <w:highlight w:val="none"/>
        </w:rPr>
        <w:br w:type="page"/>
      </w:r>
      <w:bookmarkEnd w:id="200"/>
      <w:bookmarkStart w:id="202" w:name="_Toc22484"/>
      <w:bookmarkEnd w:id="202"/>
      <w:bookmarkStart w:id="203" w:name="_Toc9813"/>
      <w:bookmarkEnd w:id="203"/>
      <w:bookmarkStart w:id="204" w:name="_Toc25267"/>
      <w:bookmarkEnd w:id="204"/>
      <w:bookmarkStart w:id="205" w:name="_Toc11066"/>
      <w:bookmarkEnd w:id="205"/>
    </w:p>
    <w:p w14:paraId="53CE1CCA">
      <w:pPr>
        <w:tabs>
          <w:tab w:val="left" w:pos="-94"/>
          <w:tab w:val="left" w:pos="428"/>
        </w:tabs>
        <w:adjustRightInd w:val="0"/>
        <w:spacing w:line="360" w:lineRule="auto"/>
        <w:jc w:val="center"/>
        <w:textAlignment w:val="baseline"/>
        <w:outlineLvl w:val="0"/>
        <w:rPr>
          <w:b/>
          <w:color w:val="auto"/>
          <w:sz w:val="28"/>
          <w:szCs w:val="28"/>
          <w:highlight w:val="none"/>
        </w:rPr>
      </w:pPr>
      <w:bookmarkStart w:id="206" w:name="_Toc410631198"/>
      <w:bookmarkStart w:id="207" w:name="_Toc6821"/>
      <w:bookmarkStart w:id="208" w:name="_Toc15146"/>
      <w:bookmarkStart w:id="209" w:name="_Toc29041"/>
      <w:bookmarkStart w:id="210" w:name="_Toc414446034"/>
      <w:bookmarkStart w:id="211" w:name="_Toc3813196"/>
      <w:bookmarkStart w:id="212" w:name="_Toc7384"/>
      <w:r>
        <w:rPr>
          <w:b/>
          <w:color w:val="auto"/>
          <w:sz w:val="28"/>
          <w:szCs w:val="28"/>
          <w:highlight w:val="none"/>
        </w:rPr>
        <w:t>附表</w:t>
      </w:r>
      <w:r>
        <w:rPr>
          <w:rFonts w:hint="eastAsia"/>
          <w:b/>
          <w:color w:val="auto"/>
          <w:sz w:val="28"/>
          <w:szCs w:val="28"/>
          <w:highlight w:val="none"/>
        </w:rPr>
        <w:t xml:space="preserve">三 </w:t>
      </w:r>
      <w:r>
        <w:rPr>
          <w:b/>
          <w:color w:val="auto"/>
          <w:sz w:val="28"/>
          <w:szCs w:val="28"/>
          <w:highlight w:val="none"/>
        </w:rPr>
        <w:t>评审因素及分值分配表</w:t>
      </w:r>
      <w:bookmarkEnd w:id="206"/>
      <w:bookmarkEnd w:id="207"/>
      <w:bookmarkEnd w:id="208"/>
      <w:bookmarkEnd w:id="209"/>
      <w:bookmarkEnd w:id="210"/>
      <w:bookmarkEnd w:id="211"/>
      <w:bookmarkEnd w:id="212"/>
    </w:p>
    <w:p w14:paraId="69F8DC29">
      <w:pPr>
        <w:tabs>
          <w:tab w:val="left" w:pos="-94"/>
          <w:tab w:val="left" w:pos="1620"/>
        </w:tabs>
        <w:adjustRightInd w:val="0"/>
        <w:spacing w:line="360" w:lineRule="auto"/>
        <w:ind w:left="23" w:leftChars="11"/>
        <w:jc w:val="center"/>
        <w:textAlignment w:val="baseline"/>
        <w:rPr>
          <w:b/>
          <w:color w:val="auto"/>
          <w:sz w:val="28"/>
          <w:szCs w:val="28"/>
          <w:highlight w:val="none"/>
        </w:rPr>
      </w:pPr>
      <w:r>
        <w:rPr>
          <w:rFonts w:hint="eastAsia" w:ascii="宋体" w:hAnsi="宋体"/>
          <w:b/>
          <w:color w:val="auto"/>
          <w:szCs w:val="21"/>
          <w:highlight w:val="none"/>
        </w:rPr>
        <w:t>（满分100分）</w:t>
      </w:r>
    </w:p>
    <w:tbl>
      <w:tblPr>
        <w:tblStyle w:val="44"/>
        <w:tblW w:w="9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977"/>
        <w:gridCol w:w="1200"/>
        <w:gridCol w:w="6213"/>
        <w:gridCol w:w="735"/>
      </w:tblGrid>
      <w:tr w14:paraId="69F57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11" w:type="dxa"/>
            <w:vAlign w:val="center"/>
          </w:tcPr>
          <w:p w14:paraId="68B8B60A">
            <w:pPr>
              <w:keepNext w:val="0"/>
              <w:keepLines w:val="0"/>
              <w:pageBreakBefore w:val="0"/>
              <w:widowControl w:val="0"/>
              <w:kinsoku/>
              <w:wordWrap/>
              <w:overflowPunct/>
              <w:topLinePunct w:val="0"/>
              <w:autoSpaceDE/>
              <w:autoSpaceDN/>
              <w:bidi w:val="0"/>
              <w:snapToGrid w:val="0"/>
              <w:spacing w:line="400" w:lineRule="exact"/>
              <w:jc w:val="center"/>
              <w:rPr>
                <w:rFonts w:hint="eastAsia" w:ascii="宋体" w:hAnsi="宋体" w:eastAsia="宋体" w:cs="宋体"/>
                <w:b/>
                <w:bCs/>
                <w:caps/>
                <w:color w:val="auto"/>
                <w:sz w:val="21"/>
                <w:szCs w:val="21"/>
                <w:highlight w:val="none"/>
              </w:rPr>
            </w:pPr>
            <w:r>
              <w:rPr>
                <w:rFonts w:hint="eastAsia" w:ascii="宋体" w:hAnsi="宋体" w:eastAsia="宋体" w:cs="宋体"/>
                <w:b/>
                <w:bCs/>
                <w:caps/>
                <w:color w:val="auto"/>
                <w:sz w:val="21"/>
                <w:szCs w:val="21"/>
                <w:highlight w:val="none"/>
              </w:rPr>
              <w:t>序号</w:t>
            </w:r>
          </w:p>
        </w:tc>
        <w:tc>
          <w:tcPr>
            <w:tcW w:w="977" w:type="dxa"/>
            <w:vAlign w:val="center"/>
          </w:tcPr>
          <w:p w14:paraId="038DD87B">
            <w:pPr>
              <w:keepNext w:val="0"/>
              <w:keepLines w:val="0"/>
              <w:pageBreakBefore w:val="0"/>
              <w:widowControl w:val="0"/>
              <w:kinsoku/>
              <w:wordWrap/>
              <w:overflowPunct/>
              <w:topLinePunct w:val="0"/>
              <w:autoSpaceDE/>
              <w:autoSpaceDN/>
              <w:bidi w:val="0"/>
              <w:snapToGrid w:val="0"/>
              <w:spacing w:line="400" w:lineRule="exact"/>
              <w:jc w:val="center"/>
              <w:rPr>
                <w:rFonts w:hint="eastAsia" w:ascii="宋体" w:hAnsi="宋体" w:eastAsia="宋体" w:cs="宋体"/>
                <w:b/>
                <w:bCs/>
                <w:caps/>
                <w:color w:val="auto"/>
                <w:sz w:val="21"/>
                <w:szCs w:val="21"/>
                <w:highlight w:val="none"/>
              </w:rPr>
            </w:pPr>
            <w:r>
              <w:rPr>
                <w:rFonts w:hint="eastAsia" w:ascii="宋体" w:hAnsi="宋体" w:eastAsia="宋体" w:cs="宋体"/>
                <w:b/>
                <w:bCs/>
                <w:caps/>
                <w:color w:val="auto"/>
                <w:sz w:val="21"/>
                <w:szCs w:val="21"/>
                <w:highlight w:val="none"/>
              </w:rPr>
              <w:t>评审内容</w:t>
            </w:r>
          </w:p>
        </w:tc>
        <w:tc>
          <w:tcPr>
            <w:tcW w:w="1200" w:type="dxa"/>
            <w:vAlign w:val="center"/>
          </w:tcPr>
          <w:p w14:paraId="48D1AB8F">
            <w:pPr>
              <w:keepNext w:val="0"/>
              <w:keepLines w:val="0"/>
              <w:pageBreakBefore w:val="0"/>
              <w:widowControl w:val="0"/>
              <w:kinsoku/>
              <w:wordWrap/>
              <w:overflowPunct/>
              <w:topLinePunct w:val="0"/>
              <w:autoSpaceDE/>
              <w:autoSpaceDN/>
              <w:bidi w:val="0"/>
              <w:snapToGrid w:val="0"/>
              <w:spacing w:line="400" w:lineRule="exact"/>
              <w:jc w:val="center"/>
              <w:rPr>
                <w:rFonts w:hint="eastAsia" w:ascii="宋体" w:hAnsi="宋体" w:eastAsia="宋体" w:cs="宋体"/>
                <w:b/>
                <w:bCs/>
                <w:caps/>
                <w:color w:val="auto"/>
                <w:sz w:val="21"/>
                <w:szCs w:val="21"/>
                <w:highlight w:val="none"/>
              </w:rPr>
            </w:pPr>
            <w:r>
              <w:rPr>
                <w:rFonts w:hint="eastAsia" w:ascii="宋体" w:hAnsi="宋体" w:eastAsia="宋体" w:cs="宋体"/>
                <w:b/>
                <w:bCs/>
                <w:caps/>
                <w:color w:val="auto"/>
                <w:sz w:val="21"/>
                <w:szCs w:val="21"/>
                <w:highlight w:val="none"/>
              </w:rPr>
              <w:t>满分</w:t>
            </w:r>
          </w:p>
          <w:p w14:paraId="43531931">
            <w:pPr>
              <w:keepNext w:val="0"/>
              <w:keepLines w:val="0"/>
              <w:pageBreakBefore w:val="0"/>
              <w:widowControl w:val="0"/>
              <w:kinsoku/>
              <w:wordWrap/>
              <w:overflowPunct/>
              <w:topLinePunct w:val="0"/>
              <w:autoSpaceDE/>
              <w:autoSpaceDN/>
              <w:bidi w:val="0"/>
              <w:snapToGrid w:val="0"/>
              <w:spacing w:line="400" w:lineRule="exact"/>
              <w:jc w:val="center"/>
              <w:rPr>
                <w:rFonts w:hint="eastAsia" w:ascii="宋体" w:hAnsi="宋体" w:eastAsia="宋体" w:cs="宋体"/>
                <w:b/>
                <w:bCs/>
                <w:caps/>
                <w:color w:val="auto"/>
                <w:sz w:val="21"/>
                <w:szCs w:val="21"/>
                <w:highlight w:val="none"/>
              </w:rPr>
            </w:pPr>
            <w:r>
              <w:rPr>
                <w:rFonts w:hint="eastAsia" w:ascii="宋体" w:hAnsi="宋体" w:eastAsia="宋体" w:cs="宋体"/>
                <w:b/>
                <w:bCs/>
                <w:caps/>
                <w:color w:val="auto"/>
                <w:sz w:val="21"/>
                <w:szCs w:val="21"/>
                <w:highlight w:val="none"/>
              </w:rPr>
              <w:t>分值</w:t>
            </w:r>
          </w:p>
        </w:tc>
        <w:tc>
          <w:tcPr>
            <w:tcW w:w="6213" w:type="dxa"/>
            <w:vAlign w:val="center"/>
          </w:tcPr>
          <w:p w14:paraId="252E23BB">
            <w:pPr>
              <w:keepNext w:val="0"/>
              <w:keepLines w:val="0"/>
              <w:pageBreakBefore w:val="0"/>
              <w:widowControl w:val="0"/>
              <w:kinsoku/>
              <w:wordWrap/>
              <w:overflowPunct/>
              <w:topLinePunct w:val="0"/>
              <w:autoSpaceDE/>
              <w:autoSpaceDN/>
              <w:bidi w:val="0"/>
              <w:snapToGrid w:val="0"/>
              <w:spacing w:line="400" w:lineRule="exact"/>
              <w:jc w:val="center"/>
              <w:rPr>
                <w:rFonts w:hint="eastAsia" w:ascii="宋体" w:hAnsi="宋体" w:eastAsia="宋体" w:cs="宋体"/>
                <w:b/>
                <w:bCs/>
                <w:caps/>
                <w:color w:val="auto"/>
                <w:sz w:val="21"/>
                <w:szCs w:val="21"/>
                <w:highlight w:val="none"/>
              </w:rPr>
            </w:pPr>
            <w:r>
              <w:rPr>
                <w:rFonts w:hint="eastAsia" w:ascii="宋体" w:hAnsi="宋体" w:eastAsia="宋体" w:cs="宋体"/>
                <w:b/>
                <w:bCs/>
                <w:caps/>
                <w:color w:val="auto"/>
                <w:sz w:val="21"/>
                <w:szCs w:val="21"/>
                <w:highlight w:val="none"/>
              </w:rPr>
              <w:t>评  审  标  准</w:t>
            </w:r>
          </w:p>
        </w:tc>
        <w:tc>
          <w:tcPr>
            <w:tcW w:w="735" w:type="dxa"/>
            <w:vAlign w:val="center"/>
          </w:tcPr>
          <w:p w14:paraId="6650EE3C">
            <w:pPr>
              <w:keepNext w:val="0"/>
              <w:keepLines w:val="0"/>
              <w:pageBreakBefore w:val="0"/>
              <w:widowControl w:val="0"/>
              <w:kinsoku/>
              <w:wordWrap/>
              <w:overflowPunct/>
              <w:topLinePunct w:val="0"/>
              <w:autoSpaceDE/>
              <w:autoSpaceDN/>
              <w:bidi w:val="0"/>
              <w:snapToGrid w:val="0"/>
              <w:spacing w:line="400" w:lineRule="exact"/>
              <w:jc w:val="center"/>
              <w:rPr>
                <w:rFonts w:hint="eastAsia" w:ascii="宋体" w:hAnsi="宋体" w:eastAsia="宋体" w:cs="宋体"/>
                <w:b/>
                <w:bCs/>
                <w:caps/>
                <w:color w:val="auto"/>
                <w:sz w:val="21"/>
                <w:szCs w:val="21"/>
                <w:highlight w:val="none"/>
              </w:rPr>
            </w:pPr>
            <w:r>
              <w:rPr>
                <w:rFonts w:hint="eastAsia" w:ascii="宋体" w:hAnsi="宋体" w:eastAsia="宋体" w:cs="宋体"/>
                <w:b/>
                <w:bCs/>
                <w:caps/>
                <w:color w:val="auto"/>
                <w:sz w:val="21"/>
                <w:szCs w:val="21"/>
                <w:highlight w:val="none"/>
              </w:rPr>
              <w:t>得分</w:t>
            </w:r>
          </w:p>
        </w:tc>
      </w:tr>
      <w:tr w14:paraId="0938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11" w:type="dxa"/>
            <w:vAlign w:val="center"/>
          </w:tcPr>
          <w:p w14:paraId="613126FC">
            <w:pPr>
              <w:keepNext w:val="0"/>
              <w:keepLines w:val="0"/>
              <w:pageBreakBefore w:val="0"/>
              <w:widowControl w:val="0"/>
              <w:kinsoku/>
              <w:wordWrap/>
              <w:overflowPunct/>
              <w:topLinePunct w:val="0"/>
              <w:autoSpaceDE/>
              <w:autoSpaceDN/>
              <w:bidi w:val="0"/>
              <w:snapToGrid w:val="0"/>
              <w:spacing w:line="400" w:lineRule="exact"/>
              <w:jc w:val="center"/>
              <w:rPr>
                <w:rFonts w:hint="eastAsia" w:ascii="宋体" w:hAnsi="宋体" w:eastAsia="宋体" w:cs="宋体"/>
                <w:caps/>
                <w:color w:val="auto"/>
                <w:sz w:val="21"/>
                <w:szCs w:val="21"/>
                <w:highlight w:val="none"/>
              </w:rPr>
            </w:pPr>
            <w:bookmarkStart w:id="213" w:name="_Toc23141"/>
            <w:bookmarkStart w:id="214" w:name="_Toc9520"/>
            <w:bookmarkStart w:id="215" w:name="_Toc19074"/>
            <w:r>
              <w:rPr>
                <w:rFonts w:hint="eastAsia" w:ascii="宋体" w:hAnsi="宋体" w:eastAsia="宋体" w:cs="宋体"/>
                <w:caps/>
                <w:color w:val="auto"/>
                <w:sz w:val="21"/>
                <w:szCs w:val="21"/>
                <w:highlight w:val="none"/>
              </w:rPr>
              <w:t>1</w:t>
            </w:r>
          </w:p>
        </w:tc>
        <w:tc>
          <w:tcPr>
            <w:tcW w:w="977" w:type="dxa"/>
            <w:vAlign w:val="center"/>
          </w:tcPr>
          <w:p w14:paraId="054D9BB2">
            <w:pPr>
              <w:keepNext w:val="0"/>
              <w:keepLines w:val="0"/>
              <w:pageBreakBefore w:val="0"/>
              <w:widowControl w:val="0"/>
              <w:kinsoku/>
              <w:wordWrap/>
              <w:overflowPunct/>
              <w:topLinePunct w:val="0"/>
              <w:autoSpaceDE/>
              <w:autoSpaceDN/>
              <w:bidi w:val="0"/>
              <w:snapToGrid w:val="0"/>
              <w:spacing w:line="400" w:lineRule="exact"/>
              <w:jc w:val="center"/>
              <w:rPr>
                <w:rFonts w:hint="eastAsia" w:ascii="宋体" w:hAnsi="宋体" w:eastAsia="宋体" w:cs="宋体"/>
                <w:caps/>
                <w:color w:val="auto"/>
                <w:sz w:val="21"/>
                <w:szCs w:val="21"/>
                <w:highlight w:val="none"/>
                <w:lang w:val="en-US" w:eastAsia="zh-CN"/>
              </w:rPr>
            </w:pPr>
            <w:r>
              <w:rPr>
                <w:rFonts w:hint="eastAsia" w:ascii="宋体" w:hAnsi="宋体" w:eastAsia="宋体" w:cs="宋体"/>
                <w:caps/>
                <w:color w:val="auto"/>
                <w:sz w:val="21"/>
                <w:szCs w:val="21"/>
                <w:highlight w:val="none"/>
                <w:lang w:val="en-US" w:eastAsia="zh-CN"/>
              </w:rPr>
              <w:t>报价部分评分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满分10分</w:t>
            </w:r>
            <w:r>
              <w:rPr>
                <w:rFonts w:hint="eastAsia" w:ascii="宋体" w:hAnsi="宋体" w:eastAsia="宋体" w:cs="宋体"/>
                <w:color w:val="auto"/>
                <w:sz w:val="21"/>
                <w:szCs w:val="21"/>
                <w:highlight w:val="none"/>
                <w:lang w:eastAsia="zh-CN"/>
              </w:rPr>
              <w:t>）</w:t>
            </w:r>
          </w:p>
        </w:tc>
        <w:tc>
          <w:tcPr>
            <w:tcW w:w="1200" w:type="dxa"/>
            <w:vAlign w:val="center"/>
          </w:tcPr>
          <w:p w14:paraId="31249269">
            <w:pPr>
              <w:keepNext w:val="0"/>
              <w:keepLines w:val="0"/>
              <w:pageBreakBefore w:val="0"/>
              <w:widowControl w:val="0"/>
              <w:kinsoku/>
              <w:wordWrap/>
              <w:overflowPunct/>
              <w:topLinePunct w:val="0"/>
              <w:autoSpaceDE/>
              <w:autoSpaceDN/>
              <w:bidi w:val="0"/>
              <w:snapToGrid w:val="0"/>
              <w:spacing w:line="400" w:lineRule="exact"/>
              <w:jc w:val="center"/>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投标报价</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tc>
        <w:tc>
          <w:tcPr>
            <w:tcW w:w="6213" w:type="dxa"/>
            <w:vAlign w:val="center"/>
          </w:tcPr>
          <w:p w14:paraId="305FDC22">
            <w:pPr>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根据《政府采购促进中小企业发展管理办法》（财库〔2020〕46号）及《财政部关于进一步加大政府采购支持中小企业力度的通知》（财库〔2022〕19号)调整投标人参与评标的价格，用扣除后的价格参加评审。（非专门面向中小企业的项目）</w:t>
            </w:r>
          </w:p>
          <w:p w14:paraId="2CF677A4">
            <w:pPr>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对小型和微型企业报价给予10%的扣除。或小型、微型企业的协议合同金额占到联合体协议合同总金额/%以上的，可给予联合体/%的价格扣除。</w:t>
            </w:r>
          </w:p>
          <w:p w14:paraId="594127CE">
            <w:pPr>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注：监狱企业、残疾人福利性单位视同小微企业；残疾人福利性单位属于小型、微型企业的，不重复享受政策。</w:t>
            </w:r>
          </w:p>
          <w:p w14:paraId="129E04DE">
            <w:pPr>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（2）评标基准价</w:t>
            </w:r>
          </w:p>
          <w:p w14:paraId="362EF7A3">
            <w:pPr>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有效投标文件中的并</w:t>
            </w:r>
            <w:r>
              <w:rPr>
                <w:rFonts w:hint="eastAsia" w:ascii="宋体" w:hAnsi="宋体" w:eastAsia="宋体" w:cs="宋体"/>
                <w:color w:val="auto"/>
                <w:sz w:val="21"/>
                <w:szCs w:val="21"/>
                <w:highlight w:val="none"/>
                <w:lang w:eastAsia="zh-CN"/>
              </w:rPr>
              <w:t>按</w:t>
            </w:r>
            <w:r>
              <w:rPr>
                <w:rFonts w:hint="eastAsia" w:ascii="宋体" w:hAnsi="宋体" w:cs="宋体"/>
                <w:color w:val="auto"/>
                <w:sz w:val="21"/>
                <w:szCs w:val="21"/>
                <w:highlight w:val="none"/>
                <w:lang w:val="en-US" w:eastAsia="zh-CN"/>
              </w:rPr>
              <w:t>第三章</w:t>
            </w:r>
            <w:r>
              <w:rPr>
                <w:rFonts w:hint="eastAsia" w:ascii="宋体" w:hAnsi="宋体" w:eastAsia="宋体" w:cs="宋体"/>
                <w:color w:val="auto"/>
                <w:sz w:val="21"/>
                <w:szCs w:val="21"/>
                <w:highlight w:val="none"/>
                <w:lang w:eastAsia="zh-CN"/>
              </w:rPr>
              <w:t>3.3.3项（1）</w:t>
            </w:r>
            <w:r>
              <w:rPr>
                <w:rFonts w:hint="eastAsia" w:ascii="宋体" w:hAnsi="宋体" w:eastAsia="宋体" w:cs="宋体"/>
                <w:color w:val="auto"/>
                <w:sz w:val="21"/>
                <w:szCs w:val="21"/>
                <w:highlight w:val="none"/>
              </w:rPr>
              <w:t>进行调整的最低报价为评标基准价。</w:t>
            </w:r>
            <w:r>
              <w:rPr>
                <w:rFonts w:hint="eastAsia" w:ascii="宋体" w:hAnsi="宋体" w:eastAsia="宋体" w:cs="宋体"/>
                <w:b/>
                <w:bCs/>
                <w:color w:val="auto"/>
                <w:sz w:val="21"/>
                <w:szCs w:val="21"/>
                <w:highlight w:val="none"/>
              </w:rPr>
              <w:t>本项目投标人评标价为各投标人的有效</w:t>
            </w:r>
            <w:r>
              <w:rPr>
                <w:rFonts w:hint="eastAsia" w:ascii="宋体" w:hAnsi="宋体" w:eastAsia="宋体" w:cs="宋体"/>
                <w:b/>
                <w:bCs/>
                <w:color w:val="auto"/>
                <w:sz w:val="21"/>
                <w:szCs w:val="21"/>
                <w:highlight w:val="none"/>
                <w:lang w:eastAsia="zh-CN"/>
              </w:rPr>
              <w:t>总</w:t>
            </w:r>
            <w:r>
              <w:rPr>
                <w:rFonts w:hint="eastAsia" w:ascii="宋体" w:hAnsi="宋体" w:eastAsia="宋体" w:cs="宋体"/>
                <w:b/>
                <w:bCs/>
                <w:color w:val="auto"/>
                <w:sz w:val="21"/>
                <w:szCs w:val="21"/>
                <w:highlight w:val="none"/>
                <w:lang w:val="en-US" w:eastAsia="zh-CN"/>
              </w:rPr>
              <w:t>价</w:t>
            </w:r>
            <w:r>
              <w:rPr>
                <w:rFonts w:hint="eastAsia" w:ascii="宋体" w:hAnsi="宋体" w:eastAsia="宋体" w:cs="宋体"/>
                <w:b/>
                <w:bCs/>
                <w:color w:val="auto"/>
                <w:sz w:val="21"/>
                <w:szCs w:val="21"/>
                <w:highlight w:val="none"/>
              </w:rPr>
              <w:t>报价</w:t>
            </w:r>
            <w:r>
              <w:rPr>
                <w:rFonts w:hint="eastAsia" w:ascii="宋体" w:hAnsi="宋体" w:cs="宋体"/>
                <w:b/>
                <w:bCs/>
                <w:color w:val="auto"/>
                <w:sz w:val="21"/>
                <w:szCs w:val="21"/>
                <w:highlight w:val="none"/>
                <w:lang w:eastAsia="zh-CN"/>
              </w:rPr>
              <w:t>（第一年）（</w:t>
            </w:r>
            <w:r>
              <w:rPr>
                <w:rFonts w:hint="eastAsia" w:ascii="宋体" w:hAnsi="宋体" w:cs="宋体"/>
                <w:b/>
                <w:bCs/>
                <w:color w:val="auto"/>
                <w:sz w:val="21"/>
                <w:szCs w:val="21"/>
                <w:highlight w:val="none"/>
                <w:lang w:val="en-US" w:eastAsia="zh-CN"/>
              </w:rPr>
              <w:t>含增值税，元</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p>
          <w:p w14:paraId="11809485">
            <w:pPr>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（3）投标人报价（</w:t>
            </w:r>
            <w:r>
              <w:rPr>
                <w:rFonts w:hint="eastAsia" w:ascii="宋体" w:hAnsi="宋体" w:eastAsia="宋体" w:cs="宋体"/>
                <w:color w:val="auto"/>
                <w:sz w:val="21"/>
                <w:szCs w:val="21"/>
                <w:highlight w:val="none"/>
                <w:lang w:eastAsia="zh-CN"/>
              </w:rPr>
              <w:t>按3.3.3项（1）</w:t>
            </w:r>
            <w:r>
              <w:rPr>
                <w:rFonts w:hint="eastAsia" w:ascii="宋体" w:hAnsi="宋体" w:eastAsia="宋体" w:cs="宋体"/>
                <w:color w:val="auto"/>
                <w:sz w:val="21"/>
                <w:szCs w:val="21"/>
                <w:highlight w:val="none"/>
              </w:rPr>
              <w:t>进行调整后价格）得分：</w:t>
            </w:r>
          </w:p>
          <w:p w14:paraId="31BAB96B">
            <w:pPr>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投标报价得分=(评标基准价／投标报价)×</w:t>
            </w:r>
            <w:r>
              <w:rPr>
                <w:rFonts w:hint="eastAsia" w:ascii="宋体" w:hAnsi="宋体" w:eastAsia="宋体" w:cs="宋体"/>
                <w:color w:val="auto"/>
                <w:sz w:val="21"/>
                <w:szCs w:val="21"/>
                <w:highlight w:val="none"/>
                <w:lang w:val="en-US" w:eastAsia="zh-CN"/>
              </w:rPr>
              <w:t>10</w:t>
            </w:r>
          </w:p>
        </w:tc>
        <w:tc>
          <w:tcPr>
            <w:tcW w:w="735" w:type="dxa"/>
            <w:vAlign w:val="center"/>
          </w:tcPr>
          <w:p w14:paraId="2C52C539">
            <w:pPr>
              <w:keepNext w:val="0"/>
              <w:keepLines w:val="0"/>
              <w:pageBreakBefore w:val="0"/>
              <w:widowControl w:val="0"/>
              <w:kinsoku/>
              <w:wordWrap/>
              <w:overflowPunct/>
              <w:topLinePunct w:val="0"/>
              <w:autoSpaceDE/>
              <w:autoSpaceDN/>
              <w:bidi w:val="0"/>
              <w:snapToGrid w:val="0"/>
              <w:spacing w:line="400" w:lineRule="exact"/>
              <w:jc w:val="center"/>
              <w:rPr>
                <w:rFonts w:hint="eastAsia" w:ascii="宋体" w:hAnsi="宋体" w:eastAsia="宋体" w:cs="宋体"/>
                <w:caps/>
                <w:color w:val="auto"/>
                <w:sz w:val="21"/>
                <w:szCs w:val="21"/>
                <w:highlight w:val="none"/>
              </w:rPr>
            </w:pPr>
          </w:p>
        </w:tc>
      </w:tr>
      <w:bookmarkEnd w:id="213"/>
      <w:bookmarkEnd w:id="214"/>
      <w:bookmarkEnd w:id="215"/>
      <w:tr w14:paraId="2755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1" w:type="dxa"/>
            <w:vMerge w:val="restart"/>
            <w:vAlign w:val="center"/>
          </w:tcPr>
          <w:p w14:paraId="258562AF">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977" w:type="dxa"/>
            <w:vMerge w:val="restart"/>
            <w:vAlign w:val="center"/>
          </w:tcPr>
          <w:p w14:paraId="489F74A3">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outlineLvl w:val="1"/>
              <w:rPr>
                <w:rFonts w:hint="eastAsia" w:ascii="宋体" w:hAnsi="宋体" w:eastAsia="宋体" w:cs="宋体"/>
                <w:bCs/>
                <w:color w:val="auto"/>
                <w:sz w:val="21"/>
                <w:szCs w:val="21"/>
                <w:highlight w:val="none"/>
                <w:lang w:eastAsia="zh-CN"/>
              </w:rPr>
            </w:pPr>
            <w:bookmarkStart w:id="216" w:name="_Toc16011"/>
            <w:r>
              <w:rPr>
                <w:rFonts w:hint="eastAsia" w:ascii="宋体" w:hAnsi="宋体" w:eastAsia="宋体" w:cs="宋体"/>
                <w:color w:val="auto"/>
                <w:sz w:val="21"/>
                <w:szCs w:val="21"/>
                <w:highlight w:val="none"/>
              </w:rPr>
              <w:t>技术</w:t>
            </w:r>
            <w:r>
              <w:rPr>
                <w:rFonts w:hint="eastAsia" w:ascii="宋体" w:hAnsi="宋体" w:eastAsia="宋体" w:cs="宋体"/>
                <w:color w:val="auto"/>
                <w:sz w:val="21"/>
                <w:szCs w:val="21"/>
                <w:highlight w:val="none"/>
                <w:lang w:val="en-US" w:eastAsia="zh-CN"/>
              </w:rPr>
              <w:t>部分</w:t>
            </w:r>
            <w:r>
              <w:rPr>
                <w:rFonts w:hint="eastAsia" w:ascii="宋体" w:hAnsi="宋体" w:eastAsia="宋体" w:cs="宋体"/>
                <w:color w:val="auto"/>
                <w:sz w:val="21"/>
                <w:szCs w:val="21"/>
                <w:highlight w:val="none"/>
              </w:rPr>
              <w:t>评审</w:t>
            </w:r>
            <w:bookmarkEnd w:id="216"/>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满分60分</w:t>
            </w:r>
            <w:r>
              <w:rPr>
                <w:rFonts w:hint="eastAsia" w:ascii="宋体" w:hAnsi="宋体" w:eastAsia="宋体" w:cs="宋体"/>
                <w:color w:val="auto"/>
                <w:sz w:val="21"/>
                <w:szCs w:val="21"/>
                <w:highlight w:val="none"/>
                <w:lang w:eastAsia="zh-CN"/>
              </w:rPr>
              <w:t>）</w:t>
            </w:r>
          </w:p>
        </w:tc>
        <w:tc>
          <w:tcPr>
            <w:tcW w:w="1200" w:type="dxa"/>
            <w:shd w:val="clear" w:color="auto" w:fill="auto"/>
            <w:vAlign w:val="center"/>
          </w:tcPr>
          <w:p w14:paraId="07013F42">
            <w:pPr>
              <w:keepNext w:val="0"/>
              <w:keepLines w:val="0"/>
              <w:pageBreakBefore w:val="0"/>
              <w:widowControl w:val="0"/>
              <w:kinsoku/>
              <w:wordWrap/>
              <w:overflowPunct/>
              <w:topLinePunct w:val="0"/>
              <w:autoSpaceDE/>
              <w:autoSpaceDN/>
              <w:bidi w:val="0"/>
              <w:spacing w:line="400" w:lineRule="exact"/>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体检实施方案评审（30分）</w:t>
            </w:r>
          </w:p>
        </w:tc>
        <w:tc>
          <w:tcPr>
            <w:tcW w:w="6213" w:type="dxa"/>
            <w:shd w:val="clear" w:color="auto" w:fill="auto"/>
            <w:vAlign w:val="center"/>
          </w:tcPr>
          <w:p w14:paraId="44DDCD4E">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评审委员会根据</w:t>
            </w:r>
            <w:r>
              <w:rPr>
                <w:rFonts w:hint="eastAsia" w:ascii="宋体" w:hAnsi="宋体" w:eastAsia="宋体" w:cs="宋体"/>
                <w:color w:val="000000"/>
                <w:sz w:val="21"/>
                <w:szCs w:val="21"/>
                <w:highlight w:val="none"/>
                <w:lang w:val="en-US" w:eastAsia="zh-CN"/>
              </w:rPr>
              <w:t>投标人</w:t>
            </w:r>
            <w:r>
              <w:rPr>
                <w:rFonts w:hint="eastAsia" w:ascii="宋体" w:hAnsi="宋体" w:eastAsia="宋体" w:cs="宋体"/>
                <w:color w:val="000000"/>
                <w:sz w:val="21"/>
                <w:szCs w:val="21"/>
                <w:highlight w:val="none"/>
              </w:rPr>
              <w:t>提供的体检实施方案进行评分，体检实施方案内容包括：</w:t>
            </w:r>
          </w:p>
          <w:p w14:paraId="7F54A09D">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①服务方案；</w:t>
            </w:r>
          </w:p>
          <w:p w14:paraId="5D47BF0D">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②</w:t>
            </w:r>
            <w:r>
              <w:rPr>
                <w:rFonts w:hint="eastAsia" w:ascii="宋体" w:hAnsi="宋体" w:cs="宋体"/>
                <w:color w:val="000000"/>
                <w:sz w:val="21"/>
                <w:szCs w:val="21"/>
                <w:highlight w:val="none"/>
                <w:lang w:val="en-US" w:eastAsia="zh-CN"/>
              </w:rPr>
              <w:t>服务能力</w:t>
            </w:r>
            <w:r>
              <w:rPr>
                <w:rFonts w:hint="eastAsia" w:ascii="宋体" w:hAnsi="宋体" w:eastAsia="宋体" w:cs="宋体"/>
                <w:color w:val="000000"/>
                <w:sz w:val="21"/>
                <w:szCs w:val="21"/>
                <w:highlight w:val="none"/>
                <w:lang w:val="en-US" w:eastAsia="zh-CN"/>
              </w:rPr>
              <w:t>；</w:t>
            </w:r>
          </w:p>
          <w:p w14:paraId="3BA757B5">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③准确率；</w:t>
            </w:r>
          </w:p>
          <w:p w14:paraId="0D668011">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④体检流程安排；</w:t>
            </w:r>
          </w:p>
          <w:p w14:paraId="4E79BAF2">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⑤体检时间、场次、人数安排。</w:t>
            </w:r>
          </w:p>
          <w:p w14:paraId="6AC0038C">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上述内容每缺少1项(处）内容扣</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分，每有</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项(处）内容存在不足的扣</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分，扣完为止。</w:t>
            </w:r>
          </w:p>
          <w:p w14:paraId="1C306966">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不足是指：实施方案与本项目无关或不相符；对相关服务的关键要求没有详细说明、服务内容不明确、表述不清晰或不完善；内容过于简略；服务方法不合理、针对性和可行性欠缺，不足以支撑项目实施等任意一项类似缺陷或瑕疵。</w:t>
            </w:r>
          </w:p>
        </w:tc>
        <w:tc>
          <w:tcPr>
            <w:tcW w:w="735" w:type="dxa"/>
            <w:vAlign w:val="center"/>
          </w:tcPr>
          <w:p w14:paraId="2CF6C9E9">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rPr>
                <w:rFonts w:hint="eastAsia" w:ascii="宋体" w:hAnsi="宋体" w:eastAsia="宋体" w:cs="宋体"/>
                <w:color w:val="auto"/>
                <w:sz w:val="21"/>
                <w:szCs w:val="21"/>
                <w:highlight w:val="none"/>
              </w:rPr>
            </w:pPr>
          </w:p>
        </w:tc>
      </w:tr>
      <w:tr w14:paraId="275AE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1" w:type="dxa"/>
            <w:vMerge w:val="continue"/>
            <w:vAlign w:val="center"/>
          </w:tcPr>
          <w:p w14:paraId="7A85A94E">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outlineLvl w:val="1"/>
              <w:rPr>
                <w:rFonts w:hint="eastAsia" w:ascii="宋体" w:hAnsi="宋体" w:eastAsia="宋体" w:cs="宋体"/>
                <w:color w:val="auto"/>
                <w:sz w:val="21"/>
                <w:szCs w:val="21"/>
                <w:highlight w:val="none"/>
              </w:rPr>
            </w:pPr>
            <w:bookmarkStart w:id="217" w:name="_Toc21202"/>
            <w:bookmarkStart w:id="218" w:name="_Toc8921"/>
          </w:p>
        </w:tc>
        <w:tc>
          <w:tcPr>
            <w:tcW w:w="977" w:type="dxa"/>
            <w:vMerge w:val="continue"/>
            <w:vAlign w:val="center"/>
          </w:tcPr>
          <w:p w14:paraId="6C8DFD4D">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outlineLvl w:val="1"/>
              <w:rPr>
                <w:rFonts w:hint="eastAsia" w:ascii="宋体" w:hAnsi="宋体" w:eastAsia="宋体" w:cs="宋体"/>
                <w:color w:val="auto"/>
                <w:sz w:val="21"/>
                <w:szCs w:val="21"/>
                <w:highlight w:val="none"/>
              </w:rPr>
            </w:pPr>
          </w:p>
        </w:tc>
        <w:tc>
          <w:tcPr>
            <w:tcW w:w="1200" w:type="dxa"/>
            <w:shd w:val="clear" w:color="auto" w:fill="auto"/>
            <w:vAlign w:val="center"/>
          </w:tcPr>
          <w:p w14:paraId="5ACDF317">
            <w:pPr>
              <w:keepNext w:val="0"/>
              <w:keepLines w:val="0"/>
              <w:pageBreakBefore w:val="0"/>
              <w:widowControl w:val="0"/>
              <w:kinsoku/>
              <w:wordWrap/>
              <w:overflowPunct/>
              <w:topLinePunct w:val="0"/>
              <w:autoSpaceDE/>
              <w:autoSpaceDN/>
              <w:bidi w:val="0"/>
              <w:adjustRightInd w:val="0"/>
              <w:snapToGrid/>
              <w:spacing w:line="40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 w:val="21"/>
                <w:szCs w:val="21"/>
                <w:highlight w:val="none"/>
              </w:rPr>
              <w:t>体检安全、保密承诺及保障措施评审（</w:t>
            </w: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分）</w:t>
            </w:r>
          </w:p>
        </w:tc>
        <w:tc>
          <w:tcPr>
            <w:tcW w:w="6213" w:type="dxa"/>
            <w:shd w:val="clear" w:color="auto" w:fill="auto"/>
            <w:vAlign w:val="center"/>
          </w:tcPr>
          <w:p w14:paraId="74D6A190">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评审委员会根据</w:t>
            </w:r>
            <w:r>
              <w:rPr>
                <w:rFonts w:hint="eastAsia" w:ascii="宋体" w:hAnsi="宋体" w:eastAsia="宋体" w:cs="宋体"/>
                <w:color w:val="000000"/>
                <w:sz w:val="21"/>
                <w:szCs w:val="21"/>
                <w:highlight w:val="none"/>
                <w:lang w:eastAsia="zh-CN"/>
              </w:rPr>
              <w:t>投标人</w:t>
            </w:r>
            <w:r>
              <w:rPr>
                <w:rFonts w:hint="eastAsia" w:ascii="宋体" w:hAnsi="宋体" w:eastAsia="宋体" w:cs="宋体"/>
                <w:color w:val="000000"/>
                <w:sz w:val="21"/>
                <w:szCs w:val="21"/>
                <w:highlight w:val="none"/>
              </w:rPr>
              <w:t>提供的体检安全、保密承诺及保障措施进行评分，体检安全、保密承诺及保障内容包括：</w:t>
            </w:r>
          </w:p>
          <w:p w14:paraId="7707F280">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①体检安全技术保障措施与安全操作流程；</w:t>
            </w:r>
          </w:p>
          <w:p w14:paraId="0221A1E4">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②保密承诺与数据保护措施；</w:t>
            </w:r>
          </w:p>
          <w:p w14:paraId="75F432D4">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③应急处理预案；</w:t>
            </w:r>
          </w:p>
          <w:p w14:paraId="31ADCBE3">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④保密管理制度与承诺。</w:t>
            </w:r>
          </w:p>
          <w:p w14:paraId="3BC2B371">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上述内容每缺少1项(处）内容扣</w:t>
            </w:r>
            <w:r>
              <w:rPr>
                <w:rFonts w:hint="eastAsia" w:ascii="宋体" w:hAnsi="宋体" w:eastAsia="宋体" w:cs="宋体"/>
                <w:color w:val="000000"/>
                <w:sz w:val="21"/>
                <w:szCs w:val="21"/>
                <w:highlight w:val="none"/>
                <w:lang w:val="en-US" w:eastAsia="zh-CN"/>
              </w:rPr>
              <w:t>2.5</w:t>
            </w:r>
            <w:r>
              <w:rPr>
                <w:rFonts w:hint="eastAsia" w:ascii="宋体" w:hAnsi="宋体" w:eastAsia="宋体" w:cs="宋体"/>
                <w:color w:val="000000"/>
                <w:sz w:val="21"/>
                <w:szCs w:val="21"/>
                <w:highlight w:val="none"/>
              </w:rPr>
              <w:t>分，每有</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项(处）内容存在不足的扣</w:t>
            </w:r>
            <w:r>
              <w:rPr>
                <w:rFonts w:hint="eastAsia" w:ascii="宋体" w:hAnsi="宋体" w:eastAsia="宋体" w:cs="宋体"/>
                <w:color w:val="000000"/>
                <w:sz w:val="21"/>
                <w:szCs w:val="21"/>
                <w:highlight w:val="none"/>
                <w:lang w:val="en-US" w:eastAsia="zh-CN"/>
              </w:rPr>
              <w:t>1.5</w:t>
            </w:r>
            <w:r>
              <w:rPr>
                <w:rFonts w:hint="eastAsia" w:ascii="宋体" w:hAnsi="宋体" w:eastAsia="宋体" w:cs="宋体"/>
                <w:color w:val="000000"/>
                <w:sz w:val="21"/>
                <w:szCs w:val="21"/>
                <w:highlight w:val="none"/>
              </w:rPr>
              <w:t>分，扣完为止。</w:t>
            </w:r>
          </w:p>
          <w:p w14:paraId="4BEA6404">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不足是指：实施方案与本项目无关或不相符；对相关服务的关键要求没有详细说明、服务内容不明确、表述不清晰或不完善；内容过于简略；服务方法不合理、针对性和可行性欠缺，不足以支撑项目实施等任意一项类似缺陷或瑕疵。</w:t>
            </w:r>
          </w:p>
        </w:tc>
        <w:tc>
          <w:tcPr>
            <w:tcW w:w="735" w:type="dxa"/>
            <w:vAlign w:val="center"/>
          </w:tcPr>
          <w:p w14:paraId="550BA8F8">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rPr>
                <w:rFonts w:hint="eastAsia" w:ascii="宋体" w:hAnsi="宋体" w:eastAsia="宋体" w:cs="宋体"/>
                <w:color w:val="auto"/>
                <w:sz w:val="21"/>
                <w:szCs w:val="21"/>
                <w:highlight w:val="none"/>
              </w:rPr>
            </w:pPr>
          </w:p>
        </w:tc>
      </w:tr>
      <w:tr w14:paraId="2242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1" w:type="dxa"/>
            <w:vMerge w:val="continue"/>
            <w:vAlign w:val="center"/>
          </w:tcPr>
          <w:p w14:paraId="6EC21F7E">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outlineLvl w:val="1"/>
              <w:rPr>
                <w:rFonts w:hint="eastAsia" w:ascii="宋体" w:hAnsi="宋体" w:eastAsia="宋体" w:cs="宋体"/>
                <w:color w:val="auto"/>
                <w:sz w:val="21"/>
                <w:szCs w:val="21"/>
                <w:highlight w:val="none"/>
              </w:rPr>
            </w:pPr>
          </w:p>
        </w:tc>
        <w:tc>
          <w:tcPr>
            <w:tcW w:w="977" w:type="dxa"/>
            <w:vMerge w:val="continue"/>
            <w:vAlign w:val="center"/>
          </w:tcPr>
          <w:p w14:paraId="3A471A12">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outlineLvl w:val="1"/>
              <w:rPr>
                <w:rFonts w:hint="eastAsia" w:ascii="宋体" w:hAnsi="宋体" w:eastAsia="宋体" w:cs="宋体"/>
                <w:color w:val="auto"/>
                <w:sz w:val="21"/>
                <w:szCs w:val="21"/>
                <w:highlight w:val="none"/>
              </w:rPr>
            </w:pPr>
          </w:p>
        </w:tc>
        <w:tc>
          <w:tcPr>
            <w:tcW w:w="1200" w:type="dxa"/>
            <w:shd w:val="clear" w:color="auto" w:fill="auto"/>
            <w:vAlign w:val="center"/>
          </w:tcPr>
          <w:p w14:paraId="06E33769">
            <w:pPr>
              <w:keepNext w:val="0"/>
              <w:keepLines w:val="0"/>
              <w:pageBreakBefore w:val="0"/>
              <w:widowControl w:val="0"/>
              <w:kinsoku/>
              <w:wordWrap/>
              <w:overflowPunct/>
              <w:topLinePunct w:val="0"/>
              <w:autoSpaceDE/>
              <w:autoSpaceDN/>
              <w:bidi w:val="0"/>
              <w:adjustRightInd w:val="0"/>
              <w:snapToGrid/>
              <w:spacing w:line="40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 w:val="21"/>
                <w:szCs w:val="21"/>
                <w:highlight w:val="none"/>
              </w:rPr>
              <w:t>体检仪器设备评审（</w:t>
            </w: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分）</w:t>
            </w:r>
          </w:p>
        </w:tc>
        <w:tc>
          <w:tcPr>
            <w:tcW w:w="6213" w:type="dxa"/>
            <w:shd w:val="clear" w:color="auto" w:fill="auto"/>
            <w:vAlign w:val="center"/>
          </w:tcPr>
          <w:p w14:paraId="0899CAA7">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评审委员会根据</w:t>
            </w:r>
            <w:r>
              <w:rPr>
                <w:rFonts w:hint="eastAsia" w:ascii="宋体" w:hAnsi="宋体" w:eastAsia="宋体" w:cs="宋体"/>
                <w:color w:val="000000"/>
                <w:sz w:val="21"/>
                <w:szCs w:val="21"/>
                <w:highlight w:val="none"/>
                <w:lang w:eastAsia="zh-CN"/>
              </w:rPr>
              <w:t>投标人</w:t>
            </w:r>
            <w:r>
              <w:rPr>
                <w:rFonts w:hint="eastAsia" w:ascii="宋体" w:hAnsi="宋体" w:eastAsia="宋体" w:cs="宋体"/>
                <w:color w:val="000000"/>
                <w:sz w:val="21"/>
                <w:szCs w:val="21"/>
                <w:highlight w:val="none"/>
              </w:rPr>
              <w:t>提供的体检仪器设备进行评分</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体检仪器设备</w:t>
            </w:r>
            <w:r>
              <w:rPr>
                <w:rFonts w:hint="eastAsia" w:ascii="宋体" w:hAnsi="宋体" w:eastAsia="宋体" w:cs="宋体"/>
                <w:color w:val="000000"/>
                <w:sz w:val="21"/>
                <w:szCs w:val="21"/>
                <w:highlight w:val="none"/>
                <w:lang w:eastAsia="zh-CN"/>
              </w:rPr>
              <w:t>内容包括：</w:t>
            </w:r>
          </w:p>
          <w:p w14:paraId="3EEA89D2">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①</w:t>
            </w:r>
            <w:r>
              <w:rPr>
                <w:rFonts w:hint="eastAsia" w:ascii="宋体" w:hAnsi="宋体" w:eastAsia="宋体" w:cs="宋体"/>
                <w:color w:val="000000"/>
                <w:sz w:val="21"/>
                <w:szCs w:val="21"/>
                <w:highlight w:val="none"/>
              </w:rPr>
              <w:t>设备性能与准确性</w:t>
            </w:r>
            <w:r>
              <w:rPr>
                <w:rFonts w:hint="eastAsia" w:ascii="宋体" w:hAnsi="宋体" w:eastAsia="宋体" w:cs="宋体"/>
                <w:color w:val="000000"/>
                <w:sz w:val="21"/>
                <w:szCs w:val="21"/>
                <w:highlight w:val="none"/>
                <w:lang w:eastAsia="zh-CN"/>
              </w:rPr>
              <w:t>；</w:t>
            </w:r>
          </w:p>
          <w:p w14:paraId="65E9D2E0">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②</w:t>
            </w:r>
            <w:r>
              <w:rPr>
                <w:rFonts w:hint="eastAsia" w:ascii="宋体" w:hAnsi="宋体" w:eastAsia="宋体" w:cs="宋体"/>
                <w:color w:val="000000"/>
                <w:sz w:val="21"/>
                <w:szCs w:val="21"/>
                <w:highlight w:val="none"/>
              </w:rPr>
              <w:t>安全性与合规性</w:t>
            </w:r>
            <w:r>
              <w:rPr>
                <w:rFonts w:hint="eastAsia" w:ascii="宋体" w:hAnsi="宋体" w:eastAsia="宋体" w:cs="宋体"/>
                <w:color w:val="000000"/>
                <w:sz w:val="21"/>
                <w:szCs w:val="21"/>
                <w:highlight w:val="none"/>
                <w:lang w:eastAsia="zh-CN"/>
              </w:rPr>
              <w:t>；</w:t>
            </w:r>
          </w:p>
          <w:p w14:paraId="1C7B5394">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③</w:t>
            </w:r>
            <w:r>
              <w:rPr>
                <w:rFonts w:hint="eastAsia" w:ascii="宋体" w:hAnsi="宋体" w:eastAsia="宋体" w:cs="宋体"/>
                <w:color w:val="000000"/>
                <w:sz w:val="21"/>
                <w:szCs w:val="21"/>
                <w:highlight w:val="none"/>
              </w:rPr>
              <w:t>技术先进性与创新性</w:t>
            </w:r>
            <w:r>
              <w:rPr>
                <w:rFonts w:hint="eastAsia" w:ascii="宋体" w:hAnsi="宋体" w:eastAsia="宋体" w:cs="宋体"/>
                <w:color w:val="000000"/>
                <w:sz w:val="21"/>
                <w:szCs w:val="21"/>
                <w:highlight w:val="none"/>
                <w:lang w:eastAsia="zh-CN"/>
              </w:rPr>
              <w:t>；</w:t>
            </w:r>
          </w:p>
          <w:p w14:paraId="7E94B94E">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④</w:t>
            </w:r>
            <w:r>
              <w:rPr>
                <w:rFonts w:hint="eastAsia" w:ascii="宋体" w:hAnsi="宋体" w:eastAsia="宋体" w:cs="宋体"/>
                <w:color w:val="000000"/>
                <w:sz w:val="21"/>
                <w:szCs w:val="21"/>
                <w:highlight w:val="none"/>
              </w:rPr>
              <w:t>操作便捷性与维护性</w:t>
            </w:r>
            <w:r>
              <w:rPr>
                <w:rFonts w:hint="eastAsia" w:ascii="宋体" w:hAnsi="宋体" w:eastAsia="宋体" w:cs="宋体"/>
                <w:color w:val="000000"/>
                <w:sz w:val="21"/>
                <w:szCs w:val="21"/>
                <w:highlight w:val="none"/>
                <w:lang w:eastAsia="zh-CN"/>
              </w:rPr>
              <w:t>。</w:t>
            </w:r>
          </w:p>
          <w:p w14:paraId="482A1D45">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上述内容每缺少1项(处）内容扣</w:t>
            </w:r>
            <w:r>
              <w:rPr>
                <w:rFonts w:hint="eastAsia" w:ascii="宋体" w:hAnsi="宋体" w:eastAsia="宋体" w:cs="宋体"/>
                <w:color w:val="000000"/>
                <w:sz w:val="21"/>
                <w:szCs w:val="21"/>
                <w:highlight w:val="none"/>
                <w:lang w:val="en-US" w:eastAsia="zh-CN"/>
              </w:rPr>
              <w:t>2.5</w:t>
            </w:r>
            <w:r>
              <w:rPr>
                <w:rFonts w:hint="eastAsia" w:ascii="宋体" w:hAnsi="宋体" w:eastAsia="宋体" w:cs="宋体"/>
                <w:color w:val="000000"/>
                <w:sz w:val="21"/>
                <w:szCs w:val="21"/>
                <w:highlight w:val="none"/>
              </w:rPr>
              <w:t>分，每有1项(处）内容存在不足的扣</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分，扣完为止。</w:t>
            </w:r>
          </w:p>
          <w:p w14:paraId="1898E01B">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不足是指：</w:t>
            </w:r>
            <w:r>
              <w:rPr>
                <w:rFonts w:hint="eastAsia" w:ascii="宋体" w:hAnsi="宋体" w:eastAsia="宋体" w:cs="宋体"/>
                <w:color w:val="000000"/>
                <w:sz w:val="21"/>
                <w:szCs w:val="21"/>
                <w:highlight w:val="none"/>
                <w:lang w:val="en-US" w:eastAsia="zh-CN"/>
              </w:rPr>
              <w:t>仪器设备</w:t>
            </w:r>
            <w:r>
              <w:rPr>
                <w:rFonts w:hint="eastAsia" w:ascii="宋体" w:hAnsi="宋体" w:eastAsia="宋体" w:cs="宋体"/>
                <w:color w:val="000000"/>
                <w:sz w:val="21"/>
                <w:szCs w:val="21"/>
                <w:highlight w:val="none"/>
              </w:rPr>
              <w:t>与本项目</w:t>
            </w:r>
            <w:r>
              <w:rPr>
                <w:rFonts w:hint="eastAsia" w:ascii="宋体" w:hAnsi="宋体" w:eastAsia="宋体" w:cs="宋体"/>
                <w:color w:val="000000"/>
                <w:sz w:val="21"/>
                <w:szCs w:val="21"/>
                <w:highlight w:val="none"/>
                <w:lang w:val="en-US" w:eastAsia="zh-CN"/>
              </w:rPr>
              <w:t>服务</w:t>
            </w:r>
            <w:r>
              <w:rPr>
                <w:rFonts w:hint="eastAsia" w:ascii="宋体" w:hAnsi="宋体" w:eastAsia="宋体" w:cs="宋体"/>
                <w:color w:val="000000"/>
                <w:sz w:val="21"/>
                <w:szCs w:val="21"/>
                <w:highlight w:val="none"/>
              </w:rPr>
              <w:t>无关或与项目不匹配；对相关</w:t>
            </w:r>
            <w:r>
              <w:rPr>
                <w:rFonts w:hint="eastAsia" w:ascii="宋体" w:hAnsi="宋体" w:eastAsia="宋体" w:cs="宋体"/>
                <w:color w:val="000000"/>
                <w:sz w:val="21"/>
                <w:szCs w:val="21"/>
                <w:highlight w:val="none"/>
                <w:lang w:val="en-US" w:eastAsia="zh-CN"/>
              </w:rPr>
              <w:t>仪器设备</w:t>
            </w:r>
            <w:r>
              <w:rPr>
                <w:rFonts w:hint="eastAsia" w:ascii="宋体" w:hAnsi="宋体" w:eastAsia="宋体" w:cs="宋体"/>
                <w:color w:val="000000"/>
                <w:sz w:val="21"/>
                <w:szCs w:val="21"/>
                <w:highlight w:val="none"/>
              </w:rPr>
              <w:t>的关键信息缺失、</w:t>
            </w:r>
            <w:r>
              <w:rPr>
                <w:rFonts w:hint="eastAsia" w:ascii="宋体" w:hAnsi="宋体" w:eastAsia="宋体" w:cs="宋体"/>
                <w:color w:val="000000"/>
                <w:sz w:val="21"/>
                <w:szCs w:val="21"/>
                <w:highlight w:val="none"/>
                <w:lang w:val="en-US" w:eastAsia="zh-CN"/>
              </w:rPr>
              <w:t>性能阐述</w:t>
            </w:r>
            <w:r>
              <w:rPr>
                <w:rFonts w:hint="eastAsia" w:ascii="宋体" w:hAnsi="宋体" w:eastAsia="宋体" w:cs="宋体"/>
                <w:color w:val="000000"/>
                <w:sz w:val="21"/>
                <w:szCs w:val="21"/>
                <w:highlight w:val="none"/>
              </w:rPr>
              <w:t>不明确、表述不清晰或不完善；</w:t>
            </w:r>
            <w:r>
              <w:rPr>
                <w:rFonts w:hint="eastAsia" w:ascii="宋体" w:hAnsi="宋体" w:eastAsia="宋体" w:cs="宋体"/>
                <w:color w:val="000000"/>
                <w:sz w:val="21"/>
                <w:szCs w:val="21"/>
                <w:highlight w:val="none"/>
                <w:lang w:val="en-US" w:eastAsia="zh-CN"/>
              </w:rPr>
              <w:t>对仪器设备在本项目中的服务内容无</w:t>
            </w:r>
            <w:r>
              <w:rPr>
                <w:rFonts w:hint="eastAsia" w:ascii="宋体" w:hAnsi="宋体" w:eastAsia="宋体" w:cs="宋体"/>
                <w:color w:val="000000"/>
                <w:sz w:val="21"/>
                <w:szCs w:val="21"/>
                <w:highlight w:val="none"/>
              </w:rPr>
              <w:t>针对性和可行性欠缺，不足以支撑项目实施等任意一项类似缺陷或瑕疵。</w:t>
            </w:r>
          </w:p>
        </w:tc>
        <w:tc>
          <w:tcPr>
            <w:tcW w:w="735" w:type="dxa"/>
            <w:vAlign w:val="center"/>
          </w:tcPr>
          <w:p w14:paraId="77E92D39">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rPr>
                <w:rFonts w:hint="eastAsia" w:ascii="宋体" w:hAnsi="宋体" w:eastAsia="宋体" w:cs="宋体"/>
                <w:color w:val="auto"/>
                <w:sz w:val="21"/>
                <w:szCs w:val="21"/>
                <w:highlight w:val="none"/>
              </w:rPr>
            </w:pPr>
          </w:p>
        </w:tc>
      </w:tr>
      <w:tr w14:paraId="5597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1" w:type="dxa"/>
            <w:vMerge w:val="continue"/>
            <w:vAlign w:val="center"/>
          </w:tcPr>
          <w:p w14:paraId="136E5007">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outlineLvl w:val="1"/>
              <w:rPr>
                <w:rFonts w:hint="eastAsia" w:ascii="宋体" w:hAnsi="宋体" w:eastAsia="宋体" w:cs="宋体"/>
                <w:color w:val="auto"/>
                <w:sz w:val="21"/>
                <w:szCs w:val="21"/>
                <w:highlight w:val="none"/>
              </w:rPr>
            </w:pPr>
          </w:p>
        </w:tc>
        <w:tc>
          <w:tcPr>
            <w:tcW w:w="977" w:type="dxa"/>
            <w:vMerge w:val="continue"/>
            <w:vAlign w:val="center"/>
          </w:tcPr>
          <w:p w14:paraId="21413304">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outlineLvl w:val="1"/>
              <w:rPr>
                <w:rFonts w:hint="eastAsia" w:ascii="宋体" w:hAnsi="宋体" w:eastAsia="宋体" w:cs="宋体"/>
                <w:color w:val="auto"/>
                <w:sz w:val="21"/>
                <w:szCs w:val="21"/>
                <w:highlight w:val="none"/>
              </w:rPr>
            </w:pPr>
          </w:p>
        </w:tc>
        <w:tc>
          <w:tcPr>
            <w:tcW w:w="1200" w:type="dxa"/>
            <w:shd w:val="clear" w:color="auto" w:fill="auto"/>
            <w:vAlign w:val="center"/>
          </w:tcPr>
          <w:p w14:paraId="2846A00C">
            <w:pPr>
              <w:keepNext w:val="0"/>
              <w:keepLines w:val="0"/>
              <w:pageBreakBefore w:val="0"/>
              <w:widowControl w:val="0"/>
              <w:kinsoku/>
              <w:wordWrap/>
              <w:overflowPunct/>
              <w:topLinePunct w:val="0"/>
              <w:autoSpaceDE/>
              <w:autoSpaceDN/>
              <w:bidi w:val="0"/>
              <w:adjustRightInd w:val="0"/>
              <w:snapToGrid/>
              <w:spacing w:line="40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 w:val="21"/>
                <w:szCs w:val="21"/>
                <w:highlight w:val="none"/>
              </w:rPr>
              <w:t>拟派服务团队人员配置评审（</w:t>
            </w: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分）</w:t>
            </w:r>
          </w:p>
        </w:tc>
        <w:tc>
          <w:tcPr>
            <w:tcW w:w="6213" w:type="dxa"/>
            <w:shd w:val="clear" w:color="auto" w:fill="auto"/>
            <w:vAlign w:val="center"/>
          </w:tcPr>
          <w:p w14:paraId="53DAC5C7">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第一个档次（10</w:t>
            </w:r>
            <w:r>
              <w:rPr>
                <w:rFonts w:hint="eastAsia" w:ascii="宋体" w:hAnsi="宋体" w:eastAsia="宋体" w:cs="宋体"/>
                <w:b/>
                <w:bCs/>
                <w:color w:val="000000"/>
                <w:sz w:val="21"/>
                <w:szCs w:val="21"/>
                <w:highlight w:val="none"/>
              </w:rPr>
              <w:t>分</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拟投入人员配置齐全、科学、岗位分工明确，专业人员持证上岗，体检医生</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护士</w:t>
            </w:r>
            <w:r>
              <w:rPr>
                <w:rFonts w:hint="eastAsia" w:ascii="宋体" w:hAnsi="宋体" w:eastAsia="宋体" w:cs="宋体"/>
                <w:color w:val="000000"/>
                <w:sz w:val="21"/>
                <w:szCs w:val="21"/>
                <w:highlight w:val="none"/>
              </w:rPr>
              <w:t>（正式人员，非外聘）中</w:t>
            </w:r>
            <w:r>
              <w:rPr>
                <w:rFonts w:hint="eastAsia" w:ascii="宋体" w:hAnsi="宋体" w:cs="宋体"/>
                <w:color w:val="000000"/>
                <w:sz w:val="21"/>
                <w:szCs w:val="21"/>
                <w:highlight w:val="none"/>
                <w:lang w:val="en-US" w:eastAsia="zh-CN"/>
              </w:rPr>
              <w:t>高级</w:t>
            </w:r>
            <w:r>
              <w:rPr>
                <w:rFonts w:hint="eastAsia" w:ascii="宋体" w:hAnsi="宋体" w:eastAsia="宋体" w:cs="宋体"/>
                <w:color w:val="000000"/>
                <w:sz w:val="21"/>
                <w:szCs w:val="21"/>
                <w:highlight w:val="none"/>
              </w:rPr>
              <w:t>职称占比超过60%（含60%）；</w:t>
            </w:r>
          </w:p>
          <w:p w14:paraId="13B17676">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第二个档次（7</w:t>
            </w:r>
            <w:r>
              <w:rPr>
                <w:rFonts w:hint="eastAsia" w:ascii="宋体" w:hAnsi="宋体" w:eastAsia="宋体" w:cs="宋体"/>
                <w:b/>
                <w:bCs/>
                <w:color w:val="000000"/>
                <w:sz w:val="21"/>
                <w:szCs w:val="21"/>
                <w:highlight w:val="none"/>
              </w:rPr>
              <w:t>分</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拟投入人员配置合理、分工清晰，专业人员持证上岗，体检医生</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护士</w:t>
            </w:r>
            <w:r>
              <w:rPr>
                <w:rFonts w:hint="eastAsia" w:ascii="宋体" w:hAnsi="宋体" w:eastAsia="宋体" w:cs="宋体"/>
                <w:color w:val="000000"/>
                <w:sz w:val="21"/>
                <w:szCs w:val="21"/>
                <w:highlight w:val="none"/>
              </w:rPr>
              <w:t>（正式人员，非外聘）</w:t>
            </w:r>
            <w:r>
              <w:rPr>
                <w:rFonts w:hint="eastAsia" w:ascii="宋体" w:hAnsi="宋体" w:cs="宋体"/>
                <w:color w:val="000000"/>
                <w:sz w:val="21"/>
                <w:szCs w:val="21"/>
                <w:highlight w:val="none"/>
                <w:lang w:val="en-US" w:eastAsia="zh-CN"/>
              </w:rPr>
              <w:t>高级</w:t>
            </w:r>
            <w:r>
              <w:rPr>
                <w:rFonts w:hint="eastAsia" w:ascii="宋体" w:hAnsi="宋体" w:eastAsia="宋体" w:cs="宋体"/>
                <w:color w:val="000000"/>
                <w:sz w:val="21"/>
                <w:szCs w:val="21"/>
                <w:highlight w:val="none"/>
              </w:rPr>
              <w:t>及以上职称占比超过50%（含50%）；</w:t>
            </w:r>
          </w:p>
          <w:p w14:paraId="710E7E82">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第三个档次（4</w:t>
            </w:r>
            <w:r>
              <w:rPr>
                <w:rFonts w:hint="eastAsia" w:ascii="宋体" w:hAnsi="宋体" w:eastAsia="宋体" w:cs="宋体"/>
                <w:b/>
                <w:bCs/>
                <w:color w:val="000000"/>
                <w:sz w:val="21"/>
                <w:szCs w:val="21"/>
                <w:highlight w:val="none"/>
              </w:rPr>
              <w:t>分</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拟投入人员配置不合理，分工不明确，体检医生</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护士</w:t>
            </w:r>
            <w:r>
              <w:rPr>
                <w:rFonts w:hint="eastAsia" w:ascii="宋体" w:hAnsi="宋体" w:eastAsia="宋体" w:cs="宋体"/>
                <w:color w:val="000000"/>
                <w:sz w:val="21"/>
                <w:szCs w:val="21"/>
                <w:highlight w:val="none"/>
              </w:rPr>
              <w:t>（正式人员，非外聘）</w:t>
            </w:r>
            <w:r>
              <w:rPr>
                <w:rFonts w:hint="eastAsia" w:ascii="宋体" w:hAnsi="宋体" w:cs="宋体"/>
                <w:color w:val="000000"/>
                <w:sz w:val="21"/>
                <w:szCs w:val="21"/>
                <w:highlight w:val="none"/>
                <w:lang w:val="en-US" w:eastAsia="zh-CN"/>
              </w:rPr>
              <w:t>高级</w:t>
            </w:r>
            <w:r>
              <w:rPr>
                <w:rFonts w:hint="eastAsia" w:ascii="宋体" w:hAnsi="宋体" w:eastAsia="宋体" w:cs="宋体"/>
                <w:color w:val="000000"/>
                <w:sz w:val="21"/>
                <w:szCs w:val="21"/>
                <w:highlight w:val="none"/>
              </w:rPr>
              <w:t>以上职称占比超过40%（含40%）；</w:t>
            </w:r>
          </w:p>
          <w:p w14:paraId="748C3E04">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第四个档次（1</w:t>
            </w:r>
            <w:r>
              <w:rPr>
                <w:rFonts w:hint="eastAsia" w:ascii="宋体" w:hAnsi="宋体" w:eastAsia="宋体" w:cs="宋体"/>
                <w:b/>
                <w:bCs/>
                <w:color w:val="000000"/>
                <w:sz w:val="21"/>
                <w:szCs w:val="21"/>
                <w:highlight w:val="none"/>
              </w:rPr>
              <w:t>分</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投入人员体检医生（正式人员，非外聘）中副主任及以上职称占比40%以下的。</w:t>
            </w:r>
          </w:p>
          <w:p w14:paraId="42B9BDEC">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注：提供体检医生职称证、</w:t>
            </w:r>
            <w:r>
              <w:rPr>
                <w:rFonts w:hint="eastAsia" w:ascii="宋体" w:hAnsi="宋体" w:cs="宋体"/>
                <w:color w:val="000000"/>
                <w:sz w:val="21"/>
                <w:szCs w:val="21"/>
                <w:highlight w:val="none"/>
                <w:lang w:val="en-US" w:eastAsia="zh-CN"/>
              </w:rPr>
              <w:t>投标单位</w:t>
            </w:r>
            <w:r>
              <w:rPr>
                <w:rFonts w:hint="eastAsia" w:ascii="宋体" w:hAnsi="宋体" w:eastAsia="宋体" w:cs="宋体"/>
                <w:color w:val="000000"/>
                <w:sz w:val="21"/>
                <w:szCs w:val="21"/>
                <w:highlight w:val="none"/>
              </w:rPr>
              <w:t>社保证明材料及相关证书，未提供或提供的证书不符合要求的不得分。</w:t>
            </w:r>
          </w:p>
        </w:tc>
        <w:tc>
          <w:tcPr>
            <w:tcW w:w="735" w:type="dxa"/>
            <w:vAlign w:val="center"/>
          </w:tcPr>
          <w:p w14:paraId="1A21D3BE">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rPr>
                <w:rFonts w:hint="eastAsia" w:ascii="宋体" w:hAnsi="宋体" w:eastAsia="宋体" w:cs="宋体"/>
                <w:color w:val="auto"/>
                <w:sz w:val="21"/>
                <w:szCs w:val="21"/>
                <w:highlight w:val="none"/>
              </w:rPr>
            </w:pPr>
          </w:p>
        </w:tc>
      </w:tr>
      <w:tr w14:paraId="040BF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511" w:type="dxa"/>
            <w:vMerge w:val="restart"/>
            <w:vAlign w:val="center"/>
          </w:tcPr>
          <w:p w14:paraId="53EF1D8D">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outlineLvl w:val="1"/>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977" w:type="dxa"/>
            <w:vMerge w:val="restart"/>
            <w:vAlign w:val="center"/>
          </w:tcPr>
          <w:p w14:paraId="1369F55B">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outlineLvl w:val="1"/>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商务</w:t>
            </w:r>
            <w:r>
              <w:rPr>
                <w:rFonts w:hint="eastAsia" w:ascii="宋体" w:hAnsi="宋体" w:eastAsia="宋体" w:cs="宋体"/>
                <w:color w:val="auto"/>
                <w:sz w:val="21"/>
                <w:szCs w:val="21"/>
                <w:highlight w:val="none"/>
                <w:lang w:val="en-US" w:eastAsia="zh-CN"/>
              </w:rPr>
              <w:t>部分</w:t>
            </w:r>
            <w:r>
              <w:rPr>
                <w:rFonts w:hint="eastAsia" w:ascii="宋体" w:hAnsi="宋体" w:eastAsia="宋体" w:cs="宋体"/>
                <w:color w:val="auto"/>
                <w:sz w:val="21"/>
                <w:szCs w:val="21"/>
                <w:highlight w:val="none"/>
              </w:rPr>
              <w:t>评审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满分30分</w:t>
            </w:r>
            <w:r>
              <w:rPr>
                <w:rFonts w:hint="eastAsia" w:ascii="宋体" w:hAnsi="宋体" w:eastAsia="宋体" w:cs="宋体"/>
                <w:color w:val="auto"/>
                <w:sz w:val="21"/>
                <w:szCs w:val="21"/>
                <w:highlight w:val="none"/>
                <w:lang w:eastAsia="zh-CN"/>
              </w:rPr>
              <w:t>）</w:t>
            </w:r>
          </w:p>
        </w:tc>
        <w:tc>
          <w:tcPr>
            <w:tcW w:w="1200" w:type="dxa"/>
            <w:shd w:val="clear" w:color="auto" w:fill="auto"/>
            <w:vAlign w:val="center"/>
          </w:tcPr>
          <w:p w14:paraId="0CEEC8C6">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kern w:val="2"/>
                <w:sz w:val="21"/>
                <w:szCs w:val="21"/>
                <w:lang w:val="en-US" w:eastAsia="zh-CN" w:bidi="ar-SA"/>
              </w:rPr>
            </w:pPr>
            <w:r>
              <w:rPr>
                <w:rFonts w:hint="eastAsia" w:ascii="宋体" w:hAnsi="宋体" w:eastAsia="宋体" w:cs="宋体"/>
                <w:color w:val="000000"/>
                <w:sz w:val="21"/>
                <w:szCs w:val="21"/>
                <w:highlight w:val="none"/>
              </w:rPr>
              <w:t>服务质量承诺及保证措施评审（</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分）</w:t>
            </w:r>
          </w:p>
        </w:tc>
        <w:tc>
          <w:tcPr>
            <w:tcW w:w="6213" w:type="dxa"/>
            <w:shd w:val="clear" w:color="auto" w:fill="auto"/>
            <w:vAlign w:val="center"/>
          </w:tcPr>
          <w:p w14:paraId="70BD6DC9">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评审委员会</w:t>
            </w:r>
            <w:r>
              <w:rPr>
                <w:rFonts w:hint="eastAsia" w:ascii="宋体" w:hAnsi="宋体" w:eastAsia="宋体" w:cs="宋体"/>
                <w:color w:val="000000"/>
                <w:sz w:val="21"/>
                <w:szCs w:val="21"/>
                <w:highlight w:val="none"/>
                <w:lang w:val="en-US" w:eastAsia="zh-CN"/>
              </w:rPr>
              <w:t>针对下列方面对投标人</w:t>
            </w:r>
            <w:r>
              <w:rPr>
                <w:rFonts w:hint="eastAsia" w:ascii="宋体" w:hAnsi="宋体" w:eastAsia="宋体" w:cs="宋体"/>
                <w:color w:val="000000"/>
                <w:sz w:val="21"/>
                <w:szCs w:val="21"/>
                <w:highlight w:val="none"/>
              </w:rPr>
              <w:t>提供的服务质量承诺及保证措施</w:t>
            </w:r>
            <w:r>
              <w:rPr>
                <w:rFonts w:hint="eastAsia" w:ascii="宋体" w:hAnsi="宋体" w:eastAsia="宋体" w:cs="宋体"/>
                <w:color w:val="000000"/>
                <w:sz w:val="21"/>
                <w:szCs w:val="21"/>
                <w:highlight w:val="none"/>
                <w:lang w:val="en-US" w:eastAsia="zh-CN"/>
              </w:rPr>
              <w:t>进行评审</w:t>
            </w:r>
            <w:r>
              <w:rPr>
                <w:rFonts w:hint="eastAsia" w:ascii="宋体" w:hAnsi="宋体" w:eastAsia="宋体" w:cs="宋体"/>
                <w:color w:val="000000"/>
                <w:sz w:val="21"/>
                <w:szCs w:val="21"/>
                <w:highlight w:val="none"/>
                <w:lang w:eastAsia="zh-CN"/>
              </w:rPr>
              <w:t>：</w:t>
            </w:r>
          </w:p>
          <w:p w14:paraId="7866B9F2">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①投标人</w:t>
            </w:r>
            <w:r>
              <w:rPr>
                <w:rFonts w:hint="eastAsia" w:ascii="宋体" w:hAnsi="宋体" w:eastAsia="宋体" w:cs="宋体"/>
                <w:color w:val="000000"/>
                <w:sz w:val="21"/>
                <w:szCs w:val="21"/>
                <w:highlight w:val="none"/>
              </w:rPr>
              <w:t>是否明确提出服务质量的承诺，包括体检项目的准确性、及时性和专业性。</w:t>
            </w:r>
          </w:p>
          <w:p w14:paraId="68935BB7">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②投标人</w:t>
            </w:r>
            <w:r>
              <w:rPr>
                <w:rFonts w:hint="eastAsia" w:ascii="宋体" w:hAnsi="宋体" w:eastAsia="宋体" w:cs="宋体"/>
                <w:color w:val="000000"/>
                <w:sz w:val="21"/>
                <w:szCs w:val="21"/>
                <w:highlight w:val="none"/>
              </w:rPr>
              <w:t>是否提供相关的质量标准和指标，如检测合格率、结果反馈时间等。</w:t>
            </w:r>
          </w:p>
          <w:p w14:paraId="528C1FF5">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③</w:t>
            </w:r>
            <w:r>
              <w:rPr>
                <w:rFonts w:hint="eastAsia" w:ascii="宋体" w:hAnsi="宋体" w:eastAsia="宋体" w:cs="宋体"/>
                <w:color w:val="000000"/>
                <w:sz w:val="21"/>
                <w:szCs w:val="21"/>
                <w:highlight w:val="none"/>
                <w:lang w:eastAsia="zh-CN"/>
              </w:rPr>
              <w:t>投标人</w:t>
            </w:r>
            <w:r>
              <w:rPr>
                <w:rFonts w:hint="eastAsia" w:ascii="宋体" w:hAnsi="宋体" w:eastAsia="宋体" w:cs="宋体"/>
                <w:color w:val="000000"/>
                <w:sz w:val="21"/>
                <w:szCs w:val="21"/>
                <w:highlight w:val="none"/>
              </w:rPr>
              <w:t>是否具备完善的质量控制体系，包括对体检流程、设备和人员的管理。</w:t>
            </w:r>
          </w:p>
          <w:p w14:paraId="220D49EA">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第一个档次（7</w:t>
            </w:r>
            <w:r>
              <w:rPr>
                <w:rFonts w:hint="eastAsia" w:ascii="宋体" w:hAnsi="宋体" w:eastAsia="宋体" w:cs="宋体"/>
                <w:b/>
                <w:bCs/>
                <w:color w:val="000000"/>
                <w:sz w:val="21"/>
                <w:szCs w:val="21"/>
                <w:highlight w:val="none"/>
              </w:rPr>
              <w:t>分</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color w:val="000000"/>
                <w:sz w:val="21"/>
                <w:szCs w:val="21"/>
                <w:highlight w:val="none"/>
              </w:rPr>
              <w:t>：所有内容详尽且符合高标准要求，具有明确的质量保障计划。</w:t>
            </w:r>
          </w:p>
          <w:p w14:paraId="376ADE1E">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第二个档次（5</w:t>
            </w:r>
            <w:r>
              <w:rPr>
                <w:rFonts w:hint="eastAsia" w:ascii="宋体" w:hAnsi="宋体" w:eastAsia="宋体" w:cs="宋体"/>
                <w:b/>
                <w:bCs/>
                <w:color w:val="000000"/>
                <w:sz w:val="21"/>
                <w:szCs w:val="21"/>
                <w:highlight w:val="none"/>
              </w:rPr>
              <w:t>分</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color w:val="000000"/>
                <w:sz w:val="21"/>
                <w:szCs w:val="21"/>
                <w:highlight w:val="none"/>
              </w:rPr>
              <w:t>：基本符合要求，但存在较多不足之处，缺乏部分关键内容。</w:t>
            </w:r>
          </w:p>
          <w:p w14:paraId="5F7F3F60">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第三个档次（3</w:t>
            </w:r>
            <w:r>
              <w:rPr>
                <w:rFonts w:hint="eastAsia" w:ascii="宋体" w:hAnsi="宋体" w:eastAsia="宋体" w:cs="宋体"/>
                <w:b/>
                <w:bCs/>
                <w:color w:val="000000"/>
                <w:sz w:val="21"/>
                <w:szCs w:val="21"/>
                <w:highlight w:val="none"/>
              </w:rPr>
              <w:t>分</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color w:val="000000"/>
                <w:sz w:val="21"/>
                <w:szCs w:val="21"/>
                <w:highlight w:val="none"/>
              </w:rPr>
              <w:t>：缺乏必要的服务质量承诺和保证措施，存在明显风险。</w:t>
            </w:r>
          </w:p>
          <w:p w14:paraId="37F34FB0">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未提供服务质量承诺及保证措施的不得分。</w:t>
            </w:r>
          </w:p>
        </w:tc>
        <w:tc>
          <w:tcPr>
            <w:tcW w:w="735" w:type="dxa"/>
            <w:vAlign w:val="center"/>
          </w:tcPr>
          <w:p w14:paraId="14729638">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rPr>
                <w:rFonts w:hint="eastAsia" w:ascii="宋体" w:hAnsi="宋体" w:eastAsia="宋体" w:cs="宋体"/>
                <w:color w:val="auto"/>
                <w:sz w:val="21"/>
                <w:szCs w:val="21"/>
                <w:highlight w:val="none"/>
              </w:rPr>
            </w:pPr>
          </w:p>
        </w:tc>
      </w:tr>
      <w:tr w14:paraId="3B226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511" w:type="dxa"/>
            <w:vMerge w:val="continue"/>
            <w:vAlign w:val="center"/>
          </w:tcPr>
          <w:p w14:paraId="73CA53A2">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outlineLvl w:val="1"/>
              <w:rPr>
                <w:rFonts w:hint="eastAsia" w:ascii="宋体" w:hAnsi="宋体" w:eastAsia="宋体" w:cs="宋体"/>
                <w:color w:val="auto"/>
                <w:sz w:val="21"/>
                <w:szCs w:val="21"/>
                <w:highlight w:val="none"/>
                <w:lang w:val="en-US" w:eastAsia="zh-CN"/>
              </w:rPr>
            </w:pPr>
            <w:bookmarkStart w:id="219" w:name="_Toc16589"/>
          </w:p>
        </w:tc>
        <w:tc>
          <w:tcPr>
            <w:tcW w:w="977" w:type="dxa"/>
            <w:vMerge w:val="continue"/>
            <w:vAlign w:val="center"/>
          </w:tcPr>
          <w:p w14:paraId="5EA32BA1">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outlineLvl w:val="1"/>
              <w:rPr>
                <w:rFonts w:hint="eastAsia" w:ascii="宋体" w:hAnsi="宋体" w:eastAsia="宋体" w:cs="宋体"/>
                <w:color w:val="auto"/>
                <w:sz w:val="21"/>
                <w:szCs w:val="21"/>
                <w:highlight w:val="none"/>
              </w:rPr>
            </w:pPr>
          </w:p>
        </w:tc>
        <w:tc>
          <w:tcPr>
            <w:tcW w:w="1200" w:type="dxa"/>
            <w:shd w:val="clear" w:color="auto" w:fill="auto"/>
            <w:vAlign w:val="center"/>
          </w:tcPr>
          <w:p w14:paraId="2E669D6C">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kern w:val="2"/>
                <w:sz w:val="21"/>
                <w:szCs w:val="21"/>
                <w:lang w:val="en-US" w:eastAsia="zh-CN" w:bidi="ar-SA"/>
              </w:rPr>
            </w:pPr>
            <w:r>
              <w:rPr>
                <w:rFonts w:hint="eastAsia" w:ascii="宋体" w:hAnsi="宋体" w:eastAsia="宋体" w:cs="宋体"/>
                <w:color w:val="000000"/>
                <w:sz w:val="21"/>
                <w:szCs w:val="21"/>
                <w:highlight w:val="none"/>
              </w:rPr>
              <w:t>应急处置方案评审（</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分）</w:t>
            </w:r>
          </w:p>
        </w:tc>
        <w:tc>
          <w:tcPr>
            <w:tcW w:w="6213" w:type="dxa"/>
            <w:shd w:val="clear" w:color="auto" w:fill="auto"/>
            <w:vAlign w:val="center"/>
          </w:tcPr>
          <w:p w14:paraId="5F509DA0">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评审委员会根据</w:t>
            </w:r>
            <w:r>
              <w:rPr>
                <w:rFonts w:hint="eastAsia" w:ascii="宋体" w:hAnsi="宋体" w:eastAsia="宋体" w:cs="宋体"/>
                <w:color w:val="000000"/>
                <w:sz w:val="21"/>
                <w:szCs w:val="21"/>
                <w:highlight w:val="none"/>
                <w:lang w:eastAsia="zh-CN"/>
              </w:rPr>
              <w:t>投标人</w:t>
            </w:r>
            <w:r>
              <w:rPr>
                <w:rFonts w:hint="eastAsia" w:ascii="宋体" w:hAnsi="宋体" w:eastAsia="宋体" w:cs="宋体"/>
                <w:color w:val="000000"/>
                <w:sz w:val="21"/>
                <w:szCs w:val="21"/>
                <w:highlight w:val="none"/>
              </w:rPr>
              <w:t>提供的应急处置方案进行横向比较打分：</w:t>
            </w:r>
          </w:p>
          <w:p w14:paraId="6595C63E">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第一个档次（8分）</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应急预案及保障措施全面、合理，针对性强，评审应急处置方案是否覆盖了体检过程中可能遇到的所有紧急情况，有完整</w:t>
            </w:r>
            <w:r>
              <w:rPr>
                <w:rFonts w:hint="eastAsia" w:ascii="宋体" w:hAnsi="宋体" w:eastAsia="宋体" w:cs="宋体"/>
                <w:color w:val="000000"/>
                <w:sz w:val="21"/>
                <w:szCs w:val="21"/>
                <w:highlight w:val="none"/>
                <w:lang w:val="en-US" w:eastAsia="zh-CN"/>
              </w:rPr>
              <w:t>的</w:t>
            </w:r>
            <w:r>
              <w:rPr>
                <w:rFonts w:hint="eastAsia" w:ascii="宋体" w:hAnsi="宋体" w:eastAsia="宋体" w:cs="宋体"/>
                <w:color w:val="000000"/>
                <w:sz w:val="21"/>
                <w:szCs w:val="21"/>
                <w:highlight w:val="none"/>
              </w:rPr>
              <w:t>应急响应机制</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对可能发生的紧急情况进行了全面的风险识别和评估</w:t>
            </w:r>
            <w:r>
              <w:rPr>
                <w:rFonts w:hint="eastAsia" w:ascii="宋体" w:hAnsi="宋体" w:eastAsia="宋体" w:cs="宋体"/>
                <w:color w:val="000000"/>
                <w:sz w:val="21"/>
                <w:szCs w:val="21"/>
                <w:highlight w:val="none"/>
                <w:lang w:val="en-US" w:eastAsia="zh-CN"/>
              </w:rPr>
              <w:t>的；</w:t>
            </w:r>
          </w:p>
          <w:p w14:paraId="3C73C0CE">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第二</w:t>
            </w:r>
            <w:r>
              <w:rPr>
                <w:rFonts w:hint="eastAsia" w:ascii="宋体" w:hAnsi="宋体" w:eastAsia="宋体" w:cs="宋体"/>
                <w:b/>
                <w:bCs/>
                <w:color w:val="000000"/>
                <w:sz w:val="21"/>
                <w:szCs w:val="21"/>
                <w:highlight w:val="none"/>
                <w:lang w:val="en-US" w:eastAsia="zh-CN"/>
              </w:rPr>
              <w:t>个档次（6</w:t>
            </w:r>
            <w:r>
              <w:rPr>
                <w:rFonts w:hint="eastAsia" w:ascii="宋体" w:hAnsi="宋体" w:eastAsia="宋体" w:cs="宋体"/>
                <w:b/>
                <w:bCs/>
                <w:color w:val="000000"/>
                <w:sz w:val="21"/>
                <w:szCs w:val="21"/>
                <w:highlight w:val="none"/>
              </w:rPr>
              <w:t>分）</w:t>
            </w:r>
            <w:r>
              <w:rPr>
                <w:rFonts w:hint="eastAsia" w:ascii="宋体" w:hAnsi="宋体" w:eastAsia="宋体" w:cs="宋体"/>
                <w:color w:val="000000"/>
                <w:sz w:val="21"/>
                <w:szCs w:val="21"/>
                <w:highlight w:val="none"/>
              </w:rPr>
              <w:t>： 应急预案及保障措施较为全面，</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方案基本覆盖了体检过程中可能遇到的主要紧急情况，但某些非核心或低频次的风险点上有所遗漏。应急响应机制清晰，但在某些环节上的时间节点或责任划分上略有不足。对可能发生的紧急情况进行了较为全面的风险识别和评估，但在风险评估的深度或精确度上稍显欠缺</w:t>
            </w:r>
            <w:r>
              <w:rPr>
                <w:rFonts w:hint="eastAsia" w:ascii="宋体" w:hAnsi="宋体" w:eastAsia="宋体" w:cs="宋体"/>
                <w:color w:val="000000"/>
                <w:sz w:val="21"/>
                <w:szCs w:val="21"/>
                <w:highlight w:val="none"/>
                <w:lang w:eastAsia="zh-CN"/>
              </w:rPr>
              <w:t>；</w:t>
            </w:r>
          </w:p>
          <w:p w14:paraId="22389661">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第</w:t>
            </w:r>
            <w:r>
              <w:rPr>
                <w:rFonts w:hint="eastAsia" w:ascii="宋体" w:hAnsi="宋体" w:eastAsia="宋体" w:cs="宋体"/>
                <w:b/>
                <w:bCs/>
                <w:color w:val="000000"/>
                <w:sz w:val="21"/>
                <w:szCs w:val="21"/>
                <w:highlight w:val="none"/>
                <w:lang w:val="en-US" w:eastAsia="zh-CN"/>
              </w:rPr>
              <w:t>三个档次（4</w:t>
            </w:r>
            <w:r>
              <w:rPr>
                <w:rFonts w:hint="eastAsia" w:ascii="宋体" w:hAnsi="宋体" w:eastAsia="宋体" w:cs="宋体"/>
                <w:b/>
                <w:bCs/>
                <w:color w:val="000000"/>
                <w:sz w:val="21"/>
                <w:szCs w:val="21"/>
                <w:highlight w:val="none"/>
              </w:rPr>
              <w:t>分）</w:t>
            </w:r>
            <w:r>
              <w:rPr>
                <w:rFonts w:hint="eastAsia" w:ascii="宋体" w:hAnsi="宋体" w:eastAsia="宋体" w:cs="宋体"/>
                <w:color w:val="000000"/>
                <w:sz w:val="21"/>
                <w:szCs w:val="21"/>
                <w:highlight w:val="none"/>
              </w:rPr>
              <w:t>：应急预案及保障措施中等，针对性与全面性一般。方案覆盖了一部分体检过程中可能遇到的紧急情况，但存在较为明显的遗漏或不足，未能充分考虑到所有潜在的风险点。应急响应机制基本建立，但执行困难或效率不高。风险评估部分较为基础，对紧急情况的识别和评估不够深入，缺乏足够的预见性和应对措施。</w:t>
            </w:r>
          </w:p>
          <w:p w14:paraId="7E0C5C3C">
            <w:pPr>
              <w:keepNext w:val="0"/>
              <w:keepLines w:val="0"/>
              <w:pageBreakBefore w:val="0"/>
              <w:widowControl w:val="0"/>
              <w:kinsoku/>
              <w:wordWrap/>
              <w:overflowPunct/>
              <w:topLinePunct w:val="0"/>
              <w:autoSpaceDE/>
              <w:autoSpaceDN/>
              <w:bidi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第</w:t>
            </w:r>
            <w:r>
              <w:rPr>
                <w:rFonts w:hint="eastAsia" w:ascii="宋体" w:hAnsi="宋体" w:eastAsia="宋体" w:cs="宋体"/>
                <w:b/>
                <w:bCs/>
                <w:color w:val="000000"/>
                <w:sz w:val="21"/>
                <w:szCs w:val="21"/>
                <w:highlight w:val="none"/>
                <w:lang w:val="en-US" w:eastAsia="zh-CN"/>
              </w:rPr>
              <w:t>四个档次（2</w:t>
            </w:r>
            <w:r>
              <w:rPr>
                <w:rFonts w:hint="eastAsia" w:ascii="宋体" w:hAnsi="宋体" w:eastAsia="宋体" w:cs="宋体"/>
                <w:b/>
                <w:bCs/>
                <w:color w:val="000000"/>
                <w:sz w:val="21"/>
                <w:szCs w:val="21"/>
                <w:highlight w:val="none"/>
              </w:rPr>
              <w:t>分）</w:t>
            </w:r>
            <w:r>
              <w:rPr>
                <w:rFonts w:hint="eastAsia" w:ascii="宋体" w:hAnsi="宋体" w:eastAsia="宋体" w:cs="宋体"/>
                <w:color w:val="000000"/>
                <w:sz w:val="21"/>
                <w:szCs w:val="21"/>
                <w:highlight w:val="none"/>
              </w:rPr>
              <w:t>：应急预案及保障措施明显不足，缺乏针对性和全面性。方案未能有效覆盖体检过程中可能遇到的主要紧急情况，存在大量遗漏或忽视，在突发事件发生时难以迅速、有效地进行应对。应急响应机制不完善，流程不清晰，责任划分不明确。风险评估缺失或严重不足，未能对潜在风险进行充分的识别和评估，预案缺乏针对性和有效性。资源保障不足、培训演练不到位</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方案在应对紧急情况时存在严重缺陷。</w:t>
            </w:r>
          </w:p>
          <w:p w14:paraId="59E826CC">
            <w:pPr>
              <w:keepNext w:val="0"/>
              <w:keepLines w:val="0"/>
              <w:pageBreakBefore w:val="0"/>
              <w:widowControl w:val="0"/>
              <w:kinsoku/>
              <w:wordWrap/>
              <w:overflowPunct/>
              <w:topLinePunct w:val="0"/>
              <w:autoSpaceDE/>
              <w:autoSpaceDN/>
              <w:bidi w:val="0"/>
              <w:snapToGrid/>
              <w:spacing w:line="40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未提供</w:t>
            </w:r>
            <w:r>
              <w:rPr>
                <w:rFonts w:hint="eastAsia" w:ascii="宋体" w:hAnsi="宋体" w:eastAsia="宋体" w:cs="宋体"/>
                <w:color w:val="000000"/>
                <w:sz w:val="21"/>
                <w:szCs w:val="21"/>
                <w:highlight w:val="none"/>
              </w:rPr>
              <w:t>应急处置方案</w:t>
            </w:r>
            <w:r>
              <w:rPr>
                <w:rFonts w:hint="eastAsia" w:ascii="宋体" w:hAnsi="宋体" w:eastAsia="宋体" w:cs="宋体"/>
                <w:color w:val="000000"/>
                <w:sz w:val="21"/>
                <w:szCs w:val="21"/>
                <w:highlight w:val="none"/>
                <w:lang w:eastAsia="zh-CN"/>
              </w:rPr>
              <w:t>的不得分。</w:t>
            </w:r>
          </w:p>
        </w:tc>
        <w:tc>
          <w:tcPr>
            <w:tcW w:w="735" w:type="dxa"/>
            <w:vAlign w:val="center"/>
          </w:tcPr>
          <w:p w14:paraId="34C495A2">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rPr>
                <w:rFonts w:hint="eastAsia" w:ascii="宋体" w:hAnsi="宋体" w:eastAsia="宋体" w:cs="宋体"/>
                <w:color w:val="auto"/>
                <w:sz w:val="21"/>
                <w:szCs w:val="21"/>
                <w:highlight w:val="none"/>
              </w:rPr>
            </w:pPr>
          </w:p>
        </w:tc>
      </w:tr>
      <w:tr w14:paraId="11A8E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511" w:type="dxa"/>
            <w:vMerge w:val="continue"/>
            <w:vAlign w:val="center"/>
          </w:tcPr>
          <w:p w14:paraId="65A007DF">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outlineLvl w:val="1"/>
              <w:rPr>
                <w:rFonts w:hint="eastAsia" w:ascii="宋体" w:hAnsi="宋体" w:eastAsia="宋体" w:cs="宋体"/>
                <w:color w:val="auto"/>
                <w:sz w:val="21"/>
                <w:szCs w:val="21"/>
                <w:highlight w:val="none"/>
                <w:lang w:val="en-US" w:eastAsia="zh-CN"/>
              </w:rPr>
            </w:pPr>
          </w:p>
        </w:tc>
        <w:tc>
          <w:tcPr>
            <w:tcW w:w="977" w:type="dxa"/>
            <w:vMerge w:val="continue"/>
            <w:vAlign w:val="center"/>
          </w:tcPr>
          <w:p w14:paraId="47D1D294">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outlineLvl w:val="1"/>
              <w:rPr>
                <w:rFonts w:hint="eastAsia" w:ascii="宋体" w:hAnsi="宋体" w:eastAsia="宋体" w:cs="宋体"/>
                <w:color w:val="auto"/>
                <w:sz w:val="21"/>
                <w:szCs w:val="21"/>
                <w:highlight w:val="none"/>
              </w:rPr>
            </w:pPr>
          </w:p>
        </w:tc>
        <w:tc>
          <w:tcPr>
            <w:tcW w:w="1200" w:type="dxa"/>
            <w:shd w:val="clear" w:color="auto" w:fill="auto"/>
            <w:vAlign w:val="center"/>
          </w:tcPr>
          <w:p w14:paraId="25757A40">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 w:val="21"/>
                <w:szCs w:val="21"/>
                <w:highlight w:val="none"/>
              </w:rPr>
              <w:t>类似业绩（</w:t>
            </w:r>
            <w:r>
              <w:rPr>
                <w:rFonts w:hint="eastAsia" w:ascii="宋体" w:hAnsi="宋体" w:eastAsia="宋体" w:cs="宋体"/>
                <w:color w:val="000000"/>
                <w:sz w:val="21"/>
                <w:szCs w:val="21"/>
                <w:highlight w:val="none"/>
                <w:lang w:val="en-US" w:eastAsia="zh-CN"/>
              </w:rPr>
              <w:t>15</w:t>
            </w:r>
            <w:r>
              <w:rPr>
                <w:rFonts w:hint="eastAsia" w:ascii="宋体" w:hAnsi="宋体" w:eastAsia="宋体" w:cs="宋体"/>
                <w:color w:val="000000"/>
                <w:sz w:val="21"/>
                <w:szCs w:val="21"/>
                <w:highlight w:val="none"/>
              </w:rPr>
              <w:t>分）</w:t>
            </w:r>
          </w:p>
        </w:tc>
        <w:tc>
          <w:tcPr>
            <w:tcW w:w="6213" w:type="dxa"/>
            <w:shd w:val="clear" w:color="auto" w:fill="auto"/>
            <w:vAlign w:val="center"/>
          </w:tcPr>
          <w:p w14:paraId="49A12A2E">
            <w:pPr>
              <w:keepNext w:val="0"/>
              <w:keepLines w:val="0"/>
              <w:pageBreakBefore w:val="0"/>
              <w:widowControl w:val="0"/>
              <w:kinsoku/>
              <w:wordWrap/>
              <w:overflowPunct/>
              <w:topLinePunct w:val="0"/>
              <w:autoSpaceDE/>
              <w:autoSpaceDN/>
              <w:bidi w:val="0"/>
              <w:adjustRightInd w:val="0"/>
              <w:snapToGrid/>
              <w:spacing w:line="40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投标人在满足提供一个自202</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1月</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1日至投标文件递交截止日（以合同签订时间为准）每提供一个有效类似业绩证明材料的得</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rPr>
              <w:t>分，满分</w:t>
            </w:r>
            <w:r>
              <w:rPr>
                <w:rFonts w:hint="eastAsia" w:ascii="宋体" w:hAnsi="宋体" w:eastAsia="宋体" w:cs="宋体"/>
                <w:color w:val="000000"/>
                <w:sz w:val="21"/>
                <w:szCs w:val="21"/>
                <w:highlight w:val="none"/>
                <w:lang w:val="en-US" w:eastAsia="zh-CN"/>
              </w:rPr>
              <w:t>15</w:t>
            </w:r>
            <w:r>
              <w:rPr>
                <w:rFonts w:hint="eastAsia" w:ascii="宋体" w:hAnsi="宋体" w:eastAsia="宋体" w:cs="宋体"/>
                <w:color w:val="000000"/>
                <w:sz w:val="21"/>
                <w:szCs w:val="21"/>
                <w:highlight w:val="none"/>
              </w:rPr>
              <w:t>分。</w:t>
            </w:r>
          </w:p>
          <w:p w14:paraId="71291EB3">
            <w:pPr>
              <w:keepNext w:val="0"/>
              <w:keepLines w:val="0"/>
              <w:pageBreakBefore w:val="0"/>
              <w:widowControl w:val="0"/>
              <w:kinsoku/>
              <w:wordWrap/>
              <w:overflowPunct/>
              <w:topLinePunct w:val="0"/>
              <w:autoSpaceDE/>
              <w:autoSpaceDN/>
              <w:bidi w:val="0"/>
              <w:snapToGrid/>
              <w:spacing w:line="400" w:lineRule="exact"/>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有效类似项目业绩是指202</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1月</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1日至今已完成或正在实施的团体体检服务业绩，以所提供的合同或服务协议或中标通知书或业主证明材料等相关证明材料为准。</w:t>
            </w:r>
          </w:p>
        </w:tc>
        <w:tc>
          <w:tcPr>
            <w:tcW w:w="735" w:type="dxa"/>
            <w:vAlign w:val="center"/>
          </w:tcPr>
          <w:p w14:paraId="5D0881FA">
            <w:pPr>
              <w:keepNext w:val="0"/>
              <w:keepLines w:val="0"/>
              <w:pageBreakBefore w:val="0"/>
              <w:widowControl w:val="0"/>
              <w:tabs>
                <w:tab w:val="left" w:pos="-94"/>
                <w:tab w:val="left" w:pos="1620"/>
              </w:tabs>
              <w:kinsoku/>
              <w:wordWrap/>
              <w:overflowPunct/>
              <w:topLinePunct w:val="0"/>
              <w:autoSpaceDE/>
              <w:autoSpaceDN/>
              <w:bidi w:val="0"/>
              <w:adjustRightInd w:val="0"/>
              <w:snapToGrid w:val="0"/>
              <w:spacing w:line="400" w:lineRule="exact"/>
              <w:jc w:val="center"/>
              <w:textAlignment w:val="baseline"/>
              <w:rPr>
                <w:rFonts w:hint="eastAsia" w:ascii="宋体" w:hAnsi="宋体" w:eastAsia="宋体" w:cs="宋体"/>
                <w:color w:val="auto"/>
                <w:sz w:val="21"/>
                <w:szCs w:val="21"/>
                <w:highlight w:val="none"/>
              </w:rPr>
            </w:pPr>
          </w:p>
        </w:tc>
      </w:tr>
      <w:bookmarkEnd w:id="217"/>
      <w:bookmarkEnd w:id="218"/>
      <w:bookmarkEnd w:id="219"/>
    </w:tbl>
    <w:p w14:paraId="7A8B9F77">
      <w:pPr>
        <w:pStyle w:val="2"/>
        <w:numPr>
          <w:ilvl w:val="0"/>
          <w:numId w:val="0"/>
        </w:numPr>
        <w:spacing w:line="360" w:lineRule="auto"/>
        <w:jc w:val="center"/>
        <w:rPr>
          <w:rFonts w:hAnsi="宋体" w:cs="黑体"/>
          <w:b/>
          <w:color w:val="auto"/>
          <w:kern w:val="0"/>
          <w:sz w:val="36"/>
          <w:szCs w:val="36"/>
          <w:highlight w:val="none"/>
        </w:rPr>
        <w:sectPr>
          <w:footerReference r:id="rId8" w:type="default"/>
          <w:pgSz w:w="11906" w:h="16839"/>
          <w:pgMar w:top="1587" w:right="1417" w:bottom="1417" w:left="1587" w:header="1020" w:footer="994" w:gutter="0"/>
          <w:pgNumType w:fmt="decimal"/>
          <w:cols w:space="720" w:num="1"/>
          <w:rtlGutter w:val="0"/>
        </w:sectPr>
      </w:pPr>
    </w:p>
    <w:bookmarkEnd w:id="201"/>
    <w:p w14:paraId="22BBB97A">
      <w:pPr>
        <w:snapToGrid w:val="0"/>
        <w:spacing w:after="120" w:afterLines="50"/>
        <w:jc w:val="center"/>
        <w:outlineLvl w:val="0"/>
        <w:rPr>
          <w:b/>
          <w:color w:val="auto"/>
          <w:sz w:val="44"/>
          <w:szCs w:val="44"/>
          <w:highlight w:val="none"/>
        </w:rPr>
      </w:pPr>
      <w:bookmarkStart w:id="220" w:name="_Toc14122"/>
      <w:bookmarkStart w:id="221" w:name="_Toc6921"/>
      <w:bookmarkStart w:id="222" w:name="_Toc5521"/>
      <w:bookmarkStart w:id="223" w:name="_Toc16944"/>
      <w:bookmarkStart w:id="224" w:name="_Toc12898"/>
      <w:bookmarkStart w:id="225" w:name="_Toc5156"/>
      <w:r>
        <w:rPr>
          <w:rFonts w:hint="eastAsia"/>
          <w:b/>
          <w:color w:val="auto"/>
          <w:sz w:val="44"/>
          <w:szCs w:val="44"/>
          <w:highlight w:val="none"/>
        </w:rPr>
        <w:t>第四章</w:t>
      </w:r>
      <w:r>
        <w:rPr>
          <w:rFonts w:hint="eastAsia" w:ascii="宋体" w:hAnsi="宋体" w:cs="黑体"/>
          <w:b/>
          <w:color w:val="auto"/>
          <w:kern w:val="0"/>
          <w:sz w:val="36"/>
          <w:szCs w:val="36"/>
          <w:highlight w:val="none"/>
        </w:rPr>
        <w:t xml:space="preserve">  </w:t>
      </w:r>
      <w:r>
        <w:rPr>
          <w:rFonts w:hint="eastAsia"/>
          <w:b/>
          <w:color w:val="auto"/>
          <w:sz w:val="44"/>
          <w:szCs w:val="44"/>
          <w:highlight w:val="none"/>
        </w:rPr>
        <w:t>合同基本格式</w:t>
      </w:r>
      <w:bookmarkEnd w:id="220"/>
      <w:bookmarkEnd w:id="221"/>
      <w:bookmarkEnd w:id="222"/>
      <w:bookmarkEnd w:id="223"/>
    </w:p>
    <w:p w14:paraId="1D52885D">
      <w:pPr>
        <w:widowControl/>
        <w:tabs>
          <w:tab w:val="left" w:pos="1155"/>
          <w:tab w:val="left" w:pos="2865"/>
          <w:tab w:val="left" w:pos="5307"/>
          <w:tab w:val="left" w:pos="5595"/>
          <w:tab w:val="left" w:pos="6620"/>
          <w:tab w:val="left" w:pos="7940"/>
        </w:tabs>
        <w:ind w:right="-109" w:rightChars="-52"/>
        <w:jc w:val="center"/>
        <w:rPr>
          <w:rFonts w:ascii="宋体" w:hAnsi="宋体" w:cs="宋体"/>
          <w:color w:val="auto"/>
          <w:kern w:val="0"/>
          <w:sz w:val="28"/>
          <w:szCs w:val="28"/>
          <w:highlight w:val="none"/>
        </w:rPr>
      </w:pPr>
      <w:r>
        <w:rPr>
          <w:rFonts w:hint="eastAsia" w:ascii="宋体" w:hAnsi="宋体" w:cs="宋体"/>
          <w:color w:val="auto"/>
          <w:kern w:val="0"/>
          <w:sz w:val="28"/>
          <w:szCs w:val="28"/>
          <w:highlight w:val="none"/>
        </w:rPr>
        <w:t>合同条款前附表</w:t>
      </w:r>
    </w:p>
    <w:p w14:paraId="78D45B77">
      <w:pPr>
        <w:widowControl/>
        <w:tabs>
          <w:tab w:val="left" w:pos="1155"/>
          <w:tab w:val="left" w:pos="2865"/>
          <w:tab w:val="left" w:pos="5307"/>
          <w:tab w:val="left" w:pos="5595"/>
          <w:tab w:val="left" w:pos="6620"/>
          <w:tab w:val="left" w:pos="7940"/>
        </w:tabs>
        <w:ind w:right="-109" w:rightChars="-52"/>
        <w:jc w:val="center"/>
        <w:rPr>
          <w:rFonts w:asciiTheme="minorEastAsia" w:hAnsiTheme="minorEastAsia" w:eastAsiaTheme="minorEastAsia"/>
          <w:b/>
          <w:color w:val="auto"/>
          <w:kern w:val="0"/>
          <w:sz w:val="24"/>
          <w:highlight w:val="none"/>
        </w:rPr>
      </w:pPr>
      <w:r>
        <w:rPr>
          <w:rFonts w:hint="eastAsia" w:asciiTheme="minorEastAsia" w:hAnsiTheme="minorEastAsia" w:eastAsiaTheme="minorEastAsia"/>
          <w:b/>
          <w:color w:val="auto"/>
          <w:kern w:val="0"/>
          <w:sz w:val="24"/>
          <w:highlight w:val="none"/>
        </w:rPr>
        <w:t>（本合同为参考文本，具体内容以采购人、</w:t>
      </w:r>
      <w:r>
        <w:rPr>
          <w:rFonts w:hint="eastAsia" w:asciiTheme="minorEastAsia" w:hAnsiTheme="minorEastAsia" w:eastAsiaTheme="minorEastAsia"/>
          <w:b/>
          <w:color w:val="auto"/>
          <w:kern w:val="0"/>
          <w:sz w:val="24"/>
          <w:highlight w:val="none"/>
          <w:lang w:eastAsia="zh-CN"/>
        </w:rPr>
        <w:t>中标</w:t>
      </w:r>
      <w:r>
        <w:rPr>
          <w:rFonts w:hint="eastAsia" w:asciiTheme="minorEastAsia" w:hAnsiTheme="minorEastAsia" w:eastAsiaTheme="minorEastAsia"/>
          <w:b/>
          <w:color w:val="auto"/>
          <w:kern w:val="0"/>
          <w:sz w:val="24"/>
          <w:highlight w:val="none"/>
        </w:rPr>
        <w:t>人双方协商为准）</w:t>
      </w:r>
    </w:p>
    <w:p w14:paraId="1AAF19DE">
      <w:pPr>
        <w:widowControl/>
        <w:spacing w:after="240"/>
        <w:ind w:right="-109" w:rightChars="-52"/>
        <w:jc w:val="center"/>
        <w:rPr>
          <w:rFonts w:ascii="宋体" w:hAnsi="宋体" w:cs="宋体"/>
          <w:color w:val="auto"/>
          <w:kern w:val="0"/>
          <w:sz w:val="24"/>
          <w:highlight w:val="none"/>
        </w:rPr>
      </w:pPr>
      <w:bookmarkStart w:id="226" w:name="_Toc18495"/>
      <w:r>
        <w:rPr>
          <w:rFonts w:hint="eastAsia" w:ascii="宋体" w:hAnsi="宋体" w:cs="宋体"/>
          <w:color w:val="auto"/>
          <w:kern w:val="0"/>
          <w:sz w:val="24"/>
          <w:highlight w:val="none"/>
        </w:rPr>
        <w:t>本合同须加盖甲乙双方骑缝章有效</w:t>
      </w:r>
    </w:p>
    <w:p w14:paraId="11CAF074">
      <w:pPr>
        <w:widowControl/>
        <w:spacing w:after="240"/>
        <w:ind w:right="-109" w:rightChars="-52"/>
        <w:jc w:val="left"/>
        <w:rPr>
          <w:rFonts w:ascii="宋体" w:hAnsi="宋体" w:cs="宋体"/>
          <w:color w:val="auto"/>
          <w:kern w:val="0"/>
          <w:sz w:val="24"/>
          <w:highlight w:val="none"/>
        </w:rPr>
      </w:pPr>
    </w:p>
    <w:p w14:paraId="7CF20913">
      <w:pPr>
        <w:widowControl/>
        <w:spacing w:line="600" w:lineRule="exact"/>
        <w:ind w:right="-109" w:rightChars="-52"/>
        <w:jc w:val="center"/>
        <w:rPr>
          <w:rFonts w:ascii="宋体" w:hAnsi="宋体" w:cs="宋体"/>
          <w:b/>
          <w:color w:val="auto"/>
          <w:spacing w:val="44"/>
          <w:kern w:val="0"/>
          <w:sz w:val="44"/>
          <w:szCs w:val="44"/>
          <w:highlight w:val="none"/>
        </w:rPr>
      </w:pPr>
      <w:r>
        <w:rPr>
          <w:rFonts w:hint="eastAsia" w:ascii="宋体" w:hAnsi="宋体" w:cs="宋体"/>
          <w:b/>
          <w:color w:val="auto"/>
          <w:spacing w:val="44"/>
          <w:kern w:val="0"/>
          <w:sz w:val="44"/>
          <w:szCs w:val="44"/>
          <w:highlight w:val="none"/>
        </w:rPr>
        <w:t>云南省省级政府采购</w:t>
      </w:r>
    </w:p>
    <w:p w14:paraId="7ED9C4F3">
      <w:pPr>
        <w:widowControl/>
        <w:spacing w:line="600" w:lineRule="exact"/>
        <w:ind w:right="-109" w:rightChars="-52"/>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(委托采购)</w:t>
      </w:r>
    </w:p>
    <w:p w14:paraId="604A6FA4">
      <w:pPr>
        <w:widowControl/>
        <w:spacing w:after="240"/>
        <w:ind w:right="-109" w:rightChars="-52"/>
        <w:jc w:val="center"/>
        <w:rPr>
          <w:rFonts w:ascii="宋体" w:hAnsi="宋体" w:cs="宋体"/>
          <w:color w:val="auto"/>
          <w:kern w:val="0"/>
          <w:sz w:val="84"/>
          <w:szCs w:val="84"/>
          <w:highlight w:val="none"/>
        </w:rPr>
      </w:pPr>
    </w:p>
    <w:p w14:paraId="70C8AC68">
      <w:pPr>
        <w:widowControl/>
        <w:spacing w:after="240"/>
        <w:ind w:right="-109" w:rightChars="-52"/>
        <w:jc w:val="center"/>
        <w:rPr>
          <w:rFonts w:ascii="宋体" w:hAnsi="宋体" w:cs="宋体"/>
          <w:b/>
          <w:color w:val="auto"/>
          <w:kern w:val="0"/>
          <w:sz w:val="84"/>
          <w:szCs w:val="84"/>
          <w:highlight w:val="none"/>
        </w:rPr>
      </w:pPr>
      <w:r>
        <w:rPr>
          <w:rFonts w:hint="eastAsia" w:ascii="宋体" w:hAnsi="宋体" w:cs="宋体"/>
          <w:b/>
          <w:color w:val="auto"/>
          <w:kern w:val="0"/>
          <w:sz w:val="84"/>
          <w:szCs w:val="84"/>
          <w:highlight w:val="none"/>
        </w:rPr>
        <w:t>合</w:t>
      </w:r>
    </w:p>
    <w:p w14:paraId="0F82F377">
      <w:pPr>
        <w:widowControl/>
        <w:spacing w:after="240"/>
        <w:ind w:right="-109" w:rightChars="-52"/>
        <w:jc w:val="center"/>
        <w:rPr>
          <w:rFonts w:ascii="宋体" w:hAnsi="宋体" w:cs="宋体"/>
          <w:b/>
          <w:color w:val="auto"/>
          <w:kern w:val="0"/>
          <w:sz w:val="84"/>
          <w:szCs w:val="84"/>
          <w:highlight w:val="none"/>
        </w:rPr>
      </w:pPr>
      <w:r>
        <w:rPr>
          <w:rFonts w:hint="eastAsia" w:ascii="宋体" w:hAnsi="宋体" w:cs="宋体"/>
          <w:b/>
          <w:color w:val="auto"/>
          <w:kern w:val="0"/>
          <w:sz w:val="84"/>
          <w:szCs w:val="84"/>
          <w:highlight w:val="none"/>
        </w:rPr>
        <w:t>同</w:t>
      </w:r>
    </w:p>
    <w:p w14:paraId="444B81A1">
      <w:pPr>
        <w:widowControl/>
        <w:spacing w:after="240"/>
        <w:ind w:right="-109" w:rightChars="-52"/>
        <w:jc w:val="center"/>
        <w:rPr>
          <w:rFonts w:ascii="宋体" w:hAnsi="宋体" w:cs="宋体"/>
          <w:b/>
          <w:color w:val="auto"/>
          <w:kern w:val="0"/>
          <w:sz w:val="72"/>
          <w:szCs w:val="72"/>
          <w:highlight w:val="none"/>
        </w:rPr>
      </w:pPr>
      <w:r>
        <w:rPr>
          <w:rFonts w:hint="eastAsia" w:ascii="宋体" w:hAnsi="宋体" w:cs="宋体"/>
          <w:b/>
          <w:color w:val="auto"/>
          <w:kern w:val="0"/>
          <w:sz w:val="84"/>
          <w:szCs w:val="84"/>
          <w:highlight w:val="none"/>
        </w:rPr>
        <w:t>书</w:t>
      </w:r>
      <w:r>
        <w:rPr>
          <w:rFonts w:hint="eastAsia" w:ascii="宋体" w:hAnsi="宋体" w:cs="宋体"/>
          <w:b/>
          <w:color w:val="auto"/>
          <w:kern w:val="0"/>
          <w:sz w:val="72"/>
          <w:szCs w:val="72"/>
          <w:highlight w:val="none"/>
        </w:rPr>
        <w:t xml:space="preserve"> </w:t>
      </w:r>
    </w:p>
    <w:p w14:paraId="4F84AAAE">
      <w:pPr>
        <w:widowControl/>
        <w:spacing w:line="520" w:lineRule="exact"/>
        <w:ind w:right="-109" w:rightChars="-52" w:firstLine="2811" w:firstLineChars="1000"/>
        <w:rPr>
          <w:rFonts w:ascii="宋体" w:hAnsi="宋体" w:cs="宋体"/>
          <w:color w:val="auto"/>
          <w:kern w:val="0"/>
          <w:sz w:val="28"/>
          <w:szCs w:val="28"/>
          <w:highlight w:val="none"/>
        </w:rPr>
      </w:pPr>
      <w:r>
        <w:rPr>
          <w:rFonts w:hint="eastAsia" w:ascii="宋体" w:hAnsi="宋体" w:cs="宋体"/>
          <w:b/>
          <w:bCs/>
          <w:color w:val="auto"/>
          <w:kern w:val="0"/>
          <w:sz w:val="28"/>
          <w:szCs w:val="28"/>
          <w:highlight w:val="none"/>
        </w:rPr>
        <w:t>签订地点:</w:t>
      </w:r>
    </w:p>
    <w:p w14:paraId="2BA422D0">
      <w:pPr>
        <w:widowControl/>
        <w:spacing w:line="520" w:lineRule="exact"/>
        <w:ind w:right="-109" w:rightChars="-52"/>
        <w:rPr>
          <w:rFonts w:ascii="宋体" w:hAnsi="宋体" w:cs="宋体"/>
          <w:b/>
          <w:bCs/>
          <w:color w:val="auto"/>
          <w:kern w:val="0"/>
          <w:sz w:val="28"/>
          <w:szCs w:val="28"/>
          <w:highlight w:val="none"/>
        </w:rPr>
      </w:pPr>
    </w:p>
    <w:p w14:paraId="489F6FB1">
      <w:pPr>
        <w:widowControl/>
        <w:snapToGrid w:val="0"/>
        <w:spacing w:after="240"/>
        <w:jc w:val="center"/>
        <w:rPr>
          <w:rFonts w:hint="eastAsia" w:ascii="Times New Roman" w:hAnsi="Times New Roman"/>
          <w:b/>
          <w:bCs/>
          <w:color w:val="auto"/>
          <w:kern w:val="0"/>
          <w:sz w:val="27"/>
          <w:szCs w:val="27"/>
          <w:highlight w:val="none"/>
        </w:rPr>
      </w:pPr>
      <w:r>
        <w:rPr>
          <w:rFonts w:hint="eastAsia" w:ascii="宋体" w:hAnsi="宋体" w:cs="宋体"/>
          <w:b/>
          <w:bCs/>
          <w:color w:val="auto"/>
          <w:kern w:val="0"/>
          <w:sz w:val="28"/>
          <w:szCs w:val="28"/>
          <w:highlight w:val="none"/>
        </w:rPr>
        <w:t>云南省财政厅　制</w:t>
      </w:r>
      <w:r>
        <w:rPr>
          <w:rFonts w:ascii="Times New Roman" w:hAnsi="Times New Roman"/>
          <w:b/>
          <w:bCs/>
          <w:color w:val="auto"/>
          <w:kern w:val="0"/>
          <w:sz w:val="27"/>
          <w:szCs w:val="27"/>
          <w:highlight w:val="none"/>
        </w:rPr>
        <w:t xml:space="preserve"> </w:t>
      </w:r>
    </w:p>
    <w:p w14:paraId="39C02DFA">
      <w:pPr>
        <w:widowControl/>
        <w:snapToGrid w:val="0"/>
        <w:spacing w:after="240"/>
        <w:jc w:val="center"/>
        <w:rPr>
          <w:rFonts w:hint="eastAsia" w:ascii="Times New Roman" w:hAnsi="Times New Roman"/>
          <w:b/>
          <w:bCs/>
          <w:color w:val="auto"/>
          <w:kern w:val="0"/>
          <w:sz w:val="27"/>
          <w:szCs w:val="27"/>
          <w:highlight w:val="none"/>
        </w:rPr>
      </w:pPr>
    </w:p>
    <w:p w14:paraId="1EB186C5">
      <w:pPr>
        <w:widowControl/>
        <w:snapToGrid w:val="0"/>
        <w:spacing w:after="240"/>
        <w:jc w:val="center"/>
        <w:rPr>
          <w:rFonts w:hint="eastAsia" w:ascii="Times New Roman" w:hAnsi="Times New Roman"/>
          <w:b/>
          <w:bCs/>
          <w:color w:val="auto"/>
          <w:kern w:val="0"/>
          <w:sz w:val="27"/>
          <w:szCs w:val="27"/>
          <w:highlight w:val="none"/>
        </w:rPr>
      </w:pPr>
    </w:p>
    <w:p w14:paraId="329D7444">
      <w:pPr>
        <w:widowControl/>
        <w:snapToGrid w:val="0"/>
        <w:spacing w:after="240"/>
        <w:jc w:val="center"/>
        <w:rPr>
          <w:rFonts w:hint="eastAsia" w:ascii="Times New Roman" w:hAnsi="Times New Roman"/>
          <w:b/>
          <w:bCs/>
          <w:color w:val="auto"/>
          <w:kern w:val="0"/>
          <w:sz w:val="27"/>
          <w:szCs w:val="27"/>
          <w:highlight w:val="none"/>
        </w:rPr>
      </w:pPr>
      <w:r>
        <w:rPr>
          <w:rFonts w:ascii="Times New Roman" w:hAnsi="宋体"/>
          <w:bCs/>
          <w:color w:val="auto"/>
          <w:kern w:val="0"/>
          <w:sz w:val="32"/>
          <w:szCs w:val="32"/>
          <w:highlight w:val="none"/>
        </w:rPr>
        <w:t>（政府采购项目本页以财政厅采购系统下发的为准）</w:t>
      </w:r>
    </w:p>
    <w:p w14:paraId="0A21AE4B">
      <w:pPr>
        <w:widowControl/>
        <w:snapToGrid w:val="0"/>
        <w:spacing w:after="240"/>
        <w:jc w:val="center"/>
        <w:rPr>
          <w:rFonts w:hint="eastAsia" w:ascii="Times New Roman" w:hAnsi="Times New Roman"/>
          <w:b/>
          <w:bCs/>
          <w:color w:val="auto"/>
          <w:kern w:val="0"/>
          <w:sz w:val="27"/>
          <w:szCs w:val="27"/>
          <w:highlight w:val="none"/>
        </w:rPr>
      </w:pPr>
      <w:r>
        <w:rPr>
          <w:rFonts w:ascii="Times New Roman" w:hAnsi="Times New Roman"/>
          <w:b/>
          <w:bCs/>
          <w:color w:val="auto"/>
          <w:kern w:val="0"/>
          <w:sz w:val="27"/>
          <w:szCs w:val="27"/>
          <w:highlight w:val="none"/>
        </w:rPr>
        <w:br w:type="page"/>
      </w:r>
    </w:p>
    <w:tbl>
      <w:tblPr>
        <w:tblStyle w:val="44"/>
        <w:tblW w:w="9298" w:type="dxa"/>
        <w:jc w:val="center"/>
        <w:tblCellSpacing w:w="0" w:type="dxa"/>
        <w:tblLayout w:type="fixed"/>
        <w:tblCellMar>
          <w:top w:w="0" w:type="dxa"/>
          <w:left w:w="0" w:type="dxa"/>
          <w:bottom w:w="0" w:type="dxa"/>
          <w:right w:w="0" w:type="dxa"/>
        </w:tblCellMar>
      </w:tblPr>
      <w:tblGrid>
        <w:gridCol w:w="1581"/>
        <w:gridCol w:w="7717"/>
      </w:tblGrid>
      <w:tr w14:paraId="26329809">
        <w:tblPrEx>
          <w:tblCellMar>
            <w:top w:w="0" w:type="dxa"/>
            <w:left w:w="0" w:type="dxa"/>
            <w:bottom w:w="0" w:type="dxa"/>
            <w:right w:w="0" w:type="dxa"/>
          </w:tblCellMar>
        </w:tblPrEx>
        <w:trPr>
          <w:trHeight w:val="510" w:hRule="atLeast"/>
          <w:tblCellSpacing w:w="0" w:type="dxa"/>
          <w:jc w:val="center"/>
        </w:trPr>
        <w:tc>
          <w:tcPr>
            <w:tcW w:w="9298" w:type="dxa"/>
            <w:gridSpan w:val="2"/>
            <w:vAlign w:val="center"/>
          </w:tcPr>
          <w:p w14:paraId="4A173907">
            <w:pPr>
              <w:widowControl/>
              <w:spacing w:line="520" w:lineRule="exact"/>
              <w:jc w:val="left"/>
              <w:rPr>
                <w:rFonts w:hint="eastAsia" w:ascii="宋体" w:hAnsi="宋体" w:eastAsia="宋体" w:cs="宋体"/>
                <w:color w:val="auto"/>
                <w:kern w:val="0"/>
                <w:sz w:val="24"/>
                <w:highlight w:val="none"/>
                <w:lang w:eastAsia="zh-CN"/>
              </w:rPr>
            </w:pPr>
            <w:r>
              <w:rPr>
                <w:rFonts w:ascii="宋体" w:hAnsi="宋体" w:cs="宋体"/>
                <w:b/>
                <w:bCs/>
                <w:color w:val="auto"/>
                <w:kern w:val="0"/>
                <w:sz w:val="24"/>
                <w:highlight w:val="none"/>
              </w:rPr>
              <w:t>甲方（采购人公章）名 称：</w:t>
            </w:r>
            <w:r>
              <w:rPr>
                <w:rFonts w:hint="eastAsia" w:ascii="宋体" w:hAnsi="宋体" w:cs="宋体"/>
                <w:b/>
                <w:bCs/>
                <w:color w:val="auto"/>
                <w:kern w:val="0"/>
                <w:sz w:val="24"/>
                <w:highlight w:val="none"/>
                <w:lang w:eastAsia="zh-CN"/>
              </w:rPr>
              <w:t>西南林业大学</w:t>
            </w:r>
          </w:p>
        </w:tc>
      </w:tr>
      <w:tr w14:paraId="7E366265">
        <w:tblPrEx>
          <w:tblCellMar>
            <w:top w:w="0" w:type="dxa"/>
            <w:left w:w="0" w:type="dxa"/>
            <w:bottom w:w="0" w:type="dxa"/>
            <w:right w:w="0" w:type="dxa"/>
          </w:tblCellMar>
        </w:tblPrEx>
        <w:trPr>
          <w:trHeight w:val="510" w:hRule="atLeast"/>
          <w:tblCellSpacing w:w="0" w:type="dxa"/>
          <w:jc w:val="center"/>
        </w:trPr>
        <w:tc>
          <w:tcPr>
            <w:tcW w:w="1581" w:type="dxa"/>
            <w:vAlign w:val="center"/>
          </w:tcPr>
          <w:p w14:paraId="38BB2ED3">
            <w:pPr>
              <w:widowControl/>
              <w:spacing w:line="520" w:lineRule="exact"/>
              <w:jc w:val="left"/>
              <w:rPr>
                <w:rFonts w:ascii="宋体" w:hAnsi="宋体" w:cs="宋体"/>
                <w:color w:val="auto"/>
                <w:kern w:val="0"/>
                <w:sz w:val="24"/>
                <w:highlight w:val="none"/>
              </w:rPr>
            </w:pPr>
          </w:p>
        </w:tc>
        <w:tc>
          <w:tcPr>
            <w:tcW w:w="7717" w:type="dxa"/>
            <w:vAlign w:val="center"/>
          </w:tcPr>
          <w:p w14:paraId="5630709A">
            <w:pPr>
              <w:widowControl/>
              <w:spacing w:line="520" w:lineRule="exact"/>
              <w:jc w:val="left"/>
              <w:rPr>
                <w:rFonts w:ascii="宋体" w:hAnsi="宋体" w:cs="宋体"/>
                <w:color w:val="auto"/>
                <w:kern w:val="0"/>
                <w:sz w:val="24"/>
                <w:highlight w:val="none"/>
              </w:rPr>
            </w:pPr>
            <w:r>
              <w:rPr>
                <w:rFonts w:ascii="宋体" w:hAnsi="宋体" w:cs="宋体"/>
                <w:color w:val="auto"/>
                <w:kern w:val="0"/>
                <w:sz w:val="24"/>
                <w:highlight w:val="none"/>
              </w:rPr>
              <w:t>地 址：</w:t>
            </w:r>
          </w:p>
        </w:tc>
      </w:tr>
      <w:tr w14:paraId="30B848DE">
        <w:tblPrEx>
          <w:tblCellMar>
            <w:top w:w="0" w:type="dxa"/>
            <w:left w:w="0" w:type="dxa"/>
            <w:bottom w:w="0" w:type="dxa"/>
            <w:right w:w="0" w:type="dxa"/>
          </w:tblCellMar>
        </w:tblPrEx>
        <w:trPr>
          <w:trHeight w:val="510" w:hRule="atLeast"/>
          <w:tblCellSpacing w:w="0" w:type="dxa"/>
          <w:jc w:val="center"/>
        </w:trPr>
        <w:tc>
          <w:tcPr>
            <w:tcW w:w="1581" w:type="dxa"/>
            <w:vAlign w:val="center"/>
          </w:tcPr>
          <w:p w14:paraId="61A7D3A9">
            <w:pPr>
              <w:widowControl/>
              <w:spacing w:line="520" w:lineRule="exact"/>
              <w:jc w:val="left"/>
              <w:rPr>
                <w:rFonts w:ascii="宋体" w:hAnsi="宋体" w:cs="宋体"/>
                <w:color w:val="auto"/>
                <w:kern w:val="0"/>
                <w:sz w:val="24"/>
                <w:highlight w:val="none"/>
              </w:rPr>
            </w:pPr>
          </w:p>
        </w:tc>
        <w:tc>
          <w:tcPr>
            <w:tcW w:w="7717" w:type="dxa"/>
            <w:vAlign w:val="center"/>
          </w:tcPr>
          <w:p w14:paraId="32C5AEAA">
            <w:pPr>
              <w:widowControl/>
              <w:spacing w:line="520" w:lineRule="exact"/>
              <w:jc w:val="left"/>
              <w:rPr>
                <w:rFonts w:ascii="宋体" w:hAnsi="宋体" w:cs="宋体"/>
                <w:color w:val="auto"/>
                <w:kern w:val="0"/>
                <w:sz w:val="24"/>
                <w:highlight w:val="none"/>
              </w:rPr>
            </w:pPr>
            <w:r>
              <w:rPr>
                <w:rFonts w:ascii="宋体" w:hAnsi="宋体" w:cs="宋体"/>
                <w:color w:val="auto"/>
                <w:kern w:val="0"/>
                <w:sz w:val="24"/>
                <w:highlight w:val="none"/>
              </w:rPr>
              <w:t>邮 编：</w:t>
            </w:r>
          </w:p>
        </w:tc>
      </w:tr>
      <w:tr w14:paraId="729D507F">
        <w:tblPrEx>
          <w:tblCellMar>
            <w:top w:w="0" w:type="dxa"/>
            <w:left w:w="0" w:type="dxa"/>
            <w:bottom w:w="0" w:type="dxa"/>
            <w:right w:w="0" w:type="dxa"/>
          </w:tblCellMar>
        </w:tblPrEx>
        <w:trPr>
          <w:trHeight w:val="510" w:hRule="atLeast"/>
          <w:tblCellSpacing w:w="0" w:type="dxa"/>
          <w:jc w:val="center"/>
        </w:trPr>
        <w:tc>
          <w:tcPr>
            <w:tcW w:w="1581" w:type="dxa"/>
            <w:vAlign w:val="center"/>
          </w:tcPr>
          <w:p w14:paraId="4EA9709C">
            <w:pPr>
              <w:widowControl/>
              <w:spacing w:line="520" w:lineRule="exact"/>
              <w:jc w:val="left"/>
              <w:rPr>
                <w:rFonts w:ascii="宋体" w:hAnsi="宋体" w:cs="宋体"/>
                <w:color w:val="auto"/>
                <w:kern w:val="0"/>
                <w:sz w:val="24"/>
                <w:highlight w:val="none"/>
              </w:rPr>
            </w:pPr>
          </w:p>
        </w:tc>
        <w:tc>
          <w:tcPr>
            <w:tcW w:w="7717" w:type="dxa"/>
            <w:vAlign w:val="center"/>
          </w:tcPr>
          <w:p w14:paraId="1D1BFE8D">
            <w:pPr>
              <w:widowControl/>
              <w:spacing w:line="520" w:lineRule="exact"/>
              <w:jc w:val="left"/>
              <w:rPr>
                <w:rFonts w:ascii="宋体" w:hAnsi="宋体" w:cs="宋体"/>
                <w:color w:val="auto"/>
                <w:kern w:val="0"/>
                <w:sz w:val="24"/>
                <w:highlight w:val="none"/>
              </w:rPr>
            </w:pPr>
            <w:r>
              <w:rPr>
                <w:rFonts w:ascii="宋体" w:hAnsi="宋体" w:cs="宋体"/>
                <w:color w:val="auto"/>
                <w:kern w:val="0"/>
                <w:sz w:val="24"/>
                <w:highlight w:val="none"/>
              </w:rPr>
              <w:t>法定代表人（公司负责人）或委托代理人：</w:t>
            </w:r>
          </w:p>
        </w:tc>
      </w:tr>
      <w:tr w14:paraId="7E76E50B">
        <w:tblPrEx>
          <w:tblCellMar>
            <w:top w:w="0" w:type="dxa"/>
            <w:left w:w="0" w:type="dxa"/>
            <w:bottom w:w="0" w:type="dxa"/>
            <w:right w:w="0" w:type="dxa"/>
          </w:tblCellMar>
        </w:tblPrEx>
        <w:trPr>
          <w:trHeight w:val="510" w:hRule="atLeast"/>
          <w:tblCellSpacing w:w="0" w:type="dxa"/>
          <w:jc w:val="center"/>
        </w:trPr>
        <w:tc>
          <w:tcPr>
            <w:tcW w:w="1581" w:type="dxa"/>
            <w:vAlign w:val="center"/>
          </w:tcPr>
          <w:p w14:paraId="3DDC2AD5">
            <w:pPr>
              <w:widowControl/>
              <w:spacing w:line="520" w:lineRule="exact"/>
              <w:jc w:val="left"/>
              <w:rPr>
                <w:rFonts w:ascii="宋体" w:hAnsi="宋体" w:cs="宋体"/>
                <w:color w:val="auto"/>
                <w:kern w:val="0"/>
                <w:sz w:val="24"/>
                <w:highlight w:val="none"/>
              </w:rPr>
            </w:pPr>
          </w:p>
        </w:tc>
        <w:tc>
          <w:tcPr>
            <w:tcW w:w="7717" w:type="dxa"/>
            <w:vAlign w:val="center"/>
          </w:tcPr>
          <w:p w14:paraId="636AD35D">
            <w:pPr>
              <w:widowControl/>
              <w:spacing w:line="520" w:lineRule="exact"/>
              <w:jc w:val="left"/>
              <w:rPr>
                <w:rFonts w:ascii="宋体" w:hAnsi="宋体" w:cs="宋体"/>
                <w:color w:val="auto"/>
                <w:kern w:val="0"/>
                <w:sz w:val="24"/>
                <w:highlight w:val="none"/>
              </w:rPr>
            </w:pPr>
            <w:r>
              <w:rPr>
                <w:rFonts w:ascii="宋体" w:hAnsi="宋体" w:cs="宋体"/>
                <w:color w:val="auto"/>
                <w:kern w:val="0"/>
                <w:sz w:val="24"/>
                <w:highlight w:val="none"/>
              </w:rPr>
              <w:t>项目（技术）负责人：</w:t>
            </w:r>
          </w:p>
        </w:tc>
      </w:tr>
      <w:tr w14:paraId="74FE5C18">
        <w:tblPrEx>
          <w:tblCellMar>
            <w:top w:w="0" w:type="dxa"/>
            <w:left w:w="0" w:type="dxa"/>
            <w:bottom w:w="0" w:type="dxa"/>
            <w:right w:w="0" w:type="dxa"/>
          </w:tblCellMar>
        </w:tblPrEx>
        <w:trPr>
          <w:trHeight w:val="510" w:hRule="atLeast"/>
          <w:tblCellSpacing w:w="0" w:type="dxa"/>
          <w:jc w:val="center"/>
        </w:trPr>
        <w:tc>
          <w:tcPr>
            <w:tcW w:w="1581" w:type="dxa"/>
            <w:vAlign w:val="center"/>
          </w:tcPr>
          <w:p w14:paraId="2B56A8C1">
            <w:pPr>
              <w:widowControl/>
              <w:spacing w:line="520" w:lineRule="exact"/>
              <w:jc w:val="left"/>
              <w:rPr>
                <w:rFonts w:ascii="宋体" w:hAnsi="宋体" w:cs="宋体"/>
                <w:color w:val="auto"/>
                <w:kern w:val="0"/>
                <w:sz w:val="24"/>
                <w:highlight w:val="none"/>
              </w:rPr>
            </w:pPr>
          </w:p>
        </w:tc>
        <w:tc>
          <w:tcPr>
            <w:tcW w:w="7717" w:type="dxa"/>
            <w:vAlign w:val="center"/>
          </w:tcPr>
          <w:p w14:paraId="578A5D5B">
            <w:pPr>
              <w:widowControl/>
              <w:spacing w:line="520" w:lineRule="exact"/>
              <w:jc w:val="left"/>
              <w:rPr>
                <w:rFonts w:ascii="宋体" w:hAnsi="宋体" w:cs="宋体"/>
                <w:color w:val="auto"/>
                <w:kern w:val="0"/>
                <w:sz w:val="24"/>
                <w:highlight w:val="none"/>
              </w:rPr>
            </w:pPr>
            <w:r>
              <w:rPr>
                <w:rFonts w:ascii="宋体" w:hAnsi="宋体" w:cs="宋体"/>
                <w:color w:val="auto"/>
                <w:kern w:val="0"/>
                <w:sz w:val="24"/>
                <w:highlight w:val="none"/>
              </w:rPr>
              <w:t>电 话：</w:t>
            </w:r>
          </w:p>
        </w:tc>
      </w:tr>
      <w:tr w14:paraId="56FA26B0">
        <w:tblPrEx>
          <w:tblCellMar>
            <w:top w:w="0" w:type="dxa"/>
            <w:left w:w="0" w:type="dxa"/>
            <w:bottom w:w="0" w:type="dxa"/>
            <w:right w:w="0" w:type="dxa"/>
          </w:tblCellMar>
        </w:tblPrEx>
        <w:trPr>
          <w:trHeight w:val="510" w:hRule="atLeast"/>
          <w:tblCellSpacing w:w="0" w:type="dxa"/>
          <w:jc w:val="center"/>
        </w:trPr>
        <w:tc>
          <w:tcPr>
            <w:tcW w:w="1581" w:type="dxa"/>
            <w:vAlign w:val="center"/>
          </w:tcPr>
          <w:p w14:paraId="23C061CD">
            <w:pPr>
              <w:widowControl/>
              <w:spacing w:line="520" w:lineRule="exact"/>
              <w:jc w:val="left"/>
              <w:rPr>
                <w:rFonts w:ascii="宋体" w:hAnsi="宋体" w:cs="宋体"/>
                <w:color w:val="auto"/>
                <w:kern w:val="0"/>
                <w:sz w:val="24"/>
                <w:highlight w:val="none"/>
              </w:rPr>
            </w:pPr>
          </w:p>
        </w:tc>
        <w:tc>
          <w:tcPr>
            <w:tcW w:w="7717" w:type="dxa"/>
            <w:vAlign w:val="center"/>
          </w:tcPr>
          <w:p w14:paraId="60C7E529">
            <w:pPr>
              <w:widowControl/>
              <w:spacing w:line="520" w:lineRule="exact"/>
              <w:jc w:val="left"/>
              <w:rPr>
                <w:rFonts w:ascii="宋体" w:hAnsi="宋体" w:cs="宋体"/>
                <w:color w:val="auto"/>
                <w:kern w:val="0"/>
                <w:sz w:val="24"/>
                <w:highlight w:val="none"/>
              </w:rPr>
            </w:pPr>
            <w:r>
              <w:rPr>
                <w:rFonts w:ascii="宋体" w:hAnsi="宋体" w:cs="宋体"/>
                <w:color w:val="auto"/>
                <w:kern w:val="0"/>
                <w:sz w:val="24"/>
                <w:highlight w:val="none"/>
              </w:rPr>
              <w:t>签订日期：</w:t>
            </w:r>
          </w:p>
        </w:tc>
      </w:tr>
      <w:tr w14:paraId="08D4AC88">
        <w:tblPrEx>
          <w:tblCellMar>
            <w:top w:w="0" w:type="dxa"/>
            <w:left w:w="0" w:type="dxa"/>
            <w:bottom w:w="0" w:type="dxa"/>
            <w:right w:w="0" w:type="dxa"/>
          </w:tblCellMar>
        </w:tblPrEx>
        <w:trPr>
          <w:trHeight w:val="395" w:hRule="atLeast"/>
          <w:tblCellSpacing w:w="0" w:type="dxa"/>
          <w:jc w:val="center"/>
        </w:trPr>
        <w:tc>
          <w:tcPr>
            <w:tcW w:w="9298" w:type="dxa"/>
            <w:gridSpan w:val="2"/>
            <w:vAlign w:val="center"/>
          </w:tcPr>
          <w:p w14:paraId="38A69517">
            <w:pPr>
              <w:widowControl/>
              <w:spacing w:line="520" w:lineRule="exact"/>
              <w:jc w:val="left"/>
              <w:rPr>
                <w:rFonts w:ascii="宋体" w:hAnsi="宋体" w:cs="宋体"/>
                <w:color w:val="auto"/>
                <w:kern w:val="0"/>
                <w:sz w:val="24"/>
                <w:highlight w:val="none"/>
              </w:rPr>
            </w:pPr>
            <w:r>
              <w:rPr>
                <w:rFonts w:ascii="宋体" w:hAnsi="宋体" w:cs="宋体"/>
                <w:b/>
                <w:bCs/>
                <w:color w:val="auto"/>
                <w:kern w:val="0"/>
                <w:sz w:val="24"/>
                <w:highlight w:val="none"/>
              </w:rPr>
              <w:t>乙方（</w:t>
            </w:r>
            <w:r>
              <w:rPr>
                <w:rFonts w:hint="eastAsia" w:ascii="宋体" w:hAnsi="宋体" w:cs="宋体"/>
                <w:b/>
                <w:bCs/>
                <w:color w:val="auto"/>
                <w:kern w:val="0"/>
                <w:sz w:val="24"/>
                <w:highlight w:val="none"/>
              </w:rPr>
              <w:t>投标人</w:t>
            </w:r>
            <w:r>
              <w:rPr>
                <w:rFonts w:ascii="宋体" w:hAnsi="宋体" w:cs="宋体"/>
                <w:b/>
                <w:bCs/>
                <w:color w:val="auto"/>
                <w:kern w:val="0"/>
                <w:sz w:val="24"/>
                <w:highlight w:val="none"/>
              </w:rPr>
              <w:t>公章）名 称：</w:t>
            </w:r>
          </w:p>
        </w:tc>
      </w:tr>
      <w:tr w14:paraId="14D220C3">
        <w:tblPrEx>
          <w:tblCellMar>
            <w:top w:w="0" w:type="dxa"/>
            <w:left w:w="0" w:type="dxa"/>
            <w:bottom w:w="0" w:type="dxa"/>
            <w:right w:w="0" w:type="dxa"/>
          </w:tblCellMar>
        </w:tblPrEx>
        <w:trPr>
          <w:trHeight w:val="510" w:hRule="atLeast"/>
          <w:tblCellSpacing w:w="0" w:type="dxa"/>
          <w:jc w:val="center"/>
        </w:trPr>
        <w:tc>
          <w:tcPr>
            <w:tcW w:w="1581" w:type="dxa"/>
            <w:vAlign w:val="center"/>
          </w:tcPr>
          <w:p w14:paraId="51A86E8A">
            <w:pPr>
              <w:widowControl/>
              <w:spacing w:line="520" w:lineRule="exact"/>
              <w:jc w:val="left"/>
              <w:rPr>
                <w:rFonts w:ascii="宋体" w:hAnsi="宋体" w:cs="宋体"/>
                <w:color w:val="auto"/>
                <w:kern w:val="0"/>
                <w:sz w:val="24"/>
                <w:highlight w:val="none"/>
              </w:rPr>
            </w:pPr>
          </w:p>
        </w:tc>
        <w:tc>
          <w:tcPr>
            <w:tcW w:w="7717" w:type="dxa"/>
            <w:vAlign w:val="center"/>
          </w:tcPr>
          <w:p w14:paraId="40FCA1AB">
            <w:pPr>
              <w:widowControl/>
              <w:spacing w:line="520" w:lineRule="exact"/>
              <w:jc w:val="left"/>
              <w:rPr>
                <w:rFonts w:ascii="宋体" w:hAnsi="宋体" w:cs="宋体"/>
                <w:color w:val="auto"/>
                <w:kern w:val="0"/>
                <w:sz w:val="24"/>
                <w:highlight w:val="none"/>
              </w:rPr>
            </w:pPr>
            <w:r>
              <w:rPr>
                <w:rFonts w:ascii="宋体" w:hAnsi="宋体" w:cs="宋体"/>
                <w:color w:val="auto"/>
                <w:kern w:val="0"/>
                <w:sz w:val="24"/>
                <w:highlight w:val="none"/>
              </w:rPr>
              <w:t>地 址：</w:t>
            </w:r>
          </w:p>
        </w:tc>
      </w:tr>
      <w:tr w14:paraId="443FEE9C">
        <w:tblPrEx>
          <w:tblCellMar>
            <w:top w:w="0" w:type="dxa"/>
            <w:left w:w="0" w:type="dxa"/>
            <w:bottom w:w="0" w:type="dxa"/>
            <w:right w:w="0" w:type="dxa"/>
          </w:tblCellMar>
        </w:tblPrEx>
        <w:trPr>
          <w:trHeight w:val="510" w:hRule="atLeast"/>
          <w:tblCellSpacing w:w="0" w:type="dxa"/>
          <w:jc w:val="center"/>
        </w:trPr>
        <w:tc>
          <w:tcPr>
            <w:tcW w:w="1581" w:type="dxa"/>
            <w:vAlign w:val="center"/>
          </w:tcPr>
          <w:p w14:paraId="71A0A351">
            <w:pPr>
              <w:widowControl/>
              <w:spacing w:line="520" w:lineRule="exact"/>
              <w:jc w:val="left"/>
              <w:rPr>
                <w:rFonts w:ascii="宋体" w:hAnsi="宋体" w:cs="宋体"/>
                <w:color w:val="auto"/>
                <w:kern w:val="0"/>
                <w:sz w:val="24"/>
                <w:highlight w:val="none"/>
              </w:rPr>
            </w:pPr>
          </w:p>
        </w:tc>
        <w:tc>
          <w:tcPr>
            <w:tcW w:w="7717" w:type="dxa"/>
            <w:vAlign w:val="center"/>
          </w:tcPr>
          <w:p w14:paraId="48EEBE1A">
            <w:pPr>
              <w:widowControl/>
              <w:spacing w:line="520" w:lineRule="exact"/>
              <w:jc w:val="left"/>
              <w:rPr>
                <w:rFonts w:ascii="宋体" w:hAnsi="宋体" w:cs="宋体"/>
                <w:color w:val="auto"/>
                <w:kern w:val="0"/>
                <w:sz w:val="24"/>
                <w:highlight w:val="none"/>
              </w:rPr>
            </w:pPr>
            <w:r>
              <w:rPr>
                <w:rFonts w:ascii="宋体" w:hAnsi="宋体" w:cs="宋体"/>
                <w:color w:val="auto"/>
                <w:kern w:val="0"/>
                <w:sz w:val="24"/>
                <w:highlight w:val="none"/>
              </w:rPr>
              <w:t>邮 编：</w:t>
            </w:r>
          </w:p>
        </w:tc>
      </w:tr>
      <w:tr w14:paraId="11F67FE0">
        <w:tblPrEx>
          <w:tblCellMar>
            <w:top w:w="0" w:type="dxa"/>
            <w:left w:w="0" w:type="dxa"/>
            <w:bottom w:w="0" w:type="dxa"/>
            <w:right w:w="0" w:type="dxa"/>
          </w:tblCellMar>
        </w:tblPrEx>
        <w:trPr>
          <w:trHeight w:val="510" w:hRule="atLeast"/>
          <w:tblCellSpacing w:w="0" w:type="dxa"/>
          <w:jc w:val="center"/>
        </w:trPr>
        <w:tc>
          <w:tcPr>
            <w:tcW w:w="1581" w:type="dxa"/>
            <w:vAlign w:val="center"/>
          </w:tcPr>
          <w:p w14:paraId="30B570FF">
            <w:pPr>
              <w:widowControl/>
              <w:spacing w:line="520" w:lineRule="exact"/>
              <w:jc w:val="left"/>
              <w:rPr>
                <w:rFonts w:ascii="宋体" w:hAnsi="宋体" w:cs="宋体"/>
                <w:color w:val="auto"/>
                <w:kern w:val="0"/>
                <w:sz w:val="24"/>
                <w:highlight w:val="none"/>
              </w:rPr>
            </w:pPr>
          </w:p>
        </w:tc>
        <w:tc>
          <w:tcPr>
            <w:tcW w:w="7717" w:type="dxa"/>
            <w:vAlign w:val="center"/>
          </w:tcPr>
          <w:p w14:paraId="79C47541">
            <w:pPr>
              <w:widowControl/>
              <w:spacing w:line="520" w:lineRule="exact"/>
              <w:jc w:val="left"/>
              <w:rPr>
                <w:rFonts w:ascii="宋体" w:hAnsi="宋体" w:cs="宋体"/>
                <w:color w:val="auto"/>
                <w:kern w:val="0"/>
                <w:sz w:val="24"/>
                <w:highlight w:val="none"/>
              </w:rPr>
            </w:pPr>
            <w:r>
              <w:rPr>
                <w:rFonts w:ascii="宋体" w:hAnsi="宋体" w:cs="宋体"/>
                <w:color w:val="auto"/>
                <w:kern w:val="0"/>
                <w:sz w:val="24"/>
                <w:highlight w:val="none"/>
              </w:rPr>
              <w:t>法定代表人（公司负责人）或委托代理人：</w:t>
            </w:r>
          </w:p>
        </w:tc>
      </w:tr>
      <w:tr w14:paraId="55306BAE">
        <w:tblPrEx>
          <w:tblCellMar>
            <w:top w:w="0" w:type="dxa"/>
            <w:left w:w="0" w:type="dxa"/>
            <w:bottom w:w="0" w:type="dxa"/>
            <w:right w:w="0" w:type="dxa"/>
          </w:tblCellMar>
        </w:tblPrEx>
        <w:trPr>
          <w:trHeight w:val="510" w:hRule="atLeast"/>
          <w:tblCellSpacing w:w="0" w:type="dxa"/>
          <w:jc w:val="center"/>
        </w:trPr>
        <w:tc>
          <w:tcPr>
            <w:tcW w:w="1581" w:type="dxa"/>
            <w:vAlign w:val="center"/>
          </w:tcPr>
          <w:p w14:paraId="2D5BE44C">
            <w:pPr>
              <w:widowControl/>
              <w:spacing w:line="520" w:lineRule="exact"/>
              <w:jc w:val="left"/>
              <w:rPr>
                <w:rFonts w:ascii="宋体" w:hAnsi="宋体" w:cs="宋体"/>
                <w:color w:val="auto"/>
                <w:kern w:val="0"/>
                <w:sz w:val="24"/>
                <w:highlight w:val="none"/>
              </w:rPr>
            </w:pPr>
          </w:p>
        </w:tc>
        <w:tc>
          <w:tcPr>
            <w:tcW w:w="7717" w:type="dxa"/>
            <w:vAlign w:val="center"/>
          </w:tcPr>
          <w:p w14:paraId="3B9B4FC1">
            <w:pPr>
              <w:widowControl/>
              <w:spacing w:line="520" w:lineRule="exact"/>
              <w:jc w:val="left"/>
              <w:rPr>
                <w:rFonts w:ascii="宋体" w:hAnsi="宋体" w:cs="宋体"/>
                <w:color w:val="auto"/>
                <w:kern w:val="0"/>
                <w:sz w:val="24"/>
                <w:highlight w:val="none"/>
              </w:rPr>
            </w:pPr>
            <w:r>
              <w:rPr>
                <w:rFonts w:ascii="宋体" w:hAnsi="宋体" w:cs="宋体"/>
                <w:color w:val="auto"/>
                <w:kern w:val="0"/>
                <w:sz w:val="24"/>
                <w:highlight w:val="none"/>
              </w:rPr>
              <w:t>经办人：</w:t>
            </w:r>
          </w:p>
        </w:tc>
      </w:tr>
      <w:tr w14:paraId="71D11AF3">
        <w:tblPrEx>
          <w:tblCellMar>
            <w:top w:w="0" w:type="dxa"/>
            <w:left w:w="0" w:type="dxa"/>
            <w:bottom w:w="0" w:type="dxa"/>
            <w:right w:w="0" w:type="dxa"/>
          </w:tblCellMar>
        </w:tblPrEx>
        <w:trPr>
          <w:trHeight w:val="510" w:hRule="atLeast"/>
          <w:tblCellSpacing w:w="0" w:type="dxa"/>
          <w:jc w:val="center"/>
        </w:trPr>
        <w:tc>
          <w:tcPr>
            <w:tcW w:w="1581" w:type="dxa"/>
            <w:vAlign w:val="center"/>
          </w:tcPr>
          <w:p w14:paraId="7809DD86">
            <w:pPr>
              <w:widowControl/>
              <w:spacing w:line="520" w:lineRule="exact"/>
              <w:jc w:val="left"/>
              <w:rPr>
                <w:rFonts w:ascii="宋体" w:hAnsi="宋体" w:cs="宋体"/>
                <w:color w:val="auto"/>
                <w:kern w:val="0"/>
                <w:sz w:val="24"/>
                <w:highlight w:val="none"/>
              </w:rPr>
            </w:pPr>
          </w:p>
        </w:tc>
        <w:tc>
          <w:tcPr>
            <w:tcW w:w="7717" w:type="dxa"/>
            <w:vAlign w:val="center"/>
          </w:tcPr>
          <w:p w14:paraId="187F2E61">
            <w:pPr>
              <w:widowControl/>
              <w:spacing w:line="520" w:lineRule="exact"/>
              <w:jc w:val="left"/>
              <w:rPr>
                <w:rFonts w:ascii="宋体" w:hAnsi="宋体" w:cs="宋体"/>
                <w:color w:val="auto"/>
                <w:kern w:val="0"/>
                <w:sz w:val="24"/>
                <w:highlight w:val="none"/>
              </w:rPr>
            </w:pPr>
            <w:r>
              <w:rPr>
                <w:rFonts w:ascii="宋体" w:hAnsi="宋体" w:cs="宋体"/>
                <w:color w:val="auto"/>
                <w:kern w:val="0"/>
                <w:sz w:val="24"/>
                <w:highlight w:val="none"/>
              </w:rPr>
              <w:t>电 话：</w:t>
            </w:r>
          </w:p>
        </w:tc>
      </w:tr>
      <w:tr w14:paraId="15DD7730">
        <w:tblPrEx>
          <w:tblCellMar>
            <w:top w:w="0" w:type="dxa"/>
            <w:left w:w="0" w:type="dxa"/>
            <w:bottom w:w="0" w:type="dxa"/>
            <w:right w:w="0" w:type="dxa"/>
          </w:tblCellMar>
        </w:tblPrEx>
        <w:trPr>
          <w:trHeight w:val="510" w:hRule="atLeast"/>
          <w:tblCellSpacing w:w="0" w:type="dxa"/>
          <w:jc w:val="center"/>
        </w:trPr>
        <w:tc>
          <w:tcPr>
            <w:tcW w:w="1581" w:type="dxa"/>
            <w:vAlign w:val="center"/>
          </w:tcPr>
          <w:p w14:paraId="109B15E9">
            <w:pPr>
              <w:widowControl/>
              <w:spacing w:line="520" w:lineRule="exact"/>
              <w:jc w:val="left"/>
              <w:rPr>
                <w:rFonts w:ascii="宋体" w:hAnsi="宋体" w:cs="宋体"/>
                <w:color w:val="auto"/>
                <w:kern w:val="0"/>
                <w:sz w:val="24"/>
                <w:highlight w:val="none"/>
              </w:rPr>
            </w:pPr>
          </w:p>
        </w:tc>
        <w:tc>
          <w:tcPr>
            <w:tcW w:w="7717" w:type="dxa"/>
            <w:vAlign w:val="center"/>
          </w:tcPr>
          <w:p w14:paraId="60781565">
            <w:pPr>
              <w:widowControl/>
              <w:spacing w:line="520" w:lineRule="exact"/>
              <w:jc w:val="left"/>
              <w:rPr>
                <w:rFonts w:ascii="宋体" w:hAnsi="宋体" w:cs="宋体"/>
                <w:color w:val="auto"/>
                <w:kern w:val="0"/>
                <w:sz w:val="24"/>
                <w:highlight w:val="none"/>
              </w:rPr>
            </w:pPr>
            <w:r>
              <w:rPr>
                <w:rFonts w:ascii="宋体" w:hAnsi="宋体" w:cs="宋体"/>
                <w:color w:val="auto"/>
                <w:kern w:val="0"/>
                <w:sz w:val="24"/>
                <w:highlight w:val="none"/>
              </w:rPr>
              <w:t>签订日期：</w:t>
            </w:r>
          </w:p>
        </w:tc>
      </w:tr>
    </w:tbl>
    <w:p w14:paraId="28A3628E">
      <w:pPr>
        <w:spacing w:line="480" w:lineRule="exact"/>
        <w:ind w:firstLine="640" w:firstLineChars="200"/>
        <w:rPr>
          <w:rFonts w:ascii="Times New Roman" w:hAnsi="Times New Roman"/>
          <w:color w:val="auto"/>
          <w:kern w:val="0"/>
          <w:sz w:val="32"/>
          <w:szCs w:val="32"/>
          <w:highlight w:val="none"/>
        </w:rPr>
      </w:pPr>
    </w:p>
    <w:p w14:paraId="1F6CDFBB">
      <w:pPr>
        <w:spacing w:line="480" w:lineRule="exact"/>
        <w:ind w:firstLine="640" w:firstLineChars="200"/>
        <w:rPr>
          <w:rFonts w:ascii="Times New Roman" w:hAnsi="Times New Roman"/>
          <w:color w:val="auto"/>
          <w:kern w:val="0"/>
          <w:sz w:val="32"/>
          <w:szCs w:val="32"/>
          <w:highlight w:val="none"/>
        </w:rPr>
        <w:sectPr>
          <w:footerReference r:id="rId9" w:type="default"/>
          <w:footerReference r:id="rId10" w:type="even"/>
          <w:pgSz w:w="11906" w:h="16838"/>
          <w:pgMar w:top="1587" w:right="1417" w:bottom="1417" w:left="1587" w:header="851" w:footer="992" w:gutter="0"/>
          <w:pgNumType w:fmt="decimal" w:chapStyle="1"/>
          <w:cols w:space="720" w:num="1"/>
          <w:rtlGutter w:val="0"/>
          <w:docGrid w:type="lines" w:linePitch="312" w:charSpace="0"/>
        </w:sectPr>
      </w:pPr>
    </w:p>
    <w:p w14:paraId="7A51A8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sz w:val="24"/>
          <w:szCs w:val="24"/>
        </w:rPr>
        <w:t>甲方：西南林业大学</w:t>
      </w:r>
    </w:p>
    <w:p w14:paraId="5012C6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u w:val="single"/>
        </w:rPr>
      </w:pPr>
      <w:r>
        <w:rPr>
          <w:rFonts w:hint="eastAsia" w:ascii="宋体" w:hAnsi="宋体" w:eastAsia="宋体" w:cs="宋体"/>
          <w:b/>
          <w:sz w:val="24"/>
          <w:szCs w:val="24"/>
        </w:rPr>
        <w:t>乙方：</w:t>
      </w:r>
    </w:p>
    <w:p w14:paraId="222EA9F2">
      <w:pPr>
        <w:keepNext w:val="0"/>
        <w:keepLines w:val="0"/>
        <w:pageBreakBefore w:val="0"/>
        <w:widowControl w:val="0"/>
        <w:kinsoku/>
        <w:wordWrap/>
        <w:overflowPunct/>
        <w:topLinePunct w:val="0"/>
        <w:autoSpaceDE/>
        <w:autoSpaceDN/>
        <w:bidi w:val="0"/>
        <w:adjustRightInd/>
        <w:snapToGrid/>
        <w:spacing w:line="360" w:lineRule="auto"/>
        <w:ind w:firstLine="540" w:firstLineChars="225"/>
        <w:textAlignment w:val="auto"/>
        <w:rPr>
          <w:rFonts w:hint="eastAsia" w:ascii="宋体" w:hAnsi="宋体" w:eastAsia="宋体" w:cs="宋体"/>
          <w:sz w:val="24"/>
          <w:szCs w:val="24"/>
        </w:rPr>
      </w:pPr>
      <w:r>
        <w:rPr>
          <w:rFonts w:hint="eastAsia" w:ascii="宋体" w:hAnsi="宋体" w:eastAsia="宋体" w:cs="宋体"/>
          <w:sz w:val="24"/>
          <w:szCs w:val="24"/>
        </w:rPr>
        <w:t xml:space="preserve">甲乙双方根据招标编号为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u w:val="single"/>
        </w:rPr>
        <w:t>西南林业大学工会2025至2027年教职工健康体检服务（第一年</w:t>
      </w:r>
      <w:r>
        <w:rPr>
          <w:rFonts w:hint="eastAsia" w:ascii="宋体" w:hAnsi="宋体" w:eastAsia="宋体" w:cs="宋体"/>
          <w:sz w:val="24"/>
          <w:szCs w:val="24"/>
        </w:rPr>
        <w:t>）公开招标采购结果，经双方协定达成一致，签订以下内容：</w:t>
      </w:r>
    </w:p>
    <w:p w14:paraId="65FBD3C4">
      <w:pPr>
        <w:numPr>
          <w:ilvl w:val="0"/>
          <w:numId w:val="8"/>
        </w:numPr>
        <w:spacing w:line="360" w:lineRule="auto"/>
        <w:jc w:val="left"/>
        <w:rPr>
          <w:rFonts w:hint="eastAsia" w:ascii="宋体" w:hAnsi="宋体" w:cs="宋体"/>
          <w:b/>
          <w:sz w:val="24"/>
          <w:szCs w:val="24"/>
        </w:rPr>
      </w:pPr>
      <w:r>
        <w:rPr>
          <w:rFonts w:hint="eastAsia" w:ascii="宋体" w:hAnsi="宋体" w:cs="宋体"/>
          <w:b/>
          <w:sz w:val="24"/>
          <w:szCs w:val="24"/>
        </w:rPr>
        <w:t>服务内容</w:t>
      </w:r>
    </w:p>
    <w:tbl>
      <w:tblPr>
        <w:tblStyle w:val="44"/>
        <w:tblW w:w="8974" w:type="dxa"/>
        <w:jc w:val="center"/>
        <w:tblLayout w:type="fixed"/>
        <w:tblCellMar>
          <w:top w:w="0" w:type="dxa"/>
          <w:left w:w="108" w:type="dxa"/>
          <w:bottom w:w="0" w:type="dxa"/>
          <w:right w:w="108" w:type="dxa"/>
        </w:tblCellMar>
      </w:tblPr>
      <w:tblGrid>
        <w:gridCol w:w="1069"/>
        <w:gridCol w:w="2900"/>
        <w:gridCol w:w="2835"/>
        <w:gridCol w:w="430"/>
        <w:gridCol w:w="855"/>
        <w:gridCol w:w="885"/>
      </w:tblGrid>
      <w:tr w14:paraId="62563D7A">
        <w:tblPrEx>
          <w:tblCellMar>
            <w:top w:w="0" w:type="dxa"/>
            <w:left w:w="108" w:type="dxa"/>
            <w:bottom w:w="0" w:type="dxa"/>
            <w:right w:w="108" w:type="dxa"/>
          </w:tblCellMar>
        </w:tblPrEx>
        <w:trPr>
          <w:trHeight w:val="402" w:hRule="atLeast"/>
          <w:jc w:val="center"/>
        </w:trPr>
        <w:tc>
          <w:tcPr>
            <w:tcW w:w="8974" w:type="dxa"/>
            <w:gridSpan w:val="6"/>
            <w:tcBorders>
              <w:top w:val="nil"/>
              <w:left w:val="nil"/>
              <w:bottom w:val="nil"/>
              <w:right w:val="nil"/>
            </w:tcBorders>
            <w:shd w:val="clear" w:color="auto" w:fill="auto"/>
            <w:vAlign w:val="center"/>
          </w:tcPr>
          <w:p w14:paraId="50F9B38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体检套餐</w:t>
            </w:r>
          </w:p>
        </w:tc>
      </w:tr>
      <w:tr w14:paraId="5E422759">
        <w:tblPrEx>
          <w:tblCellMar>
            <w:top w:w="0" w:type="dxa"/>
            <w:left w:w="108" w:type="dxa"/>
            <w:bottom w:w="0" w:type="dxa"/>
            <w:right w:w="108" w:type="dxa"/>
          </w:tblCellMar>
        </w:tblPrEx>
        <w:trPr>
          <w:trHeight w:val="283" w:hRule="atLeast"/>
          <w:jc w:val="center"/>
        </w:trPr>
        <w:tc>
          <w:tcPr>
            <w:tcW w:w="1069" w:type="dxa"/>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5C1C9FF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项目名称</w:t>
            </w:r>
          </w:p>
        </w:tc>
        <w:tc>
          <w:tcPr>
            <w:tcW w:w="2900" w:type="dxa"/>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7DDDFC2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项目内容</w:t>
            </w:r>
          </w:p>
        </w:tc>
        <w:tc>
          <w:tcPr>
            <w:tcW w:w="2835" w:type="dxa"/>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354F6F1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意义</w:t>
            </w:r>
          </w:p>
        </w:tc>
        <w:tc>
          <w:tcPr>
            <w:tcW w:w="2170" w:type="dxa"/>
            <w:gridSpan w:val="3"/>
            <w:tcBorders>
              <w:top w:val="single" w:color="auto" w:sz="4" w:space="0"/>
              <w:left w:val="nil"/>
              <w:bottom w:val="single" w:color="auto" w:sz="4" w:space="0"/>
              <w:right w:val="single" w:color="000000" w:sz="4" w:space="0"/>
            </w:tcBorders>
            <w:shd w:val="clear" w:color="000000" w:fill="FFFFFF"/>
            <w:noWrap/>
            <w:vAlign w:val="center"/>
          </w:tcPr>
          <w:p w14:paraId="7744E40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是否</w:t>
            </w:r>
            <w:r>
              <w:rPr>
                <w:rFonts w:hint="eastAsia" w:ascii="宋体" w:hAnsi="宋体" w:cs="宋体"/>
                <w:b/>
                <w:bCs/>
                <w:kern w:val="0"/>
                <w:sz w:val="21"/>
                <w:szCs w:val="21"/>
                <w:lang w:eastAsia="zh-CN"/>
              </w:rPr>
              <w:t>为体检项（√</w:t>
            </w:r>
            <w:r>
              <w:rPr>
                <w:rFonts w:hint="eastAsia" w:ascii="宋体" w:hAnsi="宋体" w:cs="宋体"/>
                <w:b/>
                <w:bCs/>
                <w:kern w:val="0"/>
                <w:sz w:val="21"/>
                <w:szCs w:val="21"/>
                <w:lang w:val="en-US" w:eastAsia="zh-CN"/>
              </w:rPr>
              <w:t>为检测项，</w:t>
            </w:r>
            <w:r>
              <w:rPr>
                <w:rFonts w:hint="eastAsia" w:ascii="宋体" w:hAnsi="宋体" w:eastAsia="宋体" w:cs="宋体"/>
                <w:b/>
                <w:bCs/>
                <w:kern w:val="0"/>
                <w:sz w:val="21"/>
                <w:szCs w:val="21"/>
              </w:rPr>
              <w:t>/</w:t>
            </w:r>
            <w:r>
              <w:rPr>
                <w:rFonts w:hint="eastAsia" w:ascii="宋体" w:hAnsi="宋体" w:cs="宋体"/>
                <w:b/>
                <w:bCs/>
                <w:kern w:val="0"/>
                <w:sz w:val="21"/>
                <w:szCs w:val="21"/>
                <w:lang w:val="en-US" w:eastAsia="zh-CN"/>
              </w:rPr>
              <w:t>为非检测项)</w:t>
            </w:r>
          </w:p>
        </w:tc>
      </w:tr>
      <w:tr w14:paraId="0275306F">
        <w:tblPrEx>
          <w:tblCellMar>
            <w:top w:w="0" w:type="dxa"/>
            <w:left w:w="108" w:type="dxa"/>
            <w:bottom w:w="0" w:type="dxa"/>
            <w:right w:w="108" w:type="dxa"/>
          </w:tblCellMar>
        </w:tblPrEx>
        <w:trPr>
          <w:trHeight w:val="283" w:hRule="atLeast"/>
          <w:jc w:val="center"/>
        </w:trPr>
        <w:tc>
          <w:tcPr>
            <w:tcW w:w="1069" w:type="dxa"/>
            <w:vMerge w:val="continue"/>
            <w:tcBorders>
              <w:top w:val="single" w:color="auto" w:sz="4" w:space="0"/>
              <w:left w:val="single" w:color="auto" w:sz="4" w:space="0"/>
              <w:bottom w:val="single" w:color="000000" w:sz="4" w:space="0"/>
              <w:right w:val="single" w:color="auto" w:sz="4" w:space="0"/>
            </w:tcBorders>
            <w:vAlign w:val="center"/>
          </w:tcPr>
          <w:p w14:paraId="418977C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1"/>
                <w:szCs w:val="21"/>
              </w:rPr>
            </w:pPr>
          </w:p>
        </w:tc>
        <w:tc>
          <w:tcPr>
            <w:tcW w:w="2900" w:type="dxa"/>
            <w:vMerge w:val="continue"/>
            <w:tcBorders>
              <w:top w:val="single" w:color="auto" w:sz="4" w:space="0"/>
              <w:left w:val="single" w:color="auto" w:sz="4" w:space="0"/>
              <w:bottom w:val="single" w:color="000000" w:sz="4" w:space="0"/>
              <w:right w:val="single" w:color="auto" w:sz="4" w:space="0"/>
            </w:tcBorders>
            <w:vAlign w:val="center"/>
          </w:tcPr>
          <w:p w14:paraId="54D5A0D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1"/>
                <w:szCs w:val="21"/>
              </w:rPr>
            </w:pPr>
          </w:p>
        </w:tc>
        <w:tc>
          <w:tcPr>
            <w:tcW w:w="2835" w:type="dxa"/>
            <w:vMerge w:val="continue"/>
            <w:tcBorders>
              <w:top w:val="single" w:color="auto" w:sz="4" w:space="0"/>
              <w:left w:val="single" w:color="auto" w:sz="4" w:space="0"/>
              <w:bottom w:val="single" w:color="000000" w:sz="4" w:space="0"/>
              <w:right w:val="single" w:color="auto" w:sz="4" w:space="0"/>
            </w:tcBorders>
            <w:vAlign w:val="center"/>
          </w:tcPr>
          <w:p w14:paraId="08BC53D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1"/>
                <w:szCs w:val="21"/>
              </w:rPr>
            </w:pPr>
          </w:p>
        </w:tc>
        <w:tc>
          <w:tcPr>
            <w:tcW w:w="430" w:type="dxa"/>
            <w:tcBorders>
              <w:top w:val="nil"/>
              <w:left w:val="nil"/>
              <w:bottom w:val="single" w:color="auto" w:sz="4" w:space="0"/>
              <w:right w:val="single" w:color="auto" w:sz="4" w:space="0"/>
            </w:tcBorders>
            <w:shd w:val="clear" w:color="000000" w:fill="FFFFFF"/>
            <w:vAlign w:val="center"/>
          </w:tcPr>
          <w:p w14:paraId="2F8583E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男</w:t>
            </w:r>
          </w:p>
        </w:tc>
        <w:tc>
          <w:tcPr>
            <w:tcW w:w="855" w:type="dxa"/>
            <w:tcBorders>
              <w:top w:val="nil"/>
              <w:left w:val="nil"/>
              <w:bottom w:val="single" w:color="auto" w:sz="4" w:space="0"/>
              <w:right w:val="single" w:color="auto" w:sz="4" w:space="0"/>
            </w:tcBorders>
            <w:shd w:val="clear" w:color="000000" w:fill="FFFFFF"/>
            <w:vAlign w:val="center"/>
          </w:tcPr>
          <w:p w14:paraId="13EBC4E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已婚女</w:t>
            </w:r>
          </w:p>
        </w:tc>
        <w:tc>
          <w:tcPr>
            <w:tcW w:w="885" w:type="dxa"/>
            <w:tcBorders>
              <w:top w:val="nil"/>
              <w:left w:val="nil"/>
              <w:bottom w:val="single" w:color="auto" w:sz="4" w:space="0"/>
              <w:right w:val="single" w:color="auto" w:sz="4" w:space="0"/>
            </w:tcBorders>
            <w:shd w:val="clear" w:color="000000" w:fill="FFFFFF"/>
            <w:vAlign w:val="center"/>
          </w:tcPr>
          <w:p w14:paraId="0291476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未婚女</w:t>
            </w:r>
          </w:p>
        </w:tc>
      </w:tr>
      <w:tr w14:paraId="10B37B11">
        <w:tblPrEx>
          <w:tblCellMar>
            <w:top w:w="0" w:type="dxa"/>
            <w:left w:w="108" w:type="dxa"/>
            <w:bottom w:w="0" w:type="dxa"/>
            <w:right w:w="108" w:type="dxa"/>
          </w:tblCellMar>
        </w:tblPrEx>
        <w:trPr>
          <w:trHeight w:val="670"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6014433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一般情况</w:t>
            </w:r>
          </w:p>
        </w:tc>
        <w:tc>
          <w:tcPr>
            <w:tcW w:w="2900" w:type="dxa"/>
            <w:tcBorders>
              <w:top w:val="nil"/>
              <w:left w:val="nil"/>
              <w:bottom w:val="single" w:color="auto" w:sz="4" w:space="0"/>
              <w:right w:val="single" w:color="auto" w:sz="4" w:space="0"/>
            </w:tcBorders>
            <w:shd w:val="clear" w:color="000000" w:fill="FFFFFF"/>
            <w:vAlign w:val="center"/>
          </w:tcPr>
          <w:p w14:paraId="048AB11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身高、体重、体重指数、血压</w:t>
            </w:r>
          </w:p>
        </w:tc>
        <w:tc>
          <w:tcPr>
            <w:tcW w:w="2835" w:type="dxa"/>
            <w:tcBorders>
              <w:top w:val="nil"/>
              <w:left w:val="nil"/>
              <w:bottom w:val="single" w:color="auto" w:sz="4" w:space="0"/>
              <w:right w:val="single" w:color="auto" w:sz="4" w:space="0"/>
            </w:tcBorders>
            <w:shd w:val="clear" w:color="000000" w:fill="FFFFFF"/>
            <w:vAlign w:val="center"/>
          </w:tcPr>
          <w:p w14:paraId="1F7E682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测量身高、体重、血压，了解身体的基本信息；计算体重指数，判断是否超重、肥胖、消瘦。</w:t>
            </w:r>
          </w:p>
        </w:tc>
        <w:tc>
          <w:tcPr>
            <w:tcW w:w="430" w:type="dxa"/>
            <w:tcBorders>
              <w:top w:val="nil"/>
              <w:left w:val="nil"/>
              <w:bottom w:val="single" w:color="auto" w:sz="4" w:space="0"/>
              <w:right w:val="single" w:color="auto" w:sz="4" w:space="0"/>
            </w:tcBorders>
            <w:shd w:val="clear" w:color="000000" w:fill="FFFFFF"/>
            <w:vAlign w:val="center"/>
          </w:tcPr>
          <w:p w14:paraId="323139CF">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65A2BAE7">
            <w:pPr>
              <w:keepNext w:val="0"/>
              <w:keepLines w:val="0"/>
              <w:pageBreakBefore w:val="0"/>
              <w:kinsoku/>
              <w:wordWrap/>
              <w:overflowPunct/>
              <w:topLinePunct w:val="0"/>
              <w:autoSpaceDE/>
              <w:autoSpaceDN/>
              <w:bidi w:val="0"/>
              <w:adjustRightInd/>
              <w:snapToGrid/>
              <w:spacing w:line="400" w:lineRule="exact"/>
              <w:ind w:firstLine="105" w:firstLineChars="50"/>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35D0A04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006DD30E">
        <w:tblPrEx>
          <w:tblCellMar>
            <w:top w:w="0" w:type="dxa"/>
            <w:left w:w="108" w:type="dxa"/>
            <w:bottom w:w="0" w:type="dxa"/>
            <w:right w:w="108" w:type="dxa"/>
          </w:tblCellMar>
        </w:tblPrEx>
        <w:trPr>
          <w:trHeight w:val="436" w:hRule="atLeast"/>
          <w:jc w:val="center"/>
        </w:trPr>
        <w:tc>
          <w:tcPr>
            <w:tcW w:w="3969" w:type="dxa"/>
            <w:gridSpan w:val="2"/>
            <w:tcBorders>
              <w:top w:val="single" w:color="auto" w:sz="4" w:space="0"/>
              <w:left w:val="single" w:color="auto" w:sz="4" w:space="0"/>
              <w:bottom w:val="single" w:color="auto" w:sz="4" w:space="0"/>
              <w:right w:val="single" w:color="000000" w:sz="4" w:space="0"/>
            </w:tcBorders>
            <w:shd w:val="clear" w:color="000000" w:fill="FFFFFF"/>
            <w:noWrap/>
            <w:vAlign w:val="center"/>
          </w:tcPr>
          <w:p w14:paraId="3CEBE70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一次性采血针、采血费</w:t>
            </w:r>
          </w:p>
        </w:tc>
        <w:tc>
          <w:tcPr>
            <w:tcW w:w="2835" w:type="dxa"/>
            <w:tcBorders>
              <w:top w:val="nil"/>
              <w:left w:val="nil"/>
              <w:bottom w:val="single" w:color="auto" w:sz="4" w:space="0"/>
              <w:right w:val="single" w:color="auto" w:sz="4" w:space="0"/>
            </w:tcBorders>
            <w:shd w:val="clear" w:color="000000" w:fill="FFFFFF"/>
            <w:vAlign w:val="center"/>
          </w:tcPr>
          <w:p w14:paraId="319A5D3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安全、方便、无菌、无交叉感染。</w:t>
            </w:r>
          </w:p>
        </w:tc>
        <w:tc>
          <w:tcPr>
            <w:tcW w:w="430" w:type="dxa"/>
            <w:tcBorders>
              <w:top w:val="nil"/>
              <w:left w:val="nil"/>
              <w:bottom w:val="single" w:color="auto" w:sz="4" w:space="0"/>
              <w:right w:val="single" w:color="auto" w:sz="4" w:space="0"/>
            </w:tcBorders>
            <w:shd w:val="clear" w:color="000000" w:fill="FFFFFF"/>
            <w:vAlign w:val="center"/>
          </w:tcPr>
          <w:p w14:paraId="333CFCA2">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743FE566">
            <w:pPr>
              <w:keepNext w:val="0"/>
              <w:keepLines w:val="0"/>
              <w:pageBreakBefore w:val="0"/>
              <w:kinsoku/>
              <w:wordWrap/>
              <w:overflowPunct/>
              <w:topLinePunct w:val="0"/>
              <w:autoSpaceDE/>
              <w:autoSpaceDN/>
              <w:bidi w:val="0"/>
              <w:adjustRightInd/>
              <w:snapToGrid/>
              <w:spacing w:line="400" w:lineRule="exact"/>
              <w:ind w:firstLine="105" w:firstLineChars="50"/>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49E1883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34CC1388">
        <w:tblPrEx>
          <w:tblCellMar>
            <w:top w:w="0" w:type="dxa"/>
            <w:left w:w="108" w:type="dxa"/>
            <w:bottom w:w="0" w:type="dxa"/>
            <w:right w:w="108" w:type="dxa"/>
          </w:tblCellMar>
        </w:tblPrEx>
        <w:trPr>
          <w:trHeight w:val="317" w:hRule="atLeast"/>
          <w:jc w:val="center"/>
        </w:trPr>
        <w:tc>
          <w:tcPr>
            <w:tcW w:w="3969" w:type="dxa"/>
            <w:gridSpan w:val="2"/>
            <w:tcBorders>
              <w:top w:val="single" w:color="auto" w:sz="4" w:space="0"/>
              <w:left w:val="single" w:color="auto" w:sz="4" w:space="0"/>
              <w:bottom w:val="single" w:color="auto" w:sz="4" w:space="0"/>
              <w:right w:val="single" w:color="000000" w:sz="4" w:space="0"/>
            </w:tcBorders>
            <w:shd w:val="clear" w:color="000000" w:fill="FFFFFF"/>
            <w:vAlign w:val="center"/>
          </w:tcPr>
          <w:p w14:paraId="1BD07CE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一次性负压真空采血黄头管</w:t>
            </w:r>
          </w:p>
        </w:tc>
        <w:tc>
          <w:tcPr>
            <w:tcW w:w="2835" w:type="dxa"/>
            <w:tcBorders>
              <w:top w:val="nil"/>
              <w:left w:val="nil"/>
              <w:bottom w:val="single" w:color="auto" w:sz="4" w:space="0"/>
              <w:right w:val="single" w:color="auto" w:sz="4" w:space="0"/>
            </w:tcBorders>
            <w:shd w:val="clear" w:color="000000" w:fill="FFFFFF"/>
            <w:vAlign w:val="center"/>
          </w:tcPr>
          <w:p w14:paraId="676D15B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eastAsia="zh-CN"/>
              </w:rPr>
              <w:t>安全、无菌、无交叉感染、符合体检质量要求</w:t>
            </w:r>
          </w:p>
        </w:tc>
        <w:tc>
          <w:tcPr>
            <w:tcW w:w="430" w:type="dxa"/>
            <w:tcBorders>
              <w:top w:val="nil"/>
              <w:left w:val="nil"/>
              <w:bottom w:val="single" w:color="auto" w:sz="4" w:space="0"/>
              <w:right w:val="single" w:color="auto" w:sz="4" w:space="0"/>
            </w:tcBorders>
            <w:shd w:val="clear" w:color="000000" w:fill="FFFFFF"/>
            <w:vAlign w:val="center"/>
          </w:tcPr>
          <w:p w14:paraId="11D2077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55" w:type="dxa"/>
            <w:tcBorders>
              <w:top w:val="nil"/>
              <w:left w:val="nil"/>
              <w:bottom w:val="single" w:color="auto" w:sz="4" w:space="0"/>
              <w:right w:val="single" w:color="auto" w:sz="4" w:space="0"/>
            </w:tcBorders>
            <w:shd w:val="clear" w:color="000000" w:fill="FFFFFF"/>
            <w:vAlign w:val="center"/>
          </w:tcPr>
          <w:p w14:paraId="0B53556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85" w:type="dxa"/>
            <w:tcBorders>
              <w:top w:val="nil"/>
              <w:left w:val="nil"/>
              <w:bottom w:val="single" w:color="auto" w:sz="4" w:space="0"/>
              <w:right w:val="single" w:color="auto" w:sz="4" w:space="0"/>
            </w:tcBorders>
            <w:shd w:val="clear" w:color="000000" w:fill="FFFFFF"/>
            <w:vAlign w:val="center"/>
          </w:tcPr>
          <w:p w14:paraId="19890B0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r>
      <w:tr w14:paraId="283E6933">
        <w:tblPrEx>
          <w:tblCellMar>
            <w:top w:w="0" w:type="dxa"/>
            <w:left w:w="108" w:type="dxa"/>
            <w:bottom w:w="0" w:type="dxa"/>
            <w:right w:w="108" w:type="dxa"/>
          </w:tblCellMar>
        </w:tblPrEx>
        <w:trPr>
          <w:trHeight w:val="357" w:hRule="atLeast"/>
          <w:jc w:val="center"/>
        </w:trPr>
        <w:tc>
          <w:tcPr>
            <w:tcW w:w="3969" w:type="dxa"/>
            <w:gridSpan w:val="2"/>
            <w:tcBorders>
              <w:top w:val="single" w:color="auto" w:sz="4" w:space="0"/>
              <w:left w:val="single" w:color="auto" w:sz="4" w:space="0"/>
              <w:bottom w:val="single" w:color="auto" w:sz="4" w:space="0"/>
              <w:right w:val="single" w:color="000000" w:sz="4" w:space="0"/>
            </w:tcBorders>
            <w:shd w:val="clear" w:color="000000" w:fill="FFFFFF"/>
            <w:vAlign w:val="center"/>
          </w:tcPr>
          <w:p w14:paraId="354DCD4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一次性负压真空采血紫头管</w:t>
            </w:r>
          </w:p>
        </w:tc>
        <w:tc>
          <w:tcPr>
            <w:tcW w:w="2835" w:type="dxa"/>
            <w:tcBorders>
              <w:top w:val="nil"/>
              <w:left w:val="nil"/>
              <w:bottom w:val="single" w:color="auto" w:sz="4" w:space="0"/>
              <w:right w:val="single" w:color="auto" w:sz="4" w:space="0"/>
            </w:tcBorders>
            <w:shd w:val="clear" w:color="000000" w:fill="FFFFFF"/>
            <w:vAlign w:val="center"/>
          </w:tcPr>
          <w:p w14:paraId="30A7175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eastAsia="zh-CN"/>
              </w:rPr>
              <w:t>安全、无菌、无交叉感染、符合体检质量要求</w:t>
            </w:r>
          </w:p>
        </w:tc>
        <w:tc>
          <w:tcPr>
            <w:tcW w:w="430" w:type="dxa"/>
            <w:tcBorders>
              <w:top w:val="nil"/>
              <w:left w:val="nil"/>
              <w:bottom w:val="single" w:color="auto" w:sz="4" w:space="0"/>
              <w:right w:val="single" w:color="auto" w:sz="4" w:space="0"/>
            </w:tcBorders>
            <w:shd w:val="clear" w:color="000000" w:fill="FFFFFF"/>
            <w:vAlign w:val="center"/>
          </w:tcPr>
          <w:p w14:paraId="18F69A1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55" w:type="dxa"/>
            <w:tcBorders>
              <w:top w:val="nil"/>
              <w:left w:val="nil"/>
              <w:bottom w:val="single" w:color="auto" w:sz="4" w:space="0"/>
              <w:right w:val="single" w:color="auto" w:sz="4" w:space="0"/>
            </w:tcBorders>
            <w:shd w:val="clear" w:color="000000" w:fill="FFFFFF"/>
            <w:vAlign w:val="center"/>
          </w:tcPr>
          <w:p w14:paraId="218A8A0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85" w:type="dxa"/>
            <w:tcBorders>
              <w:top w:val="nil"/>
              <w:left w:val="nil"/>
              <w:bottom w:val="single" w:color="auto" w:sz="4" w:space="0"/>
              <w:right w:val="single" w:color="auto" w:sz="4" w:space="0"/>
            </w:tcBorders>
            <w:shd w:val="clear" w:color="000000" w:fill="FFFFFF"/>
            <w:vAlign w:val="center"/>
          </w:tcPr>
          <w:p w14:paraId="4C624AD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r>
      <w:tr w14:paraId="76A6135E">
        <w:tblPrEx>
          <w:tblCellMar>
            <w:top w:w="0" w:type="dxa"/>
            <w:left w:w="108" w:type="dxa"/>
            <w:bottom w:w="0" w:type="dxa"/>
            <w:right w:w="108" w:type="dxa"/>
          </w:tblCellMar>
        </w:tblPrEx>
        <w:trPr>
          <w:trHeight w:val="357" w:hRule="atLeast"/>
          <w:jc w:val="center"/>
        </w:trPr>
        <w:tc>
          <w:tcPr>
            <w:tcW w:w="3969" w:type="dxa"/>
            <w:gridSpan w:val="2"/>
            <w:tcBorders>
              <w:top w:val="single" w:color="auto" w:sz="4" w:space="0"/>
              <w:left w:val="single" w:color="auto" w:sz="4" w:space="0"/>
              <w:bottom w:val="single" w:color="auto" w:sz="4" w:space="0"/>
              <w:right w:val="single" w:color="000000" w:sz="4" w:space="0"/>
            </w:tcBorders>
            <w:shd w:val="clear" w:color="000000" w:fill="FFFFFF"/>
            <w:vAlign w:val="center"/>
          </w:tcPr>
          <w:p w14:paraId="0A9F180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一次性负压真空采血绿头管</w:t>
            </w:r>
          </w:p>
        </w:tc>
        <w:tc>
          <w:tcPr>
            <w:tcW w:w="2835" w:type="dxa"/>
            <w:tcBorders>
              <w:top w:val="nil"/>
              <w:left w:val="nil"/>
              <w:bottom w:val="single" w:color="auto" w:sz="4" w:space="0"/>
              <w:right w:val="single" w:color="auto" w:sz="4" w:space="0"/>
            </w:tcBorders>
            <w:shd w:val="clear" w:color="000000" w:fill="FFFFFF"/>
            <w:vAlign w:val="center"/>
          </w:tcPr>
          <w:p w14:paraId="41A99C2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eastAsia="zh-CN"/>
              </w:rPr>
              <w:t>安全、无菌、无交叉感染、符合体检质量要求</w:t>
            </w:r>
          </w:p>
        </w:tc>
        <w:tc>
          <w:tcPr>
            <w:tcW w:w="430" w:type="dxa"/>
            <w:tcBorders>
              <w:top w:val="nil"/>
              <w:left w:val="nil"/>
              <w:bottom w:val="single" w:color="auto" w:sz="4" w:space="0"/>
              <w:right w:val="single" w:color="auto" w:sz="4" w:space="0"/>
            </w:tcBorders>
            <w:shd w:val="clear" w:color="000000" w:fill="FFFFFF"/>
            <w:vAlign w:val="center"/>
          </w:tcPr>
          <w:p w14:paraId="60C8463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55" w:type="dxa"/>
            <w:tcBorders>
              <w:top w:val="nil"/>
              <w:left w:val="nil"/>
              <w:bottom w:val="single" w:color="auto" w:sz="4" w:space="0"/>
              <w:right w:val="single" w:color="auto" w:sz="4" w:space="0"/>
            </w:tcBorders>
            <w:shd w:val="clear" w:color="000000" w:fill="FFFFFF"/>
            <w:vAlign w:val="center"/>
          </w:tcPr>
          <w:p w14:paraId="658D8AF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85" w:type="dxa"/>
            <w:tcBorders>
              <w:top w:val="nil"/>
              <w:left w:val="nil"/>
              <w:bottom w:val="single" w:color="auto" w:sz="4" w:space="0"/>
              <w:right w:val="single" w:color="auto" w:sz="4" w:space="0"/>
            </w:tcBorders>
            <w:shd w:val="clear" w:color="000000" w:fill="FFFFFF"/>
            <w:vAlign w:val="center"/>
          </w:tcPr>
          <w:p w14:paraId="386554F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r>
      <w:tr w14:paraId="741B392F">
        <w:tblPrEx>
          <w:tblCellMar>
            <w:top w:w="0" w:type="dxa"/>
            <w:left w:w="108" w:type="dxa"/>
            <w:bottom w:w="0" w:type="dxa"/>
            <w:right w:w="108" w:type="dxa"/>
          </w:tblCellMar>
        </w:tblPrEx>
        <w:trPr>
          <w:trHeight w:val="283" w:hRule="atLeast"/>
          <w:jc w:val="center"/>
        </w:trPr>
        <w:tc>
          <w:tcPr>
            <w:tcW w:w="1069" w:type="dxa"/>
            <w:vMerge w:val="restart"/>
            <w:tcBorders>
              <w:top w:val="nil"/>
              <w:left w:val="single" w:color="auto" w:sz="4" w:space="0"/>
              <w:bottom w:val="single" w:color="auto" w:sz="4" w:space="0"/>
              <w:right w:val="single" w:color="auto" w:sz="4" w:space="0"/>
            </w:tcBorders>
            <w:shd w:val="clear" w:color="000000" w:fill="FFFFFF"/>
            <w:vAlign w:val="center"/>
          </w:tcPr>
          <w:p w14:paraId="3BB91B9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血常规24项</w:t>
            </w:r>
          </w:p>
        </w:tc>
        <w:tc>
          <w:tcPr>
            <w:tcW w:w="2900" w:type="dxa"/>
            <w:tcBorders>
              <w:top w:val="nil"/>
              <w:left w:val="nil"/>
              <w:bottom w:val="single" w:color="auto" w:sz="4" w:space="0"/>
              <w:right w:val="single" w:color="auto" w:sz="4" w:space="0"/>
            </w:tcBorders>
            <w:shd w:val="clear" w:color="000000" w:fill="FFFFFF"/>
            <w:vAlign w:val="center"/>
          </w:tcPr>
          <w:p w14:paraId="2932689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白细胞数目（WBC）</w:t>
            </w:r>
          </w:p>
        </w:tc>
        <w:tc>
          <w:tcPr>
            <w:tcW w:w="2835" w:type="dxa"/>
            <w:vMerge w:val="restart"/>
            <w:tcBorders>
              <w:top w:val="nil"/>
              <w:left w:val="single" w:color="auto" w:sz="4" w:space="0"/>
              <w:bottom w:val="single" w:color="auto" w:sz="4" w:space="0"/>
              <w:right w:val="single" w:color="auto" w:sz="4" w:space="0"/>
            </w:tcBorders>
            <w:shd w:val="clear" w:color="000000" w:fill="FFFFFF"/>
            <w:vAlign w:val="center"/>
          </w:tcPr>
          <w:p w14:paraId="465024B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血液中有形成分分析，有无贫血、感染及白细胞减少、血小板减少及血液系统疾病。</w:t>
            </w:r>
          </w:p>
        </w:tc>
        <w:tc>
          <w:tcPr>
            <w:tcW w:w="430" w:type="dxa"/>
            <w:vMerge w:val="restart"/>
            <w:tcBorders>
              <w:top w:val="nil"/>
              <w:left w:val="single" w:color="auto" w:sz="4" w:space="0"/>
              <w:bottom w:val="single" w:color="auto" w:sz="4" w:space="0"/>
              <w:right w:val="single" w:color="auto" w:sz="4" w:space="0"/>
            </w:tcBorders>
            <w:shd w:val="clear" w:color="000000" w:fill="FFFFFF"/>
            <w:vAlign w:val="center"/>
          </w:tcPr>
          <w:p w14:paraId="01A41FE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vMerge w:val="restart"/>
            <w:tcBorders>
              <w:top w:val="nil"/>
              <w:left w:val="single" w:color="auto" w:sz="4" w:space="0"/>
              <w:bottom w:val="single" w:color="auto" w:sz="4" w:space="0"/>
              <w:right w:val="single" w:color="auto" w:sz="4" w:space="0"/>
            </w:tcBorders>
            <w:shd w:val="clear" w:color="000000" w:fill="FFFFFF"/>
            <w:vAlign w:val="center"/>
          </w:tcPr>
          <w:p w14:paraId="20D47D0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vMerge w:val="restart"/>
            <w:tcBorders>
              <w:top w:val="nil"/>
              <w:left w:val="single" w:color="auto" w:sz="4" w:space="0"/>
              <w:bottom w:val="single" w:color="auto" w:sz="4" w:space="0"/>
              <w:right w:val="single" w:color="auto" w:sz="4" w:space="0"/>
            </w:tcBorders>
            <w:shd w:val="clear" w:color="000000" w:fill="FFFFFF"/>
            <w:vAlign w:val="center"/>
          </w:tcPr>
          <w:p w14:paraId="74C38FB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32966F62">
        <w:tblPrEx>
          <w:tblCellMar>
            <w:top w:w="0" w:type="dxa"/>
            <w:left w:w="108" w:type="dxa"/>
            <w:bottom w:w="0" w:type="dxa"/>
            <w:right w:w="108" w:type="dxa"/>
          </w:tblCellMar>
        </w:tblPrEx>
        <w:trPr>
          <w:trHeight w:val="3131"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29CA26B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00B4386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中性细胞百分率（GRAN%）、中性细胞绝对值（GRAN）、淋巴细胞百分率（LYN%）、淋巴细胞绝对值（LYM）、红细胞计数（RBC）、血红蛋白量（HGB）、红细胞压积（HCT）、平均红细胞体积（MCV）、平均血红蛋白量（MCH）、平均血红蛋白浓度（MCHC）、红细胞分布宽度（CV）、红细胞分布宽度（SD）、单核细胞百分比、单核细胞绝对值、嗜碱细胞百分比、嗜碱细胞绝对值、嗜酸细胞百分比、嗜酸细胞绝对值</w:t>
            </w:r>
          </w:p>
        </w:tc>
        <w:tc>
          <w:tcPr>
            <w:tcW w:w="2835" w:type="dxa"/>
            <w:vMerge w:val="continue"/>
            <w:tcBorders>
              <w:top w:val="nil"/>
              <w:left w:val="single" w:color="auto" w:sz="4" w:space="0"/>
              <w:bottom w:val="single" w:color="auto" w:sz="4" w:space="0"/>
              <w:right w:val="single" w:color="auto" w:sz="4" w:space="0"/>
            </w:tcBorders>
            <w:vAlign w:val="center"/>
          </w:tcPr>
          <w:p w14:paraId="2CEE95F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430" w:type="dxa"/>
            <w:vMerge w:val="continue"/>
            <w:tcBorders>
              <w:top w:val="nil"/>
              <w:left w:val="single" w:color="auto" w:sz="4" w:space="0"/>
              <w:bottom w:val="single" w:color="auto" w:sz="4" w:space="0"/>
              <w:right w:val="single" w:color="auto" w:sz="4" w:space="0"/>
            </w:tcBorders>
            <w:vAlign w:val="center"/>
          </w:tcPr>
          <w:p w14:paraId="12AC526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619AD83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403F88F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615BD94D">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5A279B3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33F6E00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血小板数目（PLT）</w:t>
            </w:r>
          </w:p>
        </w:tc>
        <w:tc>
          <w:tcPr>
            <w:tcW w:w="2835" w:type="dxa"/>
            <w:vMerge w:val="continue"/>
            <w:tcBorders>
              <w:top w:val="nil"/>
              <w:left w:val="single" w:color="auto" w:sz="4" w:space="0"/>
              <w:bottom w:val="single" w:color="auto" w:sz="4" w:space="0"/>
              <w:right w:val="single" w:color="auto" w:sz="4" w:space="0"/>
            </w:tcBorders>
            <w:vAlign w:val="center"/>
          </w:tcPr>
          <w:p w14:paraId="2451AB7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430" w:type="dxa"/>
            <w:vMerge w:val="continue"/>
            <w:tcBorders>
              <w:top w:val="nil"/>
              <w:left w:val="single" w:color="auto" w:sz="4" w:space="0"/>
              <w:bottom w:val="single" w:color="auto" w:sz="4" w:space="0"/>
              <w:right w:val="single" w:color="auto" w:sz="4" w:space="0"/>
            </w:tcBorders>
            <w:vAlign w:val="center"/>
          </w:tcPr>
          <w:p w14:paraId="2E0C136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4755DA7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16C6B8F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146116CD">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0881842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2508A18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平均血小板体积（MPV）</w:t>
            </w:r>
          </w:p>
        </w:tc>
        <w:tc>
          <w:tcPr>
            <w:tcW w:w="2835" w:type="dxa"/>
            <w:vMerge w:val="continue"/>
            <w:tcBorders>
              <w:top w:val="nil"/>
              <w:left w:val="single" w:color="auto" w:sz="4" w:space="0"/>
              <w:bottom w:val="single" w:color="auto" w:sz="4" w:space="0"/>
              <w:right w:val="single" w:color="auto" w:sz="4" w:space="0"/>
            </w:tcBorders>
            <w:vAlign w:val="center"/>
          </w:tcPr>
          <w:p w14:paraId="32F9D9D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430" w:type="dxa"/>
            <w:vMerge w:val="continue"/>
            <w:tcBorders>
              <w:top w:val="nil"/>
              <w:left w:val="single" w:color="auto" w:sz="4" w:space="0"/>
              <w:bottom w:val="single" w:color="auto" w:sz="4" w:space="0"/>
              <w:right w:val="single" w:color="auto" w:sz="4" w:space="0"/>
            </w:tcBorders>
            <w:vAlign w:val="center"/>
          </w:tcPr>
          <w:p w14:paraId="443ED82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552A737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49CAE26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55969D5B">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0A2F4BE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026F46C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血小板分布宽度（PDW）</w:t>
            </w:r>
          </w:p>
        </w:tc>
        <w:tc>
          <w:tcPr>
            <w:tcW w:w="2835" w:type="dxa"/>
            <w:vMerge w:val="continue"/>
            <w:tcBorders>
              <w:top w:val="nil"/>
              <w:left w:val="single" w:color="auto" w:sz="4" w:space="0"/>
              <w:bottom w:val="single" w:color="auto" w:sz="4" w:space="0"/>
              <w:right w:val="single" w:color="auto" w:sz="4" w:space="0"/>
            </w:tcBorders>
            <w:vAlign w:val="center"/>
          </w:tcPr>
          <w:p w14:paraId="684B8CE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430" w:type="dxa"/>
            <w:vMerge w:val="continue"/>
            <w:tcBorders>
              <w:top w:val="nil"/>
              <w:left w:val="single" w:color="auto" w:sz="4" w:space="0"/>
              <w:bottom w:val="single" w:color="auto" w:sz="4" w:space="0"/>
              <w:right w:val="single" w:color="auto" w:sz="4" w:space="0"/>
            </w:tcBorders>
            <w:vAlign w:val="center"/>
          </w:tcPr>
          <w:p w14:paraId="02CB027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6034564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3306EB7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6F3520C9">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5846B4E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27F5DD7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血小板压积（PCT）</w:t>
            </w:r>
          </w:p>
        </w:tc>
        <w:tc>
          <w:tcPr>
            <w:tcW w:w="2835" w:type="dxa"/>
            <w:vMerge w:val="continue"/>
            <w:tcBorders>
              <w:top w:val="nil"/>
              <w:left w:val="single" w:color="auto" w:sz="4" w:space="0"/>
              <w:bottom w:val="single" w:color="auto" w:sz="4" w:space="0"/>
              <w:right w:val="single" w:color="auto" w:sz="4" w:space="0"/>
            </w:tcBorders>
            <w:vAlign w:val="center"/>
          </w:tcPr>
          <w:p w14:paraId="7B33C1C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430" w:type="dxa"/>
            <w:vMerge w:val="continue"/>
            <w:tcBorders>
              <w:top w:val="nil"/>
              <w:left w:val="single" w:color="auto" w:sz="4" w:space="0"/>
              <w:bottom w:val="single" w:color="auto" w:sz="4" w:space="0"/>
              <w:right w:val="single" w:color="auto" w:sz="4" w:space="0"/>
            </w:tcBorders>
            <w:vAlign w:val="center"/>
          </w:tcPr>
          <w:p w14:paraId="0C37EC9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5BEE633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6FB0EEA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3519D8C2">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62AAF61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562DD5D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大血小板比率</w:t>
            </w:r>
          </w:p>
        </w:tc>
        <w:tc>
          <w:tcPr>
            <w:tcW w:w="2835" w:type="dxa"/>
            <w:vMerge w:val="continue"/>
            <w:tcBorders>
              <w:top w:val="nil"/>
              <w:left w:val="single" w:color="auto" w:sz="4" w:space="0"/>
              <w:bottom w:val="single" w:color="auto" w:sz="4" w:space="0"/>
              <w:right w:val="single" w:color="auto" w:sz="4" w:space="0"/>
            </w:tcBorders>
            <w:vAlign w:val="center"/>
          </w:tcPr>
          <w:p w14:paraId="418BD13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430" w:type="dxa"/>
            <w:vMerge w:val="continue"/>
            <w:tcBorders>
              <w:top w:val="nil"/>
              <w:left w:val="single" w:color="auto" w:sz="4" w:space="0"/>
              <w:bottom w:val="single" w:color="auto" w:sz="4" w:space="0"/>
              <w:right w:val="single" w:color="auto" w:sz="4" w:space="0"/>
            </w:tcBorders>
            <w:vAlign w:val="center"/>
          </w:tcPr>
          <w:p w14:paraId="6775319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78FB0A4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0579A21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0EC1A622">
        <w:tblPrEx>
          <w:tblCellMar>
            <w:top w:w="0" w:type="dxa"/>
            <w:left w:w="108" w:type="dxa"/>
            <w:bottom w:w="0" w:type="dxa"/>
            <w:right w:w="108" w:type="dxa"/>
          </w:tblCellMar>
        </w:tblPrEx>
        <w:trPr>
          <w:trHeight w:val="1118"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56D381A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尿常规10项</w:t>
            </w:r>
          </w:p>
        </w:tc>
        <w:tc>
          <w:tcPr>
            <w:tcW w:w="2900" w:type="dxa"/>
            <w:tcBorders>
              <w:top w:val="nil"/>
              <w:left w:val="nil"/>
              <w:bottom w:val="single" w:color="auto" w:sz="4" w:space="0"/>
              <w:right w:val="single" w:color="auto" w:sz="4" w:space="0"/>
            </w:tcBorders>
            <w:shd w:val="clear" w:color="000000" w:fill="FFFFFF"/>
            <w:vAlign w:val="center"/>
          </w:tcPr>
          <w:p w14:paraId="0B58CCF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尿蛋白(PRO)、尿糖(GLU)、胆红素(BIL)、尿胆原（UBG）、酮体(KET)、亚硝酸盐(NIT)、白细胞(LEU)、尿比重(SG)、尿酸碱度(pH)、尿潜血(BLD)</w:t>
            </w:r>
          </w:p>
        </w:tc>
        <w:tc>
          <w:tcPr>
            <w:tcW w:w="2835" w:type="dxa"/>
            <w:tcBorders>
              <w:top w:val="nil"/>
              <w:left w:val="nil"/>
              <w:bottom w:val="single" w:color="auto" w:sz="4" w:space="0"/>
              <w:right w:val="single" w:color="auto" w:sz="4" w:space="0"/>
            </w:tcBorders>
            <w:shd w:val="clear" w:color="000000" w:fill="FFFFFF"/>
            <w:vAlign w:val="center"/>
          </w:tcPr>
          <w:p w14:paraId="6721D92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判定有无泌尿系统疾病、急慢性肾病、肾炎、泌尿系感染、出血、结石等 。间接检查与肾脏无关的代谢障碍或疾病。 溶血性黄疸胆道阻塞等疾病的辅助诊断。</w:t>
            </w:r>
          </w:p>
        </w:tc>
        <w:tc>
          <w:tcPr>
            <w:tcW w:w="430" w:type="dxa"/>
            <w:tcBorders>
              <w:top w:val="nil"/>
              <w:left w:val="nil"/>
              <w:bottom w:val="single" w:color="auto" w:sz="4" w:space="0"/>
              <w:right w:val="single" w:color="auto" w:sz="4" w:space="0"/>
            </w:tcBorders>
            <w:shd w:val="clear" w:color="000000" w:fill="FFFFFF"/>
            <w:vAlign w:val="center"/>
          </w:tcPr>
          <w:p w14:paraId="2748D9A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0FD16BA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0E9B92E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6C1E6FA5">
        <w:tblPrEx>
          <w:tblCellMar>
            <w:top w:w="0" w:type="dxa"/>
            <w:left w:w="108" w:type="dxa"/>
            <w:bottom w:w="0" w:type="dxa"/>
            <w:right w:w="108" w:type="dxa"/>
          </w:tblCellMar>
        </w:tblPrEx>
        <w:trPr>
          <w:trHeight w:val="1569"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7A0F139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肝功能</w:t>
            </w:r>
          </w:p>
        </w:tc>
        <w:tc>
          <w:tcPr>
            <w:tcW w:w="2900" w:type="dxa"/>
            <w:tcBorders>
              <w:top w:val="nil"/>
              <w:left w:val="nil"/>
              <w:bottom w:val="single" w:color="auto" w:sz="4" w:space="0"/>
              <w:right w:val="single" w:color="auto" w:sz="4" w:space="0"/>
            </w:tcBorders>
            <w:shd w:val="clear" w:color="000000" w:fill="FFFFFF"/>
            <w:vAlign w:val="center"/>
          </w:tcPr>
          <w:p w14:paraId="128B8CE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谷草转氨酶（AST）、谷丙转氨酶（ALT）、碱性磷酸酶、总胆红素、直接胆红素、间接胆红素、总蛋白、白蛋白、球蛋白、白/球比值</w:t>
            </w:r>
          </w:p>
        </w:tc>
        <w:tc>
          <w:tcPr>
            <w:tcW w:w="2835" w:type="dxa"/>
            <w:tcBorders>
              <w:top w:val="nil"/>
              <w:left w:val="nil"/>
              <w:bottom w:val="single" w:color="auto" w:sz="4" w:space="0"/>
              <w:right w:val="single" w:color="auto" w:sz="4" w:space="0"/>
            </w:tcBorders>
            <w:shd w:val="clear" w:color="000000" w:fill="FFFFFF"/>
            <w:vAlign w:val="center"/>
          </w:tcPr>
          <w:p w14:paraId="502ECEA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检查肝细胞有无损害的首选指标；病毒性、急慢性肝炎，脂肪肝，胆道阻塞均可升高。</w:t>
            </w:r>
            <w:r>
              <w:rPr>
                <w:rFonts w:hint="eastAsia" w:ascii="宋体" w:hAnsi="宋体" w:eastAsia="宋体" w:cs="宋体"/>
                <w:kern w:val="0"/>
                <w:sz w:val="21"/>
                <w:szCs w:val="21"/>
              </w:rPr>
              <w:br w:type="textWrapping"/>
            </w:r>
            <w:r>
              <w:rPr>
                <w:rFonts w:hint="eastAsia" w:ascii="宋体" w:hAnsi="宋体" w:eastAsia="宋体" w:cs="宋体"/>
                <w:kern w:val="0"/>
                <w:sz w:val="21"/>
                <w:szCs w:val="21"/>
              </w:rPr>
              <w:t>检查肝脏胆红素代谢功能有无异常，用于肝胆疾病、溶血性疾病诊断。</w:t>
            </w:r>
            <w:r>
              <w:rPr>
                <w:rFonts w:hint="eastAsia" w:ascii="宋体" w:hAnsi="宋体" w:eastAsia="宋体" w:cs="宋体"/>
                <w:kern w:val="0"/>
                <w:sz w:val="21"/>
                <w:szCs w:val="21"/>
              </w:rPr>
              <w:br w:type="textWrapping"/>
            </w:r>
            <w:r>
              <w:rPr>
                <w:rFonts w:hint="eastAsia" w:ascii="宋体" w:hAnsi="宋体" w:eastAsia="宋体" w:cs="宋体"/>
                <w:kern w:val="0"/>
                <w:sz w:val="21"/>
                <w:szCs w:val="21"/>
              </w:rPr>
              <w:t>检查肝脏蛋白质代谢有无异常，用于检测慢性肝损害。</w:t>
            </w:r>
          </w:p>
        </w:tc>
        <w:tc>
          <w:tcPr>
            <w:tcW w:w="430" w:type="dxa"/>
            <w:tcBorders>
              <w:top w:val="nil"/>
              <w:left w:val="nil"/>
              <w:bottom w:val="single" w:color="auto" w:sz="4" w:space="0"/>
              <w:right w:val="single" w:color="auto" w:sz="4" w:space="0"/>
            </w:tcBorders>
            <w:shd w:val="clear" w:color="000000" w:fill="FFFFFF"/>
            <w:vAlign w:val="center"/>
          </w:tcPr>
          <w:p w14:paraId="6F6EA6E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7E11A91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0618EA0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4F29292F">
        <w:tblPrEx>
          <w:tblCellMar>
            <w:top w:w="0" w:type="dxa"/>
            <w:left w:w="108" w:type="dxa"/>
            <w:bottom w:w="0" w:type="dxa"/>
            <w:right w:w="108" w:type="dxa"/>
          </w:tblCellMar>
        </w:tblPrEx>
        <w:trPr>
          <w:trHeight w:val="670"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7548FBA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肾功能</w:t>
            </w:r>
          </w:p>
        </w:tc>
        <w:tc>
          <w:tcPr>
            <w:tcW w:w="2900" w:type="dxa"/>
            <w:tcBorders>
              <w:top w:val="nil"/>
              <w:left w:val="nil"/>
              <w:bottom w:val="single" w:color="auto" w:sz="4" w:space="0"/>
              <w:right w:val="single" w:color="auto" w:sz="4" w:space="0"/>
            </w:tcBorders>
            <w:shd w:val="clear" w:color="000000" w:fill="FFFFFF"/>
            <w:vAlign w:val="center"/>
          </w:tcPr>
          <w:p w14:paraId="643D83C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尿酸、肌酐 、尿素氮</w:t>
            </w:r>
          </w:p>
        </w:tc>
        <w:tc>
          <w:tcPr>
            <w:tcW w:w="2835" w:type="dxa"/>
            <w:tcBorders>
              <w:top w:val="nil"/>
              <w:left w:val="nil"/>
              <w:bottom w:val="single" w:color="auto" w:sz="4" w:space="0"/>
              <w:right w:val="single" w:color="auto" w:sz="4" w:space="0"/>
            </w:tcBorders>
            <w:shd w:val="clear" w:color="000000" w:fill="FFFFFF"/>
            <w:vAlign w:val="center"/>
          </w:tcPr>
          <w:p w14:paraId="26F5F7D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检查肾脏功能有无损害。饮酒过量、糖尿病、痛风、肾炎、铅中毒、副甲状腺机能亢进等尿酸会偏高。 </w:t>
            </w:r>
          </w:p>
        </w:tc>
        <w:tc>
          <w:tcPr>
            <w:tcW w:w="430" w:type="dxa"/>
            <w:tcBorders>
              <w:top w:val="nil"/>
              <w:left w:val="nil"/>
              <w:bottom w:val="single" w:color="auto" w:sz="4" w:space="0"/>
              <w:right w:val="single" w:color="auto" w:sz="4" w:space="0"/>
            </w:tcBorders>
            <w:shd w:val="clear" w:color="000000" w:fill="FFFFFF"/>
            <w:vAlign w:val="center"/>
          </w:tcPr>
          <w:p w14:paraId="2F7EEF1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33B9BEA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192B3B0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720C3BEC">
        <w:tblPrEx>
          <w:tblCellMar>
            <w:top w:w="0" w:type="dxa"/>
            <w:left w:w="108" w:type="dxa"/>
            <w:bottom w:w="0" w:type="dxa"/>
            <w:right w:w="108" w:type="dxa"/>
          </w:tblCellMar>
        </w:tblPrEx>
        <w:trPr>
          <w:trHeight w:val="447" w:hRule="atLeast"/>
          <w:jc w:val="center"/>
        </w:trPr>
        <w:tc>
          <w:tcPr>
            <w:tcW w:w="1069" w:type="dxa"/>
            <w:vMerge w:val="restart"/>
            <w:tcBorders>
              <w:top w:val="nil"/>
              <w:left w:val="single" w:color="auto" w:sz="4" w:space="0"/>
              <w:bottom w:val="nil"/>
              <w:right w:val="single" w:color="auto" w:sz="4" w:space="0"/>
            </w:tcBorders>
            <w:shd w:val="clear" w:color="000000" w:fill="FFFFFF"/>
            <w:vAlign w:val="center"/>
          </w:tcPr>
          <w:p w14:paraId="64771F0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血脂</w:t>
            </w:r>
          </w:p>
        </w:tc>
        <w:tc>
          <w:tcPr>
            <w:tcW w:w="2900" w:type="dxa"/>
            <w:tcBorders>
              <w:top w:val="nil"/>
              <w:left w:val="nil"/>
              <w:bottom w:val="single" w:color="auto" w:sz="4" w:space="0"/>
              <w:right w:val="single" w:color="auto" w:sz="4" w:space="0"/>
            </w:tcBorders>
            <w:shd w:val="clear" w:color="000000" w:fill="FFFFFF"/>
            <w:vAlign w:val="center"/>
          </w:tcPr>
          <w:p w14:paraId="17FD3BD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胆固醇、甘油三脂</w:t>
            </w:r>
          </w:p>
        </w:tc>
        <w:tc>
          <w:tcPr>
            <w:tcW w:w="2835" w:type="dxa"/>
            <w:tcBorders>
              <w:top w:val="nil"/>
              <w:left w:val="nil"/>
              <w:bottom w:val="single" w:color="auto" w:sz="4" w:space="0"/>
              <w:right w:val="single" w:color="auto" w:sz="4" w:space="0"/>
            </w:tcBorders>
            <w:shd w:val="clear" w:color="000000" w:fill="FFFFFF"/>
            <w:vAlign w:val="center"/>
          </w:tcPr>
          <w:p w14:paraId="4898BA1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检查有无脂质代谢紊乱、动脉粥样硬化重要指标。</w:t>
            </w:r>
          </w:p>
        </w:tc>
        <w:tc>
          <w:tcPr>
            <w:tcW w:w="430" w:type="dxa"/>
            <w:vMerge w:val="restart"/>
            <w:tcBorders>
              <w:top w:val="nil"/>
              <w:left w:val="single" w:color="auto" w:sz="4" w:space="0"/>
              <w:bottom w:val="single" w:color="auto" w:sz="4" w:space="0"/>
              <w:right w:val="single" w:color="auto" w:sz="4" w:space="0"/>
            </w:tcBorders>
            <w:shd w:val="clear" w:color="000000" w:fill="FFFFFF"/>
            <w:vAlign w:val="center"/>
          </w:tcPr>
          <w:p w14:paraId="4DAEA37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vMerge w:val="restart"/>
            <w:tcBorders>
              <w:top w:val="nil"/>
              <w:left w:val="single" w:color="auto" w:sz="4" w:space="0"/>
              <w:bottom w:val="single" w:color="auto" w:sz="4" w:space="0"/>
              <w:right w:val="single" w:color="auto" w:sz="4" w:space="0"/>
            </w:tcBorders>
            <w:shd w:val="clear" w:color="000000" w:fill="FFFFFF"/>
            <w:vAlign w:val="center"/>
          </w:tcPr>
          <w:p w14:paraId="021D401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vMerge w:val="restart"/>
            <w:tcBorders>
              <w:top w:val="nil"/>
              <w:left w:val="single" w:color="auto" w:sz="4" w:space="0"/>
              <w:bottom w:val="single" w:color="auto" w:sz="4" w:space="0"/>
              <w:right w:val="single" w:color="auto" w:sz="4" w:space="0"/>
            </w:tcBorders>
            <w:shd w:val="clear" w:color="000000" w:fill="FFFFFF"/>
            <w:vAlign w:val="center"/>
          </w:tcPr>
          <w:p w14:paraId="1D54B3E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4DED2A0A">
        <w:tblPrEx>
          <w:tblCellMar>
            <w:top w:w="0" w:type="dxa"/>
            <w:left w:w="108" w:type="dxa"/>
            <w:bottom w:w="0" w:type="dxa"/>
            <w:right w:w="108" w:type="dxa"/>
          </w:tblCellMar>
        </w:tblPrEx>
        <w:trPr>
          <w:trHeight w:val="447" w:hRule="atLeast"/>
          <w:jc w:val="center"/>
        </w:trPr>
        <w:tc>
          <w:tcPr>
            <w:tcW w:w="1069" w:type="dxa"/>
            <w:vMerge w:val="continue"/>
            <w:tcBorders>
              <w:top w:val="nil"/>
              <w:left w:val="single" w:color="auto" w:sz="4" w:space="0"/>
              <w:bottom w:val="nil"/>
              <w:right w:val="single" w:color="auto" w:sz="4" w:space="0"/>
            </w:tcBorders>
            <w:vAlign w:val="center"/>
          </w:tcPr>
          <w:p w14:paraId="44E66B5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6270CD7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高密度脂蛋白、低密度脂蛋白</w:t>
            </w:r>
          </w:p>
        </w:tc>
        <w:tc>
          <w:tcPr>
            <w:tcW w:w="2835" w:type="dxa"/>
            <w:tcBorders>
              <w:top w:val="nil"/>
              <w:left w:val="nil"/>
              <w:bottom w:val="single" w:color="auto" w:sz="4" w:space="0"/>
              <w:right w:val="single" w:color="auto" w:sz="4" w:space="0"/>
            </w:tcBorders>
            <w:shd w:val="clear" w:color="000000" w:fill="FFFFFF"/>
            <w:vAlign w:val="center"/>
          </w:tcPr>
          <w:p w14:paraId="54D28B4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高密度脂蛋白是抗动脉粥样硬化；低密度脂蛋白致动脉粥样硬化。</w:t>
            </w:r>
          </w:p>
        </w:tc>
        <w:tc>
          <w:tcPr>
            <w:tcW w:w="430" w:type="dxa"/>
            <w:vMerge w:val="continue"/>
            <w:tcBorders>
              <w:top w:val="nil"/>
              <w:left w:val="single" w:color="auto" w:sz="4" w:space="0"/>
              <w:bottom w:val="single" w:color="auto" w:sz="4" w:space="0"/>
              <w:right w:val="single" w:color="auto" w:sz="4" w:space="0"/>
            </w:tcBorders>
            <w:vAlign w:val="center"/>
          </w:tcPr>
          <w:p w14:paraId="5C1DF0D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0D96AC8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5AD0017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29A61317">
        <w:tblPrEx>
          <w:tblCellMar>
            <w:top w:w="0" w:type="dxa"/>
            <w:left w:w="108" w:type="dxa"/>
            <w:bottom w:w="0" w:type="dxa"/>
            <w:right w:w="108" w:type="dxa"/>
          </w:tblCellMar>
        </w:tblPrEx>
        <w:trPr>
          <w:trHeight w:val="894" w:hRule="atLeast"/>
          <w:jc w:val="center"/>
        </w:trPr>
        <w:tc>
          <w:tcPr>
            <w:tcW w:w="1069" w:type="dxa"/>
            <w:vMerge w:val="continue"/>
            <w:tcBorders>
              <w:top w:val="nil"/>
              <w:left w:val="single" w:color="auto" w:sz="4" w:space="0"/>
              <w:bottom w:val="nil"/>
              <w:right w:val="single" w:color="auto" w:sz="4" w:space="0"/>
            </w:tcBorders>
            <w:vAlign w:val="center"/>
          </w:tcPr>
          <w:p w14:paraId="19E5635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68EF25B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小而密低密度脂蛋白</w:t>
            </w:r>
          </w:p>
        </w:tc>
        <w:tc>
          <w:tcPr>
            <w:tcW w:w="2835" w:type="dxa"/>
            <w:tcBorders>
              <w:top w:val="nil"/>
              <w:left w:val="nil"/>
              <w:bottom w:val="single" w:color="auto" w:sz="4" w:space="0"/>
              <w:right w:val="single" w:color="auto" w:sz="4" w:space="0"/>
            </w:tcBorders>
            <w:shd w:val="clear" w:color="000000" w:fill="FFFFFF"/>
            <w:vAlign w:val="center"/>
          </w:tcPr>
          <w:p w14:paraId="4BFBE0C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小而密低密度脂蛋白是引起动脉粥样硬化、心脑血管疾病、心脑血管卒中等最危险的因素之一，其升高通常提示血脂异常升高。</w:t>
            </w:r>
          </w:p>
        </w:tc>
        <w:tc>
          <w:tcPr>
            <w:tcW w:w="430" w:type="dxa"/>
            <w:tcBorders>
              <w:top w:val="nil"/>
              <w:left w:val="nil"/>
              <w:bottom w:val="single" w:color="auto" w:sz="4" w:space="0"/>
              <w:right w:val="single" w:color="auto" w:sz="4" w:space="0"/>
            </w:tcBorders>
            <w:shd w:val="clear" w:color="000000" w:fill="FFFFFF"/>
            <w:vAlign w:val="center"/>
          </w:tcPr>
          <w:p w14:paraId="19AA948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1611CD5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484C551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245E547C">
        <w:tblPrEx>
          <w:tblCellMar>
            <w:top w:w="0" w:type="dxa"/>
            <w:left w:w="108" w:type="dxa"/>
            <w:bottom w:w="0" w:type="dxa"/>
            <w:right w:w="108" w:type="dxa"/>
          </w:tblCellMar>
        </w:tblPrEx>
        <w:trPr>
          <w:trHeight w:val="447" w:hRule="atLeast"/>
          <w:jc w:val="center"/>
        </w:trPr>
        <w:tc>
          <w:tcPr>
            <w:tcW w:w="1069" w:type="dxa"/>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33DCCB5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肿瘤标志物</w:t>
            </w:r>
          </w:p>
        </w:tc>
        <w:tc>
          <w:tcPr>
            <w:tcW w:w="2900" w:type="dxa"/>
            <w:tcBorders>
              <w:top w:val="nil"/>
              <w:left w:val="nil"/>
              <w:bottom w:val="single" w:color="auto" w:sz="4" w:space="0"/>
              <w:right w:val="single" w:color="auto" w:sz="4" w:space="0"/>
            </w:tcBorders>
            <w:shd w:val="clear" w:color="000000" w:fill="FFFFFF"/>
            <w:vAlign w:val="center"/>
          </w:tcPr>
          <w:p w14:paraId="65BF813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CEA\AFP</w:t>
            </w:r>
          </w:p>
        </w:tc>
        <w:tc>
          <w:tcPr>
            <w:tcW w:w="2835" w:type="dxa"/>
            <w:tcBorders>
              <w:top w:val="nil"/>
              <w:left w:val="nil"/>
              <w:bottom w:val="single" w:color="auto" w:sz="4" w:space="0"/>
              <w:right w:val="single" w:color="auto" w:sz="4" w:space="0"/>
            </w:tcBorders>
            <w:shd w:val="clear" w:color="000000" w:fill="FFFFFF"/>
            <w:vAlign w:val="center"/>
          </w:tcPr>
          <w:p w14:paraId="61B0A1B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主要针对消化道、肝细胞肿瘤有特异性。</w:t>
            </w:r>
          </w:p>
        </w:tc>
        <w:tc>
          <w:tcPr>
            <w:tcW w:w="430" w:type="dxa"/>
            <w:tcBorders>
              <w:top w:val="nil"/>
              <w:left w:val="nil"/>
              <w:bottom w:val="single" w:color="auto" w:sz="4" w:space="0"/>
              <w:right w:val="single" w:color="auto" w:sz="4" w:space="0"/>
            </w:tcBorders>
            <w:shd w:val="clear" w:color="000000" w:fill="FFFFFF"/>
            <w:vAlign w:val="center"/>
          </w:tcPr>
          <w:p w14:paraId="5AA8E46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6E546E0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19BE557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57626619">
        <w:tblPrEx>
          <w:tblCellMar>
            <w:top w:w="0" w:type="dxa"/>
            <w:left w:w="108" w:type="dxa"/>
            <w:bottom w:w="0" w:type="dxa"/>
            <w:right w:w="108" w:type="dxa"/>
          </w:tblCellMar>
        </w:tblPrEx>
        <w:trPr>
          <w:trHeight w:val="894" w:hRule="atLeast"/>
          <w:jc w:val="center"/>
        </w:trPr>
        <w:tc>
          <w:tcPr>
            <w:tcW w:w="1069" w:type="dxa"/>
            <w:vMerge w:val="continue"/>
            <w:tcBorders>
              <w:top w:val="single" w:color="auto" w:sz="4" w:space="0"/>
              <w:left w:val="single" w:color="auto" w:sz="4" w:space="0"/>
              <w:bottom w:val="single" w:color="000000" w:sz="4" w:space="0"/>
              <w:right w:val="single" w:color="auto" w:sz="4" w:space="0"/>
            </w:tcBorders>
            <w:vAlign w:val="center"/>
          </w:tcPr>
          <w:p w14:paraId="2BE11BF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4A34201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CA724</w:t>
            </w:r>
          </w:p>
        </w:tc>
        <w:tc>
          <w:tcPr>
            <w:tcW w:w="2835" w:type="dxa"/>
            <w:tcBorders>
              <w:top w:val="nil"/>
              <w:left w:val="nil"/>
              <w:bottom w:val="single" w:color="auto" w:sz="4" w:space="0"/>
              <w:right w:val="single" w:color="auto" w:sz="4" w:space="0"/>
            </w:tcBorders>
            <w:shd w:val="clear" w:color="000000" w:fill="FFFFFF"/>
            <w:vAlign w:val="center"/>
          </w:tcPr>
          <w:p w14:paraId="4EAFD97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临床上较为常用的一种肿瘤标志物，可用于消化道肿瘤、部分女性生殖系统肿瘤（如卵巢癌、宫颈癌）以及呼吸系统肿瘤的早期筛查。</w:t>
            </w:r>
          </w:p>
        </w:tc>
        <w:tc>
          <w:tcPr>
            <w:tcW w:w="430" w:type="dxa"/>
            <w:tcBorders>
              <w:top w:val="nil"/>
              <w:left w:val="nil"/>
              <w:bottom w:val="single" w:color="auto" w:sz="4" w:space="0"/>
              <w:right w:val="single" w:color="auto" w:sz="4" w:space="0"/>
            </w:tcBorders>
            <w:shd w:val="clear" w:color="000000" w:fill="FFFFFF"/>
            <w:vAlign w:val="center"/>
          </w:tcPr>
          <w:p w14:paraId="6852115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0E25612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1C6E454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5AEFD3AF">
        <w:tblPrEx>
          <w:tblCellMar>
            <w:top w:w="0" w:type="dxa"/>
            <w:left w:w="108" w:type="dxa"/>
            <w:bottom w:w="0" w:type="dxa"/>
            <w:right w:w="108" w:type="dxa"/>
          </w:tblCellMar>
        </w:tblPrEx>
        <w:trPr>
          <w:trHeight w:val="913"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4ECB5D6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同型半胱氨酸</w:t>
            </w:r>
          </w:p>
        </w:tc>
        <w:tc>
          <w:tcPr>
            <w:tcW w:w="2900" w:type="dxa"/>
            <w:tcBorders>
              <w:top w:val="nil"/>
              <w:left w:val="nil"/>
              <w:bottom w:val="single" w:color="auto" w:sz="4" w:space="0"/>
              <w:right w:val="single" w:color="auto" w:sz="4" w:space="0"/>
            </w:tcBorders>
            <w:shd w:val="clear" w:color="000000" w:fill="FFFFFF"/>
            <w:vAlign w:val="center"/>
          </w:tcPr>
          <w:p w14:paraId="3724AAC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2835" w:type="dxa"/>
            <w:tcBorders>
              <w:top w:val="nil"/>
              <w:left w:val="nil"/>
              <w:bottom w:val="single" w:color="auto" w:sz="4" w:space="0"/>
              <w:right w:val="single" w:color="auto" w:sz="4" w:space="0"/>
            </w:tcBorders>
            <w:shd w:val="clear" w:color="000000" w:fill="FFFFFF"/>
            <w:vAlign w:val="center"/>
          </w:tcPr>
          <w:p w14:paraId="1DF506A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人体内含硫氨基酸的一种重要的代谢中间产物，是能引起动脉粥样硬化等心血管疾病发生的一个独立危险因子，高血压如果合并高同型半胱氨酸，是脑卒中最重要的危险因素。临床上的应用主要作为心血管疾病，尤其是冠状动脉粥样硬化和心肌梗塞的危险指标。</w:t>
            </w:r>
          </w:p>
        </w:tc>
        <w:tc>
          <w:tcPr>
            <w:tcW w:w="430" w:type="dxa"/>
            <w:tcBorders>
              <w:top w:val="nil"/>
              <w:left w:val="nil"/>
              <w:bottom w:val="single" w:color="auto" w:sz="4" w:space="0"/>
              <w:right w:val="single" w:color="auto" w:sz="4" w:space="0"/>
            </w:tcBorders>
            <w:shd w:val="clear" w:color="000000" w:fill="FFFFFF"/>
            <w:vAlign w:val="center"/>
          </w:tcPr>
          <w:p w14:paraId="1645831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5337890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5334715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787561AC">
        <w:tblPrEx>
          <w:tblCellMar>
            <w:top w:w="0" w:type="dxa"/>
            <w:left w:w="108" w:type="dxa"/>
            <w:bottom w:w="0" w:type="dxa"/>
            <w:right w:w="108" w:type="dxa"/>
          </w:tblCellMar>
        </w:tblPrEx>
        <w:trPr>
          <w:trHeight w:val="447"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7F8FB1A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血糖</w:t>
            </w:r>
          </w:p>
        </w:tc>
        <w:tc>
          <w:tcPr>
            <w:tcW w:w="2900" w:type="dxa"/>
            <w:tcBorders>
              <w:top w:val="nil"/>
              <w:left w:val="nil"/>
              <w:bottom w:val="single" w:color="auto" w:sz="4" w:space="0"/>
              <w:right w:val="single" w:color="auto" w:sz="4" w:space="0"/>
            </w:tcBorders>
            <w:shd w:val="clear" w:color="000000" w:fill="FFFFFF"/>
            <w:vAlign w:val="center"/>
          </w:tcPr>
          <w:p w14:paraId="10CC59C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空腹血糖</w:t>
            </w:r>
          </w:p>
        </w:tc>
        <w:tc>
          <w:tcPr>
            <w:tcW w:w="2835" w:type="dxa"/>
            <w:tcBorders>
              <w:top w:val="nil"/>
              <w:left w:val="nil"/>
              <w:bottom w:val="single" w:color="auto" w:sz="4" w:space="0"/>
              <w:right w:val="single" w:color="auto" w:sz="4" w:space="0"/>
            </w:tcBorders>
            <w:shd w:val="clear" w:color="000000" w:fill="FFFFFF"/>
            <w:vAlign w:val="center"/>
          </w:tcPr>
          <w:p w14:paraId="1C04795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诊断糖代谢紊乱最常用的最重要的指标；筛检糖尿病最基本的方法。</w:t>
            </w:r>
          </w:p>
        </w:tc>
        <w:tc>
          <w:tcPr>
            <w:tcW w:w="430" w:type="dxa"/>
            <w:tcBorders>
              <w:top w:val="nil"/>
              <w:left w:val="nil"/>
              <w:bottom w:val="single" w:color="auto" w:sz="4" w:space="0"/>
              <w:right w:val="single" w:color="auto" w:sz="4" w:space="0"/>
            </w:tcBorders>
            <w:shd w:val="clear" w:color="000000" w:fill="FFFFFF"/>
            <w:vAlign w:val="center"/>
          </w:tcPr>
          <w:p w14:paraId="1942ECB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5409B9F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3798F7D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15E260AB">
        <w:tblPrEx>
          <w:tblCellMar>
            <w:top w:w="0" w:type="dxa"/>
            <w:left w:w="108" w:type="dxa"/>
            <w:bottom w:w="0" w:type="dxa"/>
            <w:right w:w="108" w:type="dxa"/>
          </w:tblCellMar>
        </w:tblPrEx>
        <w:trPr>
          <w:trHeight w:val="894" w:hRule="atLeast"/>
          <w:jc w:val="center"/>
        </w:trPr>
        <w:tc>
          <w:tcPr>
            <w:tcW w:w="1069" w:type="dxa"/>
            <w:vMerge w:val="restart"/>
            <w:tcBorders>
              <w:top w:val="nil"/>
              <w:left w:val="single" w:color="auto" w:sz="4" w:space="0"/>
              <w:bottom w:val="single" w:color="000000" w:sz="4" w:space="0"/>
              <w:right w:val="single" w:color="auto" w:sz="4" w:space="0"/>
            </w:tcBorders>
            <w:shd w:val="clear" w:color="000000" w:fill="FFFFFF"/>
            <w:vAlign w:val="center"/>
          </w:tcPr>
          <w:p w14:paraId="16A1CE9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B超</w:t>
            </w:r>
          </w:p>
        </w:tc>
        <w:tc>
          <w:tcPr>
            <w:tcW w:w="2900" w:type="dxa"/>
            <w:tcBorders>
              <w:top w:val="nil"/>
              <w:left w:val="nil"/>
              <w:bottom w:val="single" w:color="auto" w:sz="4" w:space="0"/>
              <w:right w:val="single" w:color="auto" w:sz="4" w:space="0"/>
            </w:tcBorders>
            <w:shd w:val="clear" w:color="000000" w:fill="FFFFFF"/>
            <w:vAlign w:val="center"/>
          </w:tcPr>
          <w:p w14:paraId="31AF868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肝、胆、胰、脾、肾</w:t>
            </w:r>
          </w:p>
        </w:tc>
        <w:tc>
          <w:tcPr>
            <w:tcW w:w="2835" w:type="dxa"/>
            <w:tcBorders>
              <w:top w:val="nil"/>
              <w:left w:val="nil"/>
              <w:bottom w:val="single" w:color="auto" w:sz="4" w:space="0"/>
              <w:right w:val="single" w:color="auto" w:sz="4" w:space="0"/>
            </w:tcBorders>
            <w:shd w:val="clear" w:color="000000" w:fill="FFFFFF"/>
            <w:vAlign w:val="center"/>
          </w:tcPr>
          <w:p w14:paraId="4CE383A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检查腹部器官有无占位性疾病、肝胆慢性病变、血管瘤、胰脏等器官病变及肿瘤。脂肪肝、肝硬化、肝胆结石等疾病。</w:t>
            </w:r>
          </w:p>
        </w:tc>
        <w:tc>
          <w:tcPr>
            <w:tcW w:w="430" w:type="dxa"/>
            <w:tcBorders>
              <w:top w:val="nil"/>
              <w:left w:val="nil"/>
              <w:bottom w:val="single" w:color="auto" w:sz="4" w:space="0"/>
              <w:right w:val="single" w:color="auto" w:sz="4" w:space="0"/>
            </w:tcBorders>
            <w:shd w:val="clear" w:color="000000" w:fill="FFFFFF"/>
            <w:vAlign w:val="center"/>
          </w:tcPr>
          <w:p w14:paraId="744BB23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01ED645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735F5EA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009F9153">
        <w:tblPrEx>
          <w:tblCellMar>
            <w:top w:w="0" w:type="dxa"/>
            <w:left w:w="108" w:type="dxa"/>
            <w:bottom w:w="0" w:type="dxa"/>
            <w:right w:w="108" w:type="dxa"/>
          </w:tblCellMar>
        </w:tblPrEx>
        <w:trPr>
          <w:trHeight w:val="670"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4467D91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25A6B24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检查前列腺、膀胱、盆腔</w:t>
            </w:r>
          </w:p>
          <w:p w14:paraId="4B4F048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（男性）</w:t>
            </w:r>
          </w:p>
        </w:tc>
        <w:tc>
          <w:tcPr>
            <w:tcW w:w="2835" w:type="dxa"/>
            <w:tcBorders>
              <w:top w:val="nil"/>
              <w:left w:val="nil"/>
              <w:bottom w:val="single" w:color="auto" w:sz="4" w:space="0"/>
              <w:right w:val="single" w:color="auto" w:sz="4" w:space="0"/>
            </w:tcBorders>
            <w:shd w:val="clear" w:color="000000" w:fill="FFFFFF"/>
            <w:vAlign w:val="center"/>
          </w:tcPr>
          <w:p w14:paraId="3719058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发现前列腺（增生）、膀胱占位性病变等（憋尿、检前饮300-500ml白水）。</w:t>
            </w:r>
          </w:p>
        </w:tc>
        <w:tc>
          <w:tcPr>
            <w:tcW w:w="430" w:type="dxa"/>
            <w:tcBorders>
              <w:top w:val="nil"/>
              <w:left w:val="nil"/>
              <w:bottom w:val="single" w:color="auto" w:sz="4" w:space="0"/>
              <w:right w:val="single" w:color="auto" w:sz="4" w:space="0"/>
            </w:tcBorders>
            <w:shd w:val="clear" w:color="000000" w:fill="FFFFFF"/>
            <w:vAlign w:val="center"/>
          </w:tcPr>
          <w:p w14:paraId="6835137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73DDC40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6BBFC6E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3D802A77">
        <w:tblPrEx>
          <w:tblCellMar>
            <w:top w:w="0" w:type="dxa"/>
            <w:left w:w="108" w:type="dxa"/>
            <w:bottom w:w="0" w:type="dxa"/>
            <w:right w:w="108" w:type="dxa"/>
          </w:tblCellMar>
        </w:tblPrEx>
        <w:trPr>
          <w:trHeight w:val="596"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043ADDC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3F1EBD4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检查子宫、附件、盆腔</w:t>
            </w:r>
          </w:p>
          <w:p w14:paraId="36BC1B5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（女性）</w:t>
            </w:r>
          </w:p>
        </w:tc>
        <w:tc>
          <w:tcPr>
            <w:tcW w:w="2835" w:type="dxa"/>
            <w:tcBorders>
              <w:top w:val="nil"/>
              <w:left w:val="nil"/>
              <w:bottom w:val="single" w:color="auto" w:sz="4" w:space="0"/>
              <w:right w:val="single" w:color="auto" w:sz="4" w:space="0"/>
            </w:tcBorders>
            <w:shd w:val="clear" w:color="000000" w:fill="FFFFFF"/>
            <w:vAlign w:val="center"/>
          </w:tcPr>
          <w:p w14:paraId="0836A10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发现子宫、附件、膀胱占位性病变（憋尿、检前饮700-1000ml白水）。</w:t>
            </w:r>
          </w:p>
        </w:tc>
        <w:tc>
          <w:tcPr>
            <w:tcW w:w="430" w:type="dxa"/>
            <w:tcBorders>
              <w:top w:val="nil"/>
              <w:left w:val="nil"/>
              <w:bottom w:val="single" w:color="auto" w:sz="4" w:space="0"/>
              <w:right w:val="single" w:color="auto" w:sz="4" w:space="0"/>
            </w:tcBorders>
            <w:shd w:val="clear" w:color="000000" w:fill="FFFFFF"/>
            <w:vAlign w:val="center"/>
          </w:tcPr>
          <w:p w14:paraId="63A639A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4DD471E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043B0B2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064E3935">
        <w:tblPrEx>
          <w:tblCellMar>
            <w:top w:w="0" w:type="dxa"/>
            <w:left w:w="108" w:type="dxa"/>
            <w:bottom w:w="0" w:type="dxa"/>
            <w:right w:w="108" w:type="dxa"/>
          </w:tblCellMar>
        </w:tblPrEx>
        <w:trPr>
          <w:trHeight w:val="973"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1F31270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4059042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甲状腺</w:t>
            </w:r>
          </w:p>
        </w:tc>
        <w:tc>
          <w:tcPr>
            <w:tcW w:w="2835" w:type="dxa"/>
            <w:tcBorders>
              <w:top w:val="nil"/>
              <w:left w:val="nil"/>
              <w:bottom w:val="single" w:color="auto" w:sz="4" w:space="0"/>
              <w:right w:val="single" w:color="auto" w:sz="4" w:space="0"/>
            </w:tcBorders>
            <w:shd w:val="clear" w:color="000000" w:fill="FFFFFF"/>
            <w:vAlign w:val="center"/>
          </w:tcPr>
          <w:p w14:paraId="326CDA1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能够帮助判断甲状腺是否有弥漫性病变或者是占位性病变，还可以随访甲状腺疾病的治疗效果，其特点是简便、快捷、无痛苦、准确率高。</w:t>
            </w:r>
          </w:p>
        </w:tc>
        <w:tc>
          <w:tcPr>
            <w:tcW w:w="430" w:type="dxa"/>
            <w:tcBorders>
              <w:top w:val="nil"/>
              <w:left w:val="nil"/>
              <w:bottom w:val="single" w:color="auto" w:sz="4" w:space="0"/>
              <w:right w:val="single" w:color="auto" w:sz="4" w:space="0"/>
            </w:tcBorders>
            <w:shd w:val="clear" w:color="000000" w:fill="FFFFFF"/>
            <w:vAlign w:val="center"/>
          </w:tcPr>
          <w:p w14:paraId="3B8696A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360EFEC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38C74D6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2826ED65">
        <w:tblPrEx>
          <w:tblCellMar>
            <w:top w:w="0" w:type="dxa"/>
            <w:left w:w="108" w:type="dxa"/>
            <w:bottom w:w="0" w:type="dxa"/>
            <w:right w:w="108" w:type="dxa"/>
          </w:tblCellMar>
        </w:tblPrEx>
        <w:trPr>
          <w:trHeight w:val="876"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0B491C8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0086205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乳房</w:t>
            </w:r>
          </w:p>
          <w:p w14:paraId="31AD534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（女性）</w:t>
            </w:r>
          </w:p>
        </w:tc>
        <w:tc>
          <w:tcPr>
            <w:tcW w:w="2835" w:type="dxa"/>
            <w:tcBorders>
              <w:top w:val="nil"/>
              <w:left w:val="nil"/>
              <w:bottom w:val="single" w:color="auto" w:sz="4" w:space="0"/>
              <w:right w:val="single" w:color="auto" w:sz="4" w:space="0"/>
            </w:tcBorders>
            <w:shd w:val="clear" w:color="000000" w:fill="FFFFFF"/>
            <w:vAlign w:val="center"/>
          </w:tcPr>
          <w:p w14:paraId="7E465B4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主要针对乳腺小叶增生﹑乳腺囊肿﹑乳腺肿瘤（良﹑恶）性疾病等进行早期筛查。其特点是简便﹑快捷﹑无痛苦﹑准确率高。</w:t>
            </w:r>
          </w:p>
        </w:tc>
        <w:tc>
          <w:tcPr>
            <w:tcW w:w="430" w:type="dxa"/>
            <w:tcBorders>
              <w:top w:val="nil"/>
              <w:left w:val="nil"/>
              <w:bottom w:val="single" w:color="auto" w:sz="4" w:space="0"/>
              <w:right w:val="single" w:color="auto" w:sz="4" w:space="0"/>
            </w:tcBorders>
            <w:shd w:val="clear" w:color="000000" w:fill="FFFFFF"/>
            <w:vAlign w:val="center"/>
          </w:tcPr>
          <w:p w14:paraId="4C61B06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61EC94B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2326BB3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7A61DF13">
        <w:tblPrEx>
          <w:tblCellMar>
            <w:top w:w="0" w:type="dxa"/>
            <w:left w:w="108" w:type="dxa"/>
            <w:bottom w:w="0" w:type="dxa"/>
            <w:right w:w="108" w:type="dxa"/>
          </w:tblCellMar>
        </w:tblPrEx>
        <w:trPr>
          <w:trHeight w:val="876"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54A4A75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放射检查</w:t>
            </w:r>
          </w:p>
        </w:tc>
        <w:tc>
          <w:tcPr>
            <w:tcW w:w="2900" w:type="dxa"/>
            <w:tcBorders>
              <w:top w:val="nil"/>
              <w:left w:val="nil"/>
              <w:bottom w:val="single" w:color="auto" w:sz="4" w:space="0"/>
              <w:right w:val="single" w:color="auto" w:sz="4" w:space="0"/>
            </w:tcBorders>
            <w:shd w:val="clear" w:color="000000" w:fill="FFFFFF"/>
            <w:vAlign w:val="center"/>
          </w:tcPr>
          <w:p w14:paraId="431DAF7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乳房钼靶（不含片子）</w:t>
            </w:r>
          </w:p>
        </w:tc>
        <w:tc>
          <w:tcPr>
            <w:tcW w:w="2835" w:type="dxa"/>
            <w:tcBorders>
              <w:top w:val="nil"/>
              <w:left w:val="nil"/>
              <w:bottom w:val="single" w:color="auto" w:sz="4" w:space="0"/>
              <w:right w:val="single" w:color="auto" w:sz="4" w:space="0"/>
            </w:tcBorders>
            <w:shd w:val="clear" w:color="000000" w:fill="FFFFFF"/>
            <w:vAlign w:val="center"/>
          </w:tcPr>
          <w:p w14:paraId="08BB1AA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主要用于乳腺疾病的筛查和乳腺癌的诊断，能够清晰地显示乳腺的各层组织，能够更好地观察到肿块的大小、数量，是否有钙化灶。该项目检查痛苦相对较小，并且分辨率比较高，不会受到年龄、体型等多种限制，是诊断乳腺疾病的首选检查方法。</w:t>
            </w:r>
          </w:p>
        </w:tc>
        <w:tc>
          <w:tcPr>
            <w:tcW w:w="430" w:type="dxa"/>
            <w:tcBorders>
              <w:top w:val="nil"/>
              <w:left w:val="nil"/>
              <w:bottom w:val="single" w:color="auto" w:sz="4" w:space="0"/>
              <w:right w:val="single" w:color="auto" w:sz="4" w:space="0"/>
            </w:tcBorders>
            <w:shd w:val="clear" w:color="000000" w:fill="FFFFFF"/>
            <w:vAlign w:val="center"/>
          </w:tcPr>
          <w:p w14:paraId="7320278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6C2D224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0E95D6F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74098E04">
        <w:tblPrEx>
          <w:tblCellMar>
            <w:top w:w="0" w:type="dxa"/>
            <w:left w:w="108" w:type="dxa"/>
            <w:bottom w:w="0" w:type="dxa"/>
            <w:right w:w="108" w:type="dxa"/>
          </w:tblCellMar>
        </w:tblPrEx>
        <w:trPr>
          <w:trHeight w:val="894"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6856024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内科</w:t>
            </w:r>
          </w:p>
        </w:tc>
        <w:tc>
          <w:tcPr>
            <w:tcW w:w="2900" w:type="dxa"/>
            <w:tcBorders>
              <w:top w:val="nil"/>
              <w:left w:val="nil"/>
              <w:bottom w:val="single" w:color="auto" w:sz="4" w:space="0"/>
              <w:right w:val="single" w:color="auto" w:sz="4" w:space="0"/>
            </w:tcBorders>
            <w:shd w:val="clear" w:color="000000" w:fill="FFFFFF"/>
            <w:vAlign w:val="center"/>
          </w:tcPr>
          <w:p w14:paraId="4852EF2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胸廓对称性、呼吸频率及节律、呼吸动度、呼吸音、心率、心律、心音、心界、肝胆脾触诊、肾区叩诊等。</w:t>
            </w:r>
          </w:p>
        </w:tc>
        <w:tc>
          <w:tcPr>
            <w:tcW w:w="2835" w:type="dxa"/>
            <w:tcBorders>
              <w:top w:val="nil"/>
              <w:left w:val="nil"/>
              <w:bottom w:val="single" w:color="auto" w:sz="4" w:space="0"/>
              <w:right w:val="single" w:color="auto" w:sz="4" w:space="0"/>
            </w:tcBorders>
            <w:shd w:val="clear" w:color="000000" w:fill="FFFFFF"/>
            <w:vAlign w:val="center"/>
          </w:tcPr>
          <w:p w14:paraId="5F59BEE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检查心、肺、腹有无异常。</w:t>
            </w:r>
          </w:p>
        </w:tc>
        <w:tc>
          <w:tcPr>
            <w:tcW w:w="430" w:type="dxa"/>
            <w:tcBorders>
              <w:top w:val="nil"/>
              <w:left w:val="nil"/>
              <w:bottom w:val="single" w:color="auto" w:sz="4" w:space="0"/>
              <w:right w:val="single" w:color="auto" w:sz="4" w:space="0"/>
            </w:tcBorders>
            <w:shd w:val="clear" w:color="000000" w:fill="FFFFFF"/>
            <w:vAlign w:val="center"/>
          </w:tcPr>
          <w:p w14:paraId="1B47386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36ADCBC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3D8D5AA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3C25CA02">
        <w:tblPrEx>
          <w:tblCellMar>
            <w:top w:w="0" w:type="dxa"/>
            <w:left w:w="108" w:type="dxa"/>
            <w:bottom w:w="0" w:type="dxa"/>
            <w:right w:w="108" w:type="dxa"/>
          </w:tblCellMar>
        </w:tblPrEx>
        <w:trPr>
          <w:trHeight w:val="894" w:hRule="atLeast"/>
          <w:jc w:val="center"/>
        </w:trPr>
        <w:tc>
          <w:tcPr>
            <w:tcW w:w="1069" w:type="dxa"/>
            <w:tcBorders>
              <w:top w:val="nil"/>
              <w:left w:val="single" w:color="auto" w:sz="4" w:space="0"/>
              <w:bottom w:val="nil"/>
              <w:right w:val="single" w:color="auto" w:sz="4" w:space="0"/>
            </w:tcBorders>
            <w:shd w:val="clear" w:color="000000" w:fill="FFFFFF"/>
            <w:vAlign w:val="center"/>
          </w:tcPr>
          <w:p w14:paraId="335EF07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外科</w:t>
            </w:r>
          </w:p>
        </w:tc>
        <w:tc>
          <w:tcPr>
            <w:tcW w:w="2900" w:type="dxa"/>
            <w:tcBorders>
              <w:top w:val="nil"/>
              <w:left w:val="nil"/>
              <w:bottom w:val="single" w:color="auto" w:sz="4" w:space="0"/>
              <w:right w:val="single" w:color="auto" w:sz="4" w:space="0"/>
            </w:tcBorders>
            <w:shd w:val="clear" w:color="000000" w:fill="FFFFFF"/>
            <w:vAlign w:val="center"/>
          </w:tcPr>
          <w:p w14:paraId="5FAE09A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皮肤、浅表淋巴结、甲状腺、乳房(女)、脊柱、四肢关节、肛门、直肠指诊、前列腺(男)、外生殖器(男)</w:t>
            </w:r>
          </w:p>
        </w:tc>
        <w:tc>
          <w:tcPr>
            <w:tcW w:w="2835" w:type="dxa"/>
            <w:tcBorders>
              <w:top w:val="nil"/>
              <w:left w:val="nil"/>
              <w:bottom w:val="single" w:color="auto" w:sz="4" w:space="0"/>
              <w:right w:val="single" w:color="auto" w:sz="4" w:space="0"/>
            </w:tcBorders>
            <w:shd w:val="clear" w:color="000000" w:fill="FFFFFF"/>
            <w:vAlign w:val="center"/>
          </w:tcPr>
          <w:p w14:paraId="2E1FE1C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检查皮肤、浅表淋巴结、甲状腺、乳房(女)、脊柱、四肢关节、肛门、直肠、前列腺(男)、外生殖器(男)有无异常。</w:t>
            </w:r>
          </w:p>
        </w:tc>
        <w:tc>
          <w:tcPr>
            <w:tcW w:w="430" w:type="dxa"/>
            <w:tcBorders>
              <w:top w:val="nil"/>
              <w:left w:val="nil"/>
              <w:bottom w:val="single" w:color="auto" w:sz="4" w:space="0"/>
              <w:right w:val="single" w:color="auto" w:sz="4" w:space="0"/>
            </w:tcBorders>
            <w:shd w:val="clear" w:color="000000" w:fill="FFFFFF"/>
            <w:vAlign w:val="center"/>
          </w:tcPr>
          <w:p w14:paraId="0E21911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5C64A15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711C4C4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36BCC68D">
        <w:tblPrEx>
          <w:tblCellMar>
            <w:top w:w="0" w:type="dxa"/>
            <w:left w:w="108" w:type="dxa"/>
            <w:bottom w:w="0" w:type="dxa"/>
            <w:right w:w="108" w:type="dxa"/>
          </w:tblCellMar>
        </w:tblPrEx>
        <w:trPr>
          <w:trHeight w:val="1379" w:hRule="atLeast"/>
          <w:jc w:val="center"/>
        </w:trPr>
        <w:tc>
          <w:tcPr>
            <w:tcW w:w="1069" w:type="dxa"/>
            <w:tcBorders>
              <w:top w:val="single" w:color="auto" w:sz="4" w:space="0"/>
              <w:left w:val="single" w:color="auto" w:sz="4" w:space="0"/>
              <w:bottom w:val="single" w:color="auto" w:sz="4" w:space="0"/>
              <w:right w:val="single" w:color="auto" w:sz="4" w:space="0"/>
            </w:tcBorders>
            <w:shd w:val="clear" w:color="000000" w:fill="FFFFFF"/>
            <w:vAlign w:val="center"/>
          </w:tcPr>
          <w:p w14:paraId="464FFC2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眼科</w:t>
            </w:r>
          </w:p>
        </w:tc>
        <w:tc>
          <w:tcPr>
            <w:tcW w:w="2900" w:type="dxa"/>
            <w:tcBorders>
              <w:top w:val="nil"/>
              <w:left w:val="nil"/>
              <w:bottom w:val="single" w:color="auto" w:sz="4" w:space="0"/>
              <w:right w:val="single" w:color="auto" w:sz="4" w:space="0"/>
            </w:tcBorders>
            <w:shd w:val="clear" w:color="000000" w:fill="FFFFFF"/>
            <w:vAlign w:val="center"/>
          </w:tcPr>
          <w:p w14:paraId="7C654F4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视力、眼睑、结膜、眼球、裂隙灯：角膜、晶状体、玻璃体、瞳孔。</w:t>
            </w:r>
          </w:p>
        </w:tc>
        <w:tc>
          <w:tcPr>
            <w:tcW w:w="2835" w:type="dxa"/>
            <w:tcBorders>
              <w:top w:val="nil"/>
              <w:left w:val="nil"/>
              <w:bottom w:val="single" w:color="auto" w:sz="4" w:space="0"/>
              <w:right w:val="single" w:color="auto" w:sz="4" w:space="0"/>
            </w:tcBorders>
            <w:shd w:val="clear" w:color="000000" w:fill="FFFFFF"/>
            <w:vAlign w:val="center"/>
          </w:tcPr>
          <w:p w14:paraId="4EE7AFE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1.检查有无屈光不正。2.检查眼睑、结膜、眼球、眼底、晶状体、玻璃体、角膜有无异常。</w:t>
            </w:r>
          </w:p>
        </w:tc>
        <w:tc>
          <w:tcPr>
            <w:tcW w:w="430" w:type="dxa"/>
            <w:tcBorders>
              <w:top w:val="nil"/>
              <w:left w:val="nil"/>
              <w:bottom w:val="single" w:color="auto" w:sz="4" w:space="0"/>
              <w:right w:val="single" w:color="auto" w:sz="4" w:space="0"/>
            </w:tcBorders>
            <w:shd w:val="clear" w:color="000000" w:fill="FFFFFF"/>
            <w:vAlign w:val="center"/>
          </w:tcPr>
          <w:p w14:paraId="65FDDCD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7C5477D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0FF452B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23425669">
        <w:tblPrEx>
          <w:tblCellMar>
            <w:top w:w="0" w:type="dxa"/>
            <w:left w:w="108" w:type="dxa"/>
            <w:bottom w:w="0" w:type="dxa"/>
            <w:right w:w="108" w:type="dxa"/>
          </w:tblCellMar>
        </w:tblPrEx>
        <w:trPr>
          <w:trHeight w:val="436" w:hRule="atLeast"/>
          <w:jc w:val="center"/>
        </w:trPr>
        <w:tc>
          <w:tcPr>
            <w:tcW w:w="1069" w:type="dxa"/>
            <w:vMerge w:val="restart"/>
            <w:tcBorders>
              <w:top w:val="nil"/>
              <w:left w:val="single" w:color="auto" w:sz="4" w:space="0"/>
              <w:bottom w:val="nil"/>
              <w:right w:val="single" w:color="auto" w:sz="4" w:space="0"/>
            </w:tcBorders>
            <w:shd w:val="clear" w:color="000000" w:fill="FFFFFF"/>
            <w:vAlign w:val="center"/>
          </w:tcPr>
          <w:p w14:paraId="673E8E4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妇科（已婚女）</w:t>
            </w:r>
          </w:p>
        </w:tc>
        <w:tc>
          <w:tcPr>
            <w:tcW w:w="2900" w:type="dxa"/>
            <w:tcBorders>
              <w:top w:val="nil"/>
              <w:left w:val="nil"/>
              <w:bottom w:val="single" w:color="auto" w:sz="4" w:space="0"/>
              <w:right w:val="single" w:color="auto" w:sz="4" w:space="0"/>
            </w:tcBorders>
            <w:shd w:val="clear" w:color="000000" w:fill="FFFFFF"/>
            <w:vAlign w:val="center"/>
          </w:tcPr>
          <w:p w14:paraId="0270E19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外阴、阴道、宫颈、子宫体、附件</w:t>
            </w:r>
          </w:p>
        </w:tc>
        <w:tc>
          <w:tcPr>
            <w:tcW w:w="2835" w:type="dxa"/>
            <w:tcBorders>
              <w:top w:val="nil"/>
              <w:left w:val="nil"/>
              <w:bottom w:val="single" w:color="auto" w:sz="4" w:space="0"/>
              <w:right w:val="single" w:color="auto" w:sz="4" w:space="0"/>
            </w:tcBorders>
            <w:shd w:val="clear" w:color="000000" w:fill="FFFFFF"/>
            <w:vAlign w:val="center"/>
          </w:tcPr>
          <w:p w14:paraId="263E204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检查生殖系统及附件有无异常。</w:t>
            </w:r>
          </w:p>
        </w:tc>
        <w:tc>
          <w:tcPr>
            <w:tcW w:w="430" w:type="dxa"/>
            <w:vMerge w:val="restart"/>
            <w:tcBorders>
              <w:top w:val="nil"/>
              <w:left w:val="single" w:color="auto" w:sz="4" w:space="0"/>
              <w:bottom w:val="single" w:color="000000" w:sz="4" w:space="0"/>
              <w:right w:val="single" w:color="auto" w:sz="4" w:space="0"/>
            </w:tcBorders>
            <w:shd w:val="clear" w:color="000000" w:fill="FFFFFF"/>
            <w:vAlign w:val="center"/>
          </w:tcPr>
          <w:p w14:paraId="654707A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1DD471E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vMerge w:val="restart"/>
            <w:tcBorders>
              <w:top w:val="nil"/>
              <w:left w:val="single" w:color="auto" w:sz="4" w:space="0"/>
              <w:bottom w:val="single" w:color="000000" w:sz="4" w:space="0"/>
              <w:right w:val="single" w:color="auto" w:sz="4" w:space="0"/>
            </w:tcBorders>
            <w:shd w:val="clear" w:color="000000" w:fill="FFFFFF"/>
            <w:vAlign w:val="center"/>
          </w:tcPr>
          <w:p w14:paraId="1A5908D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6D43FDB4">
        <w:tblPrEx>
          <w:tblCellMar>
            <w:top w:w="0" w:type="dxa"/>
            <w:left w:w="108" w:type="dxa"/>
            <w:bottom w:w="0" w:type="dxa"/>
            <w:right w:w="108" w:type="dxa"/>
          </w:tblCellMar>
        </w:tblPrEx>
        <w:trPr>
          <w:trHeight w:val="436" w:hRule="atLeast"/>
          <w:jc w:val="center"/>
        </w:trPr>
        <w:tc>
          <w:tcPr>
            <w:tcW w:w="1069" w:type="dxa"/>
            <w:vMerge w:val="continue"/>
            <w:tcBorders>
              <w:top w:val="nil"/>
              <w:left w:val="single" w:color="auto" w:sz="4" w:space="0"/>
              <w:bottom w:val="nil"/>
              <w:right w:val="single" w:color="auto" w:sz="4" w:space="0"/>
            </w:tcBorders>
            <w:vAlign w:val="center"/>
          </w:tcPr>
          <w:p w14:paraId="14320E6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03EE769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宫颈涂片</w:t>
            </w:r>
          </w:p>
        </w:tc>
        <w:tc>
          <w:tcPr>
            <w:tcW w:w="2835" w:type="dxa"/>
            <w:tcBorders>
              <w:top w:val="nil"/>
              <w:left w:val="nil"/>
              <w:bottom w:val="single" w:color="auto" w:sz="4" w:space="0"/>
              <w:right w:val="single" w:color="auto" w:sz="4" w:space="0"/>
            </w:tcBorders>
            <w:shd w:val="clear" w:color="000000" w:fill="FFFFFF"/>
            <w:vAlign w:val="center"/>
          </w:tcPr>
          <w:p w14:paraId="3C608D7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检查是否有宫颈癌及癌前病变。</w:t>
            </w:r>
          </w:p>
        </w:tc>
        <w:tc>
          <w:tcPr>
            <w:tcW w:w="430" w:type="dxa"/>
            <w:vMerge w:val="continue"/>
            <w:tcBorders>
              <w:top w:val="nil"/>
              <w:left w:val="single" w:color="auto" w:sz="4" w:space="0"/>
              <w:bottom w:val="single" w:color="000000" w:sz="4" w:space="0"/>
              <w:right w:val="single" w:color="auto" w:sz="4" w:space="0"/>
            </w:tcBorders>
            <w:vAlign w:val="center"/>
          </w:tcPr>
          <w:p w14:paraId="7A388CC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tcBorders>
              <w:top w:val="nil"/>
              <w:left w:val="nil"/>
              <w:bottom w:val="single" w:color="auto" w:sz="4" w:space="0"/>
              <w:right w:val="single" w:color="auto" w:sz="4" w:space="0"/>
            </w:tcBorders>
            <w:shd w:val="clear" w:color="000000" w:fill="FFFFFF"/>
            <w:vAlign w:val="center"/>
          </w:tcPr>
          <w:p w14:paraId="32C9945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vMerge w:val="continue"/>
            <w:tcBorders>
              <w:top w:val="nil"/>
              <w:left w:val="single" w:color="auto" w:sz="4" w:space="0"/>
              <w:bottom w:val="single" w:color="000000" w:sz="4" w:space="0"/>
              <w:right w:val="single" w:color="auto" w:sz="4" w:space="0"/>
            </w:tcBorders>
            <w:vAlign w:val="center"/>
          </w:tcPr>
          <w:p w14:paraId="6EFDD22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6ADCBBC5">
        <w:tblPrEx>
          <w:tblCellMar>
            <w:top w:w="0" w:type="dxa"/>
            <w:left w:w="108" w:type="dxa"/>
            <w:bottom w:w="0" w:type="dxa"/>
            <w:right w:w="108" w:type="dxa"/>
          </w:tblCellMar>
        </w:tblPrEx>
        <w:trPr>
          <w:trHeight w:val="447" w:hRule="atLeast"/>
          <w:jc w:val="center"/>
        </w:trPr>
        <w:tc>
          <w:tcPr>
            <w:tcW w:w="1069" w:type="dxa"/>
            <w:tcBorders>
              <w:top w:val="single" w:color="auto" w:sz="4" w:space="0"/>
              <w:left w:val="single" w:color="auto" w:sz="4" w:space="0"/>
              <w:bottom w:val="single" w:color="auto" w:sz="4" w:space="0"/>
              <w:right w:val="single" w:color="auto" w:sz="4" w:space="0"/>
            </w:tcBorders>
            <w:shd w:val="clear" w:color="000000" w:fill="FFFFFF"/>
            <w:vAlign w:val="center"/>
          </w:tcPr>
          <w:p w14:paraId="149CDFE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心电图</w:t>
            </w:r>
          </w:p>
        </w:tc>
        <w:tc>
          <w:tcPr>
            <w:tcW w:w="2900" w:type="dxa"/>
            <w:tcBorders>
              <w:top w:val="nil"/>
              <w:left w:val="nil"/>
              <w:bottom w:val="single" w:color="auto" w:sz="4" w:space="0"/>
              <w:right w:val="single" w:color="auto" w:sz="4" w:space="0"/>
            </w:tcBorders>
            <w:shd w:val="clear" w:color="000000" w:fill="FFFFFF"/>
            <w:vAlign w:val="center"/>
          </w:tcPr>
          <w:p w14:paraId="64A9C82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十二导联心电图检测</w:t>
            </w:r>
          </w:p>
        </w:tc>
        <w:tc>
          <w:tcPr>
            <w:tcW w:w="2835" w:type="dxa"/>
            <w:tcBorders>
              <w:top w:val="nil"/>
              <w:left w:val="nil"/>
              <w:bottom w:val="single" w:color="auto" w:sz="4" w:space="0"/>
              <w:right w:val="single" w:color="auto" w:sz="4" w:space="0"/>
            </w:tcBorders>
            <w:shd w:val="clear" w:color="000000" w:fill="FFFFFF"/>
            <w:vAlign w:val="center"/>
          </w:tcPr>
          <w:p w14:paraId="2C41C15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发现有无心律失常、缺血性心脏病、心肌病变等。</w:t>
            </w:r>
          </w:p>
        </w:tc>
        <w:tc>
          <w:tcPr>
            <w:tcW w:w="430" w:type="dxa"/>
            <w:tcBorders>
              <w:top w:val="nil"/>
              <w:left w:val="nil"/>
              <w:bottom w:val="single" w:color="auto" w:sz="4" w:space="0"/>
              <w:right w:val="single" w:color="auto" w:sz="4" w:space="0"/>
            </w:tcBorders>
            <w:shd w:val="clear" w:color="000000" w:fill="FFFFFF"/>
            <w:vAlign w:val="center"/>
          </w:tcPr>
          <w:p w14:paraId="5BE86BEF">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1584364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4D2E8745">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7177EF52">
        <w:tblPrEx>
          <w:tblCellMar>
            <w:top w:w="0" w:type="dxa"/>
            <w:left w:w="108" w:type="dxa"/>
            <w:bottom w:w="0" w:type="dxa"/>
            <w:right w:w="108" w:type="dxa"/>
          </w:tblCellMar>
        </w:tblPrEx>
        <w:trPr>
          <w:trHeight w:val="518" w:hRule="atLeast"/>
          <w:jc w:val="center"/>
        </w:trPr>
        <w:tc>
          <w:tcPr>
            <w:tcW w:w="1069" w:type="dxa"/>
            <w:vMerge w:val="restart"/>
            <w:tcBorders>
              <w:top w:val="nil"/>
              <w:left w:val="single" w:color="auto" w:sz="4" w:space="0"/>
              <w:bottom w:val="single" w:color="000000" w:sz="4" w:space="0"/>
              <w:right w:val="single" w:color="auto" w:sz="4" w:space="0"/>
            </w:tcBorders>
            <w:shd w:val="clear" w:color="000000" w:fill="FFFFFF"/>
            <w:vAlign w:val="center"/>
          </w:tcPr>
          <w:p w14:paraId="2D693C9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CT检查（两项任意自选一项）</w:t>
            </w:r>
          </w:p>
        </w:tc>
        <w:tc>
          <w:tcPr>
            <w:tcW w:w="2900" w:type="dxa"/>
            <w:tcBorders>
              <w:top w:val="nil"/>
              <w:left w:val="nil"/>
              <w:bottom w:val="single" w:color="auto" w:sz="4" w:space="0"/>
              <w:right w:val="single" w:color="auto" w:sz="4" w:space="0"/>
            </w:tcBorders>
            <w:shd w:val="clear" w:color="000000" w:fill="FFFFFF"/>
            <w:vAlign w:val="center"/>
          </w:tcPr>
          <w:p w14:paraId="27E111F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胸部CT（不含片子）</w:t>
            </w:r>
          </w:p>
        </w:tc>
        <w:tc>
          <w:tcPr>
            <w:tcW w:w="2835" w:type="dxa"/>
            <w:tcBorders>
              <w:top w:val="nil"/>
              <w:left w:val="nil"/>
              <w:bottom w:val="single" w:color="auto" w:sz="4" w:space="0"/>
              <w:right w:val="single" w:color="auto" w:sz="4" w:space="0"/>
            </w:tcBorders>
            <w:shd w:val="clear" w:color="000000" w:fill="FFFFFF"/>
            <w:vAlign w:val="center"/>
          </w:tcPr>
          <w:p w14:paraId="1436CC4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根据临床需要可检出X线胸片未发现的隐性病源,用于双肺肿瘤的早期筛查。</w:t>
            </w:r>
          </w:p>
        </w:tc>
        <w:tc>
          <w:tcPr>
            <w:tcW w:w="430" w:type="dxa"/>
            <w:vMerge w:val="restart"/>
            <w:tcBorders>
              <w:top w:val="nil"/>
              <w:left w:val="single" w:color="auto" w:sz="4" w:space="0"/>
              <w:bottom w:val="single" w:color="000000" w:sz="4" w:space="0"/>
              <w:right w:val="single" w:color="auto" w:sz="4" w:space="0"/>
            </w:tcBorders>
            <w:shd w:val="clear" w:color="000000" w:fill="FFFFFF"/>
            <w:vAlign w:val="center"/>
          </w:tcPr>
          <w:p w14:paraId="01EEFA1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vMerge w:val="restart"/>
            <w:tcBorders>
              <w:top w:val="nil"/>
              <w:left w:val="single" w:color="auto" w:sz="4" w:space="0"/>
              <w:bottom w:val="single" w:color="000000" w:sz="4" w:space="0"/>
              <w:right w:val="single" w:color="auto" w:sz="4" w:space="0"/>
            </w:tcBorders>
            <w:shd w:val="clear" w:color="000000" w:fill="FFFFFF"/>
            <w:vAlign w:val="center"/>
          </w:tcPr>
          <w:p w14:paraId="517DC72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vMerge w:val="restart"/>
            <w:tcBorders>
              <w:top w:val="nil"/>
              <w:left w:val="single" w:color="auto" w:sz="4" w:space="0"/>
              <w:bottom w:val="single" w:color="000000" w:sz="4" w:space="0"/>
              <w:right w:val="single" w:color="auto" w:sz="4" w:space="0"/>
            </w:tcBorders>
            <w:shd w:val="clear" w:color="000000" w:fill="FFFFFF"/>
            <w:vAlign w:val="center"/>
          </w:tcPr>
          <w:p w14:paraId="33BF71E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3D1BAEBE">
        <w:tblPrEx>
          <w:tblCellMar>
            <w:top w:w="0" w:type="dxa"/>
            <w:left w:w="108" w:type="dxa"/>
            <w:bottom w:w="0" w:type="dxa"/>
            <w:right w:w="108" w:type="dxa"/>
          </w:tblCellMar>
        </w:tblPrEx>
        <w:trPr>
          <w:trHeight w:val="656"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0BC41FE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6CC478F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头颅CT平扫（不含片子）</w:t>
            </w:r>
          </w:p>
        </w:tc>
        <w:tc>
          <w:tcPr>
            <w:tcW w:w="2835" w:type="dxa"/>
            <w:tcBorders>
              <w:top w:val="nil"/>
              <w:left w:val="nil"/>
              <w:bottom w:val="single" w:color="auto" w:sz="4" w:space="0"/>
              <w:right w:val="single" w:color="auto" w:sz="4" w:space="0"/>
            </w:tcBorders>
            <w:shd w:val="clear" w:color="000000" w:fill="FFFFFF"/>
            <w:vAlign w:val="center"/>
          </w:tcPr>
          <w:p w14:paraId="174CB22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检查脑部病变情况如是否有脑出血、脑梗死、脑肿瘤、先天脑部畸形、脑部感染性疾病等。</w:t>
            </w:r>
          </w:p>
        </w:tc>
        <w:tc>
          <w:tcPr>
            <w:tcW w:w="430" w:type="dxa"/>
            <w:vMerge w:val="continue"/>
            <w:tcBorders>
              <w:top w:val="nil"/>
              <w:left w:val="single" w:color="auto" w:sz="4" w:space="0"/>
              <w:bottom w:val="single" w:color="000000" w:sz="4" w:space="0"/>
              <w:right w:val="single" w:color="auto" w:sz="4" w:space="0"/>
            </w:tcBorders>
            <w:vAlign w:val="center"/>
          </w:tcPr>
          <w:p w14:paraId="02ABE94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000000" w:sz="4" w:space="0"/>
              <w:right w:val="single" w:color="auto" w:sz="4" w:space="0"/>
            </w:tcBorders>
            <w:vAlign w:val="center"/>
          </w:tcPr>
          <w:p w14:paraId="35BD7FD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000000" w:sz="4" w:space="0"/>
              <w:right w:val="single" w:color="auto" w:sz="4" w:space="0"/>
            </w:tcBorders>
            <w:vAlign w:val="center"/>
          </w:tcPr>
          <w:p w14:paraId="69EE5C9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212799A3">
        <w:tblPrEx>
          <w:tblCellMar>
            <w:top w:w="0" w:type="dxa"/>
            <w:left w:w="108" w:type="dxa"/>
            <w:bottom w:w="0" w:type="dxa"/>
            <w:right w:w="108" w:type="dxa"/>
          </w:tblCellMar>
        </w:tblPrEx>
        <w:trPr>
          <w:trHeight w:val="283"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700D02D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个人汇总分析</w:t>
            </w:r>
          </w:p>
        </w:tc>
        <w:tc>
          <w:tcPr>
            <w:tcW w:w="2900" w:type="dxa"/>
            <w:tcBorders>
              <w:top w:val="nil"/>
              <w:left w:val="nil"/>
              <w:bottom w:val="single" w:color="auto" w:sz="4" w:space="0"/>
              <w:right w:val="single" w:color="auto" w:sz="4" w:space="0"/>
            </w:tcBorders>
            <w:shd w:val="clear" w:color="000000" w:fill="FFFFFF"/>
            <w:vAlign w:val="center"/>
          </w:tcPr>
          <w:p w14:paraId="27CA909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所有项目综合分析</w:t>
            </w:r>
          </w:p>
        </w:tc>
        <w:tc>
          <w:tcPr>
            <w:tcW w:w="2835" w:type="dxa"/>
            <w:tcBorders>
              <w:top w:val="nil"/>
              <w:left w:val="nil"/>
              <w:bottom w:val="single" w:color="auto" w:sz="4" w:space="0"/>
              <w:right w:val="single" w:color="auto" w:sz="4" w:space="0"/>
            </w:tcBorders>
            <w:shd w:val="clear" w:color="000000" w:fill="FFFFFF"/>
            <w:vAlign w:val="center"/>
          </w:tcPr>
          <w:p w14:paraId="09A7FC7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提出分析意见及健康指导。</w:t>
            </w:r>
          </w:p>
        </w:tc>
        <w:tc>
          <w:tcPr>
            <w:tcW w:w="430" w:type="dxa"/>
            <w:tcBorders>
              <w:top w:val="nil"/>
              <w:left w:val="nil"/>
              <w:bottom w:val="single" w:color="auto" w:sz="4" w:space="0"/>
              <w:right w:val="single" w:color="auto" w:sz="4" w:space="0"/>
            </w:tcBorders>
            <w:shd w:val="clear" w:color="000000" w:fill="FFFFFF"/>
            <w:vAlign w:val="center"/>
          </w:tcPr>
          <w:p w14:paraId="0B3A625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7F9F4FC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465D6B0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5B169F69">
        <w:tblPrEx>
          <w:tblCellMar>
            <w:top w:w="0" w:type="dxa"/>
            <w:left w:w="108" w:type="dxa"/>
            <w:bottom w:w="0" w:type="dxa"/>
            <w:right w:w="108" w:type="dxa"/>
          </w:tblCellMar>
        </w:tblPrEx>
        <w:trPr>
          <w:trHeight w:val="447"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6638F33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免费营养早餐</w:t>
            </w:r>
          </w:p>
        </w:tc>
        <w:tc>
          <w:tcPr>
            <w:tcW w:w="2900" w:type="dxa"/>
            <w:tcBorders>
              <w:top w:val="nil"/>
              <w:left w:val="nil"/>
              <w:bottom w:val="single" w:color="auto" w:sz="4" w:space="0"/>
              <w:right w:val="single" w:color="auto" w:sz="4" w:space="0"/>
            </w:tcBorders>
            <w:shd w:val="clear" w:color="000000" w:fill="FFFFFF"/>
            <w:vAlign w:val="center"/>
          </w:tcPr>
          <w:p w14:paraId="0EE4DB7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鸡蛋、牛奶、面包等</w:t>
            </w:r>
          </w:p>
        </w:tc>
        <w:tc>
          <w:tcPr>
            <w:tcW w:w="2835" w:type="dxa"/>
            <w:tcBorders>
              <w:top w:val="nil"/>
              <w:left w:val="nil"/>
              <w:bottom w:val="single" w:color="auto" w:sz="4" w:space="0"/>
              <w:right w:val="single" w:color="auto" w:sz="4" w:space="0"/>
            </w:tcBorders>
            <w:shd w:val="clear" w:color="000000" w:fill="FFFFFF"/>
            <w:vAlign w:val="center"/>
          </w:tcPr>
          <w:p w14:paraId="14F9C08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营养丰富的早餐提供足量的早餐所需要的营养物。</w:t>
            </w:r>
          </w:p>
        </w:tc>
        <w:tc>
          <w:tcPr>
            <w:tcW w:w="430" w:type="dxa"/>
            <w:tcBorders>
              <w:top w:val="nil"/>
              <w:left w:val="nil"/>
              <w:bottom w:val="single" w:color="auto" w:sz="4" w:space="0"/>
              <w:right w:val="single" w:color="auto" w:sz="4" w:space="0"/>
            </w:tcBorders>
            <w:shd w:val="clear" w:color="000000" w:fill="FFFFFF"/>
            <w:vAlign w:val="center"/>
          </w:tcPr>
          <w:p w14:paraId="535122B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0BE95FF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5931F61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bl>
    <w:p w14:paraId="458BD87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注：甲方教职工有权根据自身实际需求选择除上述体检套餐以外的体检项目，包括但不限于幽门螺杆菌检测等，如若选择体检套餐以外体检项目的，该教职工须对应减少上述某一项或某几项同等价位的体检项目。（根据中标供应商响应文件内容填写）</w:t>
      </w:r>
    </w:p>
    <w:p w14:paraId="54DAF97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二、服务期限及服务地点</w:t>
      </w:r>
    </w:p>
    <w:p w14:paraId="3CF790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b w:val="0"/>
          <w:bCs w:val="0"/>
          <w:color w:val="auto"/>
          <w:sz w:val="24"/>
          <w:szCs w:val="24"/>
          <w:highlight w:val="none"/>
          <w:u w:val="none"/>
          <w:lang w:val="en-US" w:eastAsia="zh-CN"/>
        </w:rPr>
      </w:pPr>
      <w:r>
        <w:rPr>
          <w:rFonts w:hint="eastAsia" w:ascii="宋体" w:hAnsi="宋体" w:eastAsia="宋体" w:cs="宋体"/>
          <w:bCs w:val="0"/>
          <w:color w:val="auto"/>
          <w:spacing w:val="0"/>
          <w:kern w:val="2"/>
          <w:sz w:val="24"/>
          <w:szCs w:val="24"/>
          <w:highlight w:val="none"/>
          <w:u w:val="none"/>
        </w:rPr>
        <w:t>1.合同履行期</w:t>
      </w:r>
      <w:r>
        <w:rPr>
          <w:rFonts w:hint="eastAsia" w:ascii="宋体" w:hAnsi="宋体" w:eastAsia="宋体" w:cs="宋体"/>
          <w:b w:val="0"/>
          <w:bCs w:val="0"/>
          <w:color w:val="auto"/>
          <w:spacing w:val="0"/>
          <w:kern w:val="2"/>
          <w:sz w:val="24"/>
          <w:szCs w:val="24"/>
          <w:highlight w:val="none"/>
          <w:u w:val="none"/>
        </w:rPr>
        <w:t>限</w:t>
      </w:r>
      <w:r>
        <w:rPr>
          <w:rFonts w:hint="eastAsia" w:ascii="宋体" w:hAnsi="宋体" w:eastAsia="宋体" w:cs="Times New Roman"/>
          <w:b w:val="0"/>
          <w:bCs w:val="0"/>
          <w:color w:val="auto"/>
          <w:sz w:val="24"/>
          <w:szCs w:val="24"/>
          <w:highlight w:val="none"/>
          <w:u w:val="none"/>
          <w:lang w:val="en-US" w:eastAsia="zh-CN"/>
        </w:rPr>
        <w:t>/体检时间</w:t>
      </w:r>
      <w:r>
        <w:rPr>
          <w:rFonts w:hint="eastAsia" w:ascii="宋体" w:hAnsi="宋体" w:eastAsia="宋体" w:cs="Times New Roman"/>
          <w:b w:val="0"/>
          <w:bCs w:val="0"/>
          <w:color w:val="auto"/>
          <w:sz w:val="24"/>
          <w:szCs w:val="24"/>
          <w:highlight w:val="none"/>
          <w:u w:val="none"/>
        </w:rPr>
        <w:t>：</w:t>
      </w:r>
      <w:r>
        <w:rPr>
          <w:rFonts w:hint="eastAsia" w:ascii="宋体" w:hAnsi="宋体" w:cs="Times New Roman"/>
          <w:b w:val="0"/>
          <w:bCs w:val="0"/>
          <w:color w:val="auto"/>
          <w:sz w:val="24"/>
          <w:szCs w:val="24"/>
          <w:highlight w:val="none"/>
          <w:u w:val="none"/>
          <w:lang w:eastAsia="zh-CN"/>
        </w:rPr>
        <w:t>三年（合同一年一签，上一年度考核合格后续签下一年度合同）</w:t>
      </w:r>
      <w:r>
        <w:rPr>
          <w:rFonts w:hint="eastAsia" w:ascii="宋体" w:hAnsi="宋体" w:eastAsia="宋体" w:cs="Times New Roman"/>
          <w:b w:val="0"/>
          <w:bCs w:val="0"/>
          <w:color w:val="auto"/>
          <w:sz w:val="24"/>
          <w:szCs w:val="24"/>
          <w:highlight w:val="none"/>
          <w:u w:val="none"/>
          <w:lang w:val="en-US" w:eastAsia="zh-CN"/>
        </w:rPr>
        <w:t>。</w:t>
      </w:r>
    </w:p>
    <w:p w14:paraId="0589C28E">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pacing w:val="0"/>
          <w:kern w:val="2"/>
          <w:sz w:val="24"/>
          <w:szCs w:val="24"/>
          <w:highlight w:val="none"/>
          <w:lang w:val="en-US" w:eastAsia="zh-CN" w:bidi="ar-SA"/>
        </w:rPr>
      </w:pPr>
      <w:r>
        <w:rPr>
          <w:rFonts w:hint="eastAsia" w:ascii="宋体" w:hAnsi="宋体" w:eastAsia="宋体" w:cs="宋体"/>
          <w:b w:val="0"/>
          <w:bCs w:val="0"/>
          <w:color w:val="auto"/>
          <w:spacing w:val="0"/>
          <w:kern w:val="2"/>
          <w:sz w:val="24"/>
          <w:szCs w:val="24"/>
          <w:highlight w:val="none"/>
          <w:lang w:val="en-US" w:eastAsia="zh-CN" w:bidi="ar-SA"/>
        </w:rPr>
        <w:t>2.体检地点：云南省昆明市</w:t>
      </w:r>
      <w:r>
        <w:rPr>
          <w:rFonts w:hint="eastAsia" w:ascii="宋体" w:hAnsi="宋体" w:eastAsia="宋体" w:cs="宋体"/>
          <w:b w:val="0"/>
          <w:bCs w:val="0"/>
          <w:spacing w:val="0"/>
          <w:kern w:val="2"/>
          <w:sz w:val="24"/>
          <w:szCs w:val="24"/>
          <w:highlight w:val="none"/>
          <w:lang w:val="en-US" w:eastAsia="zh-CN" w:bidi="ar-SA"/>
        </w:rPr>
        <w:t>。</w:t>
      </w:r>
    </w:p>
    <w:p w14:paraId="07C89F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三、合同价款</w:t>
      </w:r>
    </w:p>
    <w:p w14:paraId="266B86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合计：</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元（大写：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元整）</w:t>
      </w:r>
      <w:r>
        <w:rPr>
          <w:rFonts w:hint="eastAsia" w:ascii="宋体" w:hAnsi="宋体" w:eastAsia="宋体" w:cs="宋体"/>
          <w:bCs/>
          <w:sz w:val="24"/>
          <w:szCs w:val="24"/>
          <w:highlight w:val="none"/>
          <w:lang w:eastAsia="zh-CN"/>
        </w:rPr>
        <w:t>。</w:t>
      </w:r>
    </w:p>
    <w:tbl>
      <w:tblPr>
        <w:tblStyle w:val="44"/>
        <w:tblW w:w="85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0"/>
        <w:gridCol w:w="2366"/>
        <w:gridCol w:w="2013"/>
        <w:gridCol w:w="3254"/>
      </w:tblGrid>
      <w:tr w14:paraId="632ED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14:paraId="09DEE77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Tahoma"/>
                <w:b/>
                <w:bCs/>
                <w:color w:val="000000"/>
                <w:kern w:val="0"/>
                <w:sz w:val="21"/>
                <w:szCs w:val="21"/>
              </w:rPr>
            </w:pPr>
            <w:r>
              <w:rPr>
                <w:rFonts w:hint="eastAsia" w:ascii="宋体" w:hAnsi="宋体" w:eastAsia="宋体" w:cs="Tahoma"/>
                <w:b/>
                <w:bCs/>
                <w:color w:val="000000"/>
                <w:kern w:val="0"/>
                <w:sz w:val="21"/>
                <w:szCs w:val="21"/>
                <w:lang w:val="en-US" w:eastAsia="zh-CN"/>
              </w:rPr>
              <w:t>序号</w:t>
            </w:r>
          </w:p>
        </w:tc>
        <w:tc>
          <w:tcPr>
            <w:tcW w:w="2366" w:type="dxa"/>
            <w:tcBorders>
              <w:top w:val="single" w:color="000000" w:sz="4" w:space="0"/>
              <w:left w:val="single" w:color="000000" w:sz="4" w:space="0"/>
              <w:bottom w:val="single" w:color="000000" w:sz="4" w:space="0"/>
              <w:right w:val="single" w:color="000000" w:sz="4" w:space="0"/>
            </w:tcBorders>
            <w:noWrap/>
            <w:vAlign w:val="center"/>
          </w:tcPr>
          <w:p w14:paraId="096247B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Tahoma"/>
                <w:b/>
                <w:bCs/>
                <w:color w:val="000000"/>
                <w:kern w:val="0"/>
                <w:sz w:val="21"/>
                <w:szCs w:val="21"/>
              </w:rPr>
            </w:pPr>
            <w:r>
              <w:rPr>
                <w:rFonts w:hint="eastAsia" w:ascii="宋体" w:hAnsi="宋体" w:eastAsia="宋体" w:cs="Tahoma"/>
                <w:b/>
                <w:bCs/>
                <w:color w:val="000000"/>
                <w:kern w:val="0"/>
                <w:sz w:val="21"/>
                <w:szCs w:val="21"/>
                <w:lang w:val="en-US" w:eastAsia="zh-CN"/>
              </w:rPr>
              <w:t>体检人员</w:t>
            </w:r>
          </w:p>
        </w:tc>
        <w:tc>
          <w:tcPr>
            <w:tcW w:w="2013" w:type="dxa"/>
            <w:tcBorders>
              <w:top w:val="single" w:color="000000" w:sz="4" w:space="0"/>
              <w:left w:val="single" w:color="000000" w:sz="4" w:space="0"/>
              <w:bottom w:val="single" w:color="000000" w:sz="4" w:space="0"/>
              <w:right w:val="single" w:color="000000" w:sz="4" w:space="0"/>
            </w:tcBorders>
            <w:noWrap/>
            <w:vAlign w:val="center"/>
          </w:tcPr>
          <w:p w14:paraId="1F930A2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Tahoma"/>
                <w:b/>
                <w:bCs/>
                <w:color w:val="000000"/>
                <w:kern w:val="0"/>
                <w:sz w:val="21"/>
                <w:szCs w:val="21"/>
              </w:rPr>
            </w:pPr>
            <w:r>
              <w:rPr>
                <w:rFonts w:hint="eastAsia" w:ascii="宋体" w:hAnsi="宋体" w:eastAsia="宋体" w:cs="Tahoma"/>
                <w:b/>
                <w:bCs/>
                <w:color w:val="000000"/>
                <w:kern w:val="0"/>
                <w:sz w:val="21"/>
                <w:szCs w:val="21"/>
                <w:lang w:val="en-US" w:eastAsia="zh-CN"/>
              </w:rPr>
              <w:t>单价（元/人）</w:t>
            </w:r>
          </w:p>
        </w:tc>
        <w:tc>
          <w:tcPr>
            <w:tcW w:w="3254" w:type="dxa"/>
            <w:tcBorders>
              <w:top w:val="single" w:color="000000" w:sz="4" w:space="0"/>
              <w:left w:val="single" w:color="000000" w:sz="4" w:space="0"/>
              <w:bottom w:val="single" w:color="000000" w:sz="4" w:space="0"/>
              <w:right w:val="single" w:color="000000" w:sz="4" w:space="0"/>
            </w:tcBorders>
            <w:noWrap/>
            <w:vAlign w:val="center"/>
          </w:tcPr>
          <w:p w14:paraId="53814ED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Tahoma"/>
                <w:b/>
                <w:bCs/>
                <w:color w:val="000000"/>
                <w:kern w:val="0"/>
                <w:sz w:val="21"/>
                <w:szCs w:val="21"/>
              </w:rPr>
            </w:pPr>
            <w:r>
              <w:rPr>
                <w:rFonts w:hint="eastAsia" w:ascii="宋体" w:hAnsi="宋体" w:eastAsia="宋体" w:cs="Tahoma"/>
                <w:b/>
                <w:bCs/>
                <w:color w:val="000000"/>
                <w:kern w:val="0"/>
                <w:sz w:val="21"/>
                <w:szCs w:val="21"/>
                <w:lang w:val="en-US" w:eastAsia="zh-CN"/>
              </w:rPr>
              <w:t>预计人数</w:t>
            </w:r>
          </w:p>
        </w:tc>
      </w:tr>
      <w:tr w14:paraId="2E913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14:paraId="7D43557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Tahoma"/>
                <w:color w:val="000000"/>
                <w:kern w:val="0"/>
                <w:sz w:val="21"/>
                <w:szCs w:val="21"/>
              </w:rPr>
            </w:pPr>
            <w:r>
              <w:rPr>
                <w:rFonts w:hint="eastAsia" w:ascii="宋体" w:hAnsi="宋体" w:eastAsia="宋体" w:cs="Tahoma"/>
                <w:color w:val="000000"/>
                <w:kern w:val="0"/>
                <w:sz w:val="21"/>
                <w:szCs w:val="21"/>
                <w:lang w:val="en-US" w:eastAsia="zh-CN"/>
              </w:rPr>
              <w:t>1</w:t>
            </w:r>
          </w:p>
        </w:tc>
        <w:tc>
          <w:tcPr>
            <w:tcW w:w="2366" w:type="dxa"/>
            <w:tcBorders>
              <w:top w:val="single" w:color="000000" w:sz="4" w:space="0"/>
              <w:left w:val="single" w:color="000000" w:sz="4" w:space="0"/>
              <w:bottom w:val="single" w:color="000000" w:sz="4" w:space="0"/>
              <w:right w:val="single" w:color="000000" w:sz="4" w:space="0"/>
            </w:tcBorders>
            <w:noWrap/>
            <w:vAlign w:val="center"/>
          </w:tcPr>
          <w:p w14:paraId="3EB55EE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Tahoma"/>
                <w:color w:val="000000"/>
                <w:kern w:val="0"/>
                <w:sz w:val="21"/>
                <w:szCs w:val="21"/>
              </w:rPr>
            </w:pPr>
            <w:r>
              <w:rPr>
                <w:rFonts w:hint="eastAsia" w:ascii="宋体" w:hAnsi="宋体" w:eastAsia="宋体" w:cs="Tahoma"/>
                <w:color w:val="000000"/>
                <w:kern w:val="0"/>
                <w:sz w:val="21"/>
                <w:szCs w:val="21"/>
                <w:lang w:val="en-US" w:eastAsia="zh-CN"/>
              </w:rPr>
              <w:t>男性职工</w:t>
            </w:r>
          </w:p>
        </w:tc>
        <w:tc>
          <w:tcPr>
            <w:tcW w:w="2013" w:type="dxa"/>
            <w:tcBorders>
              <w:top w:val="single" w:color="000000" w:sz="4" w:space="0"/>
              <w:left w:val="single" w:color="000000" w:sz="4" w:space="0"/>
              <w:bottom w:val="single" w:color="000000" w:sz="4" w:space="0"/>
              <w:right w:val="single" w:color="000000" w:sz="4" w:space="0"/>
            </w:tcBorders>
            <w:noWrap/>
            <w:vAlign w:val="center"/>
          </w:tcPr>
          <w:p w14:paraId="72C74C8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Tahoma"/>
                <w:color w:val="000000"/>
                <w:kern w:val="0"/>
                <w:sz w:val="21"/>
                <w:szCs w:val="21"/>
              </w:rPr>
            </w:pPr>
          </w:p>
        </w:tc>
        <w:tc>
          <w:tcPr>
            <w:tcW w:w="3254" w:type="dxa"/>
            <w:tcBorders>
              <w:top w:val="single" w:color="000000" w:sz="4" w:space="0"/>
              <w:left w:val="single" w:color="000000" w:sz="4" w:space="0"/>
              <w:bottom w:val="single" w:color="000000" w:sz="4" w:space="0"/>
              <w:right w:val="single" w:color="000000" w:sz="4" w:space="0"/>
            </w:tcBorders>
            <w:noWrap/>
            <w:vAlign w:val="center"/>
          </w:tcPr>
          <w:p w14:paraId="56711EB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eastAsia="宋体" w:cs="Tahoma"/>
                <w:color w:val="000000"/>
                <w:kern w:val="0"/>
                <w:sz w:val="21"/>
                <w:szCs w:val="21"/>
                <w:lang w:val="en-US" w:eastAsia="zh-CN"/>
              </w:rPr>
            </w:pPr>
          </w:p>
        </w:tc>
      </w:tr>
      <w:tr w14:paraId="57C63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14:paraId="2A87019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Tahoma"/>
                <w:color w:val="000000"/>
                <w:kern w:val="0"/>
                <w:sz w:val="21"/>
                <w:szCs w:val="21"/>
              </w:rPr>
            </w:pPr>
            <w:r>
              <w:rPr>
                <w:rFonts w:hint="eastAsia" w:ascii="宋体" w:hAnsi="宋体" w:eastAsia="宋体" w:cs="Tahoma"/>
                <w:color w:val="000000"/>
                <w:kern w:val="0"/>
                <w:sz w:val="21"/>
                <w:szCs w:val="21"/>
                <w:lang w:val="en-US" w:eastAsia="zh-CN"/>
              </w:rPr>
              <w:t>2</w:t>
            </w:r>
          </w:p>
        </w:tc>
        <w:tc>
          <w:tcPr>
            <w:tcW w:w="2366" w:type="dxa"/>
            <w:tcBorders>
              <w:top w:val="single" w:color="000000" w:sz="4" w:space="0"/>
              <w:left w:val="single" w:color="000000" w:sz="4" w:space="0"/>
              <w:bottom w:val="single" w:color="000000" w:sz="4" w:space="0"/>
              <w:right w:val="single" w:color="000000" w:sz="4" w:space="0"/>
            </w:tcBorders>
            <w:noWrap/>
            <w:vAlign w:val="center"/>
          </w:tcPr>
          <w:p w14:paraId="6D540B2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Tahoma"/>
                <w:color w:val="000000"/>
                <w:kern w:val="0"/>
                <w:sz w:val="21"/>
                <w:szCs w:val="21"/>
              </w:rPr>
            </w:pPr>
            <w:r>
              <w:rPr>
                <w:rFonts w:hint="eastAsia" w:ascii="宋体" w:hAnsi="宋体" w:eastAsia="宋体" w:cs="Tahoma"/>
                <w:color w:val="000000"/>
                <w:kern w:val="0"/>
                <w:sz w:val="21"/>
                <w:szCs w:val="21"/>
                <w:lang w:val="en-US" w:eastAsia="zh-CN"/>
              </w:rPr>
              <w:t>已婚女职工</w:t>
            </w:r>
          </w:p>
        </w:tc>
        <w:tc>
          <w:tcPr>
            <w:tcW w:w="2013" w:type="dxa"/>
            <w:tcBorders>
              <w:top w:val="single" w:color="000000" w:sz="4" w:space="0"/>
              <w:left w:val="single" w:color="000000" w:sz="4" w:space="0"/>
              <w:bottom w:val="single" w:color="000000" w:sz="4" w:space="0"/>
              <w:right w:val="single" w:color="000000" w:sz="4" w:space="0"/>
            </w:tcBorders>
            <w:noWrap/>
            <w:vAlign w:val="center"/>
          </w:tcPr>
          <w:p w14:paraId="61082A8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Tahoma"/>
                <w:color w:val="000000"/>
                <w:kern w:val="0"/>
                <w:sz w:val="21"/>
                <w:szCs w:val="21"/>
              </w:rPr>
            </w:pPr>
          </w:p>
        </w:tc>
        <w:tc>
          <w:tcPr>
            <w:tcW w:w="3254" w:type="dxa"/>
            <w:tcBorders>
              <w:top w:val="single" w:color="000000" w:sz="4" w:space="0"/>
              <w:left w:val="single" w:color="000000" w:sz="4" w:space="0"/>
              <w:bottom w:val="single" w:color="000000" w:sz="4" w:space="0"/>
              <w:right w:val="single" w:color="000000" w:sz="4" w:space="0"/>
            </w:tcBorders>
            <w:noWrap/>
            <w:vAlign w:val="center"/>
          </w:tcPr>
          <w:p w14:paraId="1DB9B7F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eastAsia="宋体" w:cs="Tahoma"/>
                <w:color w:val="000000"/>
                <w:kern w:val="0"/>
                <w:sz w:val="21"/>
                <w:szCs w:val="21"/>
                <w:lang w:val="en-US" w:eastAsia="zh-CN"/>
              </w:rPr>
            </w:pPr>
          </w:p>
        </w:tc>
      </w:tr>
      <w:tr w14:paraId="11031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center"/>
          </w:tcPr>
          <w:p w14:paraId="5BDACDA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Tahoma"/>
                <w:color w:val="000000"/>
                <w:kern w:val="0"/>
                <w:sz w:val="21"/>
                <w:szCs w:val="21"/>
              </w:rPr>
            </w:pPr>
            <w:r>
              <w:rPr>
                <w:rFonts w:hint="eastAsia" w:ascii="宋体" w:hAnsi="宋体" w:eastAsia="宋体" w:cs="Tahoma"/>
                <w:color w:val="000000"/>
                <w:kern w:val="0"/>
                <w:sz w:val="21"/>
                <w:szCs w:val="21"/>
                <w:lang w:val="en-US" w:eastAsia="zh-CN"/>
              </w:rPr>
              <w:t>3</w:t>
            </w:r>
          </w:p>
        </w:tc>
        <w:tc>
          <w:tcPr>
            <w:tcW w:w="2366" w:type="dxa"/>
            <w:tcBorders>
              <w:top w:val="single" w:color="000000" w:sz="4" w:space="0"/>
              <w:left w:val="single" w:color="000000" w:sz="4" w:space="0"/>
              <w:bottom w:val="single" w:color="000000" w:sz="4" w:space="0"/>
              <w:right w:val="single" w:color="000000" w:sz="4" w:space="0"/>
            </w:tcBorders>
            <w:noWrap/>
            <w:vAlign w:val="center"/>
          </w:tcPr>
          <w:p w14:paraId="39A498D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Tahoma"/>
                <w:color w:val="000000"/>
                <w:kern w:val="0"/>
                <w:sz w:val="21"/>
                <w:szCs w:val="21"/>
              </w:rPr>
            </w:pPr>
            <w:r>
              <w:rPr>
                <w:rFonts w:hint="eastAsia" w:ascii="宋体" w:hAnsi="宋体" w:eastAsia="宋体" w:cs="Tahoma"/>
                <w:color w:val="000000"/>
                <w:kern w:val="0"/>
                <w:sz w:val="21"/>
                <w:szCs w:val="21"/>
                <w:lang w:val="en-US" w:eastAsia="zh-CN"/>
              </w:rPr>
              <w:t>未婚女职工</w:t>
            </w:r>
          </w:p>
        </w:tc>
        <w:tc>
          <w:tcPr>
            <w:tcW w:w="2013" w:type="dxa"/>
            <w:tcBorders>
              <w:top w:val="single" w:color="000000" w:sz="4" w:space="0"/>
              <w:left w:val="single" w:color="000000" w:sz="4" w:space="0"/>
              <w:bottom w:val="single" w:color="000000" w:sz="4" w:space="0"/>
              <w:right w:val="single" w:color="000000" w:sz="4" w:space="0"/>
            </w:tcBorders>
            <w:noWrap/>
            <w:vAlign w:val="center"/>
          </w:tcPr>
          <w:p w14:paraId="4DBF103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Tahoma"/>
                <w:color w:val="000000"/>
                <w:kern w:val="0"/>
                <w:sz w:val="21"/>
                <w:szCs w:val="21"/>
              </w:rPr>
            </w:pPr>
          </w:p>
        </w:tc>
        <w:tc>
          <w:tcPr>
            <w:tcW w:w="3254" w:type="dxa"/>
            <w:tcBorders>
              <w:top w:val="single" w:color="000000" w:sz="4" w:space="0"/>
              <w:left w:val="single" w:color="000000" w:sz="4" w:space="0"/>
              <w:bottom w:val="single" w:color="000000" w:sz="4" w:space="0"/>
              <w:right w:val="single" w:color="000000" w:sz="4" w:space="0"/>
            </w:tcBorders>
            <w:noWrap/>
            <w:vAlign w:val="center"/>
          </w:tcPr>
          <w:p w14:paraId="24E5105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eastAsia="宋体" w:cs="Tahoma"/>
                <w:color w:val="000000"/>
                <w:kern w:val="0"/>
                <w:sz w:val="21"/>
                <w:szCs w:val="21"/>
                <w:lang w:val="en-US" w:eastAsia="zh-CN"/>
              </w:rPr>
            </w:pPr>
          </w:p>
        </w:tc>
      </w:tr>
    </w:tbl>
    <w:p w14:paraId="4376FD44">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具体参加体检人数以最终实际参加人数为准</w:t>
      </w:r>
      <w:r>
        <w:rPr>
          <w:rFonts w:hint="eastAsia" w:ascii="宋体" w:hAnsi="宋体" w:eastAsia="宋体" w:cs="宋体"/>
          <w:color w:val="auto"/>
          <w:sz w:val="24"/>
          <w:szCs w:val="24"/>
          <w:lang w:eastAsia="zh-CN"/>
        </w:rPr>
        <w:t>。最终结算金额=男性职工中标单价×实际男性职工体检人数+已婚女职工中标单价×实际已婚女职工体检人数+未婚女职工中标单价×实际未婚女职工体检人数。</w:t>
      </w:r>
    </w:p>
    <w:p w14:paraId="18A55F5F">
      <w:pPr>
        <w:keepNext w:val="0"/>
        <w:keepLines w:val="0"/>
        <w:pageBreakBefore w:val="0"/>
        <w:widowControl w:val="0"/>
        <w:kinsoku/>
        <w:wordWrap/>
        <w:overflowPunct/>
        <w:topLinePunct w:val="0"/>
        <w:bidi w:val="0"/>
        <w:snapToGrid/>
        <w:spacing w:before="0" w:after="0" w:line="360" w:lineRule="auto"/>
        <w:textAlignment w:val="auto"/>
        <w:rPr>
          <w:rFonts w:hint="eastAsia" w:ascii="宋体" w:hAnsi="宋体" w:eastAsia="宋体" w:cs="宋体"/>
          <w:b/>
          <w:bCs w:val="0"/>
          <w:spacing w:val="10"/>
          <w:sz w:val="24"/>
          <w:szCs w:val="24"/>
          <w:highlight w:val="none"/>
          <w:lang w:val="en-US" w:eastAsia="zh-CN" w:bidi="ar-SA"/>
        </w:rPr>
      </w:pPr>
      <w:r>
        <w:rPr>
          <w:rFonts w:hint="eastAsia" w:ascii="宋体" w:hAnsi="宋体" w:eastAsia="宋体" w:cs="宋体"/>
          <w:b/>
          <w:bCs w:val="0"/>
          <w:spacing w:val="10"/>
          <w:sz w:val="24"/>
          <w:szCs w:val="24"/>
          <w:highlight w:val="none"/>
          <w:lang w:val="en-US" w:eastAsia="zh-CN" w:bidi="ar-SA"/>
        </w:rPr>
        <w:t>四、付款方式</w:t>
      </w:r>
    </w:p>
    <w:p w14:paraId="5FD39A79">
      <w:pPr>
        <w:keepNext w:val="0"/>
        <w:keepLines w:val="0"/>
        <w:pageBreakBefore w:val="0"/>
        <w:widowControl w:val="0"/>
        <w:kinsoku/>
        <w:wordWrap/>
        <w:overflowPunct/>
        <w:topLinePunct w:val="0"/>
        <w:bidi w:val="0"/>
        <w:snapToGrid/>
        <w:spacing w:before="0" w:after="0" w:line="360" w:lineRule="auto"/>
        <w:ind w:firstLine="480" w:firstLineChars="200"/>
        <w:textAlignment w:val="auto"/>
        <w:rPr>
          <w:rFonts w:hint="eastAsia" w:ascii="宋体" w:hAnsi="宋体" w:eastAsia="宋体" w:cs="宋体"/>
          <w:bCs w:val="0"/>
          <w:spacing w:val="0"/>
          <w:kern w:val="2"/>
          <w:sz w:val="24"/>
          <w:szCs w:val="24"/>
          <w:highlight w:val="none"/>
          <w:lang w:val="en-US" w:eastAsia="zh-CN" w:bidi="ar-SA"/>
        </w:rPr>
      </w:pPr>
      <w:r>
        <w:rPr>
          <w:rFonts w:hint="eastAsia" w:ascii="宋体" w:hAnsi="宋体" w:eastAsia="宋体" w:cs="宋体"/>
          <w:bCs w:val="0"/>
          <w:spacing w:val="0"/>
          <w:kern w:val="2"/>
          <w:sz w:val="24"/>
          <w:szCs w:val="24"/>
          <w:highlight w:val="none"/>
          <w:lang w:val="en-US" w:eastAsia="zh-CN" w:bidi="ar-SA"/>
        </w:rPr>
        <w:t>本项目无预付款，甲方在按合同</w:t>
      </w:r>
      <w:r>
        <w:rPr>
          <w:rFonts w:hint="eastAsia" w:ascii="宋体" w:hAnsi="宋体" w:cs="宋体"/>
          <w:bCs w:val="0"/>
          <w:spacing w:val="0"/>
          <w:kern w:val="2"/>
          <w:sz w:val="24"/>
          <w:szCs w:val="24"/>
          <w:highlight w:val="none"/>
          <w:lang w:val="en-US" w:eastAsia="zh-CN" w:bidi="ar-SA"/>
        </w:rPr>
        <w:t>考核</w:t>
      </w:r>
      <w:r>
        <w:rPr>
          <w:rFonts w:hint="eastAsia" w:ascii="宋体" w:hAnsi="宋体" w:eastAsia="宋体" w:cs="宋体"/>
          <w:bCs w:val="0"/>
          <w:spacing w:val="0"/>
          <w:kern w:val="2"/>
          <w:sz w:val="24"/>
          <w:szCs w:val="24"/>
          <w:highlight w:val="none"/>
          <w:lang w:val="en-US" w:eastAsia="zh-CN" w:bidi="ar-SA"/>
        </w:rPr>
        <w:t>标准</w:t>
      </w:r>
      <w:r>
        <w:rPr>
          <w:rFonts w:hint="eastAsia" w:ascii="宋体" w:hAnsi="宋体" w:cs="宋体"/>
          <w:bCs w:val="0"/>
          <w:spacing w:val="0"/>
          <w:kern w:val="2"/>
          <w:sz w:val="24"/>
          <w:szCs w:val="24"/>
          <w:highlight w:val="none"/>
          <w:lang w:val="en-US" w:eastAsia="zh-CN" w:bidi="ar-SA"/>
        </w:rPr>
        <w:t>考核</w:t>
      </w:r>
      <w:r>
        <w:rPr>
          <w:rFonts w:hint="eastAsia" w:ascii="宋体" w:hAnsi="宋体" w:eastAsia="宋体" w:cs="宋体"/>
          <w:bCs w:val="0"/>
          <w:spacing w:val="0"/>
          <w:kern w:val="2"/>
          <w:sz w:val="24"/>
          <w:szCs w:val="24"/>
          <w:highlight w:val="none"/>
          <w:lang w:val="en-US" w:eastAsia="zh-CN" w:bidi="ar-SA"/>
        </w:rPr>
        <w:t>合格，乙方提供符合税务机关要求的正规增值税发票，并履行完相关财务报销手续，财务审核通过后的10个工作日内完成款项支付。</w:t>
      </w:r>
    </w:p>
    <w:p w14:paraId="16FBDBE8">
      <w:pPr>
        <w:keepNext w:val="0"/>
        <w:keepLines w:val="0"/>
        <w:pageBreakBefore w:val="0"/>
        <w:widowControl w:val="0"/>
        <w:kinsoku/>
        <w:wordWrap/>
        <w:overflowPunct/>
        <w:topLinePunct w:val="0"/>
        <w:bidi w:val="0"/>
        <w:snapToGrid/>
        <w:spacing w:before="0" w:after="0" w:line="360" w:lineRule="auto"/>
        <w:ind w:firstLine="480" w:firstLineChars="200"/>
        <w:textAlignment w:val="auto"/>
        <w:rPr>
          <w:rFonts w:hint="eastAsia" w:ascii="宋体" w:hAnsi="宋体" w:eastAsia="宋体" w:cs="宋体"/>
          <w:bCs w:val="0"/>
          <w:spacing w:val="0"/>
          <w:kern w:val="2"/>
          <w:sz w:val="24"/>
          <w:szCs w:val="24"/>
          <w:highlight w:val="none"/>
          <w:lang w:val="en-US" w:eastAsia="zh-CN" w:bidi="ar-SA"/>
        </w:rPr>
      </w:pPr>
      <w:r>
        <w:rPr>
          <w:rFonts w:hint="eastAsia" w:ascii="宋体" w:hAnsi="宋体" w:eastAsia="宋体" w:cs="宋体"/>
          <w:bCs w:val="0"/>
          <w:spacing w:val="0"/>
          <w:kern w:val="2"/>
          <w:sz w:val="24"/>
          <w:szCs w:val="24"/>
          <w:highlight w:val="none"/>
          <w:lang w:val="en-US" w:eastAsia="zh-CN" w:bidi="ar-SA"/>
        </w:rPr>
        <w:t>若因乙方未通过验收或提交不符合甲方及税务机关要求的正规增值税发票导致无法正常付款的，相关责任及后果由乙方自行承担。</w:t>
      </w:r>
    </w:p>
    <w:p w14:paraId="311C6E84">
      <w:pPr>
        <w:keepNext w:val="0"/>
        <w:keepLines w:val="0"/>
        <w:pageBreakBefore w:val="0"/>
        <w:widowControl w:val="0"/>
        <w:kinsoku/>
        <w:wordWrap/>
        <w:overflowPunct/>
        <w:topLinePunct w:val="0"/>
        <w:bidi w:val="0"/>
        <w:snapToGrid/>
        <w:spacing w:before="0" w:after="0" w:line="360" w:lineRule="auto"/>
        <w:ind w:firstLine="480" w:firstLineChars="200"/>
        <w:textAlignment w:val="auto"/>
        <w:rPr>
          <w:rFonts w:hint="eastAsia" w:ascii="宋体" w:hAnsi="宋体" w:eastAsia="宋体" w:cs="宋体"/>
          <w:bCs w:val="0"/>
          <w:spacing w:val="0"/>
          <w:kern w:val="2"/>
          <w:sz w:val="24"/>
          <w:szCs w:val="24"/>
          <w:highlight w:val="none"/>
          <w:lang w:val="en-US" w:eastAsia="zh-CN" w:bidi="ar-SA"/>
        </w:rPr>
      </w:pPr>
      <w:r>
        <w:rPr>
          <w:rFonts w:hint="eastAsia" w:ascii="宋体" w:hAnsi="宋体" w:eastAsia="宋体" w:cs="宋体"/>
          <w:bCs w:val="0"/>
          <w:spacing w:val="0"/>
          <w:kern w:val="2"/>
          <w:sz w:val="24"/>
          <w:szCs w:val="24"/>
          <w:highlight w:val="none"/>
          <w:lang w:val="en-US" w:eastAsia="zh-CN" w:bidi="ar-SA"/>
        </w:rPr>
        <w:t>根据事业单位财务规定，甲方付款至乙方基本账户。</w:t>
      </w:r>
    </w:p>
    <w:p w14:paraId="4D4CBC77">
      <w:pPr>
        <w:keepNext w:val="0"/>
        <w:keepLines w:val="0"/>
        <w:pageBreakBefore w:val="0"/>
        <w:widowControl w:val="0"/>
        <w:kinsoku/>
        <w:wordWrap/>
        <w:overflowPunct/>
        <w:topLinePunct w:val="0"/>
        <w:bidi w:val="0"/>
        <w:snapToGrid/>
        <w:spacing w:before="0" w:after="0" w:line="360" w:lineRule="auto"/>
        <w:ind w:firstLine="480" w:firstLineChars="200"/>
        <w:textAlignment w:val="auto"/>
        <w:rPr>
          <w:rFonts w:hint="eastAsia" w:ascii="宋体" w:hAnsi="宋体" w:eastAsia="宋体" w:cs="宋体"/>
          <w:bCs w:val="0"/>
          <w:spacing w:val="0"/>
          <w:kern w:val="2"/>
          <w:sz w:val="24"/>
          <w:szCs w:val="24"/>
          <w:highlight w:val="none"/>
          <w:lang w:val="en-US" w:eastAsia="zh-CN" w:bidi="ar-SA"/>
        </w:rPr>
      </w:pPr>
      <w:r>
        <w:rPr>
          <w:rFonts w:hint="eastAsia" w:ascii="宋体" w:hAnsi="宋体" w:eastAsia="宋体" w:cs="宋体"/>
          <w:bCs w:val="0"/>
          <w:spacing w:val="0"/>
          <w:kern w:val="2"/>
          <w:sz w:val="24"/>
          <w:szCs w:val="24"/>
          <w:highlight w:val="none"/>
          <w:lang w:val="en-US" w:eastAsia="zh-CN" w:bidi="ar-SA"/>
        </w:rPr>
        <w:t>乙方提供基本账户信息如下：</w:t>
      </w:r>
    </w:p>
    <w:p w14:paraId="4CBD4218">
      <w:pPr>
        <w:keepNext w:val="0"/>
        <w:keepLines w:val="0"/>
        <w:pageBreakBefore w:val="0"/>
        <w:widowControl w:val="0"/>
        <w:kinsoku/>
        <w:wordWrap/>
        <w:overflowPunct/>
        <w:topLinePunct w:val="0"/>
        <w:bidi w:val="0"/>
        <w:snapToGrid/>
        <w:spacing w:before="0" w:after="0" w:line="360" w:lineRule="auto"/>
        <w:ind w:firstLine="480" w:firstLineChars="200"/>
        <w:textAlignment w:val="auto"/>
        <w:rPr>
          <w:rFonts w:hint="eastAsia" w:ascii="宋体" w:hAnsi="宋体" w:eastAsia="宋体" w:cs="宋体"/>
          <w:bCs w:val="0"/>
          <w:spacing w:val="0"/>
          <w:kern w:val="2"/>
          <w:sz w:val="24"/>
          <w:szCs w:val="24"/>
          <w:highlight w:val="none"/>
          <w:lang w:val="en-US" w:eastAsia="zh-CN" w:bidi="ar-SA"/>
        </w:rPr>
      </w:pPr>
      <w:r>
        <w:rPr>
          <w:rFonts w:hint="eastAsia" w:ascii="宋体" w:hAnsi="宋体" w:eastAsia="宋体" w:cs="宋体"/>
          <w:bCs w:val="0"/>
          <w:spacing w:val="0"/>
          <w:kern w:val="2"/>
          <w:sz w:val="24"/>
          <w:szCs w:val="24"/>
          <w:highlight w:val="none"/>
          <w:lang w:val="en-US" w:eastAsia="zh-CN" w:bidi="ar-SA"/>
        </w:rPr>
        <w:t>开户名：</w:t>
      </w:r>
    </w:p>
    <w:p w14:paraId="43C6C1E0">
      <w:pPr>
        <w:keepNext w:val="0"/>
        <w:keepLines w:val="0"/>
        <w:pageBreakBefore w:val="0"/>
        <w:widowControl w:val="0"/>
        <w:kinsoku/>
        <w:wordWrap/>
        <w:overflowPunct/>
        <w:topLinePunct w:val="0"/>
        <w:bidi w:val="0"/>
        <w:snapToGrid/>
        <w:spacing w:before="0" w:after="0" w:line="360" w:lineRule="auto"/>
        <w:ind w:firstLine="480" w:firstLineChars="200"/>
        <w:textAlignment w:val="auto"/>
        <w:rPr>
          <w:rFonts w:hint="eastAsia" w:ascii="宋体" w:hAnsi="宋体" w:eastAsia="宋体" w:cs="宋体"/>
          <w:bCs w:val="0"/>
          <w:spacing w:val="0"/>
          <w:kern w:val="2"/>
          <w:sz w:val="24"/>
          <w:szCs w:val="24"/>
          <w:highlight w:val="none"/>
          <w:lang w:val="en-US" w:eastAsia="zh-CN" w:bidi="ar-SA"/>
        </w:rPr>
      </w:pPr>
      <w:r>
        <w:rPr>
          <w:rFonts w:hint="eastAsia" w:ascii="宋体" w:hAnsi="宋体" w:eastAsia="宋体" w:cs="宋体"/>
          <w:bCs w:val="0"/>
          <w:spacing w:val="0"/>
          <w:kern w:val="2"/>
          <w:sz w:val="24"/>
          <w:szCs w:val="24"/>
          <w:highlight w:val="none"/>
          <w:lang w:val="en-US" w:eastAsia="zh-CN" w:bidi="ar-SA"/>
        </w:rPr>
        <w:t>开户银行：</w:t>
      </w:r>
    </w:p>
    <w:p w14:paraId="2AF54B1D">
      <w:pPr>
        <w:keepNext w:val="0"/>
        <w:keepLines w:val="0"/>
        <w:pageBreakBefore w:val="0"/>
        <w:widowControl w:val="0"/>
        <w:kinsoku/>
        <w:wordWrap/>
        <w:overflowPunct/>
        <w:topLinePunct w:val="0"/>
        <w:bidi w:val="0"/>
        <w:snapToGrid/>
        <w:spacing w:before="0" w:after="0" w:line="360" w:lineRule="auto"/>
        <w:ind w:firstLine="480" w:firstLineChars="200"/>
        <w:textAlignment w:val="auto"/>
        <w:rPr>
          <w:rFonts w:hint="eastAsia" w:ascii="宋体" w:hAnsi="宋体" w:eastAsia="宋体" w:cs="宋体"/>
          <w:bCs w:val="0"/>
          <w:spacing w:val="0"/>
          <w:kern w:val="2"/>
          <w:sz w:val="24"/>
          <w:szCs w:val="24"/>
          <w:highlight w:val="none"/>
          <w:lang w:val="en-US" w:eastAsia="zh-CN" w:bidi="ar-SA"/>
        </w:rPr>
      </w:pPr>
      <w:r>
        <w:rPr>
          <w:rFonts w:hint="eastAsia" w:ascii="宋体" w:hAnsi="宋体" w:eastAsia="宋体" w:cs="宋体"/>
          <w:bCs w:val="0"/>
          <w:spacing w:val="0"/>
          <w:kern w:val="2"/>
          <w:sz w:val="24"/>
          <w:szCs w:val="24"/>
          <w:highlight w:val="none"/>
          <w:lang w:val="en-US" w:eastAsia="zh-CN" w:bidi="ar-SA"/>
        </w:rPr>
        <w:t>账    号：</w:t>
      </w:r>
    </w:p>
    <w:p w14:paraId="29E672F5">
      <w:pPr>
        <w:keepNext w:val="0"/>
        <w:keepLines w:val="0"/>
        <w:pageBreakBefore w:val="0"/>
        <w:widowControl w:val="0"/>
        <w:kinsoku/>
        <w:wordWrap/>
        <w:overflowPunct/>
        <w:topLinePunct w:val="0"/>
        <w:bidi w:val="0"/>
        <w:snapToGrid/>
        <w:spacing w:before="0" w:after="0" w:line="360" w:lineRule="auto"/>
        <w:ind w:firstLine="480" w:firstLineChars="200"/>
        <w:textAlignment w:val="auto"/>
        <w:rPr>
          <w:rFonts w:hint="eastAsia" w:ascii="宋体" w:hAnsi="宋体" w:eastAsia="宋体" w:cs="宋体"/>
          <w:bCs w:val="0"/>
          <w:spacing w:val="0"/>
          <w:kern w:val="2"/>
          <w:sz w:val="24"/>
          <w:szCs w:val="24"/>
          <w:highlight w:val="none"/>
          <w:lang w:val="en-US" w:eastAsia="zh-CN" w:bidi="ar-SA"/>
        </w:rPr>
      </w:pPr>
      <w:r>
        <w:rPr>
          <w:rFonts w:hint="eastAsia" w:ascii="宋体" w:hAnsi="宋体" w:eastAsia="宋体" w:cs="宋体"/>
          <w:bCs w:val="0"/>
          <w:spacing w:val="0"/>
          <w:kern w:val="2"/>
          <w:sz w:val="24"/>
          <w:szCs w:val="24"/>
          <w:highlight w:val="none"/>
          <w:lang w:val="en-US" w:eastAsia="zh-CN" w:bidi="ar-SA"/>
        </w:rPr>
        <w:t>统一社会信用代码：</w:t>
      </w:r>
    </w:p>
    <w:p w14:paraId="0E3AB924">
      <w:pPr>
        <w:keepNext w:val="0"/>
        <w:keepLines w:val="0"/>
        <w:pageBreakBefore w:val="0"/>
        <w:widowControl w:val="0"/>
        <w:kinsoku/>
        <w:wordWrap/>
        <w:overflowPunct/>
        <w:topLinePunct w:val="0"/>
        <w:bidi w:val="0"/>
        <w:snapToGrid/>
        <w:spacing w:before="0" w:after="0" w:line="360" w:lineRule="auto"/>
        <w:ind w:firstLine="480" w:firstLineChars="200"/>
        <w:textAlignment w:val="auto"/>
        <w:rPr>
          <w:rFonts w:hint="eastAsia" w:ascii="宋体" w:hAnsi="宋体" w:eastAsia="宋体" w:cs="宋体"/>
          <w:bCs w:val="0"/>
          <w:spacing w:val="0"/>
          <w:kern w:val="2"/>
          <w:sz w:val="24"/>
          <w:szCs w:val="24"/>
          <w:highlight w:val="none"/>
          <w:lang w:val="en-US" w:eastAsia="zh-CN" w:bidi="ar-SA"/>
        </w:rPr>
      </w:pPr>
      <w:r>
        <w:rPr>
          <w:rFonts w:hint="eastAsia" w:ascii="宋体" w:hAnsi="宋体" w:eastAsia="宋体" w:cs="宋体"/>
          <w:bCs w:val="0"/>
          <w:spacing w:val="0"/>
          <w:kern w:val="2"/>
          <w:sz w:val="24"/>
          <w:szCs w:val="24"/>
          <w:highlight w:val="none"/>
          <w:lang w:val="en-US" w:eastAsia="zh-CN" w:bidi="ar-SA"/>
        </w:rPr>
        <w:t>乙方保证提供的基本账户信息准确无误。如乙方提供的基本账户信息有问题导致付款出错由乙方对产生的后果负责。</w:t>
      </w:r>
    </w:p>
    <w:p w14:paraId="36EC91DC">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bCs/>
          <w:sz w:val="24"/>
          <w:szCs w:val="22"/>
          <w:highlight w:val="none"/>
        </w:rPr>
      </w:pPr>
      <w:r>
        <w:rPr>
          <w:rFonts w:hint="eastAsia" w:ascii="宋体" w:hAnsi="宋体" w:eastAsia="宋体" w:cs="宋体"/>
          <w:b/>
          <w:bCs/>
          <w:sz w:val="24"/>
          <w:szCs w:val="22"/>
          <w:highlight w:val="none"/>
          <w:lang w:val="en-US" w:eastAsia="zh-CN"/>
        </w:rPr>
        <w:t>五</w:t>
      </w:r>
      <w:r>
        <w:rPr>
          <w:rFonts w:hint="eastAsia" w:ascii="宋体" w:hAnsi="宋体" w:eastAsia="宋体" w:cs="宋体"/>
          <w:b/>
          <w:bCs/>
          <w:sz w:val="24"/>
          <w:szCs w:val="22"/>
          <w:highlight w:val="none"/>
        </w:rPr>
        <w:t>、验收方式</w:t>
      </w:r>
    </w:p>
    <w:p w14:paraId="797B16D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在规定时间出具体检报告；报告无重大差错、遗漏；有明确的重要异常结果范围，并及时通知到个人；体检报告密封，保障体检人员隐私。</w:t>
      </w:r>
    </w:p>
    <w:p w14:paraId="29FB495F">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 </w:t>
      </w:r>
      <w:r>
        <w:rPr>
          <w:rFonts w:hint="eastAsia" w:ascii="宋体" w:hAnsi="宋体" w:eastAsia="宋体" w:cs="宋体"/>
          <w:sz w:val="24"/>
          <w:szCs w:val="22"/>
          <w:highlight w:val="none"/>
          <w:lang w:val="en-US" w:eastAsia="zh-CN"/>
        </w:rPr>
        <w:t xml:space="preserve">   </w:t>
      </w:r>
      <w:r>
        <w:rPr>
          <w:rFonts w:hint="eastAsia" w:ascii="宋体" w:hAnsi="宋体" w:eastAsia="宋体" w:cs="宋体"/>
          <w:sz w:val="24"/>
          <w:szCs w:val="22"/>
          <w:highlight w:val="none"/>
        </w:rPr>
        <w:t>甲方项目负责人：</w:t>
      </w:r>
    </w:p>
    <w:p w14:paraId="128A8283">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 </w:t>
      </w:r>
      <w:r>
        <w:rPr>
          <w:rFonts w:hint="eastAsia" w:ascii="宋体" w:hAnsi="宋体" w:eastAsia="宋体" w:cs="宋体"/>
          <w:sz w:val="24"/>
          <w:szCs w:val="22"/>
          <w:highlight w:val="none"/>
          <w:lang w:val="en-US" w:eastAsia="zh-CN"/>
        </w:rPr>
        <w:t xml:space="preserve">   </w:t>
      </w:r>
      <w:r>
        <w:rPr>
          <w:rFonts w:hint="eastAsia" w:ascii="宋体" w:hAnsi="宋体" w:eastAsia="宋体" w:cs="宋体"/>
          <w:sz w:val="24"/>
          <w:szCs w:val="22"/>
          <w:highlight w:val="none"/>
        </w:rPr>
        <w:t>联系方式：</w:t>
      </w:r>
    </w:p>
    <w:p w14:paraId="544465C8">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 </w:t>
      </w:r>
      <w:r>
        <w:rPr>
          <w:rFonts w:hint="eastAsia" w:ascii="宋体" w:hAnsi="宋体" w:eastAsia="宋体" w:cs="宋体"/>
          <w:sz w:val="24"/>
          <w:szCs w:val="22"/>
          <w:highlight w:val="none"/>
          <w:lang w:val="en-US" w:eastAsia="zh-CN"/>
        </w:rPr>
        <w:t xml:space="preserve">   </w:t>
      </w:r>
      <w:r>
        <w:rPr>
          <w:rFonts w:hint="eastAsia" w:ascii="宋体" w:hAnsi="宋体" w:eastAsia="宋体" w:cs="宋体"/>
          <w:sz w:val="24"/>
          <w:szCs w:val="22"/>
          <w:highlight w:val="none"/>
        </w:rPr>
        <w:t>乙方项目负责人：</w:t>
      </w:r>
    </w:p>
    <w:p w14:paraId="34ECB031">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 </w:t>
      </w:r>
      <w:r>
        <w:rPr>
          <w:rFonts w:hint="eastAsia" w:ascii="宋体" w:hAnsi="宋体" w:eastAsia="宋体" w:cs="宋体"/>
          <w:sz w:val="24"/>
          <w:szCs w:val="22"/>
          <w:highlight w:val="none"/>
          <w:lang w:val="en-US" w:eastAsia="zh-CN"/>
        </w:rPr>
        <w:t xml:space="preserve">   </w:t>
      </w:r>
      <w:r>
        <w:rPr>
          <w:rFonts w:hint="eastAsia" w:ascii="宋体" w:hAnsi="宋体" w:eastAsia="宋体" w:cs="宋体"/>
          <w:sz w:val="24"/>
          <w:szCs w:val="22"/>
          <w:highlight w:val="none"/>
        </w:rPr>
        <w:t>联系方式：</w:t>
      </w:r>
    </w:p>
    <w:p w14:paraId="5DB6BE88">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 </w:t>
      </w:r>
      <w:r>
        <w:rPr>
          <w:rFonts w:hint="eastAsia" w:ascii="宋体" w:hAnsi="宋体" w:eastAsia="宋体" w:cs="宋体"/>
          <w:sz w:val="24"/>
          <w:szCs w:val="22"/>
          <w:highlight w:val="none"/>
          <w:lang w:val="en-US" w:eastAsia="zh-CN"/>
        </w:rPr>
        <w:t xml:space="preserve">   </w:t>
      </w:r>
      <w:r>
        <w:rPr>
          <w:rFonts w:hint="eastAsia" w:ascii="宋体" w:hAnsi="宋体" w:eastAsia="宋体" w:cs="宋体"/>
          <w:sz w:val="24"/>
          <w:szCs w:val="22"/>
          <w:highlight w:val="none"/>
        </w:rPr>
        <w:t>若上述项目负责人或联系方式发生变化的，双方应于变更后两日内以书面形式通知对 方，若因未及时通知导致对方产生损失的，由责任方承担全部赔偿责任。</w:t>
      </w:r>
    </w:p>
    <w:p w14:paraId="1851207F">
      <w:pPr>
        <w:keepNext w:val="0"/>
        <w:keepLines w:val="0"/>
        <w:pageBreakBefore w:val="0"/>
        <w:widowControl w:val="0"/>
        <w:numPr>
          <w:ilvl w:val="0"/>
          <w:numId w:val="0"/>
        </w:numPr>
        <w:kinsoku/>
        <w:wordWrap/>
        <w:overflowPunct/>
        <w:topLinePunct w:val="0"/>
        <w:bidi w:val="0"/>
        <w:snapToGrid/>
        <w:spacing w:before="0" w:after="0" w:line="360" w:lineRule="auto"/>
        <w:textAlignment w:val="auto"/>
        <w:rPr>
          <w:rFonts w:hint="eastAsia" w:ascii="宋体" w:hAnsi="宋体" w:eastAsia="宋体" w:cs="宋体"/>
          <w:b/>
          <w:bCs w:val="0"/>
          <w:spacing w:val="10"/>
          <w:sz w:val="24"/>
          <w:szCs w:val="24"/>
          <w:highlight w:val="none"/>
          <w:lang w:val="en-US" w:eastAsia="zh-CN" w:bidi="ar-SA"/>
        </w:rPr>
      </w:pPr>
      <w:r>
        <w:rPr>
          <w:rFonts w:hint="eastAsia" w:ascii="宋体" w:hAnsi="宋体" w:eastAsia="宋体" w:cs="宋体"/>
          <w:b/>
          <w:bCs w:val="0"/>
          <w:spacing w:val="10"/>
          <w:sz w:val="24"/>
          <w:szCs w:val="24"/>
          <w:highlight w:val="none"/>
          <w:lang w:val="en-US" w:eastAsia="zh-CN" w:bidi="ar-SA"/>
        </w:rPr>
        <w:t>六、违约责任</w:t>
      </w:r>
    </w:p>
    <w:p w14:paraId="2E194C46">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1.</w:t>
      </w:r>
      <w:r>
        <w:rPr>
          <w:rFonts w:hint="eastAsia" w:ascii="宋体" w:hAnsi="宋体" w:eastAsia="宋体" w:cs="宋体"/>
          <w:sz w:val="24"/>
          <w:szCs w:val="22"/>
          <w:highlight w:val="none"/>
        </w:rPr>
        <w:t>甲、乙双方任何一方在服务期限内擅自终止合同或发生其他严重违约行为，导致对方无法进行正常履约的，守约方可以解除合同，造成守约方损失的，违约方予以赔偿。</w:t>
      </w:r>
    </w:p>
    <w:p w14:paraId="11E72BA0">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rPr>
        <w:t>若乙方违约，除按本合同约定向甲方承担违约责任外，还应承担甲方为主张权利而发生的律师费、诉讼费、仲裁费、调查取证费、差旅费等为获得违约赔偿支出的一切费用。若违约金未能弥补甲方损失的，乙方还应承担赔偿责任。</w:t>
      </w:r>
    </w:p>
    <w:p w14:paraId="3EFC3728">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七</w:t>
      </w:r>
      <w:r>
        <w:rPr>
          <w:rFonts w:hint="eastAsia" w:ascii="宋体" w:hAnsi="宋体" w:eastAsia="宋体" w:cs="宋体"/>
          <w:b/>
          <w:sz w:val="24"/>
          <w:szCs w:val="24"/>
          <w:highlight w:val="none"/>
        </w:rPr>
        <w:t>、合同生效及其他</w:t>
      </w:r>
    </w:p>
    <w:p w14:paraId="232675AD">
      <w:pPr>
        <w:keepNext w:val="0"/>
        <w:keepLines w:val="0"/>
        <w:pageBreakBefore w:val="0"/>
        <w:widowControl w:val="0"/>
        <w:tabs>
          <w:tab w:val="left" w:pos="6930"/>
        </w:tabs>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1.合同经双方法定代表人或委托代理人签字并加盖单位公章后生效。</w:t>
      </w:r>
    </w:p>
    <w:p w14:paraId="5FE6EAF8">
      <w:pPr>
        <w:keepNext w:val="0"/>
        <w:keepLines w:val="0"/>
        <w:pageBreakBefore w:val="0"/>
        <w:widowControl w:val="0"/>
        <w:tabs>
          <w:tab w:val="left" w:pos="6930"/>
        </w:tabs>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招标文件、乙方的投标文件及成交通知书都是构成本协议的组成部分，与本合同具有同等法律效力。但如招标文件、乙方的投标文件中未规定而本合同中有新规定的要求，应以本合同为准；若本合同没有规定而招标文件、乙方的投标文件上有要求的，则以招标文件、乙方的投标文件为准；如乙方在投标文件中向甲方作出比招标文件要求更高标准的承诺或其他服务承诺的，则以乙方更高标准的承诺为准；双方如对上述相关文件中的内容有争议时，甲方有权选择适用标准。</w:t>
      </w:r>
    </w:p>
    <w:p w14:paraId="0839758B">
      <w:pPr>
        <w:keepNext w:val="0"/>
        <w:keepLines w:val="0"/>
        <w:pageBreakBefore w:val="0"/>
        <w:widowControl w:val="0"/>
        <w:tabs>
          <w:tab w:val="left" w:pos="6930"/>
        </w:tabs>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3.合同未尽事宜，须经双方协商作出补充规定，补充规定与合同具有同等法律效力。</w:t>
      </w:r>
    </w:p>
    <w:p w14:paraId="06F526F1">
      <w:pPr>
        <w:keepNext w:val="0"/>
        <w:keepLines w:val="0"/>
        <w:pageBreakBefore w:val="0"/>
        <w:widowControl w:val="0"/>
        <w:tabs>
          <w:tab w:val="left" w:pos="6930"/>
        </w:tabs>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4.双方保证严格遵守协议各项条款，如双方在协议执行中发生争议时，双方本着平等互利的原则以协商形式解决；如协商无法解决争议问题，则向被告所在地法院诉讼。</w:t>
      </w:r>
    </w:p>
    <w:p w14:paraId="6C08E1BC">
      <w:pPr>
        <w:keepNext w:val="0"/>
        <w:keepLines w:val="0"/>
        <w:pageBreakBefore w:val="0"/>
        <w:widowControl w:val="0"/>
        <w:tabs>
          <w:tab w:val="left" w:pos="6930"/>
        </w:tabs>
        <w:kinsoku/>
        <w:wordWrap/>
        <w:overflowPunct/>
        <w:topLinePunct w:val="0"/>
        <w:bidi w:val="0"/>
        <w:snapToGrid/>
        <w:spacing w:line="360" w:lineRule="auto"/>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八</w:t>
      </w:r>
      <w:r>
        <w:rPr>
          <w:rFonts w:hint="eastAsia" w:ascii="宋体" w:hAnsi="宋体" w:eastAsia="宋体" w:cs="宋体"/>
          <w:b/>
          <w:sz w:val="24"/>
          <w:szCs w:val="24"/>
          <w:highlight w:val="none"/>
        </w:rPr>
        <w:t>、其他未尽事宜</w:t>
      </w:r>
    </w:p>
    <w:p w14:paraId="28800EB1">
      <w:pPr>
        <w:keepNext w:val="0"/>
        <w:keepLines w:val="0"/>
        <w:pageBreakBefore w:val="0"/>
        <w:widowControl w:val="0"/>
        <w:tabs>
          <w:tab w:val="left" w:pos="6930"/>
        </w:tabs>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本合同其他未尽事宜，按《中华人民共和国民法典》有关规定处理。</w:t>
      </w:r>
    </w:p>
    <w:p w14:paraId="654922D1">
      <w:pPr>
        <w:keepNext w:val="0"/>
        <w:keepLines w:val="0"/>
        <w:pageBreakBefore w:val="0"/>
        <w:widowControl w:val="0"/>
        <w:tabs>
          <w:tab w:val="left" w:pos="6930"/>
        </w:tabs>
        <w:kinsoku/>
        <w:wordWrap/>
        <w:overflowPunct/>
        <w:topLinePunct w:val="0"/>
        <w:bidi w:val="0"/>
        <w:snapToGrid/>
        <w:spacing w:line="360" w:lineRule="auto"/>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九</w:t>
      </w:r>
      <w:r>
        <w:rPr>
          <w:rFonts w:hint="eastAsia" w:ascii="宋体" w:hAnsi="宋体" w:eastAsia="宋体" w:cs="宋体"/>
          <w:b/>
          <w:sz w:val="24"/>
          <w:szCs w:val="24"/>
          <w:highlight w:val="none"/>
        </w:rPr>
        <w:t>、合同份数</w:t>
      </w:r>
    </w:p>
    <w:p w14:paraId="67A08393">
      <w:pPr>
        <w:keepNext w:val="0"/>
        <w:keepLines w:val="0"/>
        <w:pageBreakBefore w:val="0"/>
        <w:widowControl w:val="0"/>
        <w:tabs>
          <w:tab w:val="left" w:pos="6930"/>
        </w:tabs>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本合同一式</w:t>
      </w:r>
      <w:r>
        <w:rPr>
          <w:rFonts w:hint="eastAsia" w:ascii="宋体" w:hAnsi="宋体" w:eastAsia="宋体" w:cs="宋体"/>
          <w:sz w:val="24"/>
          <w:szCs w:val="24"/>
          <w:highlight w:val="none"/>
          <w:u w:val="single"/>
        </w:rPr>
        <w:t xml:space="preserve"> 捌 </w:t>
      </w:r>
      <w:r>
        <w:rPr>
          <w:rFonts w:hint="eastAsia" w:ascii="宋体" w:hAnsi="宋体" w:eastAsia="宋体" w:cs="宋体"/>
          <w:sz w:val="24"/>
          <w:szCs w:val="24"/>
          <w:highlight w:val="none"/>
        </w:rPr>
        <w:t>份，甲方</w:t>
      </w:r>
      <w:r>
        <w:rPr>
          <w:rFonts w:hint="eastAsia" w:ascii="宋体" w:hAnsi="宋体" w:eastAsia="宋体" w:cs="宋体"/>
          <w:sz w:val="24"/>
          <w:szCs w:val="24"/>
          <w:highlight w:val="none"/>
          <w:u w:val="single"/>
        </w:rPr>
        <w:t xml:space="preserve"> 伍 </w:t>
      </w:r>
      <w:r>
        <w:rPr>
          <w:rFonts w:hint="eastAsia" w:ascii="宋体" w:hAnsi="宋体" w:eastAsia="宋体" w:cs="宋体"/>
          <w:sz w:val="24"/>
          <w:szCs w:val="24"/>
          <w:highlight w:val="none"/>
        </w:rPr>
        <w:t>份，乙方</w:t>
      </w:r>
      <w:r>
        <w:rPr>
          <w:rFonts w:hint="eastAsia" w:ascii="宋体" w:hAnsi="宋体" w:eastAsia="宋体" w:cs="宋体"/>
          <w:sz w:val="24"/>
          <w:szCs w:val="24"/>
          <w:highlight w:val="none"/>
          <w:u w:val="single"/>
        </w:rPr>
        <w:t xml:space="preserve"> 贰 </w:t>
      </w:r>
      <w:r>
        <w:rPr>
          <w:rFonts w:hint="eastAsia" w:ascii="宋体" w:hAnsi="宋体" w:eastAsia="宋体" w:cs="宋体"/>
          <w:sz w:val="24"/>
          <w:szCs w:val="24"/>
          <w:highlight w:val="none"/>
        </w:rPr>
        <w:t>份，鉴证方</w:t>
      </w:r>
      <w:r>
        <w:rPr>
          <w:rFonts w:hint="eastAsia" w:ascii="宋体" w:hAnsi="宋体" w:eastAsia="宋体" w:cs="宋体"/>
          <w:sz w:val="24"/>
          <w:szCs w:val="24"/>
          <w:highlight w:val="none"/>
          <w:u w:val="single"/>
        </w:rPr>
        <w:t xml:space="preserve"> 壹 </w:t>
      </w:r>
      <w:r>
        <w:rPr>
          <w:rFonts w:hint="eastAsia" w:ascii="宋体" w:hAnsi="宋体" w:eastAsia="宋体" w:cs="宋体"/>
          <w:sz w:val="24"/>
          <w:szCs w:val="24"/>
          <w:highlight w:val="none"/>
        </w:rPr>
        <w:t>份。</w:t>
      </w:r>
    </w:p>
    <w:p w14:paraId="23255E76">
      <w:pPr>
        <w:keepNext w:val="0"/>
        <w:keepLines w:val="0"/>
        <w:pageBreakBefore w:val="0"/>
        <w:widowControl w:val="0"/>
        <w:tabs>
          <w:tab w:val="left" w:pos="6930"/>
        </w:tabs>
        <w:kinsoku/>
        <w:wordWrap/>
        <w:overflowPunct/>
        <w:topLinePunct w:val="0"/>
        <w:bidi w:val="0"/>
        <w:snapToGrid/>
        <w:spacing w:line="360" w:lineRule="auto"/>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十</w:t>
      </w:r>
      <w:r>
        <w:rPr>
          <w:rFonts w:hint="eastAsia" w:ascii="宋体" w:hAnsi="宋体" w:eastAsia="宋体" w:cs="宋体"/>
          <w:b/>
          <w:sz w:val="24"/>
          <w:szCs w:val="24"/>
          <w:highlight w:val="none"/>
        </w:rPr>
        <w:t>、合同生效：</w:t>
      </w:r>
    </w:p>
    <w:p w14:paraId="215D521F">
      <w:pPr>
        <w:keepNext w:val="0"/>
        <w:keepLines w:val="0"/>
        <w:pageBreakBefore w:val="0"/>
        <w:widowControl w:val="0"/>
        <w:tabs>
          <w:tab w:val="left" w:pos="6930"/>
        </w:tabs>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本合同自甲、乙双方签订之日起生效。</w:t>
      </w:r>
    </w:p>
    <w:p w14:paraId="325E37C7">
      <w:pPr>
        <w:numPr>
          <w:ilvl w:val="0"/>
          <w:numId w:val="0"/>
        </w:numPr>
        <w:spacing w:line="360" w:lineRule="auto"/>
        <w:jc w:val="left"/>
        <w:rPr>
          <w:rFonts w:hint="eastAsia" w:ascii="宋体" w:hAnsi="宋体" w:cs="宋体"/>
          <w:b/>
          <w:szCs w:val="21"/>
        </w:rPr>
      </w:pPr>
    </w:p>
    <w:p w14:paraId="2A544666">
      <w:pPr>
        <w:rPr>
          <w:rFonts w:hint="eastAsia" w:ascii="黑体" w:hAnsi="黑体" w:eastAsia="黑体" w:cs="黑体"/>
          <w:b/>
          <w:bCs w:val="0"/>
          <w:color w:val="auto"/>
          <w:sz w:val="36"/>
          <w:szCs w:val="36"/>
          <w:highlight w:val="none"/>
          <w:lang w:val="en-US" w:eastAsia="zh-CN"/>
        </w:rPr>
      </w:pPr>
      <w:r>
        <w:rPr>
          <w:rFonts w:eastAsia="方正仿宋_GBK"/>
          <w:color w:val="000000"/>
          <w:sz w:val="32"/>
          <w:szCs w:val="32"/>
          <w:highlight w:val="none"/>
        </w:rPr>
        <w:br w:type="page"/>
      </w:r>
    </w:p>
    <w:p w14:paraId="33EA6485">
      <w:pPr>
        <w:pStyle w:val="2"/>
        <w:pageBreakBefore w:val="0"/>
        <w:numPr>
          <w:ilvl w:val="0"/>
          <w:numId w:val="0"/>
        </w:numPr>
        <w:kinsoku/>
        <w:wordWrap/>
        <w:overflowPunct/>
        <w:topLinePunct w:val="0"/>
        <w:autoSpaceDE/>
        <w:autoSpaceDN/>
        <w:bidi w:val="0"/>
        <w:adjustRightInd/>
        <w:spacing w:line="520" w:lineRule="exact"/>
        <w:jc w:val="center"/>
        <w:textAlignment w:val="auto"/>
        <w:rPr>
          <w:color w:val="auto"/>
          <w:sz w:val="32"/>
          <w:szCs w:val="32"/>
          <w:highlight w:val="none"/>
        </w:rPr>
      </w:pPr>
      <w:bookmarkStart w:id="227" w:name="_Toc30076"/>
      <w:r>
        <w:rPr>
          <w:rFonts w:hint="eastAsia" w:ascii="黑体" w:hAnsi="黑体" w:eastAsia="黑体" w:cs="黑体"/>
          <w:b/>
          <w:bCs w:val="0"/>
          <w:color w:val="auto"/>
          <w:sz w:val="36"/>
          <w:szCs w:val="36"/>
          <w:highlight w:val="none"/>
          <w:lang w:val="en-US" w:eastAsia="zh-CN"/>
        </w:rPr>
        <w:t xml:space="preserve">第五章 </w:t>
      </w:r>
      <w:r>
        <w:rPr>
          <w:rFonts w:hint="eastAsia" w:ascii="黑体" w:hAnsi="黑体" w:eastAsia="黑体" w:cs="黑体"/>
          <w:b/>
          <w:bCs w:val="0"/>
          <w:color w:val="auto"/>
          <w:kern w:val="44"/>
          <w:sz w:val="36"/>
          <w:szCs w:val="36"/>
          <w:highlight w:val="none"/>
          <w:lang w:val="en-US" w:eastAsia="zh-CN" w:bidi="ar-SA"/>
        </w:rPr>
        <w:t>采购需求</w:t>
      </w:r>
      <w:bookmarkEnd w:id="224"/>
      <w:bookmarkEnd w:id="225"/>
      <w:bookmarkEnd w:id="226"/>
      <w:bookmarkEnd w:id="227"/>
    </w:p>
    <w:p w14:paraId="2A3BDF30">
      <w:pPr>
        <w:adjustRightInd w:val="0"/>
        <w:spacing w:before="313" w:beforeLines="100" w:after="313" w:afterLines="100" w:line="276" w:lineRule="auto"/>
        <w:rPr>
          <w:rFonts w:ascii="宋体" w:hAnsi="宋体"/>
          <w:b/>
          <w:bCs/>
          <w:color w:val="auto"/>
          <w:szCs w:val="21"/>
          <w:highlight w:val="none"/>
        </w:rPr>
      </w:pPr>
      <w:bookmarkStart w:id="228" w:name="_Toc31003"/>
      <w:bookmarkStart w:id="229" w:name="_Toc27968"/>
      <w:bookmarkStart w:id="230" w:name="_Toc23118"/>
      <w:r>
        <w:rPr>
          <w:rFonts w:hint="eastAsia" w:ascii="宋体" w:hAnsi="宋体"/>
          <w:b/>
          <w:bCs/>
          <w:color w:val="auto"/>
          <w:szCs w:val="21"/>
          <w:highlight w:val="none"/>
        </w:rPr>
        <w:t>说明：</w:t>
      </w:r>
    </w:p>
    <w:p w14:paraId="616505E9">
      <w:pPr>
        <w:adjustRightInd w:val="0"/>
        <w:spacing w:line="360" w:lineRule="auto"/>
        <w:ind w:firstLine="422" w:firstLineChars="200"/>
        <w:rPr>
          <w:rFonts w:ascii="宋体" w:hAnsi="宋体"/>
          <w:b/>
          <w:bCs/>
          <w:color w:val="auto"/>
          <w:szCs w:val="21"/>
          <w:highlight w:val="none"/>
        </w:rPr>
      </w:pPr>
      <w:r>
        <w:rPr>
          <w:rFonts w:hint="eastAsia" w:ascii="宋体" w:hAnsi="宋体" w:cs="宋体"/>
          <w:b/>
          <w:color w:val="auto"/>
          <w:szCs w:val="21"/>
          <w:highlight w:val="none"/>
        </w:rPr>
        <w:t>各投标人必须对招标文件第五章《采购需求》中的技术、服务要求作出全面、真实的反映，同时填写技术要求偏离表。若投标文件中响应情况与招标文件采购需求内容不符或无有效证明，而投标人又未在投标文件中作出说明和解释的，评标委员会在评审时将视为不响应该条技术、服务要求的规定。</w:t>
      </w:r>
    </w:p>
    <w:p w14:paraId="186EB305">
      <w:pPr>
        <w:adjustRightInd w:val="0"/>
        <w:spacing w:line="360" w:lineRule="auto"/>
        <w:ind w:firstLine="422" w:firstLineChars="200"/>
        <w:rPr>
          <w:rFonts w:ascii="宋体" w:hAnsi="宋体"/>
          <w:b/>
          <w:bCs/>
          <w:color w:val="auto"/>
          <w:szCs w:val="21"/>
          <w:highlight w:val="none"/>
        </w:rPr>
      </w:pPr>
      <w:r>
        <w:rPr>
          <w:rFonts w:hint="eastAsia" w:ascii="宋体" w:hAnsi="宋体"/>
          <w:b/>
          <w:bCs/>
          <w:color w:val="auto"/>
          <w:szCs w:val="21"/>
          <w:highlight w:val="none"/>
        </w:rPr>
        <w:t>本章各项技术参数、规格和性能要求如出现引用某一特定的专利技术、商标、名称、设计、原产地或供应者等情况，则仅起参考作用。投标人可选用实质上“相当于”或“优于”该参考技术规格要求的产品投标。</w:t>
      </w:r>
    </w:p>
    <w:p w14:paraId="14E0E95D">
      <w:pPr>
        <w:spacing w:line="360" w:lineRule="auto"/>
        <w:ind w:firstLine="422" w:firstLineChars="200"/>
        <w:rPr>
          <w:rFonts w:ascii="宋体" w:hAnsi="宋体"/>
          <w:b/>
          <w:bCs/>
          <w:color w:val="auto"/>
          <w:szCs w:val="21"/>
          <w:highlight w:val="none"/>
        </w:rPr>
      </w:pPr>
      <w:r>
        <w:rPr>
          <w:rFonts w:hint="eastAsia" w:ascii="宋体" w:hAnsi="宋体"/>
          <w:b/>
          <w:bCs/>
          <w:color w:val="auto"/>
          <w:szCs w:val="21"/>
          <w:highlight w:val="none"/>
        </w:rPr>
        <w:t>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并保留追究其法律责任的权利。</w:t>
      </w:r>
    </w:p>
    <w:p w14:paraId="0D346BC9">
      <w:pPr>
        <w:spacing w:line="360" w:lineRule="auto"/>
        <w:ind w:firstLine="422" w:firstLineChars="200"/>
        <w:rPr>
          <w:rFonts w:ascii="宋体" w:hAnsi="宋体"/>
          <w:b/>
          <w:bCs/>
          <w:color w:val="auto"/>
          <w:szCs w:val="21"/>
          <w:highlight w:val="none"/>
        </w:rPr>
      </w:pPr>
      <w:r>
        <w:rPr>
          <w:rFonts w:hint="eastAsia" w:ascii="宋体" w:hAnsi="宋体"/>
          <w:b/>
          <w:bCs/>
          <w:color w:val="auto"/>
          <w:szCs w:val="21"/>
          <w:highlight w:val="none"/>
        </w:rPr>
        <w:t>本文件的解释权属于采购人、采购代理机构。</w:t>
      </w:r>
    </w:p>
    <w:p w14:paraId="54CEADBB">
      <w:pPr>
        <w:spacing w:line="360" w:lineRule="auto"/>
        <w:ind w:firstLine="422" w:firstLineChars="200"/>
        <w:rPr>
          <w:rFonts w:ascii="宋体" w:hAnsi="宋体"/>
          <w:b/>
          <w:bCs/>
          <w:color w:val="auto"/>
          <w:szCs w:val="21"/>
          <w:highlight w:val="none"/>
        </w:rPr>
      </w:pPr>
      <w:r>
        <w:rPr>
          <w:rFonts w:hint="eastAsia" w:ascii="宋体" w:hAnsi="宋体"/>
          <w:b/>
          <w:bCs/>
          <w:color w:val="auto"/>
          <w:szCs w:val="21"/>
          <w:highlight w:val="none"/>
        </w:rPr>
        <w:t>非单一产品采购项目，采购人应当根据采购项目技术构成、产品价格比重等合理确定核心产品，并在招标文件中载明。多家投标人提供的核心产品品牌相同的，按以下两款规定处理。</w:t>
      </w:r>
    </w:p>
    <w:p w14:paraId="2A2DA6F4">
      <w:pPr>
        <w:spacing w:line="360" w:lineRule="auto"/>
        <w:ind w:firstLine="422" w:firstLineChars="200"/>
        <w:rPr>
          <w:rFonts w:ascii="宋体" w:hAnsi="宋体"/>
          <w:b/>
          <w:bCs/>
          <w:color w:val="auto"/>
          <w:szCs w:val="21"/>
          <w:highlight w:val="none"/>
        </w:rPr>
      </w:pPr>
      <w:r>
        <w:rPr>
          <w:rFonts w:hint="eastAsia" w:ascii="宋体" w:hAnsi="宋体"/>
          <w:b/>
          <w:bCs/>
          <w:color w:val="auto"/>
          <w:szCs w:val="21"/>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2BCE31D7">
      <w:pPr>
        <w:spacing w:line="360" w:lineRule="auto"/>
        <w:ind w:firstLine="422" w:firstLineChars="200"/>
        <w:rPr>
          <w:rFonts w:ascii="宋体" w:hAnsi="宋体"/>
          <w:b/>
          <w:bCs/>
          <w:color w:val="auto"/>
          <w:szCs w:val="21"/>
          <w:highlight w:val="none"/>
        </w:rPr>
      </w:pPr>
      <w:r>
        <w:rPr>
          <w:rFonts w:hint="eastAsia" w:ascii="宋体" w:hAnsi="宋体"/>
          <w:b/>
          <w:bCs/>
          <w:color w:val="auto"/>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C34B029">
      <w:pPr>
        <w:spacing w:line="360" w:lineRule="auto"/>
        <w:rPr>
          <w:rFonts w:ascii="宋体" w:hAnsi="宋体"/>
          <w:b/>
          <w:bCs/>
          <w:color w:val="auto"/>
          <w:szCs w:val="21"/>
          <w:highlight w:val="none"/>
        </w:rPr>
      </w:pPr>
    </w:p>
    <w:p w14:paraId="32CD9FB5">
      <w:pPr>
        <w:pStyle w:val="20"/>
        <w:rPr>
          <w:rFonts w:ascii="宋体" w:hAnsi="宋体"/>
          <w:b/>
          <w:bCs/>
          <w:color w:val="auto"/>
          <w:szCs w:val="21"/>
          <w:highlight w:val="none"/>
        </w:rPr>
      </w:pPr>
    </w:p>
    <w:p w14:paraId="2C129244">
      <w:pPr>
        <w:rPr>
          <w:rFonts w:ascii="宋体" w:hAnsi="宋体"/>
          <w:b/>
          <w:bCs/>
          <w:color w:val="auto"/>
          <w:szCs w:val="21"/>
          <w:highlight w:val="none"/>
        </w:rPr>
      </w:pPr>
    </w:p>
    <w:p w14:paraId="40077386">
      <w:pPr>
        <w:pStyle w:val="20"/>
        <w:rPr>
          <w:color w:val="auto"/>
          <w:highlight w:val="none"/>
        </w:rPr>
      </w:pPr>
    </w:p>
    <w:bookmarkEnd w:id="228"/>
    <w:bookmarkEnd w:id="229"/>
    <w:p w14:paraId="7B0F55BE">
      <w:pPr>
        <w:rPr>
          <w:b/>
          <w:bCs/>
          <w:color w:val="auto"/>
          <w:sz w:val="36"/>
          <w:szCs w:val="44"/>
          <w:highlight w:val="none"/>
        </w:rPr>
      </w:pPr>
      <w:bookmarkStart w:id="231" w:name="_Toc19580"/>
      <w:bookmarkStart w:id="232" w:name="_Toc32347"/>
      <w:r>
        <w:rPr>
          <w:rFonts w:hint="eastAsia"/>
          <w:b/>
          <w:bCs/>
          <w:color w:val="auto"/>
          <w:sz w:val="36"/>
          <w:szCs w:val="44"/>
          <w:highlight w:val="none"/>
        </w:rPr>
        <w:br w:type="page"/>
      </w:r>
    </w:p>
    <w:bookmarkEnd w:id="230"/>
    <w:bookmarkEnd w:id="231"/>
    <w:bookmarkEnd w:id="232"/>
    <w:p w14:paraId="77D949D3">
      <w:pPr>
        <w:widowControl/>
        <w:spacing w:after="156" w:afterLines="50" w:line="360" w:lineRule="auto"/>
        <w:ind w:left="420" w:leftChars="200"/>
        <w:jc w:val="left"/>
        <w:rPr>
          <w:rFonts w:ascii="宋体" w:hAnsi="宋体" w:cs="楷体"/>
          <w:b/>
          <w:bCs/>
          <w:kern w:val="0"/>
          <w:sz w:val="24"/>
        </w:rPr>
      </w:pPr>
      <w:bookmarkStart w:id="233" w:name="_Toc141382813"/>
      <w:bookmarkStart w:id="234" w:name="_Toc103290958"/>
      <w:r>
        <w:rPr>
          <w:rFonts w:hint="eastAsia" w:ascii="宋体" w:hAnsi="宋体"/>
          <w:b/>
          <w:bCs/>
          <w:kern w:val="0"/>
          <w:sz w:val="24"/>
        </w:rPr>
        <w:t>一</w:t>
      </w:r>
      <w:r>
        <w:rPr>
          <w:rFonts w:ascii="宋体" w:hAnsi="宋体"/>
          <w:b/>
          <w:bCs/>
          <w:kern w:val="0"/>
          <w:sz w:val="24"/>
        </w:rPr>
        <w:t>、</w:t>
      </w:r>
      <w:r>
        <w:rPr>
          <w:rFonts w:hint="eastAsia" w:ascii="宋体" w:hAnsi="宋体" w:cs="楷体"/>
          <w:b/>
          <w:bCs/>
          <w:kern w:val="0"/>
          <w:sz w:val="24"/>
        </w:rPr>
        <w:t>职工体检项目内容</w:t>
      </w:r>
    </w:p>
    <w:p w14:paraId="40F422A9">
      <w:pPr>
        <w:widowControl/>
        <w:adjustRightInd w:val="0"/>
        <w:snapToGrid w:val="0"/>
        <w:spacing w:line="396" w:lineRule="auto"/>
        <w:ind w:firstLine="480" w:firstLineChars="200"/>
        <w:jc w:val="left"/>
        <w:rPr>
          <w:rFonts w:hint="eastAsia" w:ascii="宋体" w:hAnsi="宋体" w:eastAsia="宋体" w:cs="仿宋_GB2312"/>
          <w:color w:val="auto"/>
          <w:kern w:val="0"/>
          <w:sz w:val="24"/>
          <w:highlight w:val="none"/>
          <w:lang w:eastAsia="zh-CN"/>
        </w:rPr>
      </w:pPr>
      <w:r>
        <w:rPr>
          <w:rFonts w:hint="eastAsia" w:ascii="宋体" w:hAnsi="宋体" w:cs="仿宋_GB2312"/>
          <w:kern w:val="0"/>
          <w:sz w:val="24"/>
        </w:rPr>
        <w:t>西南林业大学工会</w:t>
      </w:r>
      <w:r>
        <w:rPr>
          <w:rFonts w:hint="eastAsia" w:ascii="宋体" w:hAnsi="宋体" w:cs="仿宋_GB2312"/>
          <w:color w:val="auto"/>
          <w:kern w:val="0"/>
          <w:sz w:val="24"/>
          <w:highlight w:val="none"/>
        </w:rPr>
        <w:t>2025至2027年教职工健康体检服务一采三年</w:t>
      </w:r>
      <w:r>
        <w:rPr>
          <w:rFonts w:hint="eastAsia" w:ascii="宋体" w:hAnsi="宋体" w:cs="仿宋_GB2312"/>
          <w:color w:val="auto"/>
          <w:kern w:val="0"/>
          <w:sz w:val="24"/>
          <w:highlight w:val="none"/>
          <w:lang w:eastAsia="zh-CN"/>
        </w:rPr>
        <w:t>，合同一年一签。</w:t>
      </w:r>
    </w:p>
    <w:p w14:paraId="55E9DA7B">
      <w:pPr>
        <w:widowControl/>
        <w:adjustRightInd w:val="0"/>
        <w:snapToGrid w:val="0"/>
        <w:spacing w:line="396" w:lineRule="auto"/>
        <w:ind w:firstLine="480" w:firstLineChars="200"/>
        <w:jc w:val="left"/>
        <w:rPr>
          <w:rFonts w:ascii="宋体" w:hAnsi="宋体" w:cs="仿宋_GB2312"/>
          <w:color w:val="auto"/>
          <w:kern w:val="0"/>
          <w:sz w:val="24"/>
          <w:highlight w:val="none"/>
        </w:rPr>
      </w:pPr>
      <w:r>
        <w:rPr>
          <w:rFonts w:hint="eastAsia" w:ascii="宋体" w:hAnsi="宋体" w:cs="仿宋_GB2312"/>
          <w:color w:val="auto"/>
          <w:kern w:val="0"/>
          <w:sz w:val="24"/>
          <w:highlight w:val="none"/>
        </w:rPr>
        <w:t>体检分为男性职工、</w:t>
      </w:r>
      <w:r>
        <w:rPr>
          <w:rFonts w:ascii="宋体" w:hAnsi="宋体" w:cs="仿宋_GB2312"/>
          <w:color w:val="auto"/>
          <w:kern w:val="0"/>
          <w:sz w:val="24"/>
          <w:highlight w:val="none"/>
        </w:rPr>
        <w:t>已婚女</w:t>
      </w:r>
      <w:r>
        <w:rPr>
          <w:rFonts w:hint="eastAsia" w:ascii="宋体" w:hAnsi="宋体" w:cs="仿宋_GB2312"/>
          <w:color w:val="auto"/>
          <w:kern w:val="0"/>
          <w:sz w:val="24"/>
          <w:highlight w:val="none"/>
        </w:rPr>
        <w:t>职工及未婚女职工健康检查项目；其中男性职工：740元/人，已婚女职工：800元/人，未婚女职工：740元/人。2025年男性职工902人，已婚女职工930人，未婚女职工180人，具体体检人数以最终实际参加人数为准。2026及2027年体检人数可参照2025年，具体体检人数以最终实际参加人数为准。最终结算金额=男性职工中标单价×实际男性职工体检人数+已婚女职工中标单价×实际已婚女职工体检人数+未婚女职工中标单价×实际未婚女职工体检人数</w:t>
      </w:r>
      <w:r>
        <w:rPr>
          <w:rFonts w:hint="eastAsia" w:ascii="宋体" w:hAnsi="宋体" w:cs="仿宋_GB2312"/>
          <w:color w:val="auto"/>
          <w:kern w:val="0"/>
          <w:sz w:val="24"/>
          <w:highlight w:val="none"/>
          <w:lang w:eastAsia="zh-CN"/>
        </w:rPr>
        <w:t>。</w:t>
      </w:r>
      <w:r>
        <w:rPr>
          <w:rFonts w:hint="eastAsia" w:ascii="宋体" w:hAnsi="宋体" w:cs="仿宋_GB2312"/>
          <w:color w:val="auto"/>
          <w:kern w:val="0"/>
          <w:sz w:val="24"/>
          <w:highlight w:val="none"/>
        </w:rPr>
        <w:t>3种套餐检查内容分别如下：</w:t>
      </w:r>
    </w:p>
    <w:tbl>
      <w:tblPr>
        <w:tblStyle w:val="44"/>
        <w:tblW w:w="8974" w:type="dxa"/>
        <w:jc w:val="center"/>
        <w:tblLayout w:type="fixed"/>
        <w:tblCellMar>
          <w:top w:w="0" w:type="dxa"/>
          <w:left w:w="108" w:type="dxa"/>
          <w:bottom w:w="0" w:type="dxa"/>
          <w:right w:w="108" w:type="dxa"/>
        </w:tblCellMar>
      </w:tblPr>
      <w:tblGrid>
        <w:gridCol w:w="1069"/>
        <w:gridCol w:w="2900"/>
        <w:gridCol w:w="2835"/>
        <w:gridCol w:w="430"/>
        <w:gridCol w:w="855"/>
        <w:gridCol w:w="885"/>
      </w:tblGrid>
      <w:tr w14:paraId="45D828B8">
        <w:tblPrEx>
          <w:tblCellMar>
            <w:top w:w="0" w:type="dxa"/>
            <w:left w:w="108" w:type="dxa"/>
            <w:bottom w:w="0" w:type="dxa"/>
            <w:right w:w="108" w:type="dxa"/>
          </w:tblCellMar>
        </w:tblPrEx>
        <w:trPr>
          <w:trHeight w:val="402" w:hRule="atLeast"/>
          <w:jc w:val="center"/>
        </w:trPr>
        <w:tc>
          <w:tcPr>
            <w:tcW w:w="8974" w:type="dxa"/>
            <w:gridSpan w:val="6"/>
            <w:tcBorders>
              <w:top w:val="nil"/>
              <w:left w:val="nil"/>
              <w:bottom w:val="nil"/>
              <w:right w:val="nil"/>
            </w:tcBorders>
            <w:shd w:val="clear" w:color="auto" w:fill="auto"/>
            <w:vAlign w:val="center"/>
          </w:tcPr>
          <w:p w14:paraId="425EF22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color w:val="auto"/>
                <w:sz w:val="21"/>
                <w:szCs w:val="21"/>
                <w:highlight w:val="none"/>
                <w:lang w:val="en-US" w:eastAsia="zh-CN"/>
              </w:rPr>
              <w:t>★</w:t>
            </w:r>
            <w:r>
              <w:rPr>
                <w:rFonts w:hint="eastAsia" w:ascii="宋体" w:hAnsi="宋体" w:eastAsia="宋体" w:cs="宋体"/>
                <w:b/>
                <w:bCs/>
                <w:color w:val="auto"/>
                <w:kern w:val="0"/>
                <w:sz w:val="21"/>
                <w:szCs w:val="21"/>
                <w:highlight w:val="none"/>
              </w:rPr>
              <w:t>体检套餐</w:t>
            </w:r>
          </w:p>
        </w:tc>
      </w:tr>
      <w:tr w14:paraId="177D5A10">
        <w:tblPrEx>
          <w:tblCellMar>
            <w:top w:w="0" w:type="dxa"/>
            <w:left w:w="108" w:type="dxa"/>
            <w:bottom w:w="0" w:type="dxa"/>
            <w:right w:w="108" w:type="dxa"/>
          </w:tblCellMar>
        </w:tblPrEx>
        <w:trPr>
          <w:trHeight w:val="283" w:hRule="atLeast"/>
          <w:jc w:val="center"/>
        </w:trPr>
        <w:tc>
          <w:tcPr>
            <w:tcW w:w="1069" w:type="dxa"/>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14857E7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项目名称</w:t>
            </w:r>
          </w:p>
        </w:tc>
        <w:tc>
          <w:tcPr>
            <w:tcW w:w="2900" w:type="dxa"/>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4505F65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项目内容</w:t>
            </w:r>
          </w:p>
        </w:tc>
        <w:tc>
          <w:tcPr>
            <w:tcW w:w="2835" w:type="dxa"/>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265B845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意义</w:t>
            </w:r>
          </w:p>
        </w:tc>
        <w:tc>
          <w:tcPr>
            <w:tcW w:w="2170" w:type="dxa"/>
            <w:gridSpan w:val="3"/>
            <w:tcBorders>
              <w:top w:val="single" w:color="auto" w:sz="4" w:space="0"/>
              <w:left w:val="nil"/>
              <w:bottom w:val="single" w:color="auto" w:sz="4" w:space="0"/>
              <w:right w:val="single" w:color="000000" w:sz="4" w:space="0"/>
            </w:tcBorders>
            <w:shd w:val="clear" w:color="000000" w:fill="FFFFFF"/>
            <w:noWrap/>
            <w:vAlign w:val="center"/>
          </w:tcPr>
          <w:p w14:paraId="1C69C07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rPr>
              <w:t>是否</w:t>
            </w:r>
            <w:r>
              <w:rPr>
                <w:rFonts w:hint="eastAsia" w:ascii="宋体" w:hAnsi="宋体" w:cs="宋体"/>
                <w:b/>
                <w:bCs/>
                <w:color w:val="auto"/>
                <w:kern w:val="0"/>
                <w:sz w:val="21"/>
                <w:szCs w:val="21"/>
                <w:highlight w:val="none"/>
                <w:lang w:eastAsia="zh-CN"/>
              </w:rPr>
              <w:t>为体检项（√</w:t>
            </w:r>
            <w:r>
              <w:rPr>
                <w:rFonts w:hint="eastAsia" w:ascii="宋体" w:hAnsi="宋体" w:cs="宋体"/>
                <w:b/>
                <w:bCs/>
                <w:color w:val="auto"/>
                <w:kern w:val="0"/>
                <w:sz w:val="21"/>
                <w:szCs w:val="21"/>
                <w:highlight w:val="none"/>
                <w:lang w:val="en-US" w:eastAsia="zh-CN"/>
              </w:rPr>
              <w:t>为检测项，</w:t>
            </w:r>
            <w:r>
              <w:rPr>
                <w:rFonts w:hint="eastAsia" w:ascii="宋体" w:hAnsi="宋体" w:eastAsia="宋体" w:cs="宋体"/>
                <w:b/>
                <w:bCs/>
                <w:color w:val="auto"/>
                <w:kern w:val="0"/>
                <w:sz w:val="21"/>
                <w:szCs w:val="21"/>
                <w:highlight w:val="none"/>
              </w:rPr>
              <w:t>/</w:t>
            </w:r>
            <w:r>
              <w:rPr>
                <w:rFonts w:hint="eastAsia" w:ascii="宋体" w:hAnsi="宋体" w:cs="宋体"/>
                <w:b/>
                <w:bCs/>
                <w:color w:val="auto"/>
                <w:kern w:val="0"/>
                <w:sz w:val="21"/>
                <w:szCs w:val="21"/>
                <w:highlight w:val="none"/>
                <w:lang w:val="en-US" w:eastAsia="zh-CN"/>
              </w:rPr>
              <w:t>为非检测项)</w:t>
            </w:r>
          </w:p>
        </w:tc>
      </w:tr>
      <w:tr w14:paraId="692AE470">
        <w:tblPrEx>
          <w:tblCellMar>
            <w:top w:w="0" w:type="dxa"/>
            <w:left w:w="108" w:type="dxa"/>
            <w:bottom w:w="0" w:type="dxa"/>
            <w:right w:w="108" w:type="dxa"/>
          </w:tblCellMar>
        </w:tblPrEx>
        <w:trPr>
          <w:trHeight w:val="283" w:hRule="atLeast"/>
          <w:jc w:val="center"/>
        </w:trPr>
        <w:tc>
          <w:tcPr>
            <w:tcW w:w="1069" w:type="dxa"/>
            <w:vMerge w:val="continue"/>
            <w:tcBorders>
              <w:top w:val="single" w:color="auto" w:sz="4" w:space="0"/>
              <w:left w:val="single" w:color="auto" w:sz="4" w:space="0"/>
              <w:bottom w:val="single" w:color="000000" w:sz="4" w:space="0"/>
              <w:right w:val="single" w:color="auto" w:sz="4" w:space="0"/>
            </w:tcBorders>
            <w:vAlign w:val="center"/>
          </w:tcPr>
          <w:p w14:paraId="35EE0C0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1"/>
                <w:szCs w:val="21"/>
              </w:rPr>
            </w:pPr>
          </w:p>
        </w:tc>
        <w:tc>
          <w:tcPr>
            <w:tcW w:w="2900" w:type="dxa"/>
            <w:vMerge w:val="continue"/>
            <w:tcBorders>
              <w:top w:val="single" w:color="auto" w:sz="4" w:space="0"/>
              <w:left w:val="single" w:color="auto" w:sz="4" w:space="0"/>
              <w:bottom w:val="single" w:color="000000" w:sz="4" w:space="0"/>
              <w:right w:val="single" w:color="auto" w:sz="4" w:space="0"/>
            </w:tcBorders>
            <w:vAlign w:val="center"/>
          </w:tcPr>
          <w:p w14:paraId="6FD04F9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1"/>
                <w:szCs w:val="21"/>
              </w:rPr>
            </w:pPr>
          </w:p>
        </w:tc>
        <w:tc>
          <w:tcPr>
            <w:tcW w:w="2835" w:type="dxa"/>
            <w:vMerge w:val="continue"/>
            <w:tcBorders>
              <w:top w:val="single" w:color="auto" w:sz="4" w:space="0"/>
              <w:left w:val="single" w:color="auto" w:sz="4" w:space="0"/>
              <w:bottom w:val="single" w:color="000000" w:sz="4" w:space="0"/>
              <w:right w:val="single" w:color="auto" w:sz="4" w:space="0"/>
            </w:tcBorders>
            <w:vAlign w:val="center"/>
          </w:tcPr>
          <w:p w14:paraId="7976424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bCs/>
                <w:kern w:val="0"/>
                <w:sz w:val="21"/>
                <w:szCs w:val="21"/>
              </w:rPr>
            </w:pPr>
          </w:p>
        </w:tc>
        <w:tc>
          <w:tcPr>
            <w:tcW w:w="430" w:type="dxa"/>
            <w:tcBorders>
              <w:top w:val="nil"/>
              <w:left w:val="nil"/>
              <w:bottom w:val="single" w:color="auto" w:sz="4" w:space="0"/>
              <w:right w:val="single" w:color="auto" w:sz="4" w:space="0"/>
            </w:tcBorders>
            <w:shd w:val="clear" w:color="000000" w:fill="FFFFFF"/>
            <w:vAlign w:val="center"/>
          </w:tcPr>
          <w:p w14:paraId="4492A07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男</w:t>
            </w:r>
          </w:p>
        </w:tc>
        <w:tc>
          <w:tcPr>
            <w:tcW w:w="855" w:type="dxa"/>
            <w:tcBorders>
              <w:top w:val="nil"/>
              <w:left w:val="nil"/>
              <w:bottom w:val="single" w:color="auto" w:sz="4" w:space="0"/>
              <w:right w:val="single" w:color="auto" w:sz="4" w:space="0"/>
            </w:tcBorders>
            <w:shd w:val="clear" w:color="000000" w:fill="FFFFFF"/>
            <w:vAlign w:val="center"/>
          </w:tcPr>
          <w:p w14:paraId="2455335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已婚女</w:t>
            </w:r>
          </w:p>
        </w:tc>
        <w:tc>
          <w:tcPr>
            <w:tcW w:w="885" w:type="dxa"/>
            <w:tcBorders>
              <w:top w:val="nil"/>
              <w:left w:val="nil"/>
              <w:bottom w:val="single" w:color="auto" w:sz="4" w:space="0"/>
              <w:right w:val="single" w:color="auto" w:sz="4" w:space="0"/>
            </w:tcBorders>
            <w:shd w:val="clear" w:color="000000" w:fill="FFFFFF"/>
            <w:vAlign w:val="center"/>
          </w:tcPr>
          <w:p w14:paraId="36F723A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未婚女</w:t>
            </w:r>
          </w:p>
        </w:tc>
      </w:tr>
      <w:tr w14:paraId="6396C003">
        <w:tblPrEx>
          <w:tblCellMar>
            <w:top w:w="0" w:type="dxa"/>
            <w:left w:w="108" w:type="dxa"/>
            <w:bottom w:w="0" w:type="dxa"/>
            <w:right w:w="108" w:type="dxa"/>
          </w:tblCellMar>
        </w:tblPrEx>
        <w:trPr>
          <w:trHeight w:val="670"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03E4FC3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一般情况</w:t>
            </w:r>
          </w:p>
        </w:tc>
        <w:tc>
          <w:tcPr>
            <w:tcW w:w="2900" w:type="dxa"/>
            <w:tcBorders>
              <w:top w:val="nil"/>
              <w:left w:val="nil"/>
              <w:bottom w:val="single" w:color="auto" w:sz="4" w:space="0"/>
              <w:right w:val="single" w:color="auto" w:sz="4" w:space="0"/>
            </w:tcBorders>
            <w:shd w:val="clear" w:color="000000" w:fill="FFFFFF"/>
            <w:vAlign w:val="center"/>
          </w:tcPr>
          <w:p w14:paraId="2791154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身高、体重、体重指数、血压</w:t>
            </w:r>
          </w:p>
        </w:tc>
        <w:tc>
          <w:tcPr>
            <w:tcW w:w="2835" w:type="dxa"/>
            <w:tcBorders>
              <w:top w:val="nil"/>
              <w:left w:val="nil"/>
              <w:bottom w:val="single" w:color="auto" w:sz="4" w:space="0"/>
              <w:right w:val="single" w:color="auto" w:sz="4" w:space="0"/>
            </w:tcBorders>
            <w:shd w:val="clear" w:color="000000" w:fill="FFFFFF"/>
            <w:vAlign w:val="center"/>
          </w:tcPr>
          <w:p w14:paraId="44D7D4A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测量身高、体重、血压，了解身体的基本信息；计算体重指数，判断是否超重、肥胖、消瘦。</w:t>
            </w:r>
          </w:p>
        </w:tc>
        <w:tc>
          <w:tcPr>
            <w:tcW w:w="430" w:type="dxa"/>
            <w:tcBorders>
              <w:top w:val="nil"/>
              <w:left w:val="nil"/>
              <w:bottom w:val="single" w:color="auto" w:sz="4" w:space="0"/>
              <w:right w:val="single" w:color="auto" w:sz="4" w:space="0"/>
            </w:tcBorders>
            <w:shd w:val="clear" w:color="000000" w:fill="FFFFFF"/>
            <w:vAlign w:val="center"/>
          </w:tcPr>
          <w:p w14:paraId="30AC2F55">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2F12A5B1">
            <w:pPr>
              <w:keepNext w:val="0"/>
              <w:keepLines w:val="0"/>
              <w:pageBreakBefore w:val="0"/>
              <w:kinsoku/>
              <w:wordWrap/>
              <w:overflowPunct/>
              <w:topLinePunct w:val="0"/>
              <w:autoSpaceDE/>
              <w:autoSpaceDN/>
              <w:bidi w:val="0"/>
              <w:adjustRightInd/>
              <w:snapToGrid/>
              <w:spacing w:line="400" w:lineRule="exact"/>
              <w:ind w:firstLine="105" w:firstLineChars="5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0F82CE5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rPr>
              <w:t>√</w:t>
            </w:r>
          </w:p>
        </w:tc>
      </w:tr>
      <w:tr w14:paraId="146588B0">
        <w:tblPrEx>
          <w:tblCellMar>
            <w:top w:w="0" w:type="dxa"/>
            <w:left w:w="108" w:type="dxa"/>
            <w:bottom w:w="0" w:type="dxa"/>
            <w:right w:w="108" w:type="dxa"/>
          </w:tblCellMar>
        </w:tblPrEx>
        <w:trPr>
          <w:trHeight w:val="436" w:hRule="atLeast"/>
          <w:jc w:val="center"/>
        </w:trPr>
        <w:tc>
          <w:tcPr>
            <w:tcW w:w="3969" w:type="dxa"/>
            <w:gridSpan w:val="2"/>
            <w:tcBorders>
              <w:top w:val="single" w:color="auto" w:sz="4" w:space="0"/>
              <w:left w:val="single" w:color="auto" w:sz="4" w:space="0"/>
              <w:bottom w:val="single" w:color="auto" w:sz="4" w:space="0"/>
              <w:right w:val="single" w:color="000000" w:sz="4" w:space="0"/>
            </w:tcBorders>
            <w:shd w:val="clear" w:color="000000" w:fill="FFFFFF"/>
            <w:noWrap/>
            <w:vAlign w:val="center"/>
          </w:tcPr>
          <w:p w14:paraId="53F3BAB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一次性采血针、采血费</w:t>
            </w:r>
          </w:p>
        </w:tc>
        <w:tc>
          <w:tcPr>
            <w:tcW w:w="2835" w:type="dxa"/>
            <w:tcBorders>
              <w:top w:val="nil"/>
              <w:left w:val="nil"/>
              <w:bottom w:val="single" w:color="auto" w:sz="4" w:space="0"/>
              <w:right w:val="single" w:color="auto" w:sz="4" w:space="0"/>
            </w:tcBorders>
            <w:shd w:val="clear" w:color="000000" w:fill="FFFFFF"/>
            <w:vAlign w:val="center"/>
          </w:tcPr>
          <w:p w14:paraId="4B41744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安全、方便、无菌、无交叉感染。</w:t>
            </w:r>
          </w:p>
        </w:tc>
        <w:tc>
          <w:tcPr>
            <w:tcW w:w="430" w:type="dxa"/>
            <w:tcBorders>
              <w:top w:val="nil"/>
              <w:left w:val="nil"/>
              <w:bottom w:val="single" w:color="auto" w:sz="4" w:space="0"/>
              <w:right w:val="single" w:color="auto" w:sz="4" w:space="0"/>
            </w:tcBorders>
            <w:shd w:val="clear" w:color="000000" w:fill="FFFFFF"/>
            <w:vAlign w:val="center"/>
          </w:tcPr>
          <w:p w14:paraId="3B784209">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5EE651CC">
            <w:pPr>
              <w:keepNext w:val="0"/>
              <w:keepLines w:val="0"/>
              <w:pageBreakBefore w:val="0"/>
              <w:kinsoku/>
              <w:wordWrap/>
              <w:overflowPunct/>
              <w:topLinePunct w:val="0"/>
              <w:autoSpaceDE/>
              <w:autoSpaceDN/>
              <w:bidi w:val="0"/>
              <w:adjustRightInd/>
              <w:snapToGrid/>
              <w:spacing w:line="400" w:lineRule="exact"/>
              <w:ind w:firstLine="105" w:firstLineChars="50"/>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478F7ED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30D249BC">
        <w:tblPrEx>
          <w:tblCellMar>
            <w:top w:w="0" w:type="dxa"/>
            <w:left w:w="108" w:type="dxa"/>
            <w:bottom w:w="0" w:type="dxa"/>
            <w:right w:w="108" w:type="dxa"/>
          </w:tblCellMar>
        </w:tblPrEx>
        <w:trPr>
          <w:trHeight w:val="317" w:hRule="atLeast"/>
          <w:jc w:val="center"/>
        </w:trPr>
        <w:tc>
          <w:tcPr>
            <w:tcW w:w="3969" w:type="dxa"/>
            <w:gridSpan w:val="2"/>
            <w:tcBorders>
              <w:top w:val="single" w:color="auto" w:sz="4" w:space="0"/>
              <w:left w:val="single" w:color="auto" w:sz="4" w:space="0"/>
              <w:bottom w:val="single" w:color="auto" w:sz="4" w:space="0"/>
              <w:right w:val="single" w:color="000000" w:sz="4" w:space="0"/>
            </w:tcBorders>
            <w:shd w:val="clear" w:color="000000" w:fill="FFFFFF"/>
            <w:vAlign w:val="center"/>
          </w:tcPr>
          <w:p w14:paraId="62E65C1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一次性负压真空采血黄头管</w:t>
            </w:r>
          </w:p>
        </w:tc>
        <w:tc>
          <w:tcPr>
            <w:tcW w:w="2835" w:type="dxa"/>
            <w:tcBorders>
              <w:top w:val="nil"/>
              <w:left w:val="nil"/>
              <w:bottom w:val="single" w:color="auto" w:sz="4" w:space="0"/>
              <w:right w:val="single" w:color="auto" w:sz="4" w:space="0"/>
            </w:tcBorders>
            <w:shd w:val="clear" w:color="000000" w:fill="FFFFFF"/>
            <w:vAlign w:val="center"/>
          </w:tcPr>
          <w:p w14:paraId="51A3EEB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eastAsia="zh-CN"/>
              </w:rPr>
              <w:t>安全、无菌、无交叉感染、符合体检质量要求</w:t>
            </w:r>
          </w:p>
        </w:tc>
        <w:tc>
          <w:tcPr>
            <w:tcW w:w="430" w:type="dxa"/>
            <w:tcBorders>
              <w:top w:val="nil"/>
              <w:left w:val="nil"/>
              <w:bottom w:val="single" w:color="auto" w:sz="4" w:space="0"/>
              <w:right w:val="single" w:color="auto" w:sz="4" w:space="0"/>
            </w:tcBorders>
            <w:shd w:val="clear" w:color="000000" w:fill="FFFFFF"/>
            <w:vAlign w:val="center"/>
          </w:tcPr>
          <w:p w14:paraId="5E23FE4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55" w:type="dxa"/>
            <w:tcBorders>
              <w:top w:val="nil"/>
              <w:left w:val="nil"/>
              <w:bottom w:val="single" w:color="auto" w:sz="4" w:space="0"/>
              <w:right w:val="single" w:color="auto" w:sz="4" w:space="0"/>
            </w:tcBorders>
            <w:shd w:val="clear" w:color="000000" w:fill="FFFFFF"/>
            <w:vAlign w:val="center"/>
          </w:tcPr>
          <w:p w14:paraId="0C30E9C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85" w:type="dxa"/>
            <w:tcBorders>
              <w:top w:val="nil"/>
              <w:left w:val="nil"/>
              <w:bottom w:val="single" w:color="auto" w:sz="4" w:space="0"/>
              <w:right w:val="single" w:color="auto" w:sz="4" w:space="0"/>
            </w:tcBorders>
            <w:shd w:val="clear" w:color="000000" w:fill="FFFFFF"/>
            <w:vAlign w:val="center"/>
          </w:tcPr>
          <w:p w14:paraId="2454C43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r>
      <w:tr w14:paraId="41A8D845">
        <w:tblPrEx>
          <w:tblCellMar>
            <w:top w:w="0" w:type="dxa"/>
            <w:left w:w="108" w:type="dxa"/>
            <w:bottom w:w="0" w:type="dxa"/>
            <w:right w:w="108" w:type="dxa"/>
          </w:tblCellMar>
        </w:tblPrEx>
        <w:trPr>
          <w:trHeight w:val="357" w:hRule="atLeast"/>
          <w:jc w:val="center"/>
        </w:trPr>
        <w:tc>
          <w:tcPr>
            <w:tcW w:w="3969" w:type="dxa"/>
            <w:gridSpan w:val="2"/>
            <w:tcBorders>
              <w:top w:val="single" w:color="auto" w:sz="4" w:space="0"/>
              <w:left w:val="single" w:color="auto" w:sz="4" w:space="0"/>
              <w:bottom w:val="single" w:color="auto" w:sz="4" w:space="0"/>
              <w:right w:val="single" w:color="000000" w:sz="4" w:space="0"/>
            </w:tcBorders>
            <w:shd w:val="clear" w:color="000000" w:fill="FFFFFF"/>
            <w:vAlign w:val="center"/>
          </w:tcPr>
          <w:p w14:paraId="55BB0E4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一次性负压真空采血紫头管</w:t>
            </w:r>
          </w:p>
        </w:tc>
        <w:tc>
          <w:tcPr>
            <w:tcW w:w="2835" w:type="dxa"/>
            <w:tcBorders>
              <w:top w:val="nil"/>
              <w:left w:val="nil"/>
              <w:bottom w:val="single" w:color="auto" w:sz="4" w:space="0"/>
              <w:right w:val="single" w:color="auto" w:sz="4" w:space="0"/>
            </w:tcBorders>
            <w:shd w:val="clear" w:color="000000" w:fill="FFFFFF"/>
            <w:vAlign w:val="center"/>
          </w:tcPr>
          <w:p w14:paraId="4E78351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eastAsia="zh-CN"/>
              </w:rPr>
              <w:t>安全、无菌、无交叉感染、符合体检质量要求</w:t>
            </w:r>
          </w:p>
        </w:tc>
        <w:tc>
          <w:tcPr>
            <w:tcW w:w="430" w:type="dxa"/>
            <w:tcBorders>
              <w:top w:val="nil"/>
              <w:left w:val="nil"/>
              <w:bottom w:val="single" w:color="auto" w:sz="4" w:space="0"/>
              <w:right w:val="single" w:color="auto" w:sz="4" w:space="0"/>
            </w:tcBorders>
            <w:shd w:val="clear" w:color="000000" w:fill="FFFFFF"/>
            <w:vAlign w:val="center"/>
          </w:tcPr>
          <w:p w14:paraId="43C114A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55" w:type="dxa"/>
            <w:tcBorders>
              <w:top w:val="nil"/>
              <w:left w:val="nil"/>
              <w:bottom w:val="single" w:color="auto" w:sz="4" w:space="0"/>
              <w:right w:val="single" w:color="auto" w:sz="4" w:space="0"/>
            </w:tcBorders>
            <w:shd w:val="clear" w:color="000000" w:fill="FFFFFF"/>
            <w:vAlign w:val="center"/>
          </w:tcPr>
          <w:p w14:paraId="0829792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85" w:type="dxa"/>
            <w:tcBorders>
              <w:top w:val="nil"/>
              <w:left w:val="nil"/>
              <w:bottom w:val="single" w:color="auto" w:sz="4" w:space="0"/>
              <w:right w:val="single" w:color="auto" w:sz="4" w:space="0"/>
            </w:tcBorders>
            <w:shd w:val="clear" w:color="000000" w:fill="FFFFFF"/>
            <w:vAlign w:val="center"/>
          </w:tcPr>
          <w:p w14:paraId="0E0976F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r>
      <w:tr w14:paraId="43741337">
        <w:tblPrEx>
          <w:tblCellMar>
            <w:top w:w="0" w:type="dxa"/>
            <w:left w:w="108" w:type="dxa"/>
            <w:bottom w:w="0" w:type="dxa"/>
            <w:right w:w="108" w:type="dxa"/>
          </w:tblCellMar>
        </w:tblPrEx>
        <w:trPr>
          <w:trHeight w:val="357" w:hRule="atLeast"/>
          <w:jc w:val="center"/>
        </w:trPr>
        <w:tc>
          <w:tcPr>
            <w:tcW w:w="3969" w:type="dxa"/>
            <w:gridSpan w:val="2"/>
            <w:tcBorders>
              <w:top w:val="single" w:color="auto" w:sz="4" w:space="0"/>
              <w:left w:val="single" w:color="auto" w:sz="4" w:space="0"/>
              <w:bottom w:val="single" w:color="auto" w:sz="4" w:space="0"/>
              <w:right w:val="single" w:color="000000" w:sz="4" w:space="0"/>
            </w:tcBorders>
            <w:shd w:val="clear" w:color="000000" w:fill="FFFFFF"/>
            <w:vAlign w:val="center"/>
          </w:tcPr>
          <w:p w14:paraId="1EA0108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一次性负压真空采血绿头管</w:t>
            </w:r>
          </w:p>
        </w:tc>
        <w:tc>
          <w:tcPr>
            <w:tcW w:w="2835" w:type="dxa"/>
            <w:tcBorders>
              <w:top w:val="nil"/>
              <w:left w:val="nil"/>
              <w:bottom w:val="single" w:color="auto" w:sz="4" w:space="0"/>
              <w:right w:val="single" w:color="auto" w:sz="4" w:space="0"/>
            </w:tcBorders>
            <w:shd w:val="clear" w:color="000000" w:fill="FFFFFF"/>
            <w:vAlign w:val="center"/>
          </w:tcPr>
          <w:p w14:paraId="544F98F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eastAsia="zh-CN"/>
              </w:rPr>
              <w:t>安全、无菌、无交叉感染、符合体检质量要求</w:t>
            </w:r>
          </w:p>
        </w:tc>
        <w:tc>
          <w:tcPr>
            <w:tcW w:w="430" w:type="dxa"/>
            <w:tcBorders>
              <w:top w:val="nil"/>
              <w:left w:val="nil"/>
              <w:bottom w:val="single" w:color="auto" w:sz="4" w:space="0"/>
              <w:right w:val="single" w:color="auto" w:sz="4" w:space="0"/>
            </w:tcBorders>
            <w:shd w:val="clear" w:color="000000" w:fill="FFFFFF"/>
            <w:vAlign w:val="center"/>
          </w:tcPr>
          <w:p w14:paraId="443C850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55" w:type="dxa"/>
            <w:tcBorders>
              <w:top w:val="nil"/>
              <w:left w:val="nil"/>
              <w:bottom w:val="single" w:color="auto" w:sz="4" w:space="0"/>
              <w:right w:val="single" w:color="auto" w:sz="4" w:space="0"/>
            </w:tcBorders>
            <w:shd w:val="clear" w:color="000000" w:fill="FFFFFF"/>
            <w:vAlign w:val="center"/>
          </w:tcPr>
          <w:p w14:paraId="2D94E70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c>
          <w:tcPr>
            <w:tcW w:w="885" w:type="dxa"/>
            <w:tcBorders>
              <w:top w:val="nil"/>
              <w:left w:val="nil"/>
              <w:bottom w:val="single" w:color="auto" w:sz="4" w:space="0"/>
              <w:right w:val="single" w:color="auto" w:sz="4" w:space="0"/>
            </w:tcBorders>
            <w:shd w:val="clear" w:color="000000" w:fill="FFFFFF"/>
            <w:vAlign w:val="center"/>
          </w:tcPr>
          <w:p w14:paraId="0C771F3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w:t>
            </w:r>
          </w:p>
        </w:tc>
      </w:tr>
      <w:tr w14:paraId="3A585086">
        <w:tblPrEx>
          <w:tblCellMar>
            <w:top w:w="0" w:type="dxa"/>
            <w:left w:w="108" w:type="dxa"/>
            <w:bottom w:w="0" w:type="dxa"/>
            <w:right w:w="108" w:type="dxa"/>
          </w:tblCellMar>
        </w:tblPrEx>
        <w:trPr>
          <w:trHeight w:val="283" w:hRule="atLeast"/>
          <w:jc w:val="center"/>
        </w:trPr>
        <w:tc>
          <w:tcPr>
            <w:tcW w:w="1069" w:type="dxa"/>
            <w:vMerge w:val="restart"/>
            <w:tcBorders>
              <w:top w:val="nil"/>
              <w:left w:val="single" w:color="auto" w:sz="4" w:space="0"/>
              <w:bottom w:val="single" w:color="auto" w:sz="4" w:space="0"/>
              <w:right w:val="single" w:color="auto" w:sz="4" w:space="0"/>
            </w:tcBorders>
            <w:shd w:val="clear" w:color="000000" w:fill="FFFFFF"/>
            <w:vAlign w:val="center"/>
          </w:tcPr>
          <w:p w14:paraId="5B4F564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血常规24项</w:t>
            </w:r>
          </w:p>
        </w:tc>
        <w:tc>
          <w:tcPr>
            <w:tcW w:w="2900" w:type="dxa"/>
            <w:tcBorders>
              <w:top w:val="nil"/>
              <w:left w:val="nil"/>
              <w:bottom w:val="single" w:color="auto" w:sz="4" w:space="0"/>
              <w:right w:val="single" w:color="auto" w:sz="4" w:space="0"/>
            </w:tcBorders>
            <w:shd w:val="clear" w:color="000000" w:fill="FFFFFF"/>
            <w:vAlign w:val="center"/>
          </w:tcPr>
          <w:p w14:paraId="0AB9721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白细胞数目（WBC）</w:t>
            </w:r>
          </w:p>
        </w:tc>
        <w:tc>
          <w:tcPr>
            <w:tcW w:w="2835" w:type="dxa"/>
            <w:vMerge w:val="restart"/>
            <w:tcBorders>
              <w:top w:val="nil"/>
              <w:left w:val="single" w:color="auto" w:sz="4" w:space="0"/>
              <w:bottom w:val="single" w:color="auto" w:sz="4" w:space="0"/>
              <w:right w:val="single" w:color="auto" w:sz="4" w:space="0"/>
            </w:tcBorders>
            <w:shd w:val="clear" w:color="000000" w:fill="FFFFFF"/>
            <w:vAlign w:val="center"/>
          </w:tcPr>
          <w:p w14:paraId="73A8B40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血液中有形成分分析，有无贫血、感染及白细胞减少、血小板减少及血液系统疾病。</w:t>
            </w:r>
          </w:p>
        </w:tc>
        <w:tc>
          <w:tcPr>
            <w:tcW w:w="430" w:type="dxa"/>
            <w:vMerge w:val="restart"/>
            <w:tcBorders>
              <w:top w:val="nil"/>
              <w:left w:val="single" w:color="auto" w:sz="4" w:space="0"/>
              <w:bottom w:val="single" w:color="auto" w:sz="4" w:space="0"/>
              <w:right w:val="single" w:color="auto" w:sz="4" w:space="0"/>
            </w:tcBorders>
            <w:shd w:val="clear" w:color="000000" w:fill="FFFFFF"/>
            <w:vAlign w:val="center"/>
          </w:tcPr>
          <w:p w14:paraId="656228D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vMerge w:val="restart"/>
            <w:tcBorders>
              <w:top w:val="nil"/>
              <w:left w:val="single" w:color="auto" w:sz="4" w:space="0"/>
              <w:bottom w:val="single" w:color="auto" w:sz="4" w:space="0"/>
              <w:right w:val="single" w:color="auto" w:sz="4" w:space="0"/>
            </w:tcBorders>
            <w:shd w:val="clear" w:color="000000" w:fill="FFFFFF"/>
            <w:vAlign w:val="center"/>
          </w:tcPr>
          <w:p w14:paraId="6687433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vMerge w:val="restart"/>
            <w:tcBorders>
              <w:top w:val="nil"/>
              <w:left w:val="single" w:color="auto" w:sz="4" w:space="0"/>
              <w:bottom w:val="single" w:color="auto" w:sz="4" w:space="0"/>
              <w:right w:val="single" w:color="auto" w:sz="4" w:space="0"/>
            </w:tcBorders>
            <w:shd w:val="clear" w:color="000000" w:fill="FFFFFF"/>
            <w:vAlign w:val="center"/>
          </w:tcPr>
          <w:p w14:paraId="6A025E6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776560D7">
        <w:tblPrEx>
          <w:tblCellMar>
            <w:top w:w="0" w:type="dxa"/>
            <w:left w:w="108" w:type="dxa"/>
            <w:bottom w:w="0" w:type="dxa"/>
            <w:right w:w="108" w:type="dxa"/>
          </w:tblCellMar>
        </w:tblPrEx>
        <w:trPr>
          <w:trHeight w:val="3131"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0FDF59F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43F8CC7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中性细胞百分率（GRAN%）、中性细胞绝对值（GRAN）、淋巴细胞百分率（LYN%）、淋巴细胞绝对值（LYM）、红细胞计数（RBC）、血红蛋白量（HGB）、红细胞压积（HCT）、平均红细胞体积（MCV）、平均血红蛋白量（MCH）、平均血红蛋白浓度（MCHC）、红细胞分布宽度（CV）、红细胞分布宽度（SD）、单核细胞百分比、单核细胞绝对值、嗜碱细胞百分比、嗜碱细胞绝对值、嗜酸细胞百分比、嗜酸细胞绝对值</w:t>
            </w:r>
          </w:p>
        </w:tc>
        <w:tc>
          <w:tcPr>
            <w:tcW w:w="2835" w:type="dxa"/>
            <w:vMerge w:val="continue"/>
            <w:tcBorders>
              <w:top w:val="nil"/>
              <w:left w:val="single" w:color="auto" w:sz="4" w:space="0"/>
              <w:bottom w:val="single" w:color="auto" w:sz="4" w:space="0"/>
              <w:right w:val="single" w:color="auto" w:sz="4" w:space="0"/>
            </w:tcBorders>
            <w:vAlign w:val="center"/>
          </w:tcPr>
          <w:p w14:paraId="61DC4B2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430" w:type="dxa"/>
            <w:vMerge w:val="continue"/>
            <w:tcBorders>
              <w:top w:val="nil"/>
              <w:left w:val="single" w:color="auto" w:sz="4" w:space="0"/>
              <w:bottom w:val="single" w:color="auto" w:sz="4" w:space="0"/>
              <w:right w:val="single" w:color="auto" w:sz="4" w:space="0"/>
            </w:tcBorders>
            <w:vAlign w:val="center"/>
          </w:tcPr>
          <w:p w14:paraId="38F9B71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6792351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629CE25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23EAAC76">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659230D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7DCD7AA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血小板数目（PLT）</w:t>
            </w:r>
          </w:p>
        </w:tc>
        <w:tc>
          <w:tcPr>
            <w:tcW w:w="2835" w:type="dxa"/>
            <w:vMerge w:val="continue"/>
            <w:tcBorders>
              <w:top w:val="nil"/>
              <w:left w:val="single" w:color="auto" w:sz="4" w:space="0"/>
              <w:bottom w:val="single" w:color="auto" w:sz="4" w:space="0"/>
              <w:right w:val="single" w:color="auto" w:sz="4" w:space="0"/>
            </w:tcBorders>
            <w:vAlign w:val="center"/>
          </w:tcPr>
          <w:p w14:paraId="2A57FB9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430" w:type="dxa"/>
            <w:vMerge w:val="continue"/>
            <w:tcBorders>
              <w:top w:val="nil"/>
              <w:left w:val="single" w:color="auto" w:sz="4" w:space="0"/>
              <w:bottom w:val="single" w:color="auto" w:sz="4" w:space="0"/>
              <w:right w:val="single" w:color="auto" w:sz="4" w:space="0"/>
            </w:tcBorders>
            <w:vAlign w:val="center"/>
          </w:tcPr>
          <w:p w14:paraId="631161F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39CA4C6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0725190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6A3BE302">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1C01A40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757797B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平均血小板体积（MPV）</w:t>
            </w:r>
          </w:p>
        </w:tc>
        <w:tc>
          <w:tcPr>
            <w:tcW w:w="2835" w:type="dxa"/>
            <w:vMerge w:val="continue"/>
            <w:tcBorders>
              <w:top w:val="nil"/>
              <w:left w:val="single" w:color="auto" w:sz="4" w:space="0"/>
              <w:bottom w:val="single" w:color="auto" w:sz="4" w:space="0"/>
              <w:right w:val="single" w:color="auto" w:sz="4" w:space="0"/>
            </w:tcBorders>
            <w:vAlign w:val="center"/>
          </w:tcPr>
          <w:p w14:paraId="4D09B78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430" w:type="dxa"/>
            <w:vMerge w:val="continue"/>
            <w:tcBorders>
              <w:top w:val="nil"/>
              <w:left w:val="single" w:color="auto" w:sz="4" w:space="0"/>
              <w:bottom w:val="single" w:color="auto" w:sz="4" w:space="0"/>
              <w:right w:val="single" w:color="auto" w:sz="4" w:space="0"/>
            </w:tcBorders>
            <w:vAlign w:val="center"/>
          </w:tcPr>
          <w:p w14:paraId="2E41C5F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1EE9D21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79C1BD3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48812B67">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419DB1A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2030F62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血小板分布宽度（PDW）</w:t>
            </w:r>
          </w:p>
        </w:tc>
        <w:tc>
          <w:tcPr>
            <w:tcW w:w="2835" w:type="dxa"/>
            <w:vMerge w:val="continue"/>
            <w:tcBorders>
              <w:top w:val="nil"/>
              <w:left w:val="single" w:color="auto" w:sz="4" w:space="0"/>
              <w:bottom w:val="single" w:color="auto" w:sz="4" w:space="0"/>
              <w:right w:val="single" w:color="auto" w:sz="4" w:space="0"/>
            </w:tcBorders>
            <w:vAlign w:val="center"/>
          </w:tcPr>
          <w:p w14:paraId="7C980DE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430" w:type="dxa"/>
            <w:vMerge w:val="continue"/>
            <w:tcBorders>
              <w:top w:val="nil"/>
              <w:left w:val="single" w:color="auto" w:sz="4" w:space="0"/>
              <w:bottom w:val="single" w:color="auto" w:sz="4" w:space="0"/>
              <w:right w:val="single" w:color="auto" w:sz="4" w:space="0"/>
            </w:tcBorders>
            <w:vAlign w:val="center"/>
          </w:tcPr>
          <w:p w14:paraId="6190915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4C76F43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0878066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041FDD1F">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0AF22EF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3B8CABF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血小板压积（PCT）</w:t>
            </w:r>
          </w:p>
        </w:tc>
        <w:tc>
          <w:tcPr>
            <w:tcW w:w="2835" w:type="dxa"/>
            <w:vMerge w:val="continue"/>
            <w:tcBorders>
              <w:top w:val="nil"/>
              <w:left w:val="single" w:color="auto" w:sz="4" w:space="0"/>
              <w:bottom w:val="single" w:color="auto" w:sz="4" w:space="0"/>
              <w:right w:val="single" w:color="auto" w:sz="4" w:space="0"/>
            </w:tcBorders>
            <w:vAlign w:val="center"/>
          </w:tcPr>
          <w:p w14:paraId="1B67EA5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430" w:type="dxa"/>
            <w:vMerge w:val="continue"/>
            <w:tcBorders>
              <w:top w:val="nil"/>
              <w:left w:val="single" w:color="auto" w:sz="4" w:space="0"/>
              <w:bottom w:val="single" w:color="auto" w:sz="4" w:space="0"/>
              <w:right w:val="single" w:color="auto" w:sz="4" w:space="0"/>
            </w:tcBorders>
            <w:vAlign w:val="center"/>
          </w:tcPr>
          <w:p w14:paraId="141D34F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532294E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7FE1C8B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6DA85BBC">
        <w:tblPrEx>
          <w:tblCellMar>
            <w:top w:w="0" w:type="dxa"/>
            <w:left w:w="108" w:type="dxa"/>
            <w:bottom w:w="0" w:type="dxa"/>
            <w:right w:w="108" w:type="dxa"/>
          </w:tblCellMar>
        </w:tblPrEx>
        <w:trPr>
          <w:trHeight w:val="283" w:hRule="atLeast"/>
          <w:jc w:val="center"/>
        </w:trPr>
        <w:tc>
          <w:tcPr>
            <w:tcW w:w="1069" w:type="dxa"/>
            <w:vMerge w:val="continue"/>
            <w:tcBorders>
              <w:top w:val="nil"/>
              <w:left w:val="single" w:color="auto" w:sz="4" w:space="0"/>
              <w:bottom w:val="single" w:color="auto" w:sz="4" w:space="0"/>
              <w:right w:val="single" w:color="auto" w:sz="4" w:space="0"/>
            </w:tcBorders>
            <w:vAlign w:val="center"/>
          </w:tcPr>
          <w:p w14:paraId="3248810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69E5AAC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大血小板比率</w:t>
            </w:r>
          </w:p>
        </w:tc>
        <w:tc>
          <w:tcPr>
            <w:tcW w:w="2835" w:type="dxa"/>
            <w:vMerge w:val="continue"/>
            <w:tcBorders>
              <w:top w:val="nil"/>
              <w:left w:val="single" w:color="auto" w:sz="4" w:space="0"/>
              <w:bottom w:val="single" w:color="auto" w:sz="4" w:space="0"/>
              <w:right w:val="single" w:color="auto" w:sz="4" w:space="0"/>
            </w:tcBorders>
            <w:vAlign w:val="center"/>
          </w:tcPr>
          <w:p w14:paraId="05E7737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430" w:type="dxa"/>
            <w:vMerge w:val="continue"/>
            <w:tcBorders>
              <w:top w:val="nil"/>
              <w:left w:val="single" w:color="auto" w:sz="4" w:space="0"/>
              <w:bottom w:val="single" w:color="auto" w:sz="4" w:space="0"/>
              <w:right w:val="single" w:color="auto" w:sz="4" w:space="0"/>
            </w:tcBorders>
            <w:vAlign w:val="center"/>
          </w:tcPr>
          <w:p w14:paraId="6F29A62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3FADADC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50DD57F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456779ED">
        <w:tblPrEx>
          <w:tblCellMar>
            <w:top w:w="0" w:type="dxa"/>
            <w:left w:w="108" w:type="dxa"/>
            <w:bottom w:w="0" w:type="dxa"/>
            <w:right w:w="108" w:type="dxa"/>
          </w:tblCellMar>
        </w:tblPrEx>
        <w:trPr>
          <w:trHeight w:val="1118"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2CB2AF0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尿常规10项</w:t>
            </w:r>
          </w:p>
        </w:tc>
        <w:tc>
          <w:tcPr>
            <w:tcW w:w="2900" w:type="dxa"/>
            <w:tcBorders>
              <w:top w:val="nil"/>
              <w:left w:val="nil"/>
              <w:bottom w:val="single" w:color="auto" w:sz="4" w:space="0"/>
              <w:right w:val="single" w:color="auto" w:sz="4" w:space="0"/>
            </w:tcBorders>
            <w:shd w:val="clear" w:color="000000" w:fill="FFFFFF"/>
            <w:vAlign w:val="center"/>
          </w:tcPr>
          <w:p w14:paraId="0F5E739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尿蛋白(PRO)、尿糖(GLU)、胆红素(BIL)、尿胆原（UBG）、酮体(KET)、亚硝酸盐(NIT)、白细胞(LEU)、尿比重(SG)、尿酸碱度(pH)、尿潜血(BLD)</w:t>
            </w:r>
          </w:p>
        </w:tc>
        <w:tc>
          <w:tcPr>
            <w:tcW w:w="2835" w:type="dxa"/>
            <w:tcBorders>
              <w:top w:val="nil"/>
              <w:left w:val="nil"/>
              <w:bottom w:val="single" w:color="auto" w:sz="4" w:space="0"/>
              <w:right w:val="single" w:color="auto" w:sz="4" w:space="0"/>
            </w:tcBorders>
            <w:shd w:val="clear" w:color="000000" w:fill="FFFFFF"/>
            <w:vAlign w:val="center"/>
          </w:tcPr>
          <w:p w14:paraId="21E92E8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判定有无泌尿系统疾病、急慢性肾病、肾炎、泌尿系感染、出血、结石等 。间接检查与肾脏无关的代谢障碍或疾病。 溶血性黄疸胆道阻塞等疾病的辅助诊断。</w:t>
            </w:r>
          </w:p>
        </w:tc>
        <w:tc>
          <w:tcPr>
            <w:tcW w:w="430" w:type="dxa"/>
            <w:tcBorders>
              <w:top w:val="nil"/>
              <w:left w:val="nil"/>
              <w:bottom w:val="single" w:color="auto" w:sz="4" w:space="0"/>
              <w:right w:val="single" w:color="auto" w:sz="4" w:space="0"/>
            </w:tcBorders>
            <w:shd w:val="clear" w:color="000000" w:fill="FFFFFF"/>
            <w:vAlign w:val="center"/>
          </w:tcPr>
          <w:p w14:paraId="3EAEA08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77C5EC7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5354268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3B84CB47">
        <w:tblPrEx>
          <w:tblCellMar>
            <w:top w:w="0" w:type="dxa"/>
            <w:left w:w="108" w:type="dxa"/>
            <w:bottom w:w="0" w:type="dxa"/>
            <w:right w:w="108" w:type="dxa"/>
          </w:tblCellMar>
        </w:tblPrEx>
        <w:trPr>
          <w:trHeight w:val="1569"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426A60F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肝功能</w:t>
            </w:r>
          </w:p>
        </w:tc>
        <w:tc>
          <w:tcPr>
            <w:tcW w:w="2900" w:type="dxa"/>
            <w:tcBorders>
              <w:top w:val="nil"/>
              <w:left w:val="nil"/>
              <w:bottom w:val="single" w:color="auto" w:sz="4" w:space="0"/>
              <w:right w:val="single" w:color="auto" w:sz="4" w:space="0"/>
            </w:tcBorders>
            <w:shd w:val="clear" w:color="000000" w:fill="FFFFFF"/>
            <w:vAlign w:val="center"/>
          </w:tcPr>
          <w:p w14:paraId="6BDBFD7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谷草转氨酶（AST）、谷丙转氨酶（ALT）、碱性磷酸酶、总胆红素、直接胆红素、间接胆红素、总蛋白、白蛋白、球蛋白、白/球比值</w:t>
            </w:r>
          </w:p>
        </w:tc>
        <w:tc>
          <w:tcPr>
            <w:tcW w:w="2835" w:type="dxa"/>
            <w:tcBorders>
              <w:top w:val="nil"/>
              <w:left w:val="nil"/>
              <w:bottom w:val="single" w:color="auto" w:sz="4" w:space="0"/>
              <w:right w:val="single" w:color="auto" w:sz="4" w:space="0"/>
            </w:tcBorders>
            <w:shd w:val="clear" w:color="000000" w:fill="FFFFFF"/>
            <w:vAlign w:val="center"/>
          </w:tcPr>
          <w:p w14:paraId="5EF6D34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检查肝细胞有无损害的首选指标；病毒性、急慢性肝炎，脂肪肝，胆道阻塞均可升高。</w:t>
            </w:r>
            <w:r>
              <w:rPr>
                <w:rFonts w:hint="eastAsia" w:ascii="宋体" w:hAnsi="宋体" w:eastAsia="宋体" w:cs="宋体"/>
                <w:kern w:val="0"/>
                <w:sz w:val="21"/>
                <w:szCs w:val="21"/>
              </w:rPr>
              <w:br w:type="textWrapping"/>
            </w:r>
            <w:r>
              <w:rPr>
                <w:rFonts w:hint="eastAsia" w:ascii="宋体" w:hAnsi="宋体" w:eastAsia="宋体" w:cs="宋体"/>
                <w:kern w:val="0"/>
                <w:sz w:val="21"/>
                <w:szCs w:val="21"/>
              </w:rPr>
              <w:t>检查肝脏胆红素代谢功能有无异常，用于肝胆疾病、溶血性疾病诊断。</w:t>
            </w:r>
            <w:r>
              <w:rPr>
                <w:rFonts w:hint="eastAsia" w:ascii="宋体" w:hAnsi="宋体" w:eastAsia="宋体" w:cs="宋体"/>
                <w:kern w:val="0"/>
                <w:sz w:val="21"/>
                <w:szCs w:val="21"/>
              </w:rPr>
              <w:br w:type="textWrapping"/>
            </w:r>
            <w:r>
              <w:rPr>
                <w:rFonts w:hint="eastAsia" w:ascii="宋体" w:hAnsi="宋体" w:eastAsia="宋体" w:cs="宋体"/>
                <w:kern w:val="0"/>
                <w:sz w:val="21"/>
                <w:szCs w:val="21"/>
              </w:rPr>
              <w:t>检查肝脏蛋白质代谢有无异常，用于检测慢性肝损害。</w:t>
            </w:r>
          </w:p>
        </w:tc>
        <w:tc>
          <w:tcPr>
            <w:tcW w:w="430" w:type="dxa"/>
            <w:tcBorders>
              <w:top w:val="nil"/>
              <w:left w:val="nil"/>
              <w:bottom w:val="single" w:color="auto" w:sz="4" w:space="0"/>
              <w:right w:val="single" w:color="auto" w:sz="4" w:space="0"/>
            </w:tcBorders>
            <w:shd w:val="clear" w:color="000000" w:fill="FFFFFF"/>
            <w:vAlign w:val="center"/>
          </w:tcPr>
          <w:p w14:paraId="558A513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0E2365D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2F94F9A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255CD9EF">
        <w:tblPrEx>
          <w:tblCellMar>
            <w:top w:w="0" w:type="dxa"/>
            <w:left w:w="108" w:type="dxa"/>
            <w:bottom w:w="0" w:type="dxa"/>
            <w:right w:w="108" w:type="dxa"/>
          </w:tblCellMar>
        </w:tblPrEx>
        <w:trPr>
          <w:trHeight w:val="670"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372898C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肾功能</w:t>
            </w:r>
          </w:p>
        </w:tc>
        <w:tc>
          <w:tcPr>
            <w:tcW w:w="2900" w:type="dxa"/>
            <w:tcBorders>
              <w:top w:val="nil"/>
              <w:left w:val="nil"/>
              <w:bottom w:val="single" w:color="auto" w:sz="4" w:space="0"/>
              <w:right w:val="single" w:color="auto" w:sz="4" w:space="0"/>
            </w:tcBorders>
            <w:shd w:val="clear" w:color="000000" w:fill="FFFFFF"/>
            <w:vAlign w:val="center"/>
          </w:tcPr>
          <w:p w14:paraId="5881772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尿酸、肌酐 、尿素氮</w:t>
            </w:r>
          </w:p>
        </w:tc>
        <w:tc>
          <w:tcPr>
            <w:tcW w:w="2835" w:type="dxa"/>
            <w:tcBorders>
              <w:top w:val="nil"/>
              <w:left w:val="nil"/>
              <w:bottom w:val="single" w:color="auto" w:sz="4" w:space="0"/>
              <w:right w:val="single" w:color="auto" w:sz="4" w:space="0"/>
            </w:tcBorders>
            <w:shd w:val="clear" w:color="000000" w:fill="FFFFFF"/>
            <w:vAlign w:val="center"/>
          </w:tcPr>
          <w:p w14:paraId="2DAD872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检查肾脏功能有无损害。饮酒过量、糖尿病、痛风、肾炎、铅中毒、副甲状腺机能亢进等尿酸会偏高。 </w:t>
            </w:r>
          </w:p>
        </w:tc>
        <w:tc>
          <w:tcPr>
            <w:tcW w:w="430" w:type="dxa"/>
            <w:tcBorders>
              <w:top w:val="nil"/>
              <w:left w:val="nil"/>
              <w:bottom w:val="single" w:color="auto" w:sz="4" w:space="0"/>
              <w:right w:val="single" w:color="auto" w:sz="4" w:space="0"/>
            </w:tcBorders>
            <w:shd w:val="clear" w:color="000000" w:fill="FFFFFF"/>
            <w:vAlign w:val="center"/>
          </w:tcPr>
          <w:p w14:paraId="1422BDE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72CF755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65B587B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50A866C8">
        <w:tblPrEx>
          <w:tblCellMar>
            <w:top w:w="0" w:type="dxa"/>
            <w:left w:w="108" w:type="dxa"/>
            <w:bottom w:w="0" w:type="dxa"/>
            <w:right w:w="108" w:type="dxa"/>
          </w:tblCellMar>
        </w:tblPrEx>
        <w:trPr>
          <w:trHeight w:val="447" w:hRule="atLeast"/>
          <w:jc w:val="center"/>
        </w:trPr>
        <w:tc>
          <w:tcPr>
            <w:tcW w:w="1069" w:type="dxa"/>
            <w:vMerge w:val="restart"/>
            <w:tcBorders>
              <w:top w:val="nil"/>
              <w:left w:val="single" w:color="auto" w:sz="4" w:space="0"/>
              <w:bottom w:val="nil"/>
              <w:right w:val="single" w:color="auto" w:sz="4" w:space="0"/>
            </w:tcBorders>
            <w:shd w:val="clear" w:color="000000" w:fill="FFFFFF"/>
            <w:vAlign w:val="center"/>
          </w:tcPr>
          <w:p w14:paraId="4F98134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血脂</w:t>
            </w:r>
          </w:p>
        </w:tc>
        <w:tc>
          <w:tcPr>
            <w:tcW w:w="2900" w:type="dxa"/>
            <w:tcBorders>
              <w:top w:val="nil"/>
              <w:left w:val="nil"/>
              <w:bottom w:val="single" w:color="auto" w:sz="4" w:space="0"/>
              <w:right w:val="single" w:color="auto" w:sz="4" w:space="0"/>
            </w:tcBorders>
            <w:shd w:val="clear" w:color="000000" w:fill="FFFFFF"/>
            <w:vAlign w:val="center"/>
          </w:tcPr>
          <w:p w14:paraId="7A4AE46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胆固醇、甘油三脂</w:t>
            </w:r>
          </w:p>
        </w:tc>
        <w:tc>
          <w:tcPr>
            <w:tcW w:w="2835" w:type="dxa"/>
            <w:tcBorders>
              <w:top w:val="nil"/>
              <w:left w:val="nil"/>
              <w:bottom w:val="single" w:color="auto" w:sz="4" w:space="0"/>
              <w:right w:val="single" w:color="auto" w:sz="4" w:space="0"/>
            </w:tcBorders>
            <w:shd w:val="clear" w:color="000000" w:fill="FFFFFF"/>
            <w:vAlign w:val="center"/>
          </w:tcPr>
          <w:p w14:paraId="0BF0AA2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检查有无脂质代谢紊乱、动脉粥样硬化重要指标。</w:t>
            </w:r>
          </w:p>
        </w:tc>
        <w:tc>
          <w:tcPr>
            <w:tcW w:w="430" w:type="dxa"/>
            <w:vMerge w:val="restart"/>
            <w:tcBorders>
              <w:top w:val="nil"/>
              <w:left w:val="single" w:color="auto" w:sz="4" w:space="0"/>
              <w:bottom w:val="single" w:color="auto" w:sz="4" w:space="0"/>
              <w:right w:val="single" w:color="auto" w:sz="4" w:space="0"/>
            </w:tcBorders>
            <w:shd w:val="clear" w:color="000000" w:fill="FFFFFF"/>
            <w:vAlign w:val="center"/>
          </w:tcPr>
          <w:p w14:paraId="7792530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vMerge w:val="restart"/>
            <w:tcBorders>
              <w:top w:val="nil"/>
              <w:left w:val="single" w:color="auto" w:sz="4" w:space="0"/>
              <w:bottom w:val="single" w:color="auto" w:sz="4" w:space="0"/>
              <w:right w:val="single" w:color="auto" w:sz="4" w:space="0"/>
            </w:tcBorders>
            <w:shd w:val="clear" w:color="000000" w:fill="FFFFFF"/>
            <w:vAlign w:val="center"/>
          </w:tcPr>
          <w:p w14:paraId="10CB7D1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vMerge w:val="restart"/>
            <w:tcBorders>
              <w:top w:val="nil"/>
              <w:left w:val="single" w:color="auto" w:sz="4" w:space="0"/>
              <w:bottom w:val="single" w:color="auto" w:sz="4" w:space="0"/>
              <w:right w:val="single" w:color="auto" w:sz="4" w:space="0"/>
            </w:tcBorders>
            <w:shd w:val="clear" w:color="000000" w:fill="FFFFFF"/>
            <w:vAlign w:val="center"/>
          </w:tcPr>
          <w:p w14:paraId="1286540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153A8B60">
        <w:tblPrEx>
          <w:tblCellMar>
            <w:top w:w="0" w:type="dxa"/>
            <w:left w:w="108" w:type="dxa"/>
            <w:bottom w:w="0" w:type="dxa"/>
            <w:right w:w="108" w:type="dxa"/>
          </w:tblCellMar>
        </w:tblPrEx>
        <w:trPr>
          <w:trHeight w:val="447" w:hRule="atLeast"/>
          <w:jc w:val="center"/>
        </w:trPr>
        <w:tc>
          <w:tcPr>
            <w:tcW w:w="1069" w:type="dxa"/>
            <w:vMerge w:val="continue"/>
            <w:tcBorders>
              <w:top w:val="nil"/>
              <w:left w:val="single" w:color="auto" w:sz="4" w:space="0"/>
              <w:bottom w:val="nil"/>
              <w:right w:val="single" w:color="auto" w:sz="4" w:space="0"/>
            </w:tcBorders>
            <w:vAlign w:val="center"/>
          </w:tcPr>
          <w:p w14:paraId="06146FF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7EAC33D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高密度脂蛋白、低密度脂蛋白</w:t>
            </w:r>
          </w:p>
        </w:tc>
        <w:tc>
          <w:tcPr>
            <w:tcW w:w="2835" w:type="dxa"/>
            <w:tcBorders>
              <w:top w:val="nil"/>
              <w:left w:val="nil"/>
              <w:bottom w:val="single" w:color="auto" w:sz="4" w:space="0"/>
              <w:right w:val="single" w:color="auto" w:sz="4" w:space="0"/>
            </w:tcBorders>
            <w:shd w:val="clear" w:color="000000" w:fill="FFFFFF"/>
            <w:vAlign w:val="center"/>
          </w:tcPr>
          <w:p w14:paraId="4F638AA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高密度脂蛋白是抗动脉粥样硬化；低密度脂蛋白致动脉粥样硬化。</w:t>
            </w:r>
          </w:p>
        </w:tc>
        <w:tc>
          <w:tcPr>
            <w:tcW w:w="430" w:type="dxa"/>
            <w:vMerge w:val="continue"/>
            <w:tcBorders>
              <w:top w:val="nil"/>
              <w:left w:val="single" w:color="auto" w:sz="4" w:space="0"/>
              <w:bottom w:val="single" w:color="auto" w:sz="4" w:space="0"/>
              <w:right w:val="single" w:color="auto" w:sz="4" w:space="0"/>
            </w:tcBorders>
            <w:vAlign w:val="center"/>
          </w:tcPr>
          <w:p w14:paraId="7201874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auto" w:sz="4" w:space="0"/>
              <w:right w:val="single" w:color="auto" w:sz="4" w:space="0"/>
            </w:tcBorders>
            <w:vAlign w:val="center"/>
          </w:tcPr>
          <w:p w14:paraId="0EAF0FF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auto" w:sz="4" w:space="0"/>
              <w:right w:val="single" w:color="auto" w:sz="4" w:space="0"/>
            </w:tcBorders>
            <w:vAlign w:val="center"/>
          </w:tcPr>
          <w:p w14:paraId="0A5ADAE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13BD80B9">
        <w:tblPrEx>
          <w:tblCellMar>
            <w:top w:w="0" w:type="dxa"/>
            <w:left w:w="108" w:type="dxa"/>
            <w:bottom w:w="0" w:type="dxa"/>
            <w:right w:w="108" w:type="dxa"/>
          </w:tblCellMar>
        </w:tblPrEx>
        <w:trPr>
          <w:trHeight w:val="894" w:hRule="atLeast"/>
          <w:jc w:val="center"/>
        </w:trPr>
        <w:tc>
          <w:tcPr>
            <w:tcW w:w="1069" w:type="dxa"/>
            <w:vMerge w:val="continue"/>
            <w:tcBorders>
              <w:top w:val="nil"/>
              <w:left w:val="single" w:color="auto" w:sz="4" w:space="0"/>
              <w:bottom w:val="nil"/>
              <w:right w:val="single" w:color="auto" w:sz="4" w:space="0"/>
            </w:tcBorders>
            <w:vAlign w:val="center"/>
          </w:tcPr>
          <w:p w14:paraId="1D738DA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34BD42C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小而密低密度脂蛋白</w:t>
            </w:r>
          </w:p>
        </w:tc>
        <w:tc>
          <w:tcPr>
            <w:tcW w:w="2835" w:type="dxa"/>
            <w:tcBorders>
              <w:top w:val="nil"/>
              <w:left w:val="nil"/>
              <w:bottom w:val="single" w:color="auto" w:sz="4" w:space="0"/>
              <w:right w:val="single" w:color="auto" w:sz="4" w:space="0"/>
            </w:tcBorders>
            <w:shd w:val="clear" w:color="000000" w:fill="FFFFFF"/>
            <w:vAlign w:val="center"/>
          </w:tcPr>
          <w:p w14:paraId="66E832F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小而密低密度脂蛋白是引起动脉粥样硬化、心脑血管疾病、心脑血管卒中等最危险的因素之一，其升高通常提示血脂异常升高。</w:t>
            </w:r>
          </w:p>
        </w:tc>
        <w:tc>
          <w:tcPr>
            <w:tcW w:w="430" w:type="dxa"/>
            <w:tcBorders>
              <w:top w:val="nil"/>
              <w:left w:val="nil"/>
              <w:bottom w:val="single" w:color="auto" w:sz="4" w:space="0"/>
              <w:right w:val="single" w:color="auto" w:sz="4" w:space="0"/>
            </w:tcBorders>
            <w:shd w:val="clear" w:color="000000" w:fill="FFFFFF"/>
            <w:vAlign w:val="center"/>
          </w:tcPr>
          <w:p w14:paraId="0BFB66C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166CA7F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4FB1C92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659A4F05">
        <w:tblPrEx>
          <w:tblCellMar>
            <w:top w:w="0" w:type="dxa"/>
            <w:left w:w="108" w:type="dxa"/>
            <w:bottom w:w="0" w:type="dxa"/>
            <w:right w:w="108" w:type="dxa"/>
          </w:tblCellMar>
        </w:tblPrEx>
        <w:trPr>
          <w:trHeight w:val="447" w:hRule="atLeast"/>
          <w:jc w:val="center"/>
        </w:trPr>
        <w:tc>
          <w:tcPr>
            <w:tcW w:w="1069" w:type="dxa"/>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23FC25E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肿瘤标志物</w:t>
            </w:r>
          </w:p>
        </w:tc>
        <w:tc>
          <w:tcPr>
            <w:tcW w:w="2900" w:type="dxa"/>
            <w:tcBorders>
              <w:top w:val="nil"/>
              <w:left w:val="nil"/>
              <w:bottom w:val="single" w:color="auto" w:sz="4" w:space="0"/>
              <w:right w:val="single" w:color="auto" w:sz="4" w:space="0"/>
            </w:tcBorders>
            <w:shd w:val="clear" w:color="000000" w:fill="FFFFFF"/>
            <w:vAlign w:val="center"/>
          </w:tcPr>
          <w:p w14:paraId="170FCD6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CEA\AFP</w:t>
            </w:r>
          </w:p>
        </w:tc>
        <w:tc>
          <w:tcPr>
            <w:tcW w:w="2835" w:type="dxa"/>
            <w:tcBorders>
              <w:top w:val="nil"/>
              <w:left w:val="nil"/>
              <w:bottom w:val="single" w:color="auto" w:sz="4" w:space="0"/>
              <w:right w:val="single" w:color="auto" w:sz="4" w:space="0"/>
            </w:tcBorders>
            <w:shd w:val="clear" w:color="000000" w:fill="FFFFFF"/>
            <w:vAlign w:val="center"/>
          </w:tcPr>
          <w:p w14:paraId="7F620A1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主要针对消化道、肝细胞肿瘤有特异性。</w:t>
            </w:r>
          </w:p>
        </w:tc>
        <w:tc>
          <w:tcPr>
            <w:tcW w:w="430" w:type="dxa"/>
            <w:tcBorders>
              <w:top w:val="nil"/>
              <w:left w:val="nil"/>
              <w:bottom w:val="single" w:color="auto" w:sz="4" w:space="0"/>
              <w:right w:val="single" w:color="auto" w:sz="4" w:space="0"/>
            </w:tcBorders>
            <w:shd w:val="clear" w:color="000000" w:fill="FFFFFF"/>
            <w:vAlign w:val="center"/>
          </w:tcPr>
          <w:p w14:paraId="2E54662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4DD6B10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0919E45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322A19FE">
        <w:tblPrEx>
          <w:tblCellMar>
            <w:top w:w="0" w:type="dxa"/>
            <w:left w:w="108" w:type="dxa"/>
            <w:bottom w:w="0" w:type="dxa"/>
            <w:right w:w="108" w:type="dxa"/>
          </w:tblCellMar>
        </w:tblPrEx>
        <w:trPr>
          <w:trHeight w:val="894" w:hRule="atLeast"/>
          <w:jc w:val="center"/>
        </w:trPr>
        <w:tc>
          <w:tcPr>
            <w:tcW w:w="1069" w:type="dxa"/>
            <w:vMerge w:val="continue"/>
            <w:tcBorders>
              <w:top w:val="single" w:color="auto" w:sz="4" w:space="0"/>
              <w:left w:val="single" w:color="auto" w:sz="4" w:space="0"/>
              <w:bottom w:val="single" w:color="000000" w:sz="4" w:space="0"/>
              <w:right w:val="single" w:color="auto" w:sz="4" w:space="0"/>
            </w:tcBorders>
            <w:vAlign w:val="center"/>
          </w:tcPr>
          <w:p w14:paraId="2913054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388B767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CA724</w:t>
            </w:r>
          </w:p>
        </w:tc>
        <w:tc>
          <w:tcPr>
            <w:tcW w:w="2835" w:type="dxa"/>
            <w:tcBorders>
              <w:top w:val="nil"/>
              <w:left w:val="nil"/>
              <w:bottom w:val="single" w:color="auto" w:sz="4" w:space="0"/>
              <w:right w:val="single" w:color="auto" w:sz="4" w:space="0"/>
            </w:tcBorders>
            <w:shd w:val="clear" w:color="000000" w:fill="FFFFFF"/>
            <w:vAlign w:val="center"/>
          </w:tcPr>
          <w:p w14:paraId="3656706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临床上较为常用的一种肿瘤标志物，可用于消化道肿瘤、部分女性生殖系统肿瘤（如卵巢癌、宫颈癌）以及呼吸系统肿瘤的早期筛查。</w:t>
            </w:r>
          </w:p>
        </w:tc>
        <w:tc>
          <w:tcPr>
            <w:tcW w:w="430" w:type="dxa"/>
            <w:tcBorders>
              <w:top w:val="nil"/>
              <w:left w:val="nil"/>
              <w:bottom w:val="single" w:color="auto" w:sz="4" w:space="0"/>
              <w:right w:val="single" w:color="auto" w:sz="4" w:space="0"/>
            </w:tcBorders>
            <w:shd w:val="clear" w:color="000000" w:fill="FFFFFF"/>
            <w:vAlign w:val="center"/>
          </w:tcPr>
          <w:p w14:paraId="2619505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c>
          <w:tcPr>
            <w:tcW w:w="855" w:type="dxa"/>
            <w:tcBorders>
              <w:top w:val="nil"/>
              <w:left w:val="nil"/>
              <w:bottom w:val="single" w:color="auto" w:sz="4" w:space="0"/>
              <w:right w:val="single" w:color="auto" w:sz="4" w:space="0"/>
            </w:tcBorders>
            <w:shd w:val="clear" w:color="000000" w:fill="FFFFFF"/>
            <w:vAlign w:val="center"/>
          </w:tcPr>
          <w:p w14:paraId="2381B20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c>
          <w:tcPr>
            <w:tcW w:w="885" w:type="dxa"/>
            <w:tcBorders>
              <w:top w:val="nil"/>
              <w:left w:val="nil"/>
              <w:bottom w:val="single" w:color="auto" w:sz="4" w:space="0"/>
              <w:right w:val="single" w:color="auto" w:sz="4" w:space="0"/>
            </w:tcBorders>
            <w:shd w:val="clear" w:color="000000" w:fill="FFFFFF"/>
            <w:vAlign w:val="center"/>
          </w:tcPr>
          <w:p w14:paraId="29F859B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p>
        </w:tc>
      </w:tr>
      <w:tr w14:paraId="040334B9">
        <w:tblPrEx>
          <w:tblCellMar>
            <w:top w:w="0" w:type="dxa"/>
            <w:left w:w="108" w:type="dxa"/>
            <w:bottom w:w="0" w:type="dxa"/>
            <w:right w:w="108" w:type="dxa"/>
          </w:tblCellMar>
        </w:tblPrEx>
        <w:trPr>
          <w:trHeight w:val="913"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4384410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同型半胱氨酸</w:t>
            </w:r>
          </w:p>
        </w:tc>
        <w:tc>
          <w:tcPr>
            <w:tcW w:w="2900" w:type="dxa"/>
            <w:tcBorders>
              <w:top w:val="nil"/>
              <w:left w:val="nil"/>
              <w:bottom w:val="single" w:color="auto" w:sz="4" w:space="0"/>
              <w:right w:val="single" w:color="auto" w:sz="4" w:space="0"/>
            </w:tcBorders>
            <w:shd w:val="clear" w:color="000000" w:fill="FFFFFF"/>
            <w:vAlign w:val="center"/>
          </w:tcPr>
          <w:p w14:paraId="16E098E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　</w:t>
            </w:r>
          </w:p>
        </w:tc>
        <w:tc>
          <w:tcPr>
            <w:tcW w:w="2835" w:type="dxa"/>
            <w:tcBorders>
              <w:top w:val="nil"/>
              <w:left w:val="nil"/>
              <w:bottom w:val="single" w:color="auto" w:sz="4" w:space="0"/>
              <w:right w:val="single" w:color="auto" w:sz="4" w:space="0"/>
            </w:tcBorders>
            <w:shd w:val="clear" w:color="000000" w:fill="FFFFFF"/>
            <w:vAlign w:val="center"/>
          </w:tcPr>
          <w:p w14:paraId="38F280A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人体内含硫氨基酸的一种重要的代谢中间产物，是能引起动脉粥样硬化等心血管疾病发生的一个独立危险因子，高血压如果合并高同型半胱氨酸，是脑卒中最重要的危险因素。临床上的应用主要作为心血管疾病，尤其是冠状动脉粥样硬化和心肌梗塞的危险指标。</w:t>
            </w:r>
          </w:p>
        </w:tc>
        <w:tc>
          <w:tcPr>
            <w:tcW w:w="430" w:type="dxa"/>
            <w:tcBorders>
              <w:top w:val="nil"/>
              <w:left w:val="nil"/>
              <w:bottom w:val="single" w:color="auto" w:sz="4" w:space="0"/>
              <w:right w:val="single" w:color="auto" w:sz="4" w:space="0"/>
            </w:tcBorders>
            <w:shd w:val="clear" w:color="000000" w:fill="FFFFFF"/>
            <w:vAlign w:val="center"/>
          </w:tcPr>
          <w:p w14:paraId="6F256ED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59584AB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32D4A06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3C2E66D3">
        <w:tblPrEx>
          <w:tblCellMar>
            <w:top w:w="0" w:type="dxa"/>
            <w:left w:w="108" w:type="dxa"/>
            <w:bottom w:w="0" w:type="dxa"/>
            <w:right w:w="108" w:type="dxa"/>
          </w:tblCellMar>
        </w:tblPrEx>
        <w:trPr>
          <w:trHeight w:val="447"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3877890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血糖</w:t>
            </w:r>
          </w:p>
        </w:tc>
        <w:tc>
          <w:tcPr>
            <w:tcW w:w="2900" w:type="dxa"/>
            <w:tcBorders>
              <w:top w:val="nil"/>
              <w:left w:val="nil"/>
              <w:bottom w:val="single" w:color="auto" w:sz="4" w:space="0"/>
              <w:right w:val="single" w:color="auto" w:sz="4" w:space="0"/>
            </w:tcBorders>
            <w:shd w:val="clear" w:color="000000" w:fill="FFFFFF"/>
            <w:vAlign w:val="center"/>
          </w:tcPr>
          <w:p w14:paraId="0389B60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空腹血糖</w:t>
            </w:r>
          </w:p>
        </w:tc>
        <w:tc>
          <w:tcPr>
            <w:tcW w:w="2835" w:type="dxa"/>
            <w:tcBorders>
              <w:top w:val="nil"/>
              <w:left w:val="nil"/>
              <w:bottom w:val="single" w:color="auto" w:sz="4" w:space="0"/>
              <w:right w:val="single" w:color="auto" w:sz="4" w:space="0"/>
            </w:tcBorders>
            <w:shd w:val="clear" w:color="000000" w:fill="FFFFFF"/>
            <w:vAlign w:val="center"/>
          </w:tcPr>
          <w:p w14:paraId="657731C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诊断糖代谢紊乱最常用的最重要的指标；筛检糖尿病最基本的方法。</w:t>
            </w:r>
          </w:p>
        </w:tc>
        <w:tc>
          <w:tcPr>
            <w:tcW w:w="430" w:type="dxa"/>
            <w:tcBorders>
              <w:top w:val="nil"/>
              <w:left w:val="nil"/>
              <w:bottom w:val="single" w:color="auto" w:sz="4" w:space="0"/>
              <w:right w:val="single" w:color="auto" w:sz="4" w:space="0"/>
            </w:tcBorders>
            <w:shd w:val="clear" w:color="000000" w:fill="FFFFFF"/>
            <w:vAlign w:val="center"/>
          </w:tcPr>
          <w:p w14:paraId="2871C0E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0927773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10CB9AE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7D6AB5C9">
        <w:tblPrEx>
          <w:tblCellMar>
            <w:top w:w="0" w:type="dxa"/>
            <w:left w:w="108" w:type="dxa"/>
            <w:bottom w:w="0" w:type="dxa"/>
            <w:right w:w="108" w:type="dxa"/>
          </w:tblCellMar>
        </w:tblPrEx>
        <w:trPr>
          <w:trHeight w:val="894" w:hRule="atLeast"/>
          <w:jc w:val="center"/>
        </w:trPr>
        <w:tc>
          <w:tcPr>
            <w:tcW w:w="1069" w:type="dxa"/>
            <w:vMerge w:val="restart"/>
            <w:tcBorders>
              <w:top w:val="nil"/>
              <w:left w:val="single" w:color="auto" w:sz="4" w:space="0"/>
              <w:bottom w:val="single" w:color="000000" w:sz="4" w:space="0"/>
              <w:right w:val="single" w:color="auto" w:sz="4" w:space="0"/>
            </w:tcBorders>
            <w:shd w:val="clear" w:color="000000" w:fill="FFFFFF"/>
            <w:vAlign w:val="center"/>
          </w:tcPr>
          <w:p w14:paraId="3564F29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B超</w:t>
            </w:r>
          </w:p>
        </w:tc>
        <w:tc>
          <w:tcPr>
            <w:tcW w:w="2900" w:type="dxa"/>
            <w:tcBorders>
              <w:top w:val="nil"/>
              <w:left w:val="nil"/>
              <w:bottom w:val="single" w:color="auto" w:sz="4" w:space="0"/>
              <w:right w:val="single" w:color="auto" w:sz="4" w:space="0"/>
            </w:tcBorders>
            <w:shd w:val="clear" w:color="000000" w:fill="FFFFFF"/>
            <w:vAlign w:val="center"/>
          </w:tcPr>
          <w:p w14:paraId="0F5DBEC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肝、胆、胰、脾、肾</w:t>
            </w:r>
          </w:p>
        </w:tc>
        <w:tc>
          <w:tcPr>
            <w:tcW w:w="2835" w:type="dxa"/>
            <w:tcBorders>
              <w:top w:val="nil"/>
              <w:left w:val="nil"/>
              <w:bottom w:val="single" w:color="auto" w:sz="4" w:space="0"/>
              <w:right w:val="single" w:color="auto" w:sz="4" w:space="0"/>
            </w:tcBorders>
            <w:shd w:val="clear" w:color="000000" w:fill="FFFFFF"/>
            <w:vAlign w:val="center"/>
          </w:tcPr>
          <w:p w14:paraId="6397909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检查腹部器官有无占位性疾病、肝胆慢性病变、血管瘤、胰脏等器官病变及肿瘤。脂肪肝、肝硬化、肝胆结石等疾病。</w:t>
            </w:r>
          </w:p>
        </w:tc>
        <w:tc>
          <w:tcPr>
            <w:tcW w:w="430" w:type="dxa"/>
            <w:tcBorders>
              <w:top w:val="nil"/>
              <w:left w:val="nil"/>
              <w:bottom w:val="single" w:color="auto" w:sz="4" w:space="0"/>
              <w:right w:val="single" w:color="auto" w:sz="4" w:space="0"/>
            </w:tcBorders>
            <w:shd w:val="clear" w:color="000000" w:fill="FFFFFF"/>
            <w:vAlign w:val="center"/>
          </w:tcPr>
          <w:p w14:paraId="268A997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5C6CE7A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5E327F0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08FD8254">
        <w:tblPrEx>
          <w:tblCellMar>
            <w:top w:w="0" w:type="dxa"/>
            <w:left w:w="108" w:type="dxa"/>
            <w:bottom w:w="0" w:type="dxa"/>
            <w:right w:w="108" w:type="dxa"/>
          </w:tblCellMar>
        </w:tblPrEx>
        <w:trPr>
          <w:trHeight w:val="670"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4EC1124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5577061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检查前列腺、膀胱、盆腔</w:t>
            </w:r>
          </w:p>
          <w:p w14:paraId="2708EDB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（男性）</w:t>
            </w:r>
          </w:p>
        </w:tc>
        <w:tc>
          <w:tcPr>
            <w:tcW w:w="2835" w:type="dxa"/>
            <w:tcBorders>
              <w:top w:val="nil"/>
              <w:left w:val="nil"/>
              <w:bottom w:val="single" w:color="auto" w:sz="4" w:space="0"/>
              <w:right w:val="single" w:color="auto" w:sz="4" w:space="0"/>
            </w:tcBorders>
            <w:shd w:val="clear" w:color="000000" w:fill="FFFFFF"/>
            <w:vAlign w:val="center"/>
          </w:tcPr>
          <w:p w14:paraId="2EBFBF6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发现前列腺（增生）、膀胱占位性病变等（憋尿、检前饮300-500ml白水）。</w:t>
            </w:r>
          </w:p>
        </w:tc>
        <w:tc>
          <w:tcPr>
            <w:tcW w:w="430" w:type="dxa"/>
            <w:tcBorders>
              <w:top w:val="nil"/>
              <w:left w:val="nil"/>
              <w:bottom w:val="single" w:color="auto" w:sz="4" w:space="0"/>
              <w:right w:val="single" w:color="auto" w:sz="4" w:space="0"/>
            </w:tcBorders>
            <w:shd w:val="clear" w:color="000000" w:fill="FFFFFF"/>
            <w:vAlign w:val="center"/>
          </w:tcPr>
          <w:p w14:paraId="4E4AB6F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19167EF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08B285D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58C3629A">
        <w:tblPrEx>
          <w:tblCellMar>
            <w:top w:w="0" w:type="dxa"/>
            <w:left w:w="108" w:type="dxa"/>
            <w:bottom w:w="0" w:type="dxa"/>
            <w:right w:w="108" w:type="dxa"/>
          </w:tblCellMar>
        </w:tblPrEx>
        <w:trPr>
          <w:trHeight w:val="596"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740723F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0118D06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检查子宫、附件、盆腔</w:t>
            </w:r>
          </w:p>
          <w:p w14:paraId="4DA64CA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（女性）</w:t>
            </w:r>
          </w:p>
        </w:tc>
        <w:tc>
          <w:tcPr>
            <w:tcW w:w="2835" w:type="dxa"/>
            <w:tcBorders>
              <w:top w:val="nil"/>
              <w:left w:val="nil"/>
              <w:bottom w:val="single" w:color="auto" w:sz="4" w:space="0"/>
              <w:right w:val="single" w:color="auto" w:sz="4" w:space="0"/>
            </w:tcBorders>
            <w:shd w:val="clear" w:color="000000" w:fill="FFFFFF"/>
            <w:vAlign w:val="center"/>
          </w:tcPr>
          <w:p w14:paraId="44703AF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发现子宫、附件、膀胱占位性病变（憋尿、检前饮700-1000ml白水）。</w:t>
            </w:r>
          </w:p>
        </w:tc>
        <w:tc>
          <w:tcPr>
            <w:tcW w:w="430" w:type="dxa"/>
            <w:tcBorders>
              <w:top w:val="nil"/>
              <w:left w:val="nil"/>
              <w:bottom w:val="single" w:color="auto" w:sz="4" w:space="0"/>
              <w:right w:val="single" w:color="auto" w:sz="4" w:space="0"/>
            </w:tcBorders>
            <w:shd w:val="clear" w:color="000000" w:fill="FFFFFF"/>
            <w:vAlign w:val="center"/>
          </w:tcPr>
          <w:p w14:paraId="22DD0DA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4FCBEE5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66180A3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06486A7F">
        <w:tblPrEx>
          <w:tblCellMar>
            <w:top w:w="0" w:type="dxa"/>
            <w:left w:w="108" w:type="dxa"/>
            <w:bottom w:w="0" w:type="dxa"/>
            <w:right w:w="108" w:type="dxa"/>
          </w:tblCellMar>
        </w:tblPrEx>
        <w:trPr>
          <w:trHeight w:val="973"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3E8E552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6F04A77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甲状腺</w:t>
            </w:r>
          </w:p>
        </w:tc>
        <w:tc>
          <w:tcPr>
            <w:tcW w:w="2835" w:type="dxa"/>
            <w:tcBorders>
              <w:top w:val="nil"/>
              <w:left w:val="nil"/>
              <w:bottom w:val="single" w:color="auto" w:sz="4" w:space="0"/>
              <w:right w:val="single" w:color="auto" w:sz="4" w:space="0"/>
            </w:tcBorders>
            <w:shd w:val="clear" w:color="000000" w:fill="FFFFFF"/>
            <w:vAlign w:val="center"/>
          </w:tcPr>
          <w:p w14:paraId="1400544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能够帮助判断甲状腺是否有弥漫性病变或者是占位性病变，还可以随访甲状腺疾病的治疗效果，其特点是简便、快捷、无痛苦、准确率高。</w:t>
            </w:r>
          </w:p>
        </w:tc>
        <w:tc>
          <w:tcPr>
            <w:tcW w:w="430" w:type="dxa"/>
            <w:tcBorders>
              <w:top w:val="nil"/>
              <w:left w:val="nil"/>
              <w:bottom w:val="single" w:color="auto" w:sz="4" w:space="0"/>
              <w:right w:val="single" w:color="auto" w:sz="4" w:space="0"/>
            </w:tcBorders>
            <w:shd w:val="clear" w:color="000000" w:fill="FFFFFF"/>
            <w:vAlign w:val="center"/>
          </w:tcPr>
          <w:p w14:paraId="5D1D2DE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7ED8854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472E33F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44B0C9BB">
        <w:tblPrEx>
          <w:tblCellMar>
            <w:top w:w="0" w:type="dxa"/>
            <w:left w:w="108" w:type="dxa"/>
            <w:bottom w:w="0" w:type="dxa"/>
            <w:right w:w="108" w:type="dxa"/>
          </w:tblCellMar>
        </w:tblPrEx>
        <w:trPr>
          <w:trHeight w:val="876"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24927CE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5D6EB36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乳房</w:t>
            </w:r>
          </w:p>
          <w:p w14:paraId="610E6DD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（女性）</w:t>
            </w:r>
          </w:p>
        </w:tc>
        <w:tc>
          <w:tcPr>
            <w:tcW w:w="2835" w:type="dxa"/>
            <w:tcBorders>
              <w:top w:val="nil"/>
              <w:left w:val="nil"/>
              <w:bottom w:val="single" w:color="auto" w:sz="4" w:space="0"/>
              <w:right w:val="single" w:color="auto" w:sz="4" w:space="0"/>
            </w:tcBorders>
            <w:shd w:val="clear" w:color="000000" w:fill="FFFFFF"/>
            <w:vAlign w:val="center"/>
          </w:tcPr>
          <w:p w14:paraId="18FC6D2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主要针对乳腺小叶增生﹑乳腺囊肿﹑乳腺肿瘤（良﹑恶）性疾病等进行早期筛查。其特点是简便﹑快捷﹑无痛苦﹑准确率高。</w:t>
            </w:r>
          </w:p>
        </w:tc>
        <w:tc>
          <w:tcPr>
            <w:tcW w:w="430" w:type="dxa"/>
            <w:tcBorders>
              <w:top w:val="nil"/>
              <w:left w:val="nil"/>
              <w:bottom w:val="single" w:color="auto" w:sz="4" w:space="0"/>
              <w:right w:val="single" w:color="auto" w:sz="4" w:space="0"/>
            </w:tcBorders>
            <w:shd w:val="clear" w:color="000000" w:fill="FFFFFF"/>
            <w:vAlign w:val="center"/>
          </w:tcPr>
          <w:p w14:paraId="5313E86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48AF8FC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16866F7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515B9C67">
        <w:tblPrEx>
          <w:tblCellMar>
            <w:top w:w="0" w:type="dxa"/>
            <w:left w:w="108" w:type="dxa"/>
            <w:bottom w:w="0" w:type="dxa"/>
            <w:right w:w="108" w:type="dxa"/>
          </w:tblCellMar>
        </w:tblPrEx>
        <w:trPr>
          <w:trHeight w:val="876"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0EEF585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放射检查</w:t>
            </w:r>
          </w:p>
        </w:tc>
        <w:tc>
          <w:tcPr>
            <w:tcW w:w="2900" w:type="dxa"/>
            <w:tcBorders>
              <w:top w:val="nil"/>
              <w:left w:val="nil"/>
              <w:bottom w:val="single" w:color="auto" w:sz="4" w:space="0"/>
              <w:right w:val="single" w:color="auto" w:sz="4" w:space="0"/>
            </w:tcBorders>
            <w:shd w:val="clear" w:color="000000" w:fill="FFFFFF"/>
            <w:vAlign w:val="center"/>
          </w:tcPr>
          <w:p w14:paraId="3E7F0A8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乳房钼靶（不含片子）</w:t>
            </w:r>
          </w:p>
        </w:tc>
        <w:tc>
          <w:tcPr>
            <w:tcW w:w="2835" w:type="dxa"/>
            <w:tcBorders>
              <w:top w:val="nil"/>
              <w:left w:val="nil"/>
              <w:bottom w:val="single" w:color="auto" w:sz="4" w:space="0"/>
              <w:right w:val="single" w:color="auto" w:sz="4" w:space="0"/>
            </w:tcBorders>
            <w:shd w:val="clear" w:color="000000" w:fill="FFFFFF"/>
            <w:vAlign w:val="center"/>
          </w:tcPr>
          <w:p w14:paraId="48C33F6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主要用于乳腺疾病的筛查和乳腺癌的诊断，能够清晰地显示乳腺的各层组织，能够更好地观察到肿块的大小、数量，是否有钙化灶。该项目检查痛苦相对较小，并且分辨率比较高，不会受到年龄、体型等多种限制，是诊断乳腺疾病的首选检查方法。</w:t>
            </w:r>
          </w:p>
        </w:tc>
        <w:tc>
          <w:tcPr>
            <w:tcW w:w="430" w:type="dxa"/>
            <w:tcBorders>
              <w:top w:val="nil"/>
              <w:left w:val="nil"/>
              <w:bottom w:val="single" w:color="auto" w:sz="4" w:space="0"/>
              <w:right w:val="single" w:color="auto" w:sz="4" w:space="0"/>
            </w:tcBorders>
            <w:shd w:val="clear" w:color="000000" w:fill="FFFFFF"/>
            <w:vAlign w:val="center"/>
          </w:tcPr>
          <w:p w14:paraId="4B16C11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107FE21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46B10D9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4A922147">
        <w:tblPrEx>
          <w:tblCellMar>
            <w:top w:w="0" w:type="dxa"/>
            <w:left w:w="108" w:type="dxa"/>
            <w:bottom w:w="0" w:type="dxa"/>
            <w:right w:w="108" w:type="dxa"/>
          </w:tblCellMar>
        </w:tblPrEx>
        <w:trPr>
          <w:trHeight w:val="894"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773EB3E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内科</w:t>
            </w:r>
          </w:p>
        </w:tc>
        <w:tc>
          <w:tcPr>
            <w:tcW w:w="2900" w:type="dxa"/>
            <w:tcBorders>
              <w:top w:val="nil"/>
              <w:left w:val="nil"/>
              <w:bottom w:val="single" w:color="auto" w:sz="4" w:space="0"/>
              <w:right w:val="single" w:color="auto" w:sz="4" w:space="0"/>
            </w:tcBorders>
            <w:shd w:val="clear" w:color="000000" w:fill="FFFFFF"/>
            <w:vAlign w:val="center"/>
          </w:tcPr>
          <w:p w14:paraId="21CEC39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胸廓对称性、呼吸频率及节律、呼吸动度、呼吸音、心率、心律、心音、心界、肝胆脾触诊、肾区叩诊等。</w:t>
            </w:r>
          </w:p>
        </w:tc>
        <w:tc>
          <w:tcPr>
            <w:tcW w:w="2835" w:type="dxa"/>
            <w:tcBorders>
              <w:top w:val="nil"/>
              <w:left w:val="nil"/>
              <w:bottom w:val="single" w:color="auto" w:sz="4" w:space="0"/>
              <w:right w:val="single" w:color="auto" w:sz="4" w:space="0"/>
            </w:tcBorders>
            <w:shd w:val="clear" w:color="000000" w:fill="FFFFFF"/>
            <w:vAlign w:val="center"/>
          </w:tcPr>
          <w:p w14:paraId="5CF6974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检查心、肺、腹有无异常。</w:t>
            </w:r>
          </w:p>
        </w:tc>
        <w:tc>
          <w:tcPr>
            <w:tcW w:w="430" w:type="dxa"/>
            <w:tcBorders>
              <w:top w:val="nil"/>
              <w:left w:val="nil"/>
              <w:bottom w:val="single" w:color="auto" w:sz="4" w:space="0"/>
              <w:right w:val="single" w:color="auto" w:sz="4" w:space="0"/>
            </w:tcBorders>
            <w:shd w:val="clear" w:color="000000" w:fill="FFFFFF"/>
            <w:vAlign w:val="center"/>
          </w:tcPr>
          <w:p w14:paraId="197E5F2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28B41DC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34B4EEF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16ADDF8B">
        <w:tblPrEx>
          <w:tblCellMar>
            <w:top w:w="0" w:type="dxa"/>
            <w:left w:w="108" w:type="dxa"/>
            <w:bottom w:w="0" w:type="dxa"/>
            <w:right w:w="108" w:type="dxa"/>
          </w:tblCellMar>
        </w:tblPrEx>
        <w:trPr>
          <w:trHeight w:val="894" w:hRule="atLeast"/>
          <w:jc w:val="center"/>
        </w:trPr>
        <w:tc>
          <w:tcPr>
            <w:tcW w:w="1069" w:type="dxa"/>
            <w:tcBorders>
              <w:top w:val="nil"/>
              <w:left w:val="single" w:color="auto" w:sz="4" w:space="0"/>
              <w:bottom w:val="nil"/>
              <w:right w:val="single" w:color="auto" w:sz="4" w:space="0"/>
            </w:tcBorders>
            <w:shd w:val="clear" w:color="000000" w:fill="FFFFFF"/>
            <w:vAlign w:val="center"/>
          </w:tcPr>
          <w:p w14:paraId="762E879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外科</w:t>
            </w:r>
          </w:p>
        </w:tc>
        <w:tc>
          <w:tcPr>
            <w:tcW w:w="2900" w:type="dxa"/>
            <w:tcBorders>
              <w:top w:val="nil"/>
              <w:left w:val="nil"/>
              <w:bottom w:val="single" w:color="auto" w:sz="4" w:space="0"/>
              <w:right w:val="single" w:color="auto" w:sz="4" w:space="0"/>
            </w:tcBorders>
            <w:shd w:val="clear" w:color="000000" w:fill="FFFFFF"/>
            <w:vAlign w:val="center"/>
          </w:tcPr>
          <w:p w14:paraId="5791514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皮肤、浅表淋巴结、甲状腺、乳房(女)、脊柱、四肢关节、肛门、直肠指诊、前列腺(男)、外生殖器(男)</w:t>
            </w:r>
          </w:p>
        </w:tc>
        <w:tc>
          <w:tcPr>
            <w:tcW w:w="2835" w:type="dxa"/>
            <w:tcBorders>
              <w:top w:val="nil"/>
              <w:left w:val="nil"/>
              <w:bottom w:val="single" w:color="auto" w:sz="4" w:space="0"/>
              <w:right w:val="single" w:color="auto" w:sz="4" w:space="0"/>
            </w:tcBorders>
            <w:shd w:val="clear" w:color="000000" w:fill="FFFFFF"/>
            <w:vAlign w:val="center"/>
          </w:tcPr>
          <w:p w14:paraId="1F12762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检查皮肤、浅表淋巴结、甲状腺、乳房(女)、脊柱、四肢关节、肛门、直肠、前列腺(男)、外生殖器(男)有无异常。</w:t>
            </w:r>
          </w:p>
        </w:tc>
        <w:tc>
          <w:tcPr>
            <w:tcW w:w="430" w:type="dxa"/>
            <w:tcBorders>
              <w:top w:val="nil"/>
              <w:left w:val="nil"/>
              <w:bottom w:val="single" w:color="auto" w:sz="4" w:space="0"/>
              <w:right w:val="single" w:color="auto" w:sz="4" w:space="0"/>
            </w:tcBorders>
            <w:shd w:val="clear" w:color="000000" w:fill="FFFFFF"/>
            <w:vAlign w:val="center"/>
          </w:tcPr>
          <w:p w14:paraId="5B60B41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649E444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674BFCE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0A996B56">
        <w:tblPrEx>
          <w:tblCellMar>
            <w:top w:w="0" w:type="dxa"/>
            <w:left w:w="108" w:type="dxa"/>
            <w:bottom w:w="0" w:type="dxa"/>
            <w:right w:w="108" w:type="dxa"/>
          </w:tblCellMar>
        </w:tblPrEx>
        <w:trPr>
          <w:trHeight w:val="1379" w:hRule="atLeast"/>
          <w:jc w:val="center"/>
        </w:trPr>
        <w:tc>
          <w:tcPr>
            <w:tcW w:w="1069" w:type="dxa"/>
            <w:tcBorders>
              <w:top w:val="single" w:color="auto" w:sz="4" w:space="0"/>
              <w:left w:val="single" w:color="auto" w:sz="4" w:space="0"/>
              <w:bottom w:val="single" w:color="auto" w:sz="4" w:space="0"/>
              <w:right w:val="single" w:color="auto" w:sz="4" w:space="0"/>
            </w:tcBorders>
            <w:shd w:val="clear" w:color="000000" w:fill="FFFFFF"/>
            <w:vAlign w:val="center"/>
          </w:tcPr>
          <w:p w14:paraId="7B27AB9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眼科</w:t>
            </w:r>
          </w:p>
        </w:tc>
        <w:tc>
          <w:tcPr>
            <w:tcW w:w="2900" w:type="dxa"/>
            <w:tcBorders>
              <w:top w:val="nil"/>
              <w:left w:val="nil"/>
              <w:bottom w:val="single" w:color="auto" w:sz="4" w:space="0"/>
              <w:right w:val="single" w:color="auto" w:sz="4" w:space="0"/>
            </w:tcBorders>
            <w:shd w:val="clear" w:color="000000" w:fill="FFFFFF"/>
            <w:vAlign w:val="center"/>
          </w:tcPr>
          <w:p w14:paraId="585363C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视力、眼睑、结膜、眼球、裂隙灯：角膜、晶状体、玻璃体、瞳孔。</w:t>
            </w:r>
          </w:p>
        </w:tc>
        <w:tc>
          <w:tcPr>
            <w:tcW w:w="2835" w:type="dxa"/>
            <w:tcBorders>
              <w:top w:val="nil"/>
              <w:left w:val="nil"/>
              <w:bottom w:val="single" w:color="auto" w:sz="4" w:space="0"/>
              <w:right w:val="single" w:color="auto" w:sz="4" w:space="0"/>
            </w:tcBorders>
            <w:shd w:val="clear" w:color="000000" w:fill="FFFFFF"/>
            <w:vAlign w:val="center"/>
          </w:tcPr>
          <w:p w14:paraId="746438D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1.检查有无屈光不正。2.检查眼睑、结膜、眼球、眼底、晶状体、玻璃体、角膜有无异常。</w:t>
            </w:r>
          </w:p>
        </w:tc>
        <w:tc>
          <w:tcPr>
            <w:tcW w:w="430" w:type="dxa"/>
            <w:tcBorders>
              <w:top w:val="nil"/>
              <w:left w:val="nil"/>
              <w:bottom w:val="single" w:color="auto" w:sz="4" w:space="0"/>
              <w:right w:val="single" w:color="auto" w:sz="4" w:space="0"/>
            </w:tcBorders>
            <w:shd w:val="clear" w:color="000000" w:fill="FFFFFF"/>
            <w:vAlign w:val="center"/>
          </w:tcPr>
          <w:p w14:paraId="5A26F59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5D70665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19061EB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518F5E08">
        <w:tblPrEx>
          <w:tblCellMar>
            <w:top w:w="0" w:type="dxa"/>
            <w:left w:w="108" w:type="dxa"/>
            <w:bottom w:w="0" w:type="dxa"/>
            <w:right w:w="108" w:type="dxa"/>
          </w:tblCellMar>
        </w:tblPrEx>
        <w:trPr>
          <w:trHeight w:val="436" w:hRule="atLeast"/>
          <w:jc w:val="center"/>
        </w:trPr>
        <w:tc>
          <w:tcPr>
            <w:tcW w:w="1069" w:type="dxa"/>
            <w:vMerge w:val="restart"/>
            <w:tcBorders>
              <w:top w:val="nil"/>
              <w:left w:val="single" w:color="auto" w:sz="4" w:space="0"/>
              <w:bottom w:val="nil"/>
              <w:right w:val="single" w:color="auto" w:sz="4" w:space="0"/>
            </w:tcBorders>
            <w:shd w:val="clear" w:color="000000" w:fill="FFFFFF"/>
            <w:vAlign w:val="center"/>
          </w:tcPr>
          <w:p w14:paraId="328F4F7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妇科（已婚女）</w:t>
            </w:r>
          </w:p>
        </w:tc>
        <w:tc>
          <w:tcPr>
            <w:tcW w:w="2900" w:type="dxa"/>
            <w:tcBorders>
              <w:top w:val="nil"/>
              <w:left w:val="nil"/>
              <w:bottom w:val="single" w:color="auto" w:sz="4" w:space="0"/>
              <w:right w:val="single" w:color="auto" w:sz="4" w:space="0"/>
            </w:tcBorders>
            <w:shd w:val="clear" w:color="000000" w:fill="FFFFFF"/>
            <w:vAlign w:val="center"/>
          </w:tcPr>
          <w:p w14:paraId="761A20E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外阴、阴道、宫颈、子宫体、附件</w:t>
            </w:r>
          </w:p>
        </w:tc>
        <w:tc>
          <w:tcPr>
            <w:tcW w:w="2835" w:type="dxa"/>
            <w:tcBorders>
              <w:top w:val="nil"/>
              <w:left w:val="nil"/>
              <w:bottom w:val="single" w:color="auto" w:sz="4" w:space="0"/>
              <w:right w:val="single" w:color="auto" w:sz="4" w:space="0"/>
            </w:tcBorders>
            <w:shd w:val="clear" w:color="000000" w:fill="FFFFFF"/>
            <w:vAlign w:val="center"/>
          </w:tcPr>
          <w:p w14:paraId="3062997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检查生殖系统及附件有无异常。</w:t>
            </w:r>
          </w:p>
        </w:tc>
        <w:tc>
          <w:tcPr>
            <w:tcW w:w="430" w:type="dxa"/>
            <w:vMerge w:val="restart"/>
            <w:tcBorders>
              <w:top w:val="nil"/>
              <w:left w:val="single" w:color="auto" w:sz="4" w:space="0"/>
              <w:bottom w:val="single" w:color="000000" w:sz="4" w:space="0"/>
              <w:right w:val="single" w:color="auto" w:sz="4" w:space="0"/>
            </w:tcBorders>
            <w:shd w:val="clear" w:color="000000" w:fill="FFFFFF"/>
            <w:vAlign w:val="center"/>
          </w:tcPr>
          <w:p w14:paraId="7F61D32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7F945BB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vMerge w:val="restart"/>
            <w:tcBorders>
              <w:top w:val="nil"/>
              <w:left w:val="single" w:color="auto" w:sz="4" w:space="0"/>
              <w:bottom w:val="single" w:color="000000" w:sz="4" w:space="0"/>
              <w:right w:val="single" w:color="auto" w:sz="4" w:space="0"/>
            </w:tcBorders>
            <w:shd w:val="clear" w:color="000000" w:fill="FFFFFF"/>
            <w:vAlign w:val="center"/>
          </w:tcPr>
          <w:p w14:paraId="739A719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119FBA83">
        <w:tblPrEx>
          <w:tblCellMar>
            <w:top w:w="0" w:type="dxa"/>
            <w:left w:w="108" w:type="dxa"/>
            <w:bottom w:w="0" w:type="dxa"/>
            <w:right w:w="108" w:type="dxa"/>
          </w:tblCellMar>
        </w:tblPrEx>
        <w:trPr>
          <w:trHeight w:val="436" w:hRule="atLeast"/>
          <w:jc w:val="center"/>
        </w:trPr>
        <w:tc>
          <w:tcPr>
            <w:tcW w:w="1069" w:type="dxa"/>
            <w:vMerge w:val="continue"/>
            <w:tcBorders>
              <w:top w:val="nil"/>
              <w:left w:val="single" w:color="auto" w:sz="4" w:space="0"/>
              <w:bottom w:val="nil"/>
              <w:right w:val="single" w:color="auto" w:sz="4" w:space="0"/>
            </w:tcBorders>
            <w:vAlign w:val="center"/>
          </w:tcPr>
          <w:p w14:paraId="7D0991F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5FB329E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宫颈涂片</w:t>
            </w:r>
          </w:p>
        </w:tc>
        <w:tc>
          <w:tcPr>
            <w:tcW w:w="2835" w:type="dxa"/>
            <w:tcBorders>
              <w:top w:val="nil"/>
              <w:left w:val="nil"/>
              <w:bottom w:val="single" w:color="auto" w:sz="4" w:space="0"/>
              <w:right w:val="single" w:color="auto" w:sz="4" w:space="0"/>
            </w:tcBorders>
            <w:shd w:val="clear" w:color="000000" w:fill="FFFFFF"/>
            <w:vAlign w:val="center"/>
          </w:tcPr>
          <w:p w14:paraId="0B33F6B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检查是否有宫颈癌及癌前病变。</w:t>
            </w:r>
          </w:p>
        </w:tc>
        <w:tc>
          <w:tcPr>
            <w:tcW w:w="430" w:type="dxa"/>
            <w:vMerge w:val="continue"/>
            <w:tcBorders>
              <w:top w:val="nil"/>
              <w:left w:val="single" w:color="auto" w:sz="4" w:space="0"/>
              <w:bottom w:val="single" w:color="000000" w:sz="4" w:space="0"/>
              <w:right w:val="single" w:color="auto" w:sz="4" w:space="0"/>
            </w:tcBorders>
            <w:vAlign w:val="center"/>
          </w:tcPr>
          <w:p w14:paraId="692DCB7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tcBorders>
              <w:top w:val="nil"/>
              <w:left w:val="nil"/>
              <w:bottom w:val="single" w:color="auto" w:sz="4" w:space="0"/>
              <w:right w:val="single" w:color="auto" w:sz="4" w:space="0"/>
            </w:tcBorders>
            <w:shd w:val="clear" w:color="000000" w:fill="FFFFFF"/>
            <w:vAlign w:val="center"/>
          </w:tcPr>
          <w:p w14:paraId="613BB6B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c>
          <w:tcPr>
            <w:tcW w:w="885" w:type="dxa"/>
            <w:vMerge w:val="continue"/>
            <w:tcBorders>
              <w:top w:val="nil"/>
              <w:left w:val="single" w:color="auto" w:sz="4" w:space="0"/>
              <w:bottom w:val="single" w:color="000000" w:sz="4" w:space="0"/>
              <w:right w:val="single" w:color="auto" w:sz="4" w:space="0"/>
            </w:tcBorders>
            <w:vAlign w:val="center"/>
          </w:tcPr>
          <w:p w14:paraId="015EDCC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3CAF44E9">
        <w:tblPrEx>
          <w:tblCellMar>
            <w:top w:w="0" w:type="dxa"/>
            <w:left w:w="108" w:type="dxa"/>
            <w:bottom w:w="0" w:type="dxa"/>
            <w:right w:w="108" w:type="dxa"/>
          </w:tblCellMar>
        </w:tblPrEx>
        <w:trPr>
          <w:trHeight w:val="447" w:hRule="atLeast"/>
          <w:jc w:val="center"/>
        </w:trPr>
        <w:tc>
          <w:tcPr>
            <w:tcW w:w="1069" w:type="dxa"/>
            <w:tcBorders>
              <w:top w:val="single" w:color="auto" w:sz="4" w:space="0"/>
              <w:left w:val="single" w:color="auto" w:sz="4" w:space="0"/>
              <w:bottom w:val="single" w:color="auto" w:sz="4" w:space="0"/>
              <w:right w:val="single" w:color="auto" w:sz="4" w:space="0"/>
            </w:tcBorders>
            <w:shd w:val="clear" w:color="000000" w:fill="FFFFFF"/>
            <w:vAlign w:val="center"/>
          </w:tcPr>
          <w:p w14:paraId="7165ABA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心电图</w:t>
            </w:r>
          </w:p>
        </w:tc>
        <w:tc>
          <w:tcPr>
            <w:tcW w:w="2900" w:type="dxa"/>
            <w:tcBorders>
              <w:top w:val="nil"/>
              <w:left w:val="nil"/>
              <w:bottom w:val="single" w:color="auto" w:sz="4" w:space="0"/>
              <w:right w:val="single" w:color="auto" w:sz="4" w:space="0"/>
            </w:tcBorders>
            <w:shd w:val="clear" w:color="000000" w:fill="FFFFFF"/>
            <w:vAlign w:val="center"/>
          </w:tcPr>
          <w:p w14:paraId="4F017CC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十二导联心电图检测</w:t>
            </w:r>
          </w:p>
        </w:tc>
        <w:tc>
          <w:tcPr>
            <w:tcW w:w="2835" w:type="dxa"/>
            <w:tcBorders>
              <w:top w:val="nil"/>
              <w:left w:val="nil"/>
              <w:bottom w:val="single" w:color="auto" w:sz="4" w:space="0"/>
              <w:right w:val="single" w:color="auto" w:sz="4" w:space="0"/>
            </w:tcBorders>
            <w:shd w:val="clear" w:color="000000" w:fill="FFFFFF"/>
            <w:vAlign w:val="center"/>
          </w:tcPr>
          <w:p w14:paraId="7E2C6F1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发现有无心律失常、缺血性心脏病、心肌病变等。</w:t>
            </w:r>
          </w:p>
        </w:tc>
        <w:tc>
          <w:tcPr>
            <w:tcW w:w="430" w:type="dxa"/>
            <w:tcBorders>
              <w:top w:val="nil"/>
              <w:left w:val="nil"/>
              <w:bottom w:val="single" w:color="auto" w:sz="4" w:space="0"/>
              <w:right w:val="single" w:color="auto" w:sz="4" w:space="0"/>
            </w:tcBorders>
            <w:shd w:val="clear" w:color="000000" w:fill="FFFFFF"/>
            <w:vAlign w:val="center"/>
          </w:tcPr>
          <w:p w14:paraId="1C585B2F">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08FE3413">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795921F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374E3F56">
        <w:tblPrEx>
          <w:tblCellMar>
            <w:top w:w="0" w:type="dxa"/>
            <w:left w:w="108" w:type="dxa"/>
            <w:bottom w:w="0" w:type="dxa"/>
            <w:right w:w="108" w:type="dxa"/>
          </w:tblCellMar>
        </w:tblPrEx>
        <w:trPr>
          <w:trHeight w:val="518" w:hRule="atLeast"/>
          <w:jc w:val="center"/>
        </w:trPr>
        <w:tc>
          <w:tcPr>
            <w:tcW w:w="1069" w:type="dxa"/>
            <w:vMerge w:val="restart"/>
            <w:tcBorders>
              <w:top w:val="nil"/>
              <w:left w:val="single" w:color="auto" w:sz="4" w:space="0"/>
              <w:bottom w:val="single" w:color="000000" w:sz="4" w:space="0"/>
              <w:right w:val="single" w:color="auto" w:sz="4" w:space="0"/>
            </w:tcBorders>
            <w:shd w:val="clear" w:color="000000" w:fill="FFFFFF"/>
            <w:vAlign w:val="center"/>
          </w:tcPr>
          <w:p w14:paraId="6B9DCA9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CT检查（两项任意自选一项）</w:t>
            </w:r>
          </w:p>
        </w:tc>
        <w:tc>
          <w:tcPr>
            <w:tcW w:w="2900" w:type="dxa"/>
            <w:tcBorders>
              <w:top w:val="nil"/>
              <w:left w:val="nil"/>
              <w:bottom w:val="single" w:color="auto" w:sz="4" w:space="0"/>
              <w:right w:val="single" w:color="auto" w:sz="4" w:space="0"/>
            </w:tcBorders>
            <w:shd w:val="clear" w:color="000000" w:fill="FFFFFF"/>
            <w:vAlign w:val="center"/>
          </w:tcPr>
          <w:p w14:paraId="4920591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胸部CT（不含片子）</w:t>
            </w:r>
          </w:p>
        </w:tc>
        <w:tc>
          <w:tcPr>
            <w:tcW w:w="2835" w:type="dxa"/>
            <w:tcBorders>
              <w:top w:val="nil"/>
              <w:left w:val="nil"/>
              <w:bottom w:val="single" w:color="auto" w:sz="4" w:space="0"/>
              <w:right w:val="single" w:color="auto" w:sz="4" w:space="0"/>
            </w:tcBorders>
            <w:shd w:val="clear" w:color="000000" w:fill="FFFFFF"/>
            <w:vAlign w:val="center"/>
          </w:tcPr>
          <w:p w14:paraId="78C77D7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根据临床需要可检出X线胸片未发现的隐性病源,用于双肺肿瘤的早期筛查。</w:t>
            </w:r>
          </w:p>
        </w:tc>
        <w:tc>
          <w:tcPr>
            <w:tcW w:w="430" w:type="dxa"/>
            <w:vMerge w:val="restart"/>
            <w:tcBorders>
              <w:top w:val="nil"/>
              <w:left w:val="single" w:color="auto" w:sz="4" w:space="0"/>
              <w:bottom w:val="single" w:color="000000" w:sz="4" w:space="0"/>
              <w:right w:val="single" w:color="auto" w:sz="4" w:space="0"/>
            </w:tcBorders>
            <w:shd w:val="clear" w:color="000000" w:fill="FFFFFF"/>
            <w:vAlign w:val="center"/>
          </w:tcPr>
          <w:p w14:paraId="6405F6E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55" w:type="dxa"/>
            <w:vMerge w:val="restart"/>
            <w:tcBorders>
              <w:top w:val="nil"/>
              <w:left w:val="single" w:color="auto" w:sz="4" w:space="0"/>
              <w:bottom w:val="single" w:color="000000" w:sz="4" w:space="0"/>
              <w:right w:val="single" w:color="auto" w:sz="4" w:space="0"/>
            </w:tcBorders>
            <w:shd w:val="clear" w:color="000000" w:fill="FFFFFF"/>
            <w:vAlign w:val="center"/>
          </w:tcPr>
          <w:p w14:paraId="4666E14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c>
          <w:tcPr>
            <w:tcW w:w="885" w:type="dxa"/>
            <w:vMerge w:val="restart"/>
            <w:tcBorders>
              <w:top w:val="nil"/>
              <w:left w:val="single" w:color="auto" w:sz="4" w:space="0"/>
              <w:bottom w:val="single" w:color="000000" w:sz="4" w:space="0"/>
              <w:right w:val="single" w:color="auto" w:sz="4" w:space="0"/>
            </w:tcBorders>
            <w:shd w:val="clear" w:color="000000" w:fill="FFFFFF"/>
            <w:vAlign w:val="center"/>
          </w:tcPr>
          <w:p w14:paraId="615A2B6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rPr>
            </w:pPr>
            <w:r>
              <w:rPr>
                <w:rFonts w:hint="eastAsia" w:ascii="宋体" w:hAnsi="宋体" w:eastAsia="宋体" w:cs="宋体"/>
                <w:kern w:val="0"/>
                <w:sz w:val="21"/>
                <w:szCs w:val="21"/>
              </w:rPr>
              <w:t>√</w:t>
            </w:r>
          </w:p>
        </w:tc>
      </w:tr>
      <w:tr w14:paraId="7A53A41D">
        <w:tblPrEx>
          <w:tblCellMar>
            <w:top w:w="0" w:type="dxa"/>
            <w:left w:w="108" w:type="dxa"/>
            <w:bottom w:w="0" w:type="dxa"/>
            <w:right w:w="108" w:type="dxa"/>
          </w:tblCellMar>
        </w:tblPrEx>
        <w:trPr>
          <w:trHeight w:val="656" w:hRule="atLeast"/>
          <w:jc w:val="center"/>
        </w:trPr>
        <w:tc>
          <w:tcPr>
            <w:tcW w:w="1069" w:type="dxa"/>
            <w:vMerge w:val="continue"/>
            <w:tcBorders>
              <w:top w:val="nil"/>
              <w:left w:val="single" w:color="auto" w:sz="4" w:space="0"/>
              <w:bottom w:val="single" w:color="000000" w:sz="4" w:space="0"/>
              <w:right w:val="single" w:color="auto" w:sz="4" w:space="0"/>
            </w:tcBorders>
            <w:vAlign w:val="center"/>
          </w:tcPr>
          <w:p w14:paraId="78CA2B7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2900" w:type="dxa"/>
            <w:tcBorders>
              <w:top w:val="nil"/>
              <w:left w:val="nil"/>
              <w:bottom w:val="single" w:color="auto" w:sz="4" w:space="0"/>
              <w:right w:val="single" w:color="auto" w:sz="4" w:space="0"/>
            </w:tcBorders>
            <w:shd w:val="clear" w:color="000000" w:fill="FFFFFF"/>
            <w:vAlign w:val="center"/>
          </w:tcPr>
          <w:p w14:paraId="01575DA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头颅CT平扫（不含片子）</w:t>
            </w:r>
          </w:p>
        </w:tc>
        <w:tc>
          <w:tcPr>
            <w:tcW w:w="2835" w:type="dxa"/>
            <w:tcBorders>
              <w:top w:val="nil"/>
              <w:left w:val="nil"/>
              <w:bottom w:val="single" w:color="auto" w:sz="4" w:space="0"/>
              <w:right w:val="single" w:color="auto" w:sz="4" w:space="0"/>
            </w:tcBorders>
            <w:shd w:val="clear" w:color="000000" w:fill="FFFFFF"/>
            <w:vAlign w:val="center"/>
          </w:tcPr>
          <w:p w14:paraId="2EC6FA0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检查脑部病变情况如是否有脑出血、脑梗死、脑肿瘤、先天脑部畸形、脑部感染性疾病等。</w:t>
            </w:r>
          </w:p>
        </w:tc>
        <w:tc>
          <w:tcPr>
            <w:tcW w:w="430" w:type="dxa"/>
            <w:vMerge w:val="continue"/>
            <w:tcBorders>
              <w:top w:val="nil"/>
              <w:left w:val="single" w:color="auto" w:sz="4" w:space="0"/>
              <w:bottom w:val="single" w:color="000000" w:sz="4" w:space="0"/>
              <w:right w:val="single" w:color="auto" w:sz="4" w:space="0"/>
            </w:tcBorders>
            <w:vAlign w:val="center"/>
          </w:tcPr>
          <w:p w14:paraId="38E4BFE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55" w:type="dxa"/>
            <w:vMerge w:val="continue"/>
            <w:tcBorders>
              <w:top w:val="nil"/>
              <w:left w:val="single" w:color="auto" w:sz="4" w:space="0"/>
              <w:bottom w:val="single" w:color="000000" w:sz="4" w:space="0"/>
              <w:right w:val="single" w:color="auto" w:sz="4" w:space="0"/>
            </w:tcBorders>
            <w:vAlign w:val="center"/>
          </w:tcPr>
          <w:p w14:paraId="67C5B13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c>
          <w:tcPr>
            <w:tcW w:w="885" w:type="dxa"/>
            <w:vMerge w:val="continue"/>
            <w:tcBorders>
              <w:top w:val="nil"/>
              <w:left w:val="single" w:color="auto" w:sz="4" w:space="0"/>
              <w:bottom w:val="single" w:color="000000" w:sz="4" w:space="0"/>
              <w:right w:val="single" w:color="auto" w:sz="4" w:space="0"/>
            </w:tcBorders>
            <w:vAlign w:val="center"/>
          </w:tcPr>
          <w:p w14:paraId="7C3AE70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p>
        </w:tc>
      </w:tr>
      <w:tr w14:paraId="5D15C6F6">
        <w:tblPrEx>
          <w:tblCellMar>
            <w:top w:w="0" w:type="dxa"/>
            <w:left w:w="108" w:type="dxa"/>
            <w:bottom w:w="0" w:type="dxa"/>
            <w:right w:w="108" w:type="dxa"/>
          </w:tblCellMar>
        </w:tblPrEx>
        <w:trPr>
          <w:trHeight w:val="283"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50AF48D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个人汇总分析</w:t>
            </w:r>
          </w:p>
        </w:tc>
        <w:tc>
          <w:tcPr>
            <w:tcW w:w="2900" w:type="dxa"/>
            <w:tcBorders>
              <w:top w:val="nil"/>
              <w:left w:val="nil"/>
              <w:bottom w:val="single" w:color="auto" w:sz="4" w:space="0"/>
              <w:right w:val="single" w:color="auto" w:sz="4" w:space="0"/>
            </w:tcBorders>
            <w:shd w:val="clear" w:color="000000" w:fill="FFFFFF"/>
            <w:vAlign w:val="center"/>
          </w:tcPr>
          <w:p w14:paraId="3AFDBDA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所有项目综合分析</w:t>
            </w:r>
          </w:p>
        </w:tc>
        <w:tc>
          <w:tcPr>
            <w:tcW w:w="2835" w:type="dxa"/>
            <w:tcBorders>
              <w:top w:val="nil"/>
              <w:left w:val="nil"/>
              <w:bottom w:val="single" w:color="auto" w:sz="4" w:space="0"/>
              <w:right w:val="single" w:color="auto" w:sz="4" w:space="0"/>
            </w:tcBorders>
            <w:shd w:val="clear" w:color="000000" w:fill="FFFFFF"/>
            <w:vAlign w:val="center"/>
          </w:tcPr>
          <w:p w14:paraId="4DB24D7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提出分析意见及健康指导。</w:t>
            </w:r>
          </w:p>
        </w:tc>
        <w:tc>
          <w:tcPr>
            <w:tcW w:w="430" w:type="dxa"/>
            <w:tcBorders>
              <w:top w:val="nil"/>
              <w:left w:val="nil"/>
              <w:bottom w:val="single" w:color="auto" w:sz="4" w:space="0"/>
              <w:right w:val="single" w:color="auto" w:sz="4" w:space="0"/>
            </w:tcBorders>
            <w:shd w:val="clear" w:color="000000" w:fill="FFFFFF"/>
            <w:vAlign w:val="center"/>
          </w:tcPr>
          <w:p w14:paraId="3B38ADC7">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26AC39B7">
            <w:pPr>
              <w:keepNext w:val="0"/>
              <w:keepLines w:val="0"/>
              <w:pageBreakBefore w:val="0"/>
              <w:kinsoku/>
              <w:wordWrap/>
              <w:overflowPunct/>
              <w:topLinePunct w:val="0"/>
              <w:autoSpaceDE/>
              <w:autoSpaceDN/>
              <w:bidi w:val="0"/>
              <w:adjustRightInd/>
              <w:snapToGrid/>
              <w:spacing w:line="400" w:lineRule="exact"/>
              <w:ind w:firstLine="105" w:firstLineChars="5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39DE129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rPr>
              <w:t>√</w:t>
            </w:r>
          </w:p>
        </w:tc>
      </w:tr>
      <w:tr w14:paraId="120B621C">
        <w:tblPrEx>
          <w:tblCellMar>
            <w:top w:w="0" w:type="dxa"/>
            <w:left w:w="108" w:type="dxa"/>
            <w:bottom w:w="0" w:type="dxa"/>
            <w:right w:w="108" w:type="dxa"/>
          </w:tblCellMar>
        </w:tblPrEx>
        <w:trPr>
          <w:trHeight w:val="447" w:hRule="atLeast"/>
          <w:jc w:val="center"/>
        </w:trPr>
        <w:tc>
          <w:tcPr>
            <w:tcW w:w="1069" w:type="dxa"/>
            <w:tcBorders>
              <w:top w:val="nil"/>
              <w:left w:val="single" w:color="auto" w:sz="4" w:space="0"/>
              <w:bottom w:val="single" w:color="auto" w:sz="4" w:space="0"/>
              <w:right w:val="single" w:color="auto" w:sz="4" w:space="0"/>
            </w:tcBorders>
            <w:shd w:val="clear" w:color="000000" w:fill="FFFFFF"/>
            <w:vAlign w:val="center"/>
          </w:tcPr>
          <w:p w14:paraId="665E5AB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免费营养早餐</w:t>
            </w:r>
          </w:p>
        </w:tc>
        <w:tc>
          <w:tcPr>
            <w:tcW w:w="2900" w:type="dxa"/>
            <w:tcBorders>
              <w:top w:val="nil"/>
              <w:left w:val="nil"/>
              <w:bottom w:val="single" w:color="auto" w:sz="4" w:space="0"/>
              <w:right w:val="single" w:color="auto" w:sz="4" w:space="0"/>
            </w:tcBorders>
            <w:shd w:val="clear" w:color="000000" w:fill="FFFFFF"/>
            <w:vAlign w:val="center"/>
          </w:tcPr>
          <w:p w14:paraId="339DB95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鸡蛋、牛奶、面包等</w:t>
            </w:r>
          </w:p>
        </w:tc>
        <w:tc>
          <w:tcPr>
            <w:tcW w:w="2835" w:type="dxa"/>
            <w:tcBorders>
              <w:top w:val="nil"/>
              <w:left w:val="nil"/>
              <w:bottom w:val="single" w:color="auto" w:sz="4" w:space="0"/>
              <w:right w:val="single" w:color="auto" w:sz="4" w:space="0"/>
            </w:tcBorders>
            <w:shd w:val="clear" w:color="000000" w:fill="FFFFFF"/>
            <w:vAlign w:val="center"/>
          </w:tcPr>
          <w:p w14:paraId="1056836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营养丰富的早餐提供足量的早餐所需要的营养物。</w:t>
            </w:r>
          </w:p>
        </w:tc>
        <w:tc>
          <w:tcPr>
            <w:tcW w:w="430" w:type="dxa"/>
            <w:tcBorders>
              <w:top w:val="nil"/>
              <w:left w:val="nil"/>
              <w:bottom w:val="single" w:color="auto" w:sz="4" w:space="0"/>
              <w:right w:val="single" w:color="auto" w:sz="4" w:space="0"/>
            </w:tcBorders>
            <w:shd w:val="clear" w:color="000000" w:fill="FFFFFF"/>
            <w:vAlign w:val="center"/>
          </w:tcPr>
          <w:p w14:paraId="08E61AA8">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w:t>
            </w:r>
          </w:p>
        </w:tc>
        <w:tc>
          <w:tcPr>
            <w:tcW w:w="855" w:type="dxa"/>
            <w:tcBorders>
              <w:top w:val="nil"/>
              <w:left w:val="nil"/>
              <w:bottom w:val="single" w:color="auto" w:sz="4" w:space="0"/>
              <w:right w:val="single" w:color="auto" w:sz="4" w:space="0"/>
            </w:tcBorders>
            <w:shd w:val="clear" w:color="000000" w:fill="FFFFFF"/>
            <w:vAlign w:val="center"/>
          </w:tcPr>
          <w:p w14:paraId="7CAF78C5">
            <w:pPr>
              <w:keepNext w:val="0"/>
              <w:keepLines w:val="0"/>
              <w:pageBreakBefore w:val="0"/>
              <w:kinsoku/>
              <w:wordWrap/>
              <w:overflowPunct/>
              <w:topLinePunct w:val="0"/>
              <w:autoSpaceDE/>
              <w:autoSpaceDN/>
              <w:bidi w:val="0"/>
              <w:adjustRightInd/>
              <w:snapToGrid/>
              <w:spacing w:line="400" w:lineRule="exact"/>
              <w:ind w:firstLine="105" w:firstLineChars="5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rPr>
              <w:t>√</w:t>
            </w:r>
          </w:p>
        </w:tc>
        <w:tc>
          <w:tcPr>
            <w:tcW w:w="885" w:type="dxa"/>
            <w:tcBorders>
              <w:top w:val="nil"/>
              <w:left w:val="nil"/>
              <w:bottom w:val="single" w:color="auto" w:sz="4" w:space="0"/>
              <w:right w:val="single" w:color="auto" w:sz="4" w:space="0"/>
            </w:tcBorders>
            <w:shd w:val="clear" w:color="000000" w:fill="FFFFFF"/>
            <w:vAlign w:val="center"/>
          </w:tcPr>
          <w:p w14:paraId="182FF37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rPr>
              <w:t>√</w:t>
            </w:r>
          </w:p>
        </w:tc>
      </w:tr>
    </w:tbl>
    <w:p w14:paraId="104AF89E">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heme="minorEastAsia" w:hAnsiTheme="minorEastAsia" w:eastAsiaTheme="minorEastAsia" w:cstheme="minorEastAsia"/>
          <w:b/>
          <w:bCs/>
          <w:color w:val="auto"/>
          <w:sz w:val="24"/>
          <w:szCs w:val="24"/>
          <w:highlight w:val="none"/>
          <w:lang w:val="en-US" w:eastAsia="zh-CN"/>
        </w:rPr>
      </w:pPr>
      <w:bookmarkStart w:id="235" w:name="_Toc15179"/>
      <w:bookmarkStart w:id="236" w:name="_Toc22681"/>
      <w:r>
        <w:rPr>
          <w:rFonts w:hint="eastAsia" w:asciiTheme="minorEastAsia" w:hAnsiTheme="minorEastAsia" w:eastAsiaTheme="minorEastAsia" w:cstheme="minorEastAsia"/>
          <w:b/>
          <w:bCs/>
          <w:color w:val="auto"/>
          <w:sz w:val="24"/>
          <w:szCs w:val="24"/>
          <w:highlight w:val="none"/>
          <w:lang w:val="en-US" w:eastAsia="zh-CN"/>
        </w:rPr>
        <w:t>注：采购人教职工有权根据自身实际需求选择除上述体检套餐以外的体检项目，包括但不限于幽门螺杆菌检测等，如若选择体检套餐以外体检项目的，该教职工须对应减少上述某一项或某几项同等价位的体检项目。</w:t>
      </w:r>
    </w:p>
    <w:bookmarkEnd w:id="235"/>
    <w:bookmarkEnd w:id="236"/>
    <w:p w14:paraId="532ECB55">
      <w:pPr>
        <w:widowControl/>
        <w:adjustRightInd w:val="0"/>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二、项目实施要求</w:t>
      </w:r>
    </w:p>
    <w:p w14:paraId="2610507B">
      <w:pPr>
        <w:keepNext w:val="0"/>
        <w:keepLines w:val="0"/>
        <w:pageBreakBefore w:val="0"/>
        <w:widowControl/>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kern w:val="0"/>
          <w:sz w:val="24"/>
          <w:highlight w:val="none"/>
        </w:rPr>
        <w:t>1.供应商需为本项目配备专业服务团队，其中包含医疗专业人员（医、护、技）以满足项目服务需求。</w:t>
      </w:r>
    </w:p>
    <w:p w14:paraId="7A79B40D">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2.供应商要提供优质体检服务，有合理的体检流程、应急预案和人员引导流程，能保证参检人员及时、安全地完成体检，减少参检人员等候时间。</w:t>
      </w:r>
    </w:p>
    <w:p w14:paraId="6396DD9F">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供应商需安排本院在职在编医护人员、具有丰富体检经验的医师为采购人参检人员体检，参加体检医师在体检过程中必须认真、细致、负责、服务周到，解释准确到位，所有体检项目应严格执行医疗操作规程，防止交叉感染。参加体检的医、护、技人员应具有合法行医资质。</w:t>
      </w:r>
    </w:p>
    <w:p w14:paraId="2280CB24">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kern w:val="0"/>
          <w:sz w:val="24"/>
        </w:rPr>
      </w:pPr>
      <w:r>
        <w:rPr>
          <w:rFonts w:hint="eastAsia" w:ascii="宋体" w:hAnsi="宋体" w:eastAsia="宋体" w:cs="宋体"/>
          <w:color w:val="auto"/>
          <w:kern w:val="0"/>
          <w:sz w:val="24"/>
          <w:highlight w:val="none"/>
        </w:rPr>
        <w:t>4.供应商在体检期间须派驻一名具有高级职称的内科医生作为现场咨询专家，要求专家耐心细致，能认真回答体检</w:t>
      </w:r>
      <w:r>
        <w:rPr>
          <w:rFonts w:hint="eastAsia" w:ascii="宋体" w:hAnsi="宋体" w:eastAsia="宋体" w:cs="宋体"/>
          <w:kern w:val="0"/>
          <w:sz w:val="24"/>
        </w:rPr>
        <w:t>员工的相关疑问。</w:t>
      </w:r>
    </w:p>
    <w:p w14:paraId="27898F1B">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kern w:val="0"/>
          <w:sz w:val="24"/>
        </w:rPr>
      </w:pPr>
      <w:r>
        <w:rPr>
          <w:rFonts w:hint="eastAsia" w:ascii="宋体" w:hAnsi="宋体" w:eastAsia="宋体" w:cs="宋体"/>
          <w:kern w:val="0"/>
          <w:sz w:val="24"/>
        </w:rPr>
        <w:t>5.供应商对采购人参检人员现场提出的合理咨询要给予解答或帮助。</w:t>
      </w:r>
    </w:p>
    <w:p w14:paraId="5031972E">
      <w:pPr>
        <w:keepNext w:val="0"/>
        <w:keepLines w:val="0"/>
        <w:pageBreakBefore w:val="0"/>
        <w:widowControl/>
        <w:kinsoku/>
        <w:wordWrap/>
        <w:overflowPunct/>
        <w:topLinePunct w:val="0"/>
        <w:autoSpaceDE/>
        <w:autoSpaceDN/>
        <w:bidi w:val="0"/>
        <w:snapToGrid w:val="0"/>
        <w:spacing w:line="360" w:lineRule="auto"/>
        <w:ind w:firstLine="480" w:firstLineChars="200"/>
        <w:contextualSpacing/>
        <w:jc w:val="left"/>
        <w:textAlignment w:val="auto"/>
        <w:rPr>
          <w:rFonts w:hint="eastAsia" w:ascii="宋体" w:hAnsi="宋体" w:eastAsia="宋体" w:cs="宋体"/>
          <w:kern w:val="0"/>
          <w:sz w:val="24"/>
        </w:rPr>
      </w:pPr>
      <w:r>
        <w:rPr>
          <w:rFonts w:hint="eastAsia" w:ascii="宋体" w:hAnsi="宋体" w:eastAsia="宋体" w:cs="宋体"/>
          <w:kern w:val="0"/>
          <w:sz w:val="24"/>
        </w:rPr>
        <w:t>6.体检过程中所需要的设备和耗材，全部由供应商提供，且供应商不再另行收取相关费用；要求耗材采用一次性用品，供应商应当确保相关用品为质量检验合格产品，并对相关体检器械、用品质量的安全性、有效性和可靠性负责。</w:t>
      </w:r>
    </w:p>
    <w:p w14:paraId="34CBEDA9">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kern w:val="0"/>
          <w:sz w:val="24"/>
        </w:rPr>
      </w:pPr>
      <w:r>
        <w:rPr>
          <w:rFonts w:hint="eastAsia" w:ascii="宋体" w:hAnsi="宋体" w:eastAsia="宋体" w:cs="宋体"/>
          <w:kern w:val="0"/>
          <w:sz w:val="24"/>
        </w:rPr>
        <w:t>7.供应商需为参检人员提供免费营养早餐、饮用水，并负责食品安全。</w:t>
      </w:r>
    </w:p>
    <w:p w14:paraId="4C0BB92A">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sz w:val="24"/>
        </w:rPr>
        <w:t>8.在体检过程中如发现可疑病例及异常结果，及时电话通知招标单位指定工作人</w:t>
      </w:r>
      <w:r>
        <w:rPr>
          <w:rFonts w:hint="eastAsia" w:ascii="宋体" w:hAnsi="宋体" w:eastAsia="宋体" w:cs="宋体"/>
          <w:sz w:val="24"/>
          <w:highlight w:val="none"/>
        </w:rPr>
        <w:t>员及参检人，以便提醒员工进一步进行检查。</w:t>
      </w:r>
    </w:p>
    <w:p w14:paraId="0D7F093A">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9.非采购人参检人员人为因素造成的参检人员血液等检验样本破坏，供应商应免费为采购人参检人员重新采样并检测。</w:t>
      </w:r>
    </w:p>
    <w:p w14:paraId="49730A07">
      <w:pPr>
        <w:keepNext w:val="0"/>
        <w:keepLines w:val="0"/>
        <w:pageBreakBefore w:val="0"/>
        <w:widowControl/>
        <w:kinsoku/>
        <w:wordWrap/>
        <w:overflowPunct/>
        <w:topLinePunct w:val="0"/>
        <w:autoSpaceDE/>
        <w:autoSpaceDN/>
        <w:bidi w:val="0"/>
        <w:snapToGrid w:val="0"/>
        <w:spacing w:line="360" w:lineRule="auto"/>
        <w:ind w:firstLine="480" w:firstLineChars="200"/>
        <w:contextualSpacing/>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10.需提供参检个人网上体检结果查询。同时，体检机构应在体检工作结束后20日内，向采购人提交纸质体检报告，报告具体内容包括个人体检报告、各分项统计报告和总体统计报告。供应商需严格按国家法律、法规对参检人员个人体检信息保密，不得将参检人员体检结果告知第三方。</w:t>
      </w:r>
    </w:p>
    <w:p w14:paraId="616C756C">
      <w:pPr>
        <w:keepNext w:val="0"/>
        <w:keepLines w:val="0"/>
        <w:pageBreakBefore w:val="0"/>
        <w:widowControl/>
        <w:kinsoku/>
        <w:wordWrap/>
        <w:overflowPunct/>
        <w:topLinePunct w:val="0"/>
        <w:autoSpaceDE/>
        <w:autoSpaceDN/>
        <w:bidi w:val="0"/>
        <w:snapToGrid w:val="0"/>
        <w:spacing w:line="360" w:lineRule="auto"/>
        <w:ind w:firstLine="480" w:firstLineChars="200"/>
        <w:contextualSpacing/>
        <w:jc w:val="left"/>
        <w:textAlignment w:val="auto"/>
        <w:rPr>
          <w:rFonts w:hint="eastAsia" w:ascii="宋体" w:hAnsi="宋体" w:eastAsia="宋体" w:cs="宋体"/>
          <w:kern w:val="0"/>
          <w:sz w:val="24"/>
        </w:rPr>
      </w:pPr>
      <w:r>
        <w:rPr>
          <w:rFonts w:hint="eastAsia" w:ascii="宋体" w:hAnsi="宋体" w:eastAsia="宋体" w:cs="宋体"/>
          <w:kern w:val="0"/>
          <w:sz w:val="24"/>
          <w:highlight w:val="none"/>
        </w:rPr>
        <w:t>11.供应商应对体检报告真实性、完整性、准确性</w:t>
      </w:r>
      <w:r>
        <w:rPr>
          <w:rFonts w:hint="eastAsia" w:ascii="宋体" w:hAnsi="宋体" w:eastAsia="宋体" w:cs="宋体"/>
          <w:kern w:val="0"/>
          <w:sz w:val="24"/>
        </w:rPr>
        <w:t>负责，因供应商工作缺陷或医疗器材等供应商的原因造成体检质量问题的，供应商应承担由此导致的一切责任并采取适当措施予以补救。</w:t>
      </w:r>
    </w:p>
    <w:p w14:paraId="0DA58C60">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kern w:val="0"/>
          <w:sz w:val="24"/>
        </w:rPr>
      </w:pPr>
      <w:r>
        <w:rPr>
          <w:rFonts w:hint="eastAsia" w:ascii="宋体" w:hAnsi="宋体" w:eastAsia="宋体" w:cs="宋体"/>
          <w:kern w:val="0"/>
          <w:sz w:val="24"/>
        </w:rPr>
        <w:t>12.根据采购人的体检情况，组织有针对性的健康讲座及现场咨询。</w:t>
      </w:r>
    </w:p>
    <w:p w14:paraId="2F43BD73">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kern w:val="0"/>
          <w:sz w:val="24"/>
        </w:rPr>
      </w:pPr>
      <w:r>
        <w:rPr>
          <w:rFonts w:hint="eastAsia" w:ascii="宋体" w:hAnsi="宋体" w:eastAsia="宋体" w:cs="宋体"/>
          <w:kern w:val="0"/>
          <w:sz w:val="24"/>
        </w:rPr>
        <w:t>13.供应商在工作过程中接触到的采购人资料、文件、数据以及为采购人服务形成的交付物，负有保密责任，未经采购人书面同意，不得以任何方式向第三方提供或透露，也不得用以项目之外的其他任何目的。本保密义务在服务期满后仍然有效。</w:t>
      </w:r>
    </w:p>
    <w:p w14:paraId="50C9EDA6">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left"/>
        <w:textAlignment w:val="auto"/>
        <w:rPr>
          <w:rFonts w:hint="default" w:ascii="宋体" w:hAnsi="宋体" w:eastAsia="宋体" w:cs="宋体"/>
          <w:b/>
          <w:bCs/>
          <w:kern w:val="0"/>
          <w:sz w:val="24"/>
          <w:lang w:val="en-US" w:eastAsia="zh-CN"/>
        </w:rPr>
      </w:pPr>
      <w:r>
        <w:rPr>
          <w:rFonts w:hint="eastAsia" w:ascii="宋体" w:hAnsi="宋体" w:cs="宋体"/>
          <w:b/>
          <w:bCs/>
          <w:kern w:val="0"/>
          <w:sz w:val="24"/>
          <w:lang w:val="en-US" w:eastAsia="zh-CN"/>
        </w:rPr>
        <w:t>三</w:t>
      </w:r>
      <w:r>
        <w:rPr>
          <w:rFonts w:hint="eastAsia" w:ascii="宋体" w:hAnsi="宋体" w:eastAsia="宋体" w:cs="宋体"/>
          <w:b/>
          <w:bCs/>
          <w:kern w:val="0"/>
          <w:sz w:val="24"/>
        </w:rPr>
        <w:t>、</w:t>
      </w:r>
      <w:r>
        <w:rPr>
          <w:rFonts w:hint="eastAsia" w:ascii="宋体" w:hAnsi="宋体" w:cs="宋体"/>
          <w:b/>
          <w:bCs/>
          <w:kern w:val="0"/>
          <w:sz w:val="24"/>
          <w:lang w:val="en-US" w:eastAsia="zh-CN"/>
        </w:rPr>
        <w:t>年度考核表</w:t>
      </w:r>
    </w:p>
    <w:p w14:paraId="46984C64">
      <w:pPr>
        <w:spacing w:line="360" w:lineRule="auto"/>
        <w:jc w:val="cente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西南林业大学工会2025至2027年教职工健康体检服务</w:t>
      </w:r>
      <w:r>
        <w:rPr>
          <w:rFonts w:hint="eastAsia" w:ascii="宋体" w:hAnsi="宋体" w:cs="宋体"/>
          <w:b/>
          <w:bCs/>
          <w:color w:val="auto"/>
          <w:sz w:val="24"/>
          <w:highlight w:val="none"/>
          <w:lang w:val="en-US" w:eastAsia="zh-CN"/>
        </w:rPr>
        <w:t>年度考核表</w:t>
      </w:r>
    </w:p>
    <w:p w14:paraId="70AA9D8C">
      <w:pPr>
        <w:spacing w:line="360" w:lineRule="auto"/>
        <w:jc w:val="left"/>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被考核体检机构：</w:t>
      </w:r>
      <w:r>
        <w:rPr>
          <w:rFonts w:hint="eastAsia" w:ascii="宋体" w:hAnsi="宋体" w:cs="宋体"/>
          <w:color w:val="auto"/>
          <w:sz w:val="24"/>
          <w:highlight w:val="none"/>
          <w:u w:val="single"/>
          <w:lang w:val="en-US" w:eastAsia="zh-CN"/>
        </w:rPr>
        <w:t xml:space="preserve">                    </w:t>
      </w:r>
    </w:p>
    <w:p w14:paraId="23295BC1">
      <w:pPr>
        <w:spacing w:line="360" w:lineRule="auto"/>
        <w:jc w:val="left"/>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考核年度：</w:t>
      </w:r>
      <w:r>
        <w:rPr>
          <w:rFonts w:hint="eastAsia" w:ascii="宋体" w:hAnsi="宋体" w:cs="宋体"/>
          <w:color w:val="auto"/>
          <w:sz w:val="24"/>
          <w:highlight w:val="none"/>
          <w:u w:val="single"/>
          <w:lang w:val="en-US" w:eastAsia="zh-CN"/>
        </w:rPr>
        <w:t xml:space="preserve">   </w:t>
      </w:r>
      <w:r>
        <w:rPr>
          <w:rFonts w:hint="default" w:ascii="宋体" w:hAnsi="宋体" w:cs="宋体"/>
          <w:color w:val="auto"/>
          <w:sz w:val="24"/>
          <w:highlight w:val="none"/>
          <w:lang w:val="en-US" w:eastAsia="zh-CN"/>
        </w:rPr>
        <w:t>年</w:t>
      </w:r>
      <w:r>
        <w:rPr>
          <w:rFonts w:hint="eastAsia" w:ascii="宋体" w:hAnsi="宋体" w:cs="宋体"/>
          <w:color w:val="auto"/>
          <w:sz w:val="24"/>
          <w:highlight w:val="none"/>
          <w:u w:val="single"/>
          <w:lang w:val="en-US" w:eastAsia="zh-CN"/>
        </w:rPr>
        <w:t xml:space="preserve">   </w:t>
      </w:r>
      <w:r>
        <w:rPr>
          <w:rFonts w:hint="default" w:ascii="宋体" w:hAnsi="宋体" w:cs="宋体"/>
          <w:color w:val="auto"/>
          <w:sz w:val="24"/>
          <w:highlight w:val="none"/>
          <w:lang w:val="en-US" w:eastAsia="zh-CN"/>
        </w:rPr>
        <w:t>月</w:t>
      </w:r>
      <w:r>
        <w:rPr>
          <w:rFonts w:hint="eastAsia" w:ascii="宋体" w:hAnsi="宋体" w:cs="宋体"/>
          <w:color w:val="auto"/>
          <w:sz w:val="24"/>
          <w:highlight w:val="none"/>
          <w:u w:val="single"/>
          <w:lang w:val="en-US" w:eastAsia="zh-CN"/>
        </w:rPr>
        <w:t xml:space="preserve">   </w:t>
      </w:r>
      <w:r>
        <w:rPr>
          <w:rFonts w:hint="default" w:ascii="宋体" w:hAnsi="宋体" w:cs="宋体"/>
          <w:color w:val="auto"/>
          <w:sz w:val="24"/>
          <w:highlight w:val="none"/>
          <w:lang w:val="en-US" w:eastAsia="zh-CN"/>
        </w:rPr>
        <w:t>日至</w:t>
      </w:r>
      <w:r>
        <w:rPr>
          <w:rFonts w:hint="eastAsia" w:ascii="宋体" w:hAnsi="宋体" w:cs="宋体"/>
          <w:color w:val="auto"/>
          <w:sz w:val="24"/>
          <w:highlight w:val="none"/>
          <w:u w:val="single"/>
          <w:lang w:val="en-US" w:eastAsia="zh-CN"/>
        </w:rPr>
        <w:t xml:space="preserve">   </w:t>
      </w:r>
      <w:r>
        <w:rPr>
          <w:rFonts w:hint="default" w:ascii="宋体" w:hAnsi="宋体" w:cs="宋体"/>
          <w:color w:val="auto"/>
          <w:sz w:val="24"/>
          <w:highlight w:val="none"/>
          <w:lang w:val="en-US" w:eastAsia="zh-CN"/>
        </w:rPr>
        <w:t>年</w:t>
      </w:r>
      <w:r>
        <w:rPr>
          <w:rFonts w:hint="eastAsia" w:ascii="宋体" w:hAnsi="宋体" w:cs="宋体"/>
          <w:color w:val="auto"/>
          <w:sz w:val="24"/>
          <w:highlight w:val="none"/>
          <w:u w:val="single"/>
          <w:lang w:val="en-US" w:eastAsia="zh-CN"/>
        </w:rPr>
        <w:t xml:space="preserve">   </w:t>
      </w:r>
      <w:r>
        <w:rPr>
          <w:rFonts w:hint="default" w:ascii="宋体" w:hAnsi="宋体" w:cs="宋体"/>
          <w:color w:val="auto"/>
          <w:sz w:val="24"/>
          <w:highlight w:val="none"/>
          <w:lang w:val="en-US" w:eastAsia="zh-CN"/>
        </w:rPr>
        <w:t>月</w:t>
      </w:r>
      <w:r>
        <w:rPr>
          <w:rFonts w:hint="eastAsia" w:ascii="宋体" w:hAnsi="宋体" w:cs="宋体"/>
          <w:color w:val="auto"/>
          <w:sz w:val="24"/>
          <w:highlight w:val="none"/>
          <w:u w:val="single"/>
          <w:lang w:val="en-US" w:eastAsia="zh-CN"/>
        </w:rPr>
        <w:t xml:space="preserve">   </w:t>
      </w:r>
      <w:r>
        <w:rPr>
          <w:rFonts w:hint="default" w:ascii="宋体" w:hAnsi="宋体" w:cs="宋体"/>
          <w:color w:val="auto"/>
          <w:sz w:val="24"/>
          <w:highlight w:val="none"/>
          <w:lang w:val="en-US" w:eastAsia="zh-CN"/>
        </w:rPr>
        <w:t>日</w:t>
      </w:r>
    </w:p>
    <w:p w14:paraId="5B2EA7D6">
      <w:pPr>
        <w:spacing w:line="360" w:lineRule="auto"/>
        <w:jc w:val="left"/>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考核人/部门：</w:t>
      </w:r>
      <w:r>
        <w:rPr>
          <w:rFonts w:hint="eastAsia" w:ascii="宋体" w:hAnsi="宋体" w:cs="宋体"/>
          <w:color w:val="auto"/>
          <w:sz w:val="24"/>
          <w:highlight w:val="none"/>
          <w:u w:val="single"/>
          <w:lang w:val="en-US" w:eastAsia="zh-CN"/>
        </w:rPr>
        <w:t xml:space="preserve">                   </w:t>
      </w:r>
    </w:p>
    <w:p w14:paraId="2AA4FD40">
      <w:pPr>
        <w:spacing w:line="360" w:lineRule="auto"/>
        <w:jc w:val="left"/>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总得分：</w:t>
      </w:r>
      <w:r>
        <w:rPr>
          <w:rFonts w:hint="eastAsia" w:ascii="宋体" w:hAnsi="宋体" w:cs="宋体"/>
          <w:color w:val="auto"/>
          <w:sz w:val="24"/>
          <w:highlight w:val="none"/>
          <w:u w:val="single"/>
          <w:lang w:val="en-US" w:eastAsia="zh-CN"/>
        </w:rPr>
        <w:t xml:space="preserve">        </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1475"/>
        <w:gridCol w:w="4188"/>
        <w:gridCol w:w="838"/>
        <w:gridCol w:w="1824"/>
      </w:tblGrid>
      <w:tr w14:paraId="12D25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93" w:type="dxa"/>
            <w:vAlign w:val="center"/>
          </w:tcPr>
          <w:p w14:paraId="0B65667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1475" w:type="dxa"/>
            <w:vAlign w:val="center"/>
          </w:tcPr>
          <w:p w14:paraId="47B41641">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i w:val="0"/>
                <w:iCs w:val="0"/>
                <w:caps w:val="0"/>
                <w:color w:val="404040"/>
                <w:spacing w:val="0"/>
                <w:sz w:val="21"/>
                <w:szCs w:val="21"/>
                <w:shd w:val="clear" w:fill="FFFFFF"/>
              </w:rPr>
              <w:t>考核细项</w:t>
            </w:r>
          </w:p>
        </w:tc>
        <w:tc>
          <w:tcPr>
            <w:tcW w:w="4188" w:type="dxa"/>
            <w:vAlign w:val="center"/>
          </w:tcPr>
          <w:p w14:paraId="2487D84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i w:val="0"/>
                <w:iCs w:val="0"/>
                <w:caps w:val="0"/>
                <w:color w:val="404040"/>
                <w:spacing w:val="0"/>
                <w:sz w:val="21"/>
                <w:szCs w:val="21"/>
                <w:shd w:val="clear" w:fill="FFFFFF"/>
              </w:rPr>
              <w:t>评分标准</w:t>
            </w:r>
          </w:p>
        </w:tc>
        <w:tc>
          <w:tcPr>
            <w:tcW w:w="838" w:type="dxa"/>
            <w:vAlign w:val="center"/>
          </w:tcPr>
          <w:p w14:paraId="58555BB8">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分值</w:t>
            </w:r>
          </w:p>
        </w:tc>
        <w:tc>
          <w:tcPr>
            <w:tcW w:w="1824" w:type="dxa"/>
            <w:vAlign w:val="center"/>
          </w:tcPr>
          <w:p w14:paraId="6C524B4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备注</w:t>
            </w:r>
          </w:p>
        </w:tc>
      </w:tr>
      <w:tr w14:paraId="1CAB4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93" w:type="dxa"/>
            <w:vAlign w:val="center"/>
          </w:tcPr>
          <w:p w14:paraId="3744BED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1</w:t>
            </w:r>
          </w:p>
        </w:tc>
        <w:tc>
          <w:tcPr>
            <w:tcW w:w="8325" w:type="dxa"/>
            <w:gridSpan w:val="4"/>
            <w:vAlign w:val="center"/>
          </w:tcPr>
          <w:p w14:paraId="23841144">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基础资质与设施环境（15分）</w:t>
            </w:r>
          </w:p>
        </w:tc>
      </w:tr>
      <w:tr w14:paraId="6235C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2322A1DD">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1.1</w:t>
            </w:r>
          </w:p>
        </w:tc>
        <w:tc>
          <w:tcPr>
            <w:tcW w:w="1475" w:type="dxa"/>
            <w:vAlign w:val="center"/>
          </w:tcPr>
          <w:p w14:paraId="619C51E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vertAlign w:val="baseline"/>
                <w:lang w:val="en-US" w:eastAsia="zh-CN"/>
              </w:rPr>
            </w:pPr>
            <w:r>
              <w:rPr>
                <w:rStyle w:val="47"/>
                <w:rFonts w:hint="eastAsia" w:ascii="宋体" w:hAnsi="宋体" w:eastAsia="宋体" w:cs="宋体"/>
                <w:b/>
                <w:bCs/>
                <w:i w:val="0"/>
                <w:iCs w:val="0"/>
                <w:caps w:val="0"/>
                <w:color w:val="404040"/>
                <w:spacing w:val="0"/>
                <w:sz w:val="21"/>
                <w:szCs w:val="21"/>
                <w:shd w:val="clear" w:fill="FFFFFF"/>
              </w:rPr>
              <w:t>执业资质</w:t>
            </w:r>
          </w:p>
        </w:tc>
        <w:tc>
          <w:tcPr>
            <w:tcW w:w="4188" w:type="dxa"/>
            <w:vAlign w:val="center"/>
          </w:tcPr>
          <w:p w14:paraId="5D5B0E4A">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lang w:val="en-US" w:eastAsia="zh-CN"/>
              </w:rPr>
              <w:t>具备</w:t>
            </w:r>
            <w:r>
              <w:rPr>
                <w:rFonts w:hint="eastAsia" w:ascii="宋体" w:hAnsi="宋体" w:eastAsia="宋体" w:cs="宋体"/>
                <w:i w:val="0"/>
                <w:iCs w:val="0"/>
                <w:caps w:val="0"/>
                <w:color w:val="404040"/>
                <w:spacing w:val="0"/>
                <w:sz w:val="21"/>
                <w:szCs w:val="21"/>
                <w:shd w:val="clear" w:fill="FFFFFF"/>
              </w:rPr>
              <w:t>有效的《医疗机构执业许可证》，并核准有体检科目。提供本年度所有医护、技师的执业资质证书备查。一项不符即扣5分。</w:t>
            </w:r>
          </w:p>
        </w:tc>
        <w:tc>
          <w:tcPr>
            <w:tcW w:w="838" w:type="dxa"/>
            <w:vAlign w:val="center"/>
          </w:tcPr>
          <w:p w14:paraId="36584454">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5分</w:t>
            </w:r>
          </w:p>
        </w:tc>
        <w:tc>
          <w:tcPr>
            <w:tcW w:w="1824" w:type="dxa"/>
            <w:vAlign w:val="center"/>
          </w:tcPr>
          <w:p w14:paraId="59AC4689">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44262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1B7BA0B5">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w:t>
            </w:r>
          </w:p>
        </w:tc>
        <w:tc>
          <w:tcPr>
            <w:tcW w:w="1475" w:type="dxa"/>
            <w:vAlign w:val="center"/>
          </w:tcPr>
          <w:p w14:paraId="718A54F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vertAlign w:val="baseline"/>
                <w:lang w:val="en-US" w:eastAsia="zh-CN"/>
              </w:rPr>
            </w:pPr>
            <w:r>
              <w:rPr>
                <w:rStyle w:val="47"/>
                <w:rFonts w:hint="eastAsia" w:ascii="宋体" w:hAnsi="宋体" w:eastAsia="宋体" w:cs="宋体"/>
                <w:b/>
                <w:bCs/>
                <w:i w:val="0"/>
                <w:iCs w:val="0"/>
                <w:caps w:val="0"/>
                <w:color w:val="404040"/>
                <w:spacing w:val="0"/>
                <w:sz w:val="21"/>
                <w:szCs w:val="21"/>
                <w:shd w:val="clear" w:fill="FFFFFF"/>
              </w:rPr>
              <w:t>场所与环境</w:t>
            </w:r>
          </w:p>
        </w:tc>
        <w:tc>
          <w:tcPr>
            <w:tcW w:w="4188" w:type="dxa"/>
            <w:vAlign w:val="center"/>
          </w:tcPr>
          <w:p w14:paraId="76FDC68A">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体检场所独立、安静、整洁。男女检区分离，保护隐私。候检区宽敞舒适，有明确的导引标识。环境脏乱、布局不合理酌情扣分。</w:t>
            </w:r>
          </w:p>
        </w:tc>
        <w:tc>
          <w:tcPr>
            <w:tcW w:w="838" w:type="dxa"/>
            <w:vAlign w:val="center"/>
          </w:tcPr>
          <w:p w14:paraId="3E0448BA">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5分</w:t>
            </w:r>
          </w:p>
        </w:tc>
        <w:tc>
          <w:tcPr>
            <w:tcW w:w="1824" w:type="dxa"/>
            <w:vAlign w:val="center"/>
          </w:tcPr>
          <w:p w14:paraId="166BE4CB">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10A79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25E9AC6F">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1.3</w:t>
            </w:r>
          </w:p>
        </w:tc>
        <w:tc>
          <w:tcPr>
            <w:tcW w:w="1475" w:type="dxa"/>
            <w:vAlign w:val="center"/>
          </w:tcPr>
          <w:p w14:paraId="7B5F154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vertAlign w:val="baseline"/>
                <w:lang w:val="en-US" w:eastAsia="zh-CN"/>
              </w:rPr>
            </w:pPr>
            <w:r>
              <w:rPr>
                <w:rStyle w:val="47"/>
                <w:rFonts w:hint="eastAsia" w:ascii="宋体" w:hAnsi="宋体" w:eastAsia="宋体" w:cs="宋体"/>
                <w:b/>
                <w:bCs/>
                <w:i w:val="0"/>
                <w:iCs w:val="0"/>
                <w:caps w:val="0"/>
                <w:color w:val="404040"/>
                <w:spacing w:val="0"/>
                <w:sz w:val="21"/>
                <w:szCs w:val="21"/>
                <w:shd w:val="clear" w:fill="FFFFFF"/>
              </w:rPr>
              <w:t>设备管理与安全</w:t>
            </w:r>
          </w:p>
        </w:tc>
        <w:tc>
          <w:tcPr>
            <w:tcW w:w="4188" w:type="dxa"/>
            <w:vAlign w:val="center"/>
          </w:tcPr>
          <w:p w14:paraId="7F18F008">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主要设备（如CT、MR、彩超）有年度检验合格证。急救设备（除颤仪、氧气、药品）齐全且在有效期内。有完备的消防和安全应急预案。发现一处不合格扣2分。</w:t>
            </w:r>
          </w:p>
        </w:tc>
        <w:tc>
          <w:tcPr>
            <w:tcW w:w="838" w:type="dxa"/>
            <w:vAlign w:val="center"/>
          </w:tcPr>
          <w:p w14:paraId="7E6603A1">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5分</w:t>
            </w:r>
          </w:p>
        </w:tc>
        <w:tc>
          <w:tcPr>
            <w:tcW w:w="1824" w:type="dxa"/>
            <w:vAlign w:val="center"/>
          </w:tcPr>
          <w:p w14:paraId="17530D48">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1BA81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7FB704B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2</w:t>
            </w:r>
          </w:p>
        </w:tc>
        <w:tc>
          <w:tcPr>
            <w:tcW w:w="8325" w:type="dxa"/>
            <w:gridSpan w:val="4"/>
            <w:vAlign w:val="center"/>
          </w:tcPr>
          <w:p w14:paraId="3ED03BD9">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服务团队与专业能力（20分）</w:t>
            </w:r>
          </w:p>
        </w:tc>
      </w:tr>
      <w:tr w14:paraId="75123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751F01D9">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2.1</w:t>
            </w:r>
          </w:p>
        </w:tc>
        <w:tc>
          <w:tcPr>
            <w:tcW w:w="1475" w:type="dxa"/>
            <w:vAlign w:val="center"/>
          </w:tcPr>
          <w:p w14:paraId="28516AD1">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vertAlign w:val="baseline"/>
                <w:lang w:val="en-US" w:eastAsia="zh-CN"/>
              </w:rPr>
            </w:pPr>
            <w:r>
              <w:rPr>
                <w:rStyle w:val="47"/>
                <w:rFonts w:hint="eastAsia" w:ascii="宋体" w:hAnsi="宋体" w:eastAsia="宋体" w:cs="宋体"/>
                <w:b/>
                <w:bCs/>
                <w:i w:val="0"/>
                <w:iCs w:val="0"/>
                <w:caps w:val="0"/>
                <w:color w:val="404040"/>
                <w:spacing w:val="0"/>
                <w:sz w:val="21"/>
                <w:szCs w:val="21"/>
                <w:shd w:val="clear" w:fill="FFFFFF"/>
              </w:rPr>
              <w:t>主检医师资质</w:t>
            </w:r>
          </w:p>
        </w:tc>
        <w:tc>
          <w:tcPr>
            <w:tcW w:w="4188" w:type="dxa"/>
            <w:vAlign w:val="center"/>
          </w:tcPr>
          <w:p w14:paraId="322BEDE6">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副高及以上职称专家担任主检医生，负责报告终审和答疑。提供资质证明。不符合要求扣3分。</w:t>
            </w:r>
          </w:p>
        </w:tc>
        <w:tc>
          <w:tcPr>
            <w:tcW w:w="838" w:type="dxa"/>
            <w:vAlign w:val="center"/>
          </w:tcPr>
          <w:p w14:paraId="3ED1B1EC">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3分</w:t>
            </w:r>
          </w:p>
        </w:tc>
        <w:tc>
          <w:tcPr>
            <w:tcW w:w="1824" w:type="dxa"/>
            <w:vAlign w:val="center"/>
          </w:tcPr>
          <w:p w14:paraId="14C98489">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23149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3D1D3E5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r>
              <w:rPr>
                <w:rFonts w:hint="eastAsia" w:ascii="宋体" w:hAnsi="宋体" w:cs="宋体"/>
                <w:color w:val="auto"/>
                <w:sz w:val="21"/>
                <w:szCs w:val="21"/>
                <w:highlight w:val="none"/>
                <w:vertAlign w:val="baseline"/>
                <w:lang w:val="en-US" w:eastAsia="zh-CN"/>
              </w:rPr>
              <w:t>2</w:t>
            </w:r>
          </w:p>
        </w:tc>
        <w:tc>
          <w:tcPr>
            <w:tcW w:w="1475" w:type="dxa"/>
            <w:vAlign w:val="center"/>
          </w:tcPr>
          <w:p w14:paraId="5277E491">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shd w:val="clear" w:fill="FFFFFF"/>
              </w:rPr>
            </w:pPr>
            <w:r>
              <w:rPr>
                <w:rStyle w:val="47"/>
                <w:rFonts w:hint="eastAsia" w:ascii="宋体" w:hAnsi="宋体" w:eastAsia="宋体" w:cs="宋体"/>
                <w:b/>
                <w:bCs/>
                <w:i w:val="0"/>
                <w:iCs w:val="0"/>
                <w:caps w:val="0"/>
                <w:color w:val="404040"/>
                <w:spacing w:val="0"/>
                <w:sz w:val="21"/>
                <w:szCs w:val="21"/>
                <w:shd w:val="clear" w:fill="FFFFFF"/>
              </w:rPr>
              <w:t>各科室人员配置</w:t>
            </w:r>
          </w:p>
        </w:tc>
        <w:tc>
          <w:tcPr>
            <w:tcW w:w="4188" w:type="dxa"/>
            <w:vAlign w:val="center"/>
          </w:tcPr>
          <w:p w14:paraId="7B0D6C02">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各检查科室（尤其超声、影像、妇科）配备充足数量的资深医师，避免因人员不足导致排队过长。根据现场观察和</w:t>
            </w:r>
            <w:r>
              <w:rPr>
                <w:rFonts w:hint="eastAsia" w:ascii="宋体" w:hAnsi="宋体" w:eastAsia="宋体" w:cs="宋体"/>
                <w:i w:val="0"/>
                <w:iCs w:val="0"/>
                <w:caps w:val="0"/>
                <w:color w:val="404040"/>
                <w:spacing w:val="0"/>
                <w:sz w:val="21"/>
                <w:szCs w:val="21"/>
                <w:shd w:val="clear" w:fill="FFFFFF"/>
                <w:lang w:eastAsia="zh-CN"/>
              </w:rPr>
              <w:t>教职工</w:t>
            </w:r>
            <w:r>
              <w:rPr>
                <w:rFonts w:hint="eastAsia" w:ascii="宋体" w:hAnsi="宋体" w:eastAsia="宋体" w:cs="宋体"/>
                <w:i w:val="0"/>
                <w:iCs w:val="0"/>
                <w:caps w:val="0"/>
                <w:color w:val="404040"/>
                <w:spacing w:val="0"/>
                <w:sz w:val="21"/>
                <w:szCs w:val="21"/>
                <w:shd w:val="clear" w:fill="FFFFFF"/>
              </w:rPr>
              <w:t>反馈评分。</w:t>
            </w:r>
          </w:p>
        </w:tc>
        <w:tc>
          <w:tcPr>
            <w:tcW w:w="838" w:type="dxa"/>
            <w:vAlign w:val="center"/>
          </w:tcPr>
          <w:p w14:paraId="00881985">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5分</w:t>
            </w:r>
          </w:p>
        </w:tc>
        <w:tc>
          <w:tcPr>
            <w:tcW w:w="1824" w:type="dxa"/>
            <w:vAlign w:val="center"/>
          </w:tcPr>
          <w:p w14:paraId="218DD221">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7C8BB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3CC6DF3C">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r>
              <w:rPr>
                <w:rFonts w:hint="eastAsia" w:ascii="宋体" w:hAnsi="宋体" w:cs="宋体"/>
                <w:color w:val="auto"/>
                <w:sz w:val="21"/>
                <w:szCs w:val="21"/>
                <w:highlight w:val="none"/>
                <w:vertAlign w:val="baseline"/>
                <w:lang w:val="en-US" w:eastAsia="zh-CN"/>
              </w:rPr>
              <w:t>3</w:t>
            </w:r>
          </w:p>
        </w:tc>
        <w:tc>
          <w:tcPr>
            <w:tcW w:w="1475" w:type="dxa"/>
            <w:vAlign w:val="center"/>
          </w:tcPr>
          <w:p w14:paraId="0A6A27BD">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shd w:val="clear" w:fill="FFFFFF"/>
              </w:rPr>
            </w:pPr>
            <w:r>
              <w:rPr>
                <w:rStyle w:val="47"/>
                <w:rFonts w:hint="eastAsia" w:ascii="宋体" w:hAnsi="宋体" w:eastAsia="宋体" w:cs="宋体"/>
                <w:b/>
                <w:bCs/>
                <w:i w:val="0"/>
                <w:iCs w:val="0"/>
                <w:caps w:val="0"/>
                <w:color w:val="404040"/>
                <w:spacing w:val="0"/>
                <w:sz w:val="21"/>
                <w:szCs w:val="21"/>
                <w:shd w:val="clear" w:fill="FFFFFF"/>
              </w:rPr>
              <w:t>客服与导检团队</w:t>
            </w:r>
          </w:p>
        </w:tc>
        <w:tc>
          <w:tcPr>
            <w:tcW w:w="4188" w:type="dxa"/>
            <w:vAlign w:val="center"/>
          </w:tcPr>
          <w:p w14:paraId="242E001B">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导检人员态度热情、主动引导、熟悉流程，能有效分流和维持秩序。出现</w:t>
            </w:r>
            <w:r>
              <w:rPr>
                <w:rFonts w:hint="eastAsia" w:ascii="宋体" w:hAnsi="宋体" w:eastAsia="宋体" w:cs="宋体"/>
                <w:i w:val="0"/>
                <w:iCs w:val="0"/>
                <w:caps w:val="0"/>
                <w:color w:val="404040"/>
                <w:spacing w:val="0"/>
                <w:sz w:val="21"/>
                <w:szCs w:val="21"/>
                <w:shd w:val="clear" w:fill="FFFFFF"/>
                <w:lang w:eastAsia="zh-CN"/>
              </w:rPr>
              <w:t>教职工</w:t>
            </w:r>
            <w:r>
              <w:rPr>
                <w:rFonts w:hint="eastAsia" w:ascii="宋体" w:hAnsi="宋体" w:eastAsia="宋体" w:cs="宋体"/>
                <w:i w:val="0"/>
                <w:iCs w:val="0"/>
                <w:caps w:val="0"/>
                <w:color w:val="404040"/>
                <w:spacing w:val="0"/>
                <w:sz w:val="21"/>
                <w:szCs w:val="21"/>
                <w:shd w:val="clear" w:fill="FFFFFF"/>
              </w:rPr>
              <w:t>投诉服务态度恶劣，经核实每次扣2分。</w:t>
            </w:r>
          </w:p>
        </w:tc>
        <w:tc>
          <w:tcPr>
            <w:tcW w:w="838" w:type="dxa"/>
            <w:vAlign w:val="center"/>
          </w:tcPr>
          <w:p w14:paraId="3380AD47">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5分</w:t>
            </w:r>
          </w:p>
        </w:tc>
        <w:tc>
          <w:tcPr>
            <w:tcW w:w="1824" w:type="dxa"/>
            <w:vAlign w:val="center"/>
          </w:tcPr>
          <w:p w14:paraId="14BDC115">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1850E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7C2A5F95">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r>
              <w:rPr>
                <w:rFonts w:hint="eastAsia" w:ascii="宋体" w:hAnsi="宋体" w:cs="宋体"/>
                <w:color w:val="auto"/>
                <w:sz w:val="21"/>
                <w:szCs w:val="21"/>
                <w:highlight w:val="none"/>
                <w:vertAlign w:val="baseline"/>
                <w:lang w:val="en-US" w:eastAsia="zh-CN"/>
              </w:rPr>
              <w:t>4</w:t>
            </w:r>
          </w:p>
        </w:tc>
        <w:tc>
          <w:tcPr>
            <w:tcW w:w="1475" w:type="dxa"/>
            <w:vAlign w:val="center"/>
          </w:tcPr>
          <w:p w14:paraId="6D569685">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shd w:val="clear" w:fill="FFFFFF"/>
              </w:rPr>
            </w:pPr>
            <w:r>
              <w:rPr>
                <w:rStyle w:val="47"/>
                <w:rFonts w:hint="eastAsia" w:ascii="宋体" w:hAnsi="宋体" w:eastAsia="宋体" w:cs="宋体"/>
                <w:b/>
                <w:bCs/>
                <w:i w:val="0"/>
                <w:iCs w:val="0"/>
                <w:caps w:val="0"/>
                <w:color w:val="404040"/>
                <w:spacing w:val="0"/>
                <w:sz w:val="21"/>
                <w:szCs w:val="21"/>
                <w:shd w:val="clear" w:fill="FFFFFF"/>
              </w:rPr>
              <w:t>健康管理服务</w:t>
            </w:r>
          </w:p>
        </w:tc>
        <w:tc>
          <w:tcPr>
            <w:tcW w:w="4188" w:type="dxa"/>
            <w:vAlign w:val="center"/>
          </w:tcPr>
          <w:p w14:paraId="73AD5ECF">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配备专业的健康管理师/客服团队，能有效接听咨询电话，解答关于报告、复查的疑问。响应不及时或无法解答专业问题扣分。</w:t>
            </w:r>
          </w:p>
        </w:tc>
        <w:tc>
          <w:tcPr>
            <w:tcW w:w="838" w:type="dxa"/>
            <w:vAlign w:val="center"/>
          </w:tcPr>
          <w:p w14:paraId="10A67C1C">
            <w:pPr>
              <w:keepNext w:val="0"/>
              <w:keepLines w:val="0"/>
              <w:pageBreakBefore w:val="0"/>
              <w:kinsoku/>
              <w:wordWrap/>
              <w:overflowPunct/>
              <w:topLinePunct w:val="0"/>
              <w:autoSpaceDE/>
              <w:autoSpaceDN/>
              <w:bidi w:val="0"/>
              <w:adjustRightInd/>
              <w:snapToGrid/>
              <w:spacing w:line="400" w:lineRule="exact"/>
              <w:jc w:val="left"/>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4分</w:t>
            </w:r>
          </w:p>
        </w:tc>
        <w:tc>
          <w:tcPr>
            <w:tcW w:w="1824" w:type="dxa"/>
            <w:vAlign w:val="center"/>
          </w:tcPr>
          <w:p w14:paraId="1E086B74">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268CB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1342EF14">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r>
              <w:rPr>
                <w:rFonts w:hint="eastAsia" w:ascii="宋体" w:hAnsi="宋体" w:cs="宋体"/>
                <w:color w:val="auto"/>
                <w:sz w:val="21"/>
                <w:szCs w:val="21"/>
                <w:highlight w:val="none"/>
                <w:vertAlign w:val="baseline"/>
                <w:lang w:val="en-US" w:eastAsia="zh-CN"/>
              </w:rPr>
              <w:t>5</w:t>
            </w:r>
          </w:p>
        </w:tc>
        <w:tc>
          <w:tcPr>
            <w:tcW w:w="1475" w:type="dxa"/>
            <w:vAlign w:val="center"/>
          </w:tcPr>
          <w:p w14:paraId="3C4DABF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vertAlign w:val="baseline"/>
                <w:lang w:val="en-US" w:eastAsia="zh-CN"/>
              </w:rPr>
            </w:pPr>
            <w:r>
              <w:rPr>
                <w:rStyle w:val="47"/>
                <w:rFonts w:hint="eastAsia" w:ascii="宋体" w:hAnsi="宋体" w:eastAsia="宋体" w:cs="宋体"/>
                <w:b/>
                <w:bCs/>
                <w:i w:val="0"/>
                <w:iCs w:val="0"/>
                <w:caps w:val="0"/>
                <w:color w:val="404040"/>
                <w:spacing w:val="0"/>
                <w:sz w:val="21"/>
                <w:szCs w:val="21"/>
                <w:shd w:val="clear" w:fill="FFFFFF"/>
              </w:rPr>
              <w:t>培训与稳定性</w:t>
            </w:r>
          </w:p>
        </w:tc>
        <w:tc>
          <w:tcPr>
            <w:tcW w:w="4188" w:type="dxa"/>
            <w:vAlign w:val="center"/>
          </w:tcPr>
          <w:p w14:paraId="10DBFF64">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核心医护团队年度内保持相对稳定。能提供本年度内部专业培训记录。团队变动过大或无培训记录扣3分。</w:t>
            </w:r>
          </w:p>
        </w:tc>
        <w:tc>
          <w:tcPr>
            <w:tcW w:w="838" w:type="dxa"/>
            <w:vAlign w:val="center"/>
          </w:tcPr>
          <w:p w14:paraId="640CAF98">
            <w:pPr>
              <w:keepNext w:val="0"/>
              <w:keepLines w:val="0"/>
              <w:pageBreakBefore w:val="0"/>
              <w:kinsoku/>
              <w:wordWrap/>
              <w:overflowPunct/>
              <w:topLinePunct w:val="0"/>
              <w:autoSpaceDE/>
              <w:autoSpaceDN/>
              <w:bidi w:val="0"/>
              <w:adjustRightInd/>
              <w:snapToGrid/>
              <w:spacing w:line="400" w:lineRule="exact"/>
              <w:jc w:val="left"/>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3分</w:t>
            </w:r>
          </w:p>
        </w:tc>
        <w:tc>
          <w:tcPr>
            <w:tcW w:w="1824" w:type="dxa"/>
            <w:vAlign w:val="center"/>
          </w:tcPr>
          <w:p w14:paraId="6E60D528">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51F0C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524D30A3">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3</w:t>
            </w:r>
          </w:p>
        </w:tc>
        <w:tc>
          <w:tcPr>
            <w:tcW w:w="8325" w:type="dxa"/>
            <w:gridSpan w:val="4"/>
            <w:vAlign w:val="center"/>
          </w:tcPr>
          <w:p w14:paraId="3C2E9313">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i w:val="0"/>
                <w:iCs w:val="0"/>
                <w:caps w:val="0"/>
                <w:color w:val="404040"/>
                <w:spacing w:val="0"/>
                <w:sz w:val="21"/>
                <w:szCs w:val="21"/>
                <w:shd w:val="clear" w:fill="FFFFFF"/>
              </w:rPr>
              <w:t>工作效率与流程体验</w:t>
            </w:r>
            <w:r>
              <w:rPr>
                <w:rFonts w:hint="eastAsia" w:ascii="宋体" w:hAnsi="宋体" w:eastAsia="宋体" w:cs="宋体"/>
                <w:b/>
                <w:bCs/>
                <w:i w:val="0"/>
                <w:iCs w:val="0"/>
                <w:caps w:val="0"/>
                <w:color w:val="404040"/>
                <w:spacing w:val="0"/>
                <w:sz w:val="21"/>
                <w:szCs w:val="21"/>
                <w:shd w:val="clear" w:fill="FFFFFF"/>
                <w:lang w:eastAsia="zh-CN"/>
              </w:rPr>
              <w:t>（</w:t>
            </w:r>
            <w:r>
              <w:rPr>
                <w:rFonts w:hint="eastAsia" w:ascii="宋体" w:hAnsi="宋体" w:eastAsia="宋体" w:cs="宋体"/>
                <w:b/>
                <w:bCs/>
                <w:i w:val="0"/>
                <w:iCs w:val="0"/>
                <w:caps w:val="0"/>
                <w:color w:val="404040"/>
                <w:spacing w:val="0"/>
                <w:sz w:val="21"/>
                <w:szCs w:val="21"/>
                <w:shd w:val="clear" w:fill="FFFFFF"/>
                <w:lang w:val="en-US" w:eastAsia="zh-CN"/>
              </w:rPr>
              <w:t>25分</w:t>
            </w:r>
            <w:r>
              <w:rPr>
                <w:rFonts w:hint="eastAsia" w:ascii="宋体" w:hAnsi="宋体" w:eastAsia="宋体" w:cs="宋体"/>
                <w:b/>
                <w:bCs/>
                <w:i w:val="0"/>
                <w:iCs w:val="0"/>
                <w:caps w:val="0"/>
                <w:color w:val="404040"/>
                <w:spacing w:val="0"/>
                <w:sz w:val="21"/>
                <w:szCs w:val="21"/>
                <w:shd w:val="clear" w:fill="FFFFFF"/>
                <w:lang w:eastAsia="zh-CN"/>
              </w:rPr>
              <w:t>）</w:t>
            </w:r>
          </w:p>
        </w:tc>
      </w:tr>
      <w:tr w14:paraId="6CD2A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2D4F8039">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3.1</w:t>
            </w:r>
          </w:p>
        </w:tc>
        <w:tc>
          <w:tcPr>
            <w:tcW w:w="1475" w:type="dxa"/>
            <w:vAlign w:val="center"/>
          </w:tcPr>
          <w:p w14:paraId="4CDBB11A">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shd w:val="clear" w:fill="FFFFFF"/>
              </w:rPr>
            </w:pPr>
            <w:r>
              <w:rPr>
                <w:rStyle w:val="47"/>
                <w:rFonts w:hint="eastAsia" w:ascii="宋体" w:hAnsi="宋体" w:eastAsia="宋体" w:cs="宋体"/>
                <w:b/>
                <w:bCs/>
                <w:i w:val="0"/>
                <w:iCs w:val="0"/>
                <w:caps w:val="0"/>
                <w:color w:val="404040"/>
                <w:spacing w:val="0"/>
                <w:sz w:val="21"/>
                <w:szCs w:val="21"/>
                <w:shd w:val="clear" w:fill="FFFFFF"/>
              </w:rPr>
              <w:t>预约流程便捷性</w:t>
            </w:r>
          </w:p>
        </w:tc>
        <w:tc>
          <w:tcPr>
            <w:tcW w:w="4188" w:type="dxa"/>
            <w:vAlign w:val="center"/>
          </w:tcPr>
          <w:p w14:paraId="32931180">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i w:val="0"/>
                <w:iCs w:val="0"/>
                <w:caps w:val="0"/>
                <w:color w:val="404040"/>
                <w:spacing w:val="0"/>
                <w:sz w:val="21"/>
                <w:szCs w:val="21"/>
                <w:shd w:val="clear" w:fill="FFFFFF"/>
              </w:rPr>
            </w:pPr>
            <w:r>
              <w:rPr>
                <w:rFonts w:hint="eastAsia" w:ascii="宋体" w:hAnsi="宋体" w:eastAsia="宋体" w:cs="宋体"/>
                <w:i w:val="0"/>
                <w:iCs w:val="0"/>
                <w:caps w:val="0"/>
                <w:color w:val="404040"/>
                <w:spacing w:val="0"/>
                <w:sz w:val="21"/>
                <w:szCs w:val="21"/>
                <w:shd w:val="clear" w:fill="FFFFFF"/>
              </w:rPr>
              <w:t>提供多种预约渠道（电话、微信、网页），预约系统顺畅，能灵活满足</w:t>
            </w:r>
            <w:r>
              <w:rPr>
                <w:rFonts w:hint="eastAsia" w:ascii="宋体" w:hAnsi="宋体" w:eastAsia="宋体" w:cs="宋体"/>
                <w:i w:val="0"/>
                <w:iCs w:val="0"/>
                <w:caps w:val="0"/>
                <w:color w:val="404040"/>
                <w:spacing w:val="0"/>
                <w:sz w:val="21"/>
                <w:szCs w:val="21"/>
                <w:shd w:val="clear" w:fill="FFFFFF"/>
                <w:lang w:eastAsia="zh-CN"/>
              </w:rPr>
              <w:t>采购人</w:t>
            </w:r>
            <w:r>
              <w:rPr>
                <w:rFonts w:hint="eastAsia" w:ascii="宋体" w:hAnsi="宋体" w:eastAsia="宋体" w:cs="宋体"/>
                <w:i w:val="0"/>
                <w:iCs w:val="0"/>
                <w:caps w:val="0"/>
                <w:color w:val="404040"/>
                <w:spacing w:val="0"/>
                <w:sz w:val="21"/>
                <w:szCs w:val="21"/>
                <w:shd w:val="clear" w:fill="FFFFFF"/>
              </w:rPr>
              <w:t>团体及个人改期需求。出现预约故障或推诿情况扣分。</w:t>
            </w:r>
          </w:p>
        </w:tc>
        <w:tc>
          <w:tcPr>
            <w:tcW w:w="838" w:type="dxa"/>
            <w:vAlign w:val="center"/>
          </w:tcPr>
          <w:p w14:paraId="032A2035">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5分</w:t>
            </w:r>
          </w:p>
        </w:tc>
        <w:tc>
          <w:tcPr>
            <w:tcW w:w="1824" w:type="dxa"/>
            <w:vAlign w:val="center"/>
          </w:tcPr>
          <w:p w14:paraId="11147E9F">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4707A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1172F187">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r>
              <w:rPr>
                <w:rFonts w:hint="eastAsia" w:ascii="宋体" w:hAnsi="宋体" w:cs="宋体"/>
                <w:color w:val="auto"/>
                <w:sz w:val="21"/>
                <w:szCs w:val="21"/>
                <w:highlight w:val="none"/>
                <w:vertAlign w:val="baseline"/>
                <w:lang w:val="en-US" w:eastAsia="zh-CN"/>
              </w:rPr>
              <w:t>2</w:t>
            </w:r>
          </w:p>
        </w:tc>
        <w:tc>
          <w:tcPr>
            <w:tcW w:w="1475" w:type="dxa"/>
            <w:vAlign w:val="center"/>
          </w:tcPr>
          <w:p w14:paraId="5E3CDFE6">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highlight w:val="none"/>
                <w:shd w:val="clear" w:fill="FFFFFF"/>
              </w:rPr>
            </w:pPr>
            <w:r>
              <w:rPr>
                <w:rStyle w:val="47"/>
                <w:rFonts w:hint="eastAsia" w:ascii="宋体" w:hAnsi="宋体" w:eastAsia="宋体" w:cs="宋体"/>
                <w:b/>
                <w:bCs/>
                <w:i w:val="0"/>
                <w:iCs w:val="0"/>
                <w:caps w:val="0"/>
                <w:color w:val="404040"/>
                <w:spacing w:val="0"/>
                <w:sz w:val="21"/>
                <w:szCs w:val="21"/>
                <w:highlight w:val="none"/>
                <w:shd w:val="clear" w:fill="FFFFFF"/>
              </w:rPr>
              <w:t>检中等待时间</w:t>
            </w:r>
          </w:p>
        </w:tc>
        <w:tc>
          <w:tcPr>
            <w:tcW w:w="4188" w:type="dxa"/>
            <w:vAlign w:val="center"/>
          </w:tcPr>
          <w:p w14:paraId="67D39674">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i w:val="0"/>
                <w:iCs w:val="0"/>
                <w:caps w:val="0"/>
                <w:color w:val="404040"/>
                <w:spacing w:val="0"/>
                <w:sz w:val="21"/>
                <w:szCs w:val="21"/>
                <w:highlight w:val="none"/>
                <w:shd w:val="clear" w:fill="FFFFFF"/>
              </w:rPr>
            </w:pPr>
            <w:r>
              <w:rPr>
                <w:rFonts w:hint="eastAsia" w:ascii="宋体" w:hAnsi="宋体" w:eastAsia="宋体" w:cs="宋体"/>
                <w:i w:val="0"/>
                <w:iCs w:val="0"/>
                <w:caps w:val="0"/>
                <w:color w:val="404040"/>
                <w:spacing w:val="0"/>
                <w:sz w:val="21"/>
                <w:szCs w:val="21"/>
                <w:highlight w:val="none"/>
                <w:shd w:val="clear" w:fill="FFFFFF"/>
              </w:rPr>
              <w:t>单个体检流程（从开始到结束）原则上不超过2.5小时。每超过30分钟（平均值的），扣2分。因机构原因导致</w:t>
            </w:r>
            <w:r>
              <w:rPr>
                <w:rFonts w:hint="eastAsia" w:ascii="宋体" w:hAnsi="宋体" w:eastAsia="宋体" w:cs="宋体"/>
                <w:i w:val="0"/>
                <w:iCs w:val="0"/>
                <w:caps w:val="0"/>
                <w:color w:val="404040"/>
                <w:spacing w:val="0"/>
                <w:sz w:val="21"/>
                <w:szCs w:val="21"/>
                <w:highlight w:val="none"/>
                <w:shd w:val="clear" w:fill="FFFFFF"/>
                <w:lang w:eastAsia="zh-CN"/>
              </w:rPr>
              <w:t>教职工</w:t>
            </w:r>
            <w:r>
              <w:rPr>
                <w:rFonts w:hint="eastAsia" w:ascii="宋体" w:hAnsi="宋体" w:eastAsia="宋体" w:cs="宋体"/>
                <w:i w:val="0"/>
                <w:iCs w:val="0"/>
                <w:caps w:val="0"/>
                <w:color w:val="404040"/>
                <w:spacing w:val="0"/>
                <w:sz w:val="21"/>
                <w:szCs w:val="21"/>
                <w:highlight w:val="none"/>
                <w:shd w:val="clear" w:fill="FFFFFF"/>
              </w:rPr>
              <w:t>长时间排队（单项超20分钟），每次投诉扣1分。</w:t>
            </w:r>
          </w:p>
        </w:tc>
        <w:tc>
          <w:tcPr>
            <w:tcW w:w="838" w:type="dxa"/>
            <w:vAlign w:val="center"/>
          </w:tcPr>
          <w:p w14:paraId="243535FA">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8分</w:t>
            </w:r>
          </w:p>
        </w:tc>
        <w:tc>
          <w:tcPr>
            <w:tcW w:w="1824" w:type="dxa"/>
            <w:vAlign w:val="center"/>
          </w:tcPr>
          <w:p w14:paraId="4B864F8E">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4A4DE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59F25CA2">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r>
              <w:rPr>
                <w:rFonts w:hint="eastAsia" w:ascii="宋体" w:hAnsi="宋体" w:cs="宋体"/>
                <w:color w:val="auto"/>
                <w:sz w:val="21"/>
                <w:szCs w:val="21"/>
                <w:highlight w:val="none"/>
                <w:vertAlign w:val="baseline"/>
                <w:lang w:val="en-US" w:eastAsia="zh-CN"/>
              </w:rPr>
              <w:t>3</w:t>
            </w:r>
          </w:p>
        </w:tc>
        <w:tc>
          <w:tcPr>
            <w:tcW w:w="1475" w:type="dxa"/>
            <w:vAlign w:val="center"/>
          </w:tcPr>
          <w:p w14:paraId="17B90255">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shd w:val="clear" w:fill="FFFFFF"/>
              </w:rPr>
            </w:pPr>
            <w:r>
              <w:rPr>
                <w:rStyle w:val="47"/>
                <w:rFonts w:hint="eastAsia" w:ascii="宋体" w:hAnsi="宋体" w:eastAsia="宋体" w:cs="宋体"/>
                <w:b/>
                <w:bCs/>
                <w:i w:val="0"/>
                <w:iCs w:val="0"/>
                <w:caps w:val="0"/>
                <w:color w:val="404040"/>
                <w:spacing w:val="0"/>
                <w:sz w:val="21"/>
                <w:szCs w:val="21"/>
                <w:shd w:val="clear" w:fill="FFFFFF"/>
              </w:rPr>
              <w:t>早餐与休息服务</w:t>
            </w:r>
          </w:p>
        </w:tc>
        <w:tc>
          <w:tcPr>
            <w:tcW w:w="4188" w:type="dxa"/>
            <w:vAlign w:val="center"/>
          </w:tcPr>
          <w:p w14:paraId="7024F2D5">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i w:val="0"/>
                <w:iCs w:val="0"/>
                <w:caps w:val="0"/>
                <w:color w:val="404040"/>
                <w:spacing w:val="0"/>
                <w:sz w:val="21"/>
                <w:szCs w:val="21"/>
                <w:shd w:val="clear" w:fill="FFFFFF"/>
              </w:rPr>
            </w:pPr>
            <w:r>
              <w:rPr>
                <w:rFonts w:hint="eastAsia" w:ascii="宋体" w:hAnsi="宋体" w:eastAsia="宋体" w:cs="宋体"/>
                <w:i w:val="0"/>
                <w:iCs w:val="0"/>
                <w:caps w:val="0"/>
                <w:color w:val="404040"/>
                <w:spacing w:val="0"/>
                <w:sz w:val="21"/>
                <w:szCs w:val="21"/>
                <w:shd w:val="clear" w:fill="FFFFFF"/>
              </w:rPr>
              <w:t>抽血结束后能及时提供早餐，早餐质量（卫生、营养、口味）获多数</w:t>
            </w:r>
            <w:r>
              <w:rPr>
                <w:rFonts w:hint="eastAsia" w:ascii="宋体" w:hAnsi="宋体" w:eastAsia="宋体" w:cs="宋体"/>
                <w:i w:val="0"/>
                <w:iCs w:val="0"/>
                <w:caps w:val="0"/>
                <w:color w:val="404040"/>
                <w:spacing w:val="0"/>
                <w:sz w:val="21"/>
                <w:szCs w:val="21"/>
                <w:shd w:val="clear" w:fill="FFFFFF"/>
                <w:lang w:eastAsia="zh-CN"/>
              </w:rPr>
              <w:t>教职工</w:t>
            </w:r>
            <w:r>
              <w:rPr>
                <w:rFonts w:hint="eastAsia" w:ascii="宋体" w:hAnsi="宋体" w:eastAsia="宋体" w:cs="宋体"/>
                <w:i w:val="0"/>
                <w:iCs w:val="0"/>
                <w:caps w:val="0"/>
                <w:color w:val="404040"/>
                <w:spacing w:val="0"/>
                <w:sz w:val="21"/>
                <w:szCs w:val="21"/>
                <w:shd w:val="clear" w:fill="FFFFFF"/>
              </w:rPr>
              <w:t>认可。休息区服务到位。早餐供应不及时或质量差扣3分。</w:t>
            </w:r>
          </w:p>
        </w:tc>
        <w:tc>
          <w:tcPr>
            <w:tcW w:w="838" w:type="dxa"/>
            <w:vAlign w:val="center"/>
          </w:tcPr>
          <w:p w14:paraId="720CF1A8">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4分</w:t>
            </w:r>
          </w:p>
        </w:tc>
        <w:tc>
          <w:tcPr>
            <w:tcW w:w="1824" w:type="dxa"/>
            <w:vAlign w:val="center"/>
          </w:tcPr>
          <w:p w14:paraId="15506B08">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1C43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023BE8A9">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r>
              <w:rPr>
                <w:rFonts w:hint="eastAsia" w:ascii="宋体" w:hAnsi="宋体" w:cs="宋体"/>
                <w:color w:val="auto"/>
                <w:sz w:val="21"/>
                <w:szCs w:val="21"/>
                <w:highlight w:val="none"/>
                <w:vertAlign w:val="baseline"/>
                <w:lang w:val="en-US" w:eastAsia="zh-CN"/>
              </w:rPr>
              <w:t>4</w:t>
            </w:r>
          </w:p>
        </w:tc>
        <w:tc>
          <w:tcPr>
            <w:tcW w:w="1475" w:type="dxa"/>
            <w:vAlign w:val="center"/>
          </w:tcPr>
          <w:p w14:paraId="4A217E04">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highlight w:val="none"/>
                <w:shd w:val="clear" w:fill="FFFFFF"/>
              </w:rPr>
            </w:pPr>
            <w:r>
              <w:rPr>
                <w:rStyle w:val="47"/>
                <w:rFonts w:hint="eastAsia" w:ascii="宋体" w:hAnsi="宋体" w:eastAsia="宋体" w:cs="宋体"/>
                <w:b/>
                <w:bCs/>
                <w:i w:val="0"/>
                <w:iCs w:val="0"/>
                <w:caps w:val="0"/>
                <w:color w:val="404040"/>
                <w:spacing w:val="0"/>
                <w:sz w:val="21"/>
                <w:szCs w:val="21"/>
                <w:highlight w:val="none"/>
                <w:shd w:val="clear" w:fill="FFFFFF"/>
              </w:rPr>
              <w:t>报告出具时效</w:t>
            </w:r>
          </w:p>
        </w:tc>
        <w:tc>
          <w:tcPr>
            <w:tcW w:w="4188" w:type="dxa"/>
            <w:vAlign w:val="center"/>
          </w:tcPr>
          <w:p w14:paraId="6AFDE47B">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i w:val="0"/>
                <w:iCs w:val="0"/>
                <w:caps w:val="0"/>
                <w:color w:val="404040"/>
                <w:spacing w:val="0"/>
                <w:sz w:val="21"/>
                <w:szCs w:val="21"/>
                <w:highlight w:val="none"/>
                <w:shd w:val="clear" w:fill="FFFFFF"/>
              </w:rPr>
            </w:pPr>
            <w:r>
              <w:rPr>
                <w:rFonts w:hint="eastAsia" w:ascii="宋体" w:hAnsi="宋体" w:eastAsia="宋体" w:cs="宋体"/>
                <w:i w:val="0"/>
                <w:iCs w:val="0"/>
                <w:caps w:val="0"/>
                <w:color w:val="404040"/>
                <w:spacing w:val="0"/>
                <w:sz w:val="21"/>
                <w:szCs w:val="21"/>
                <w:highlight w:val="none"/>
                <w:shd w:val="clear" w:fill="FFFFFF"/>
              </w:rPr>
              <w:t>承诺在体检</w:t>
            </w:r>
            <w:r>
              <w:rPr>
                <w:rFonts w:hint="eastAsia" w:ascii="宋体" w:hAnsi="宋体" w:eastAsia="宋体" w:cs="宋体"/>
                <w:b w:val="0"/>
                <w:bCs w:val="0"/>
                <w:i w:val="0"/>
                <w:iCs w:val="0"/>
                <w:caps w:val="0"/>
                <w:color w:val="404040"/>
                <w:spacing w:val="0"/>
                <w:sz w:val="21"/>
                <w:szCs w:val="21"/>
                <w:highlight w:val="none"/>
                <w:shd w:val="clear" w:fill="FFFFFF"/>
              </w:rPr>
              <w:t>结束后</w:t>
            </w:r>
            <w:r>
              <w:rPr>
                <w:rStyle w:val="47"/>
                <w:rFonts w:hint="eastAsia" w:ascii="宋体" w:hAnsi="宋体" w:eastAsia="宋体" w:cs="宋体"/>
                <w:b w:val="0"/>
                <w:bCs w:val="0"/>
                <w:i w:val="0"/>
                <w:iCs w:val="0"/>
                <w:caps w:val="0"/>
                <w:color w:val="404040"/>
                <w:spacing w:val="0"/>
                <w:sz w:val="21"/>
                <w:szCs w:val="21"/>
                <w:highlight w:val="none"/>
                <w:shd w:val="clear" w:fill="FFFFFF"/>
              </w:rPr>
              <w:t>7个工作日</w:t>
            </w:r>
            <w:r>
              <w:rPr>
                <w:rFonts w:hint="eastAsia" w:ascii="宋体" w:hAnsi="宋体" w:eastAsia="宋体" w:cs="宋体"/>
                <w:b w:val="0"/>
                <w:bCs w:val="0"/>
                <w:i w:val="0"/>
                <w:iCs w:val="0"/>
                <w:caps w:val="0"/>
                <w:color w:val="404040"/>
                <w:spacing w:val="0"/>
                <w:sz w:val="21"/>
                <w:szCs w:val="21"/>
                <w:highlight w:val="none"/>
                <w:shd w:val="clear" w:fill="FFFFFF"/>
              </w:rPr>
              <w:t>内出具个人纸质报告和电子报告，</w:t>
            </w:r>
            <w:r>
              <w:rPr>
                <w:rStyle w:val="47"/>
                <w:rFonts w:hint="eastAsia" w:ascii="宋体" w:hAnsi="宋体" w:eastAsia="宋体" w:cs="宋体"/>
                <w:b w:val="0"/>
                <w:bCs w:val="0"/>
                <w:i w:val="0"/>
                <w:iCs w:val="0"/>
                <w:caps w:val="0"/>
                <w:color w:val="404040"/>
                <w:spacing w:val="0"/>
                <w:sz w:val="21"/>
                <w:szCs w:val="21"/>
                <w:highlight w:val="none"/>
                <w:shd w:val="clear" w:fill="FFFFFF"/>
              </w:rPr>
              <w:t>15个工作日</w:t>
            </w:r>
            <w:r>
              <w:rPr>
                <w:rFonts w:hint="eastAsia" w:ascii="宋体" w:hAnsi="宋体" w:eastAsia="宋体" w:cs="宋体"/>
                <w:b w:val="0"/>
                <w:bCs w:val="0"/>
                <w:i w:val="0"/>
                <w:iCs w:val="0"/>
                <w:caps w:val="0"/>
                <w:color w:val="404040"/>
                <w:spacing w:val="0"/>
                <w:sz w:val="21"/>
                <w:szCs w:val="21"/>
                <w:highlight w:val="none"/>
                <w:shd w:val="clear" w:fill="FFFFFF"/>
              </w:rPr>
              <w:t>内出具单位总检报告。每延迟1天（按平均计算</w:t>
            </w:r>
            <w:r>
              <w:rPr>
                <w:rFonts w:hint="eastAsia" w:ascii="宋体" w:hAnsi="宋体" w:eastAsia="宋体" w:cs="宋体"/>
                <w:i w:val="0"/>
                <w:iCs w:val="0"/>
                <w:caps w:val="0"/>
                <w:color w:val="404040"/>
                <w:spacing w:val="0"/>
                <w:sz w:val="21"/>
                <w:szCs w:val="21"/>
                <w:highlight w:val="none"/>
                <w:shd w:val="clear" w:fill="FFFFFF"/>
              </w:rPr>
              <w:t>），扣1分。</w:t>
            </w:r>
          </w:p>
        </w:tc>
        <w:tc>
          <w:tcPr>
            <w:tcW w:w="838" w:type="dxa"/>
            <w:vAlign w:val="center"/>
          </w:tcPr>
          <w:p w14:paraId="275F2EC6">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5分</w:t>
            </w:r>
          </w:p>
        </w:tc>
        <w:tc>
          <w:tcPr>
            <w:tcW w:w="1824" w:type="dxa"/>
            <w:vAlign w:val="center"/>
          </w:tcPr>
          <w:p w14:paraId="42FB0928">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439DE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0C69376D">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3.5</w:t>
            </w:r>
          </w:p>
        </w:tc>
        <w:tc>
          <w:tcPr>
            <w:tcW w:w="1475" w:type="dxa"/>
            <w:vAlign w:val="center"/>
          </w:tcPr>
          <w:p w14:paraId="0864FCB2">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shd w:val="clear" w:fill="FFFFFF"/>
              </w:rPr>
            </w:pPr>
            <w:r>
              <w:rPr>
                <w:rStyle w:val="47"/>
                <w:rFonts w:hint="eastAsia" w:ascii="宋体" w:hAnsi="宋体" w:eastAsia="宋体" w:cs="宋体"/>
                <w:b/>
                <w:bCs/>
                <w:i w:val="0"/>
                <w:iCs w:val="0"/>
                <w:caps w:val="0"/>
                <w:color w:val="404040"/>
                <w:spacing w:val="0"/>
                <w:sz w:val="21"/>
                <w:szCs w:val="21"/>
                <w:shd w:val="clear" w:fill="FFFFFF"/>
              </w:rPr>
              <w:t>异常结果反馈</w:t>
            </w:r>
          </w:p>
        </w:tc>
        <w:tc>
          <w:tcPr>
            <w:tcW w:w="4188" w:type="dxa"/>
            <w:vAlign w:val="center"/>
          </w:tcPr>
          <w:p w14:paraId="798EC6F7">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i w:val="0"/>
                <w:iCs w:val="0"/>
                <w:caps w:val="0"/>
                <w:color w:val="404040"/>
                <w:spacing w:val="0"/>
                <w:sz w:val="21"/>
                <w:szCs w:val="21"/>
                <w:shd w:val="clear" w:fill="FFFFFF"/>
              </w:rPr>
            </w:pPr>
            <w:r>
              <w:rPr>
                <w:rFonts w:hint="eastAsia" w:ascii="宋体" w:hAnsi="宋体" w:eastAsia="宋体" w:cs="宋体"/>
                <w:i w:val="0"/>
                <w:iCs w:val="0"/>
                <w:caps w:val="0"/>
                <w:color w:val="404040"/>
                <w:spacing w:val="0"/>
                <w:sz w:val="21"/>
                <w:szCs w:val="21"/>
                <w:shd w:val="clear" w:fill="FFFFFF"/>
              </w:rPr>
              <w:t>建立重大阳性结果应急反馈机制。发现重大异常时，除写入报告外，需在</w:t>
            </w:r>
            <w:r>
              <w:rPr>
                <w:rStyle w:val="47"/>
                <w:rFonts w:hint="eastAsia" w:ascii="宋体" w:hAnsi="宋体" w:eastAsia="宋体" w:cs="宋体"/>
                <w:b/>
                <w:bCs/>
                <w:i w:val="0"/>
                <w:iCs w:val="0"/>
                <w:caps w:val="0"/>
                <w:color w:val="404040"/>
                <w:spacing w:val="0"/>
                <w:sz w:val="21"/>
                <w:szCs w:val="21"/>
                <w:shd w:val="clear" w:fill="FFFFFF"/>
              </w:rPr>
              <w:t>24小时内</w:t>
            </w:r>
            <w:r>
              <w:rPr>
                <w:rFonts w:hint="eastAsia" w:ascii="宋体" w:hAnsi="宋体" w:eastAsia="宋体" w:cs="宋体"/>
                <w:i w:val="0"/>
                <w:iCs w:val="0"/>
                <w:caps w:val="0"/>
                <w:color w:val="404040"/>
                <w:spacing w:val="0"/>
                <w:sz w:val="21"/>
                <w:szCs w:val="21"/>
                <w:shd w:val="clear" w:fill="FFFFFF"/>
              </w:rPr>
              <w:t>主动电话通知</w:t>
            </w:r>
            <w:r>
              <w:rPr>
                <w:rFonts w:hint="eastAsia" w:ascii="宋体" w:hAnsi="宋体" w:eastAsia="宋体" w:cs="宋体"/>
                <w:i w:val="0"/>
                <w:iCs w:val="0"/>
                <w:caps w:val="0"/>
                <w:color w:val="404040"/>
                <w:spacing w:val="0"/>
                <w:sz w:val="21"/>
                <w:szCs w:val="21"/>
                <w:shd w:val="clear" w:fill="FFFFFF"/>
                <w:lang w:eastAsia="zh-CN"/>
              </w:rPr>
              <w:t>教职工</w:t>
            </w:r>
            <w:r>
              <w:rPr>
                <w:rFonts w:hint="eastAsia" w:ascii="宋体" w:hAnsi="宋体" w:eastAsia="宋体" w:cs="宋体"/>
                <w:i w:val="0"/>
                <w:iCs w:val="0"/>
                <w:caps w:val="0"/>
                <w:color w:val="404040"/>
                <w:spacing w:val="0"/>
                <w:sz w:val="21"/>
                <w:szCs w:val="21"/>
                <w:shd w:val="clear" w:fill="FFFFFF"/>
              </w:rPr>
              <w:t>本人及</w:t>
            </w:r>
            <w:r>
              <w:rPr>
                <w:rFonts w:hint="eastAsia" w:ascii="宋体" w:hAnsi="宋体" w:eastAsia="宋体" w:cs="宋体"/>
                <w:i w:val="0"/>
                <w:iCs w:val="0"/>
                <w:caps w:val="0"/>
                <w:color w:val="404040"/>
                <w:spacing w:val="0"/>
                <w:sz w:val="21"/>
                <w:szCs w:val="21"/>
                <w:shd w:val="clear" w:fill="FFFFFF"/>
                <w:lang w:eastAsia="zh-CN"/>
              </w:rPr>
              <w:t>采购人</w:t>
            </w:r>
            <w:r>
              <w:rPr>
                <w:rFonts w:hint="eastAsia" w:ascii="宋体" w:hAnsi="宋体" w:eastAsia="宋体" w:cs="宋体"/>
                <w:i w:val="0"/>
                <w:iCs w:val="0"/>
                <w:caps w:val="0"/>
                <w:color w:val="404040"/>
                <w:spacing w:val="0"/>
                <w:sz w:val="21"/>
                <w:szCs w:val="21"/>
                <w:shd w:val="clear" w:fill="FFFFFF"/>
              </w:rPr>
              <w:t>对接人。未做到每次扣3分。</w:t>
            </w:r>
          </w:p>
        </w:tc>
        <w:tc>
          <w:tcPr>
            <w:tcW w:w="838" w:type="dxa"/>
            <w:vAlign w:val="center"/>
          </w:tcPr>
          <w:p w14:paraId="652677FD">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aps w:val="0"/>
                <w:color w:val="404040"/>
                <w:spacing w:val="0"/>
                <w:sz w:val="21"/>
                <w:szCs w:val="21"/>
                <w:shd w:val="clear" w:fill="FFFFFF"/>
              </w:rPr>
              <w:t>3分</w:t>
            </w:r>
          </w:p>
        </w:tc>
        <w:tc>
          <w:tcPr>
            <w:tcW w:w="1824" w:type="dxa"/>
            <w:vAlign w:val="center"/>
          </w:tcPr>
          <w:p w14:paraId="02A76D58">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12D15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62B704E6">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4</w:t>
            </w:r>
          </w:p>
        </w:tc>
        <w:tc>
          <w:tcPr>
            <w:tcW w:w="8325" w:type="dxa"/>
            <w:gridSpan w:val="4"/>
            <w:vAlign w:val="center"/>
          </w:tcPr>
          <w:p w14:paraId="71F769C0">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i w:val="0"/>
                <w:iCs w:val="0"/>
                <w:caps w:val="0"/>
                <w:color w:val="404040"/>
                <w:spacing w:val="0"/>
                <w:sz w:val="21"/>
                <w:szCs w:val="21"/>
                <w:shd w:val="clear" w:fill="FFFFFF"/>
              </w:rPr>
              <w:t>体检质量与数据准确性</w:t>
            </w:r>
            <w:r>
              <w:rPr>
                <w:rFonts w:hint="eastAsia" w:ascii="宋体" w:hAnsi="宋体" w:eastAsia="宋体" w:cs="宋体"/>
                <w:b/>
                <w:bCs/>
                <w:i w:val="0"/>
                <w:iCs w:val="0"/>
                <w:caps w:val="0"/>
                <w:color w:val="404040"/>
                <w:spacing w:val="0"/>
                <w:sz w:val="21"/>
                <w:szCs w:val="21"/>
                <w:shd w:val="clear" w:fill="FFFFFF"/>
                <w:lang w:eastAsia="zh-CN"/>
              </w:rPr>
              <w:t>（</w:t>
            </w:r>
            <w:r>
              <w:rPr>
                <w:rFonts w:hint="eastAsia" w:ascii="宋体" w:hAnsi="宋体" w:eastAsia="宋体" w:cs="宋体"/>
                <w:b/>
                <w:bCs/>
                <w:i w:val="0"/>
                <w:iCs w:val="0"/>
                <w:caps w:val="0"/>
                <w:color w:val="404040"/>
                <w:spacing w:val="0"/>
                <w:sz w:val="21"/>
                <w:szCs w:val="21"/>
                <w:shd w:val="clear" w:fill="FFFFFF"/>
                <w:lang w:val="en-US" w:eastAsia="zh-CN"/>
              </w:rPr>
              <w:t>30分</w:t>
            </w:r>
            <w:r>
              <w:rPr>
                <w:rFonts w:hint="eastAsia" w:ascii="宋体" w:hAnsi="宋体" w:eastAsia="宋体" w:cs="宋体"/>
                <w:b/>
                <w:bCs/>
                <w:i w:val="0"/>
                <w:iCs w:val="0"/>
                <w:caps w:val="0"/>
                <w:color w:val="404040"/>
                <w:spacing w:val="0"/>
                <w:sz w:val="21"/>
                <w:szCs w:val="21"/>
                <w:shd w:val="clear" w:fill="FFFFFF"/>
                <w:lang w:eastAsia="zh-CN"/>
              </w:rPr>
              <w:t>）</w:t>
            </w:r>
          </w:p>
        </w:tc>
      </w:tr>
      <w:tr w14:paraId="01816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2699BC98">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4.1</w:t>
            </w:r>
          </w:p>
        </w:tc>
        <w:tc>
          <w:tcPr>
            <w:tcW w:w="1475" w:type="dxa"/>
            <w:vAlign w:val="center"/>
          </w:tcPr>
          <w:p w14:paraId="45106E18">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shd w:val="clear" w:fill="FFFFFF"/>
              </w:rPr>
            </w:pPr>
            <w:r>
              <w:rPr>
                <w:rStyle w:val="47"/>
                <w:rFonts w:hint="eastAsia" w:ascii="宋体" w:hAnsi="宋体" w:eastAsia="宋体" w:cs="宋体"/>
                <w:b/>
                <w:bCs/>
                <w:i w:val="0"/>
                <w:iCs w:val="0"/>
                <w:caps w:val="0"/>
                <w:color w:val="404040"/>
                <w:spacing w:val="0"/>
                <w:sz w:val="21"/>
                <w:szCs w:val="21"/>
                <w:shd w:val="clear" w:fill="FFFFFF"/>
              </w:rPr>
              <w:t>报告准确性</w:t>
            </w:r>
          </w:p>
        </w:tc>
        <w:tc>
          <w:tcPr>
            <w:tcW w:w="4188" w:type="dxa"/>
            <w:vAlign w:val="center"/>
          </w:tcPr>
          <w:p w14:paraId="04D12C98">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i w:val="0"/>
                <w:iCs w:val="0"/>
                <w:caps w:val="0"/>
                <w:color w:val="404040"/>
                <w:spacing w:val="0"/>
                <w:sz w:val="21"/>
                <w:szCs w:val="21"/>
                <w:shd w:val="clear" w:fill="FFFFFF"/>
              </w:rPr>
            </w:pPr>
            <w:r>
              <w:rPr>
                <w:rFonts w:hint="eastAsia" w:ascii="宋体" w:hAnsi="宋体" w:eastAsia="宋体" w:cs="宋体"/>
                <w:i w:val="0"/>
                <w:iCs w:val="0"/>
                <w:caps w:val="0"/>
                <w:color w:val="404040"/>
                <w:spacing w:val="0"/>
                <w:sz w:val="21"/>
                <w:szCs w:val="21"/>
                <w:shd w:val="clear" w:fill="FFFFFF"/>
              </w:rPr>
              <w:t>随机抽查3%的体检报告，或根据</w:t>
            </w:r>
            <w:r>
              <w:rPr>
                <w:rFonts w:hint="eastAsia" w:ascii="宋体" w:hAnsi="宋体" w:eastAsia="宋体" w:cs="宋体"/>
                <w:i w:val="0"/>
                <w:iCs w:val="0"/>
                <w:caps w:val="0"/>
                <w:color w:val="404040"/>
                <w:spacing w:val="0"/>
                <w:sz w:val="21"/>
                <w:szCs w:val="21"/>
                <w:shd w:val="clear" w:fill="FFFFFF"/>
                <w:lang w:eastAsia="zh-CN"/>
              </w:rPr>
              <w:t>教职工</w:t>
            </w:r>
            <w:r>
              <w:rPr>
                <w:rFonts w:hint="eastAsia" w:ascii="宋体" w:hAnsi="宋体" w:eastAsia="宋体" w:cs="宋体"/>
                <w:i w:val="0"/>
                <w:iCs w:val="0"/>
                <w:caps w:val="0"/>
                <w:color w:val="404040"/>
                <w:spacing w:val="0"/>
                <w:sz w:val="21"/>
                <w:szCs w:val="21"/>
                <w:shd w:val="clear" w:fill="FFFFFF"/>
              </w:rPr>
              <w:t>后续在三甲医院的复查结果进行比对。发现</w:t>
            </w:r>
            <w:r>
              <w:rPr>
                <w:rStyle w:val="47"/>
                <w:rFonts w:hint="eastAsia" w:ascii="宋体" w:hAnsi="宋体" w:eastAsia="宋体" w:cs="宋体"/>
                <w:b/>
                <w:bCs/>
                <w:i w:val="0"/>
                <w:iCs w:val="0"/>
                <w:caps w:val="0"/>
                <w:color w:val="404040"/>
                <w:spacing w:val="0"/>
                <w:sz w:val="21"/>
                <w:szCs w:val="21"/>
                <w:shd w:val="clear" w:fill="FFFFFF"/>
              </w:rPr>
              <w:t>重大误诊、漏诊</w:t>
            </w:r>
            <w:r>
              <w:rPr>
                <w:rFonts w:hint="eastAsia" w:ascii="宋体" w:hAnsi="宋体" w:eastAsia="宋体" w:cs="宋体"/>
                <w:i w:val="0"/>
                <w:iCs w:val="0"/>
                <w:caps w:val="0"/>
                <w:color w:val="404040"/>
                <w:spacing w:val="0"/>
                <w:sz w:val="21"/>
                <w:szCs w:val="21"/>
                <w:shd w:val="clear" w:fill="FFFFFF"/>
              </w:rPr>
              <w:t>，每例扣5分；一般性描述错误或数据偏差，每例扣2分。</w:t>
            </w:r>
          </w:p>
        </w:tc>
        <w:tc>
          <w:tcPr>
            <w:tcW w:w="838" w:type="dxa"/>
            <w:vAlign w:val="center"/>
          </w:tcPr>
          <w:p w14:paraId="5DEC048D">
            <w:pPr>
              <w:keepNext w:val="0"/>
              <w:keepLines w:val="0"/>
              <w:pageBreakBefore w:val="0"/>
              <w:kinsoku/>
              <w:wordWrap/>
              <w:overflowPunct/>
              <w:topLinePunct w:val="0"/>
              <w:autoSpaceDE/>
              <w:autoSpaceDN/>
              <w:bidi w:val="0"/>
              <w:adjustRightInd/>
              <w:snapToGrid/>
              <w:spacing w:line="400" w:lineRule="exact"/>
              <w:jc w:val="left"/>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10分</w:t>
            </w:r>
          </w:p>
        </w:tc>
        <w:tc>
          <w:tcPr>
            <w:tcW w:w="1824" w:type="dxa"/>
            <w:vAlign w:val="center"/>
          </w:tcPr>
          <w:p w14:paraId="358C344F">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596FB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793" w:type="dxa"/>
            <w:vAlign w:val="center"/>
          </w:tcPr>
          <w:p w14:paraId="53B6557D">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r>
              <w:rPr>
                <w:rFonts w:hint="eastAsia" w:ascii="宋体" w:hAnsi="宋体" w:cs="宋体"/>
                <w:color w:val="auto"/>
                <w:sz w:val="21"/>
                <w:szCs w:val="21"/>
                <w:highlight w:val="none"/>
                <w:vertAlign w:val="baseline"/>
                <w:lang w:val="en-US" w:eastAsia="zh-CN"/>
              </w:rPr>
              <w:t>2</w:t>
            </w:r>
          </w:p>
        </w:tc>
        <w:tc>
          <w:tcPr>
            <w:tcW w:w="1475" w:type="dxa"/>
            <w:vAlign w:val="center"/>
          </w:tcPr>
          <w:p w14:paraId="0129DCA3">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shd w:val="clear" w:fill="FFFFFF"/>
              </w:rPr>
            </w:pPr>
            <w:r>
              <w:rPr>
                <w:rStyle w:val="47"/>
                <w:rFonts w:hint="eastAsia" w:ascii="宋体" w:hAnsi="宋体" w:eastAsia="宋体" w:cs="宋体"/>
                <w:b/>
                <w:bCs/>
                <w:i w:val="0"/>
                <w:iCs w:val="0"/>
                <w:caps w:val="0"/>
                <w:color w:val="404040"/>
                <w:spacing w:val="0"/>
                <w:sz w:val="21"/>
                <w:szCs w:val="21"/>
                <w:shd w:val="clear" w:fill="FFFFFF"/>
              </w:rPr>
              <w:t>诊断建议规范性</w:t>
            </w:r>
          </w:p>
        </w:tc>
        <w:tc>
          <w:tcPr>
            <w:tcW w:w="4188" w:type="dxa"/>
            <w:vAlign w:val="center"/>
          </w:tcPr>
          <w:p w14:paraId="37C4E557">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i w:val="0"/>
                <w:iCs w:val="0"/>
                <w:caps w:val="0"/>
                <w:color w:val="404040"/>
                <w:spacing w:val="0"/>
                <w:sz w:val="21"/>
                <w:szCs w:val="21"/>
                <w:shd w:val="clear" w:fill="FFFFFF"/>
              </w:rPr>
            </w:pPr>
            <w:r>
              <w:rPr>
                <w:rFonts w:hint="eastAsia" w:ascii="宋体" w:hAnsi="宋体" w:eastAsia="宋体" w:cs="宋体"/>
                <w:i w:val="0"/>
                <w:iCs w:val="0"/>
                <w:caps w:val="0"/>
                <w:color w:val="404040"/>
                <w:spacing w:val="0"/>
                <w:sz w:val="21"/>
                <w:szCs w:val="21"/>
                <w:shd w:val="clear" w:fill="FFFFFF"/>
              </w:rPr>
              <w:t>检查结论描述清晰、无歧义，健康建议具体、可行且有针对性。避免出现“建议复查”、“随访”等模糊用语。抽查报告，发现不规范每例扣1分。</w:t>
            </w:r>
          </w:p>
        </w:tc>
        <w:tc>
          <w:tcPr>
            <w:tcW w:w="838" w:type="dxa"/>
            <w:vAlign w:val="center"/>
          </w:tcPr>
          <w:p w14:paraId="624DF378">
            <w:pPr>
              <w:keepNext w:val="0"/>
              <w:keepLines w:val="0"/>
              <w:pageBreakBefore w:val="0"/>
              <w:kinsoku/>
              <w:wordWrap/>
              <w:overflowPunct/>
              <w:topLinePunct w:val="0"/>
              <w:autoSpaceDE/>
              <w:autoSpaceDN/>
              <w:bidi w:val="0"/>
              <w:adjustRightInd/>
              <w:snapToGrid/>
              <w:spacing w:line="400" w:lineRule="exact"/>
              <w:jc w:val="left"/>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5分</w:t>
            </w:r>
          </w:p>
        </w:tc>
        <w:tc>
          <w:tcPr>
            <w:tcW w:w="1824" w:type="dxa"/>
            <w:vAlign w:val="center"/>
          </w:tcPr>
          <w:p w14:paraId="45331FE4">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6690E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481C64EB">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r>
              <w:rPr>
                <w:rFonts w:hint="eastAsia" w:ascii="宋体" w:hAnsi="宋体" w:cs="宋体"/>
                <w:color w:val="auto"/>
                <w:sz w:val="21"/>
                <w:szCs w:val="21"/>
                <w:highlight w:val="none"/>
                <w:vertAlign w:val="baseline"/>
                <w:lang w:val="en-US" w:eastAsia="zh-CN"/>
              </w:rPr>
              <w:t>3</w:t>
            </w:r>
          </w:p>
        </w:tc>
        <w:tc>
          <w:tcPr>
            <w:tcW w:w="1475" w:type="dxa"/>
            <w:vAlign w:val="center"/>
          </w:tcPr>
          <w:p w14:paraId="4E9ADC6B">
            <w:pPr>
              <w:keepNext w:val="0"/>
              <w:keepLines w:val="0"/>
              <w:pageBreakBefore w:val="0"/>
              <w:kinsoku/>
              <w:wordWrap/>
              <w:overflowPunct/>
              <w:topLinePunct w:val="0"/>
              <w:autoSpaceDE/>
              <w:autoSpaceDN/>
              <w:bidi w:val="0"/>
              <w:adjustRightInd/>
              <w:snapToGrid/>
              <w:spacing w:line="400" w:lineRule="exact"/>
              <w:jc w:val="both"/>
              <w:textAlignment w:val="auto"/>
              <w:rPr>
                <w:rStyle w:val="47"/>
                <w:rFonts w:hint="eastAsia" w:ascii="宋体" w:hAnsi="宋体" w:eastAsia="宋体" w:cs="宋体"/>
                <w:b/>
                <w:bCs/>
                <w:i w:val="0"/>
                <w:iCs w:val="0"/>
                <w:caps w:val="0"/>
                <w:color w:val="404040"/>
                <w:spacing w:val="0"/>
                <w:sz w:val="21"/>
                <w:szCs w:val="21"/>
                <w:shd w:val="clear" w:fill="FFFFFF"/>
              </w:rPr>
            </w:pPr>
            <w:r>
              <w:rPr>
                <w:rStyle w:val="47"/>
                <w:rFonts w:hint="eastAsia" w:ascii="宋体" w:hAnsi="宋体" w:eastAsia="宋体" w:cs="宋体"/>
                <w:b/>
                <w:bCs/>
                <w:i w:val="0"/>
                <w:iCs w:val="0"/>
                <w:caps w:val="0"/>
                <w:color w:val="404040"/>
                <w:spacing w:val="0"/>
                <w:sz w:val="21"/>
                <w:szCs w:val="21"/>
                <w:shd w:val="clear" w:fill="FFFFFF"/>
              </w:rPr>
              <w:t>总检报告质量</w:t>
            </w:r>
          </w:p>
        </w:tc>
        <w:tc>
          <w:tcPr>
            <w:tcW w:w="4188" w:type="dxa"/>
            <w:vAlign w:val="center"/>
          </w:tcPr>
          <w:p w14:paraId="2AA253BA">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i w:val="0"/>
                <w:iCs w:val="0"/>
                <w:caps w:val="0"/>
                <w:color w:val="404040"/>
                <w:spacing w:val="0"/>
                <w:sz w:val="21"/>
                <w:szCs w:val="21"/>
                <w:shd w:val="clear" w:fill="FFFFFF"/>
              </w:rPr>
            </w:pPr>
            <w:r>
              <w:rPr>
                <w:rFonts w:hint="eastAsia" w:ascii="宋体" w:hAnsi="宋体" w:eastAsia="宋体" w:cs="宋体"/>
                <w:i w:val="0"/>
                <w:iCs w:val="0"/>
                <w:caps w:val="0"/>
                <w:color w:val="404040"/>
                <w:spacing w:val="0"/>
                <w:sz w:val="21"/>
                <w:szCs w:val="21"/>
                <w:shd w:val="clear" w:fill="FFFFFF"/>
              </w:rPr>
              <w:t>单位汇总报告数据详实，分析深入（如高发疾病排行、同比异常率变化、风险因素分析），并提出切实可行的群体健康改善建议。报告流于形式、缺乏深度扣3-5分。</w:t>
            </w:r>
          </w:p>
        </w:tc>
        <w:tc>
          <w:tcPr>
            <w:tcW w:w="838" w:type="dxa"/>
            <w:vAlign w:val="center"/>
          </w:tcPr>
          <w:p w14:paraId="37FF7A0E">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5分</w:t>
            </w:r>
          </w:p>
        </w:tc>
        <w:tc>
          <w:tcPr>
            <w:tcW w:w="1824" w:type="dxa"/>
            <w:vAlign w:val="center"/>
          </w:tcPr>
          <w:p w14:paraId="30038B48">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1270A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349C11A9">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r>
              <w:rPr>
                <w:rFonts w:hint="eastAsia" w:ascii="宋体" w:hAnsi="宋体" w:cs="宋体"/>
                <w:color w:val="auto"/>
                <w:sz w:val="21"/>
                <w:szCs w:val="21"/>
                <w:highlight w:val="none"/>
                <w:vertAlign w:val="baseline"/>
                <w:lang w:val="en-US" w:eastAsia="zh-CN"/>
              </w:rPr>
              <w:t>4</w:t>
            </w:r>
          </w:p>
        </w:tc>
        <w:tc>
          <w:tcPr>
            <w:tcW w:w="1475" w:type="dxa"/>
            <w:vAlign w:val="center"/>
          </w:tcPr>
          <w:p w14:paraId="01D38B32">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shd w:val="clear" w:fill="FFFFFF"/>
                <w:lang w:eastAsia="zh-CN"/>
              </w:rPr>
            </w:pPr>
            <w:r>
              <w:rPr>
                <w:rStyle w:val="47"/>
                <w:rFonts w:hint="eastAsia" w:ascii="宋体" w:hAnsi="宋体" w:cs="宋体"/>
                <w:b/>
                <w:bCs/>
                <w:i w:val="0"/>
                <w:iCs w:val="0"/>
                <w:caps w:val="0"/>
                <w:color w:val="404040"/>
                <w:spacing w:val="0"/>
                <w:sz w:val="21"/>
                <w:szCs w:val="21"/>
                <w:shd w:val="clear" w:fill="FFFFFF"/>
                <w:lang w:eastAsia="zh-CN"/>
              </w:rPr>
              <w:t>质量体系</w:t>
            </w:r>
          </w:p>
        </w:tc>
        <w:tc>
          <w:tcPr>
            <w:tcW w:w="4188" w:type="dxa"/>
            <w:vAlign w:val="center"/>
          </w:tcPr>
          <w:p w14:paraId="6FFFEFEB">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i w:val="0"/>
                <w:iCs w:val="0"/>
                <w:caps w:val="0"/>
                <w:color w:val="404040"/>
                <w:spacing w:val="0"/>
                <w:sz w:val="21"/>
                <w:szCs w:val="21"/>
                <w:shd w:val="clear" w:fill="FFFFFF"/>
              </w:rPr>
            </w:pPr>
            <w:r>
              <w:rPr>
                <w:rFonts w:hint="eastAsia" w:ascii="宋体" w:hAnsi="宋体" w:eastAsia="宋体" w:cs="宋体"/>
                <w:i w:val="0"/>
                <w:iCs w:val="0"/>
                <w:caps w:val="0"/>
                <w:color w:val="404040"/>
                <w:spacing w:val="0"/>
                <w:sz w:val="21"/>
                <w:szCs w:val="21"/>
                <w:shd w:val="clear" w:fill="FFFFFF"/>
              </w:rPr>
              <w:t>机构能出示内部质量管控记录，如设备日常质检、报告双审制度、疑难病例讨论记录等。无质控体系或记录不全扣5分。</w:t>
            </w:r>
          </w:p>
        </w:tc>
        <w:tc>
          <w:tcPr>
            <w:tcW w:w="838" w:type="dxa"/>
            <w:vAlign w:val="center"/>
          </w:tcPr>
          <w:p w14:paraId="734F8A7B">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5分</w:t>
            </w:r>
          </w:p>
        </w:tc>
        <w:tc>
          <w:tcPr>
            <w:tcW w:w="1824" w:type="dxa"/>
            <w:vAlign w:val="center"/>
          </w:tcPr>
          <w:p w14:paraId="4AD42C05">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01B10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5109CE76">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r>
              <w:rPr>
                <w:rFonts w:hint="eastAsia" w:ascii="宋体" w:hAnsi="宋体" w:cs="宋体"/>
                <w:color w:val="auto"/>
                <w:sz w:val="21"/>
                <w:szCs w:val="21"/>
                <w:highlight w:val="none"/>
                <w:vertAlign w:val="baseline"/>
                <w:lang w:val="en-US" w:eastAsia="zh-CN"/>
              </w:rPr>
              <w:t>5</w:t>
            </w:r>
          </w:p>
        </w:tc>
        <w:tc>
          <w:tcPr>
            <w:tcW w:w="1475" w:type="dxa"/>
            <w:vAlign w:val="center"/>
          </w:tcPr>
          <w:p w14:paraId="68ABECBF">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shd w:val="clear" w:fill="FFFFFF"/>
              </w:rPr>
            </w:pPr>
            <w:r>
              <w:rPr>
                <w:rStyle w:val="47"/>
                <w:rFonts w:hint="eastAsia" w:ascii="宋体" w:hAnsi="宋体" w:eastAsia="宋体" w:cs="宋体"/>
                <w:b/>
                <w:bCs/>
                <w:i w:val="0"/>
                <w:iCs w:val="0"/>
                <w:caps w:val="0"/>
                <w:color w:val="404040"/>
                <w:spacing w:val="0"/>
                <w:kern w:val="0"/>
                <w:sz w:val="21"/>
                <w:szCs w:val="21"/>
                <w:lang w:val="en-US" w:eastAsia="zh-CN" w:bidi="ar"/>
              </w:rPr>
              <w:t>影像资料保存</w:t>
            </w:r>
          </w:p>
        </w:tc>
        <w:tc>
          <w:tcPr>
            <w:tcW w:w="4188" w:type="dxa"/>
            <w:vAlign w:val="center"/>
          </w:tcPr>
          <w:p w14:paraId="6D65A51A">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i w:val="0"/>
                <w:iCs w:val="0"/>
                <w:caps w:val="0"/>
                <w:color w:val="404040"/>
                <w:spacing w:val="0"/>
                <w:sz w:val="21"/>
                <w:szCs w:val="21"/>
                <w:shd w:val="clear" w:fill="FFFFFF"/>
              </w:rPr>
            </w:pPr>
            <w:r>
              <w:rPr>
                <w:rFonts w:hint="eastAsia" w:ascii="宋体" w:hAnsi="宋体" w:eastAsia="宋体" w:cs="宋体"/>
                <w:i w:val="0"/>
                <w:iCs w:val="0"/>
                <w:caps w:val="0"/>
                <w:color w:val="404040"/>
                <w:spacing w:val="0"/>
                <w:sz w:val="21"/>
                <w:szCs w:val="21"/>
                <w:shd w:val="clear" w:fill="FFFFFF"/>
              </w:rPr>
              <w:t>承诺所有影像资料（DR、CT、MR等）保存时间不少于15年，并可应</w:t>
            </w:r>
            <w:r>
              <w:rPr>
                <w:rFonts w:hint="eastAsia" w:ascii="宋体" w:hAnsi="宋体" w:eastAsia="宋体" w:cs="宋体"/>
                <w:i w:val="0"/>
                <w:iCs w:val="0"/>
                <w:caps w:val="0"/>
                <w:color w:val="404040"/>
                <w:spacing w:val="0"/>
                <w:sz w:val="21"/>
                <w:szCs w:val="21"/>
                <w:shd w:val="clear" w:fill="FFFFFF"/>
                <w:lang w:eastAsia="zh-CN"/>
              </w:rPr>
              <w:t>教职工</w:t>
            </w:r>
            <w:r>
              <w:rPr>
                <w:rFonts w:hint="eastAsia" w:ascii="宋体" w:hAnsi="宋体" w:eastAsia="宋体" w:cs="宋体"/>
                <w:i w:val="0"/>
                <w:iCs w:val="0"/>
                <w:caps w:val="0"/>
                <w:color w:val="404040"/>
                <w:spacing w:val="0"/>
                <w:sz w:val="21"/>
                <w:szCs w:val="21"/>
                <w:shd w:val="clear" w:fill="FFFFFF"/>
              </w:rPr>
              <w:t>要求提供电子版拷贝。无法提供或保存期限不足扣5分。</w:t>
            </w:r>
          </w:p>
        </w:tc>
        <w:tc>
          <w:tcPr>
            <w:tcW w:w="838" w:type="dxa"/>
            <w:vAlign w:val="center"/>
          </w:tcPr>
          <w:p w14:paraId="105844A6">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5分</w:t>
            </w:r>
          </w:p>
        </w:tc>
        <w:tc>
          <w:tcPr>
            <w:tcW w:w="1824" w:type="dxa"/>
            <w:vAlign w:val="center"/>
          </w:tcPr>
          <w:p w14:paraId="7BF5208A">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505C5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93" w:type="dxa"/>
            <w:vAlign w:val="center"/>
          </w:tcPr>
          <w:p w14:paraId="10B201D1">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5</w:t>
            </w:r>
          </w:p>
        </w:tc>
        <w:tc>
          <w:tcPr>
            <w:tcW w:w="8325" w:type="dxa"/>
            <w:gridSpan w:val="4"/>
            <w:vAlign w:val="center"/>
          </w:tcPr>
          <w:p w14:paraId="15F4C053">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i w:val="0"/>
                <w:iCs w:val="0"/>
                <w:caps w:val="0"/>
                <w:color w:val="404040"/>
                <w:spacing w:val="0"/>
                <w:sz w:val="21"/>
                <w:szCs w:val="21"/>
                <w:shd w:val="clear" w:fill="FFFFFF"/>
              </w:rPr>
              <w:t>售后服务与增值服务</w:t>
            </w:r>
            <w:r>
              <w:rPr>
                <w:rFonts w:hint="eastAsia" w:ascii="宋体" w:hAnsi="宋体" w:eastAsia="宋体" w:cs="宋体"/>
                <w:b/>
                <w:bCs/>
                <w:i w:val="0"/>
                <w:iCs w:val="0"/>
                <w:caps w:val="0"/>
                <w:color w:val="404040"/>
                <w:spacing w:val="0"/>
                <w:sz w:val="21"/>
                <w:szCs w:val="21"/>
                <w:shd w:val="clear" w:fill="FFFFFF"/>
                <w:lang w:eastAsia="zh-CN"/>
              </w:rPr>
              <w:t>（</w:t>
            </w:r>
            <w:r>
              <w:rPr>
                <w:rFonts w:hint="eastAsia" w:ascii="宋体" w:hAnsi="宋体" w:eastAsia="宋体" w:cs="宋体"/>
                <w:b/>
                <w:bCs/>
                <w:i w:val="0"/>
                <w:iCs w:val="0"/>
                <w:caps w:val="0"/>
                <w:color w:val="404040"/>
                <w:spacing w:val="0"/>
                <w:sz w:val="21"/>
                <w:szCs w:val="21"/>
                <w:shd w:val="clear" w:fill="FFFFFF"/>
                <w:lang w:val="en-US" w:eastAsia="zh-CN"/>
              </w:rPr>
              <w:t>10分</w:t>
            </w:r>
            <w:r>
              <w:rPr>
                <w:rFonts w:hint="eastAsia" w:ascii="宋体" w:hAnsi="宋体" w:eastAsia="宋体" w:cs="宋体"/>
                <w:b/>
                <w:bCs/>
                <w:i w:val="0"/>
                <w:iCs w:val="0"/>
                <w:caps w:val="0"/>
                <w:color w:val="404040"/>
                <w:spacing w:val="0"/>
                <w:sz w:val="21"/>
                <w:szCs w:val="21"/>
                <w:shd w:val="clear" w:fill="FFFFFF"/>
                <w:lang w:eastAsia="zh-CN"/>
              </w:rPr>
              <w:t>）</w:t>
            </w:r>
          </w:p>
        </w:tc>
      </w:tr>
      <w:tr w14:paraId="182B8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4DAF98A1">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5.1</w:t>
            </w:r>
          </w:p>
        </w:tc>
        <w:tc>
          <w:tcPr>
            <w:tcW w:w="1475" w:type="dxa"/>
            <w:vAlign w:val="center"/>
          </w:tcPr>
          <w:p w14:paraId="17FAFB5F">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highlight w:val="none"/>
                <w:shd w:val="clear" w:fill="FFFFFF"/>
              </w:rPr>
            </w:pPr>
            <w:r>
              <w:rPr>
                <w:rStyle w:val="47"/>
                <w:rFonts w:hint="eastAsia" w:ascii="宋体" w:hAnsi="宋体" w:eastAsia="宋体" w:cs="宋体"/>
                <w:b/>
                <w:bCs/>
                <w:i w:val="0"/>
                <w:iCs w:val="0"/>
                <w:caps w:val="0"/>
                <w:color w:val="404040"/>
                <w:spacing w:val="0"/>
                <w:sz w:val="21"/>
                <w:szCs w:val="21"/>
                <w:highlight w:val="none"/>
                <w:shd w:val="clear" w:fill="FFFFFF"/>
              </w:rPr>
              <w:t>报告解读服务</w:t>
            </w:r>
          </w:p>
        </w:tc>
        <w:tc>
          <w:tcPr>
            <w:tcW w:w="4188" w:type="dxa"/>
            <w:vAlign w:val="center"/>
          </w:tcPr>
          <w:p w14:paraId="5F51421F">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i w:val="0"/>
                <w:iCs w:val="0"/>
                <w:caps w:val="0"/>
                <w:color w:val="404040"/>
                <w:spacing w:val="0"/>
                <w:sz w:val="21"/>
                <w:szCs w:val="21"/>
                <w:highlight w:val="none"/>
                <w:shd w:val="clear" w:fill="FFFFFF"/>
              </w:rPr>
            </w:pPr>
            <w:r>
              <w:rPr>
                <w:rFonts w:hint="eastAsia" w:ascii="宋体" w:hAnsi="宋体" w:eastAsia="宋体" w:cs="宋体"/>
                <w:i w:val="0"/>
                <w:iCs w:val="0"/>
                <w:caps w:val="0"/>
                <w:color w:val="404040"/>
                <w:spacing w:val="0"/>
                <w:sz w:val="21"/>
                <w:szCs w:val="21"/>
                <w:highlight w:val="none"/>
                <w:shd w:val="clear" w:fill="FFFFFF"/>
              </w:rPr>
              <w:t>提供多种形式的报告解读（专家一对一电话、线下咨询、线上图文咨询等），响应及时。</w:t>
            </w:r>
            <w:r>
              <w:rPr>
                <w:rFonts w:hint="eastAsia" w:ascii="宋体" w:hAnsi="宋体" w:eastAsia="宋体" w:cs="宋体"/>
                <w:i w:val="0"/>
                <w:iCs w:val="0"/>
                <w:caps w:val="0"/>
                <w:color w:val="404040"/>
                <w:spacing w:val="0"/>
                <w:sz w:val="21"/>
                <w:szCs w:val="21"/>
                <w:highlight w:val="none"/>
                <w:shd w:val="clear" w:fill="FFFFFF"/>
                <w:lang w:eastAsia="zh-CN"/>
              </w:rPr>
              <w:t>教职工</w:t>
            </w:r>
            <w:r>
              <w:rPr>
                <w:rFonts w:hint="eastAsia" w:ascii="宋体" w:hAnsi="宋体" w:eastAsia="宋体" w:cs="宋体"/>
                <w:i w:val="0"/>
                <w:iCs w:val="0"/>
                <w:caps w:val="0"/>
                <w:color w:val="404040"/>
                <w:spacing w:val="0"/>
                <w:sz w:val="21"/>
                <w:szCs w:val="21"/>
                <w:highlight w:val="none"/>
                <w:shd w:val="clear" w:fill="FFFFFF"/>
              </w:rPr>
              <w:t>普遍反馈解读敷衍或不方便的扣分。</w:t>
            </w:r>
          </w:p>
        </w:tc>
        <w:tc>
          <w:tcPr>
            <w:tcW w:w="838" w:type="dxa"/>
            <w:vAlign w:val="center"/>
          </w:tcPr>
          <w:p w14:paraId="70CC8D7C">
            <w:pPr>
              <w:keepNext w:val="0"/>
              <w:keepLines w:val="0"/>
              <w:pageBreakBefore w:val="0"/>
              <w:kinsoku/>
              <w:wordWrap/>
              <w:overflowPunct/>
              <w:topLinePunct w:val="0"/>
              <w:autoSpaceDE/>
              <w:autoSpaceDN/>
              <w:bidi w:val="0"/>
              <w:adjustRightInd/>
              <w:snapToGrid/>
              <w:spacing w:line="400" w:lineRule="exact"/>
              <w:jc w:val="left"/>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4分</w:t>
            </w:r>
          </w:p>
        </w:tc>
        <w:tc>
          <w:tcPr>
            <w:tcW w:w="1824" w:type="dxa"/>
            <w:vAlign w:val="center"/>
          </w:tcPr>
          <w:p w14:paraId="45F7A3CB">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3A68C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62A08BFD">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5.2</w:t>
            </w:r>
          </w:p>
        </w:tc>
        <w:tc>
          <w:tcPr>
            <w:tcW w:w="1475" w:type="dxa"/>
            <w:vAlign w:val="center"/>
          </w:tcPr>
          <w:p w14:paraId="0EB06554">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highlight w:val="none"/>
                <w:shd w:val="clear" w:fill="FFFFFF"/>
              </w:rPr>
            </w:pPr>
            <w:r>
              <w:rPr>
                <w:rStyle w:val="47"/>
                <w:rFonts w:hint="eastAsia" w:ascii="宋体" w:hAnsi="宋体" w:eastAsia="宋体" w:cs="宋体"/>
                <w:b/>
                <w:bCs/>
                <w:i w:val="0"/>
                <w:iCs w:val="0"/>
                <w:caps w:val="0"/>
                <w:color w:val="404040"/>
                <w:spacing w:val="0"/>
                <w:sz w:val="21"/>
                <w:szCs w:val="21"/>
                <w:highlight w:val="none"/>
                <w:shd w:val="clear" w:fill="FFFFFF"/>
              </w:rPr>
              <w:t>健康讲座与活动</w:t>
            </w:r>
          </w:p>
        </w:tc>
        <w:tc>
          <w:tcPr>
            <w:tcW w:w="4188" w:type="dxa"/>
            <w:vAlign w:val="center"/>
          </w:tcPr>
          <w:p w14:paraId="29A98C39">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i w:val="0"/>
                <w:iCs w:val="0"/>
                <w:caps w:val="0"/>
                <w:color w:val="404040"/>
                <w:spacing w:val="0"/>
                <w:sz w:val="21"/>
                <w:szCs w:val="21"/>
                <w:highlight w:val="none"/>
                <w:shd w:val="clear" w:fill="FFFFFF"/>
              </w:rPr>
            </w:pPr>
            <w:r>
              <w:rPr>
                <w:rFonts w:hint="eastAsia" w:ascii="宋体" w:hAnsi="宋体" w:eastAsia="宋体" w:cs="宋体"/>
                <w:i w:val="0"/>
                <w:iCs w:val="0"/>
                <w:caps w:val="0"/>
                <w:color w:val="404040"/>
                <w:spacing w:val="0"/>
                <w:sz w:val="21"/>
                <w:szCs w:val="21"/>
                <w:highlight w:val="none"/>
                <w:shd w:val="clear" w:fill="FFFFFF"/>
              </w:rPr>
              <w:t>主动提供并积极配合开展至少1次面向</w:t>
            </w:r>
            <w:r>
              <w:rPr>
                <w:rFonts w:hint="eastAsia" w:ascii="宋体" w:hAnsi="宋体" w:eastAsia="宋体" w:cs="宋体"/>
                <w:i w:val="0"/>
                <w:iCs w:val="0"/>
                <w:caps w:val="0"/>
                <w:color w:val="404040"/>
                <w:spacing w:val="0"/>
                <w:sz w:val="21"/>
                <w:szCs w:val="21"/>
                <w:highlight w:val="none"/>
                <w:shd w:val="clear" w:fill="FFFFFF"/>
                <w:lang w:eastAsia="zh-CN"/>
              </w:rPr>
              <w:t>教职工</w:t>
            </w:r>
            <w:r>
              <w:rPr>
                <w:rFonts w:hint="eastAsia" w:ascii="宋体" w:hAnsi="宋体" w:eastAsia="宋体" w:cs="宋体"/>
                <w:i w:val="0"/>
                <w:iCs w:val="0"/>
                <w:caps w:val="0"/>
                <w:color w:val="404040"/>
                <w:spacing w:val="0"/>
                <w:sz w:val="21"/>
                <w:szCs w:val="21"/>
                <w:highlight w:val="none"/>
                <w:shd w:val="clear" w:fill="FFFFFF"/>
              </w:rPr>
              <w:t>的健康讲座或义诊活动。内容质量高，</w:t>
            </w:r>
            <w:r>
              <w:rPr>
                <w:rFonts w:hint="eastAsia" w:ascii="宋体" w:hAnsi="宋体" w:eastAsia="宋体" w:cs="宋体"/>
                <w:i w:val="0"/>
                <w:iCs w:val="0"/>
                <w:caps w:val="0"/>
                <w:color w:val="404040"/>
                <w:spacing w:val="0"/>
                <w:sz w:val="21"/>
                <w:szCs w:val="21"/>
                <w:highlight w:val="none"/>
                <w:shd w:val="clear" w:fill="FFFFFF"/>
                <w:lang w:eastAsia="zh-CN"/>
              </w:rPr>
              <w:t>教职工</w:t>
            </w:r>
            <w:r>
              <w:rPr>
                <w:rFonts w:hint="eastAsia" w:ascii="宋体" w:hAnsi="宋体" w:eastAsia="宋体" w:cs="宋体"/>
                <w:i w:val="0"/>
                <w:iCs w:val="0"/>
                <w:caps w:val="0"/>
                <w:color w:val="404040"/>
                <w:spacing w:val="0"/>
                <w:sz w:val="21"/>
                <w:szCs w:val="21"/>
                <w:highlight w:val="none"/>
                <w:shd w:val="clear" w:fill="FFFFFF"/>
              </w:rPr>
              <w:t>参与度和满意度好。未提供或不配合扣3分。</w:t>
            </w:r>
          </w:p>
        </w:tc>
        <w:tc>
          <w:tcPr>
            <w:tcW w:w="838" w:type="dxa"/>
            <w:vAlign w:val="center"/>
          </w:tcPr>
          <w:p w14:paraId="127C9874">
            <w:pPr>
              <w:keepNext w:val="0"/>
              <w:keepLines w:val="0"/>
              <w:pageBreakBefore w:val="0"/>
              <w:kinsoku/>
              <w:wordWrap/>
              <w:overflowPunct/>
              <w:topLinePunct w:val="0"/>
              <w:autoSpaceDE/>
              <w:autoSpaceDN/>
              <w:bidi w:val="0"/>
              <w:adjustRightInd/>
              <w:snapToGrid/>
              <w:spacing w:line="400" w:lineRule="exact"/>
              <w:jc w:val="left"/>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3分</w:t>
            </w:r>
          </w:p>
        </w:tc>
        <w:tc>
          <w:tcPr>
            <w:tcW w:w="1824" w:type="dxa"/>
            <w:vAlign w:val="center"/>
          </w:tcPr>
          <w:p w14:paraId="7DDB6CD6">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r w14:paraId="54B36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 w:type="dxa"/>
            <w:vAlign w:val="center"/>
          </w:tcPr>
          <w:p w14:paraId="58FEFD6F">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5.3</w:t>
            </w:r>
          </w:p>
        </w:tc>
        <w:tc>
          <w:tcPr>
            <w:tcW w:w="1475" w:type="dxa"/>
            <w:vAlign w:val="center"/>
          </w:tcPr>
          <w:p w14:paraId="55E0DFDA">
            <w:pPr>
              <w:keepNext w:val="0"/>
              <w:keepLines w:val="0"/>
              <w:pageBreakBefore w:val="0"/>
              <w:kinsoku/>
              <w:wordWrap/>
              <w:overflowPunct/>
              <w:topLinePunct w:val="0"/>
              <w:autoSpaceDE/>
              <w:autoSpaceDN/>
              <w:bidi w:val="0"/>
              <w:adjustRightInd/>
              <w:snapToGrid/>
              <w:spacing w:line="400" w:lineRule="exact"/>
              <w:jc w:val="center"/>
              <w:textAlignment w:val="auto"/>
              <w:rPr>
                <w:rStyle w:val="47"/>
                <w:rFonts w:hint="eastAsia" w:ascii="宋体" w:hAnsi="宋体" w:eastAsia="宋体" w:cs="宋体"/>
                <w:b/>
                <w:bCs/>
                <w:i w:val="0"/>
                <w:iCs w:val="0"/>
                <w:caps w:val="0"/>
                <w:color w:val="404040"/>
                <w:spacing w:val="0"/>
                <w:sz w:val="21"/>
                <w:szCs w:val="21"/>
                <w:shd w:val="clear" w:fill="FFFFFF"/>
              </w:rPr>
            </w:pPr>
            <w:r>
              <w:rPr>
                <w:rStyle w:val="47"/>
                <w:rFonts w:hint="eastAsia" w:ascii="宋体" w:hAnsi="宋体" w:eastAsia="宋体" w:cs="宋体"/>
                <w:b/>
                <w:bCs/>
                <w:i w:val="0"/>
                <w:iCs w:val="0"/>
                <w:caps w:val="0"/>
                <w:color w:val="404040"/>
                <w:spacing w:val="0"/>
                <w:sz w:val="21"/>
                <w:szCs w:val="21"/>
                <w:shd w:val="clear" w:fill="FFFFFF"/>
              </w:rPr>
              <w:t>投诉处理机制</w:t>
            </w:r>
          </w:p>
        </w:tc>
        <w:tc>
          <w:tcPr>
            <w:tcW w:w="4188" w:type="dxa"/>
            <w:vAlign w:val="center"/>
          </w:tcPr>
          <w:p w14:paraId="7C44942F">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i w:val="0"/>
                <w:iCs w:val="0"/>
                <w:caps w:val="0"/>
                <w:color w:val="404040"/>
                <w:spacing w:val="0"/>
                <w:sz w:val="21"/>
                <w:szCs w:val="21"/>
                <w:shd w:val="clear" w:fill="FFFFFF"/>
              </w:rPr>
            </w:pPr>
            <w:r>
              <w:rPr>
                <w:rFonts w:hint="eastAsia" w:ascii="宋体" w:hAnsi="宋体" w:eastAsia="宋体" w:cs="宋体"/>
                <w:i w:val="0"/>
                <w:iCs w:val="0"/>
                <w:caps w:val="0"/>
                <w:color w:val="404040"/>
                <w:spacing w:val="0"/>
                <w:sz w:val="21"/>
                <w:szCs w:val="21"/>
                <w:shd w:val="clear" w:fill="FFFFFF"/>
              </w:rPr>
              <w:t>有畅通的投诉渠道，并对</w:t>
            </w:r>
            <w:r>
              <w:rPr>
                <w:rFonts w:hint="eastAsia" w:ascii="宋体" w:hAnsi="宋体" w:eastAsia="宋体" w:cs="宋体"/>
                <w:i w:val="0"/>
                <w:iCs w:val="0"/>
                <w:caps w:val="0"/>
                <w:color w:val="404040"/>
                <w:spacing w:val="0"/>
                <w:sz w:val="21"/>
                <w:szCs w:val="21"/>
                <w:shd w:val="clear" w:fill="FFFFFF"/>
                <w:lang w:eastAsia="zh-CN"/>
              </w:rPr>
              <w:t>采购人</w:t>
            </w:r>
            <w:r>
              <w:rPr>
                <w:rFonts w:hint="eastAsia" w:ascii="宋体" w:hAnsi="宋体" w:eastAsia="宋体" w:cs="宋体"/>
                <w:i w:val="0"/>
                <w:iCs w:val="0"/>
                <w:caps w:val="0"/>
                <w:color w:val="404040"/>
                <w:spacing w:val="0"/>
                <w:sz w:val="21"/>
                <w:szCs w:val="21"/>
                <w:shd w:val="clear" w:fill="FFFFFF"/>
              </w:rPr>
              <w:t>转达的</w:t>
            </w:r>
            <w:r>
              <w:rPr>
                <w:rFonts w:hint="eastAsia" w:ascii="宋体" w:hAnsi="宋体" w:eastAsia="宋体" w:cs="宋体"/>
                <w:i w:val="0"/>
                <w:iCs w:val="0"/>
                <w:caps w:val="0"/>
                <w:color w:val="404040"/>
                <w:spacing w:val="0"/>
                <w:sz w:val="21"/>
                <w:szCs w:val="21"/>
                <w:shd w:val="clear" w:fill="FFFFFF"/>
                <w:lang w:eastAsia="zh-CN"/>
              </w:rPr>
              <w:t>教职工</w:t>
            </w:r>
            <w:r>
              <w:rPr>
                <w:rFonts w:hint="eastAsia" w:ascii="宋体" w:hAnsi="宋体" w:eastAsia="宋体" w:cs="宋体"/>
                <w:i w:val="0"/>
                <w:iCs w:val="0"/>
                <w:caps w:val="0"/>
                <w:color w:val="404040"/>
                <w:spacing w:val="0"/>
                <w:sz w:val="21"/>
                <w:szCs w:val="21"/>
                <w:shd w:val="clear" w:fill="FFFFFF"/>
              </w:rPr>
              <w:t>投诉在</w:t>
            </w:r>
            <w:r>
              <w:rPr>
                <w:rStyle w:val="47"/>
                <w:rFonts w:hint="eastAsia" w:ascii="宋体" w:hAnsi="宋体" w:eastAsia="宋体" w:cs="宋体"/>
                <w:b w:val="0"/>
                <w:bCs w:val="0"/>
                <w:i w:val="0"/>
                <w:iCs w:val="0"/>
                <w:caps w:val="0"/>
                <w:color w:val="404040"/>
                <w:spacing w:val="0"/>
                <w:sz w:val="21"/>
                <w:szCs w:val="21"/>
                <w:shd w:val="clear" w:fill="FFFFFF"/>
              </w:rPr>
              <w:t>1个工作日内</w:t>
            </w:r>
            <w:r>
              <w:rPr>
                <w:rFonts w:hint="eastAsia" w:ascii="宋体" w:hAnsi="宋体" w:eastAsia="宋体" w:cs="宋体"/>
                <w:b w:val="0"/>
                <w:bCs w:val="0"/>
                <w:i w:val="0"/>
                <w:iCs w:val="0"/>
                <w:caps w:val="0"/>
                <w:color w:val="404040"/>
                <w:spacing w:val="0"/>
                <w:sz w:val="21"/>
                <w:szCs w:val="21"/>
                <w:shd w:val="clear" w:fill="FFFFFF"/>
              </w:rPr>
              <w:t>响应，</w:t>
            </w:r>
            <w:r>
              <w:rPr>
                <w:rStyle w:val="47"/>
                <w:rFonts w:hint="eastAsia" w:ascii="宋体" w:hAnsi="宋体" w:eastAsia="宋体" w:cs="宋体"/>
                <w:b w:val="0"/>
                <w:bCs w:val="0"/>
                <w:i w:val="0"/>
                <w:iCs w:val="0"/>
                <w:caps w:val="0"/>
                <w:color w:val="404040"/>
                <w:spacing w:val="0"/>
                <w:sz w:val="21"/>
                <w:szCs w:val="21"/>
                <w:shd w:val="clear" w:fill="FFFFFF"/>
              </w:rPr>
              <w:t>3个工作日内</w:t>
            </w:r>
            <w:r>
              <w:rPr>
                <w:rFonts w:hint="eastAsia" w:ascii="宋体" w:hAnsi="宋体" w:eastAsia="宋体" w:cs="宋体"/>
                <w:b w:val="0"/>
                <w:bCs w:val="0"/>
                <w:i w:val="0"/>
                <w:iCs w:val="0"/>
                <w:caps w:val="0"/>
                <w:color w:val="404040"/>
                <w:spacing w:val="0"/>
                <w:sz w:val="21"/>
                <w:szCs w:val="21"/>
                <w:shd w:val="clear" w:fill="FFFFFF"/>
              </w:rPr>
              <w:t>给出妥善解决方案。处理不及时或推诿每次扣2分。</w:t>
            </w:r>
          </w:p>
        </w:tc>
        <w:tc>
          <w:tcPr>
            <w:tcW w:w="838" w:type="dxa"/>
            <w:vAlign w:val="center"/>
          </w:tcPr>
          <w:p w14:paraId="497E368D">
            <w:pPr>
              <w:keepNext w:val="0"/>
              <w:keepLines w:val="0"/>
              <w:pageBreakBefore w:val="0"/>
              <w:kinsoku/>
              <w:wordWrap/>
              <w:overflowPunct/>
              <w:topLinePunct w:val="0"/>
              <w:autoSpaceDE/>
              <w:autoSpaceDN/>
              <w:bidi w:val="0"/>
              <w:adjustRightInd/>
              <w:snapToGrid/>
              <w:spacing w:line="400" w:lineRule="exact"/>
              <w:jc w:val="left"/>
              <w:textAlignment w:val="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3分</w:t>
            </w:r>
          </w:p>
        </w:tc>
        <w:tc>
          <w:tcPr>
            <w:tcW w:w="1824" w:type="dxa"/>
            <w:vAlign w:val="center"/>
          </w:tcPr>
          <w:p w14:paraId="49D957A7">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vertAlign w:val="baseline"/>
                <w:lang w:val="en-US" w:eastAsia="zh-CN"/>
              </w:rPr>
            </w:pPr>
          </w:p>
        </w:tc>
      </w:tr>
    </w:tbl>
    <w:p w14:paraId="4FB2CB1A">
      <w:pPr>
        <w:spacing w:line="360" w:lineRule="auto"/>
        <w:jc w:val="left"/>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结果评定：</w:t>
      </w:r>
    </w:p>
    <w:p w14:paraId="0735B6D7">
      <w:pPr>
        <w:spacing w:line="360" w:lineRule="auto"/>
        <w:jc w:val="lef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合格</w:t>
      </w:r>
      <w:r>
        <w:rPr>
          <w:rFonts w:hint="default" w:ascii="宋体" w:hAnsi="宋体" w:cs="宋体"/>
          <w:color w:val="auto"/>
          <w:sz w:val="24"/>
          <w:highlight w:val="none"/>
          <w:lang w:val="en-US" w:eastAsia="zh-CN"/>
        </w:rPr>
        <w:t>(</w:t>
      </w:r>
      <w:r>
        <w:rPr>
          <w:rFonts w:hint="eastAsia" w:ascii="宋体" w:hAnsi="宋体" w:cs="宋体"/>
          <w:color w:val="auto"/>
          <w:sz w:val="24"/>
          <w:highlight w:val="none"/>
          <w:lang w:val="en-US" w:eastAsia="zh-CN"/>
        </w:rPr>
        <w:t>80</w:t>
      </w:r>
      <w:r>
        <w:rPr>
          <w:rFonts w:hint="default" w:ascii="宋体" w:hAnsi="宋体" w:cs="宋体"/>
          <w:color w:val="auto"/>
          <w:sz w:val="24"/>
          <w:highlight w:val="none"/>
          <w:lang w:val="en-US" w:eastAsia="zh-CN"/>
        </w:rPr>
        <w:t>分及以上)：</w:t>
      </w:r>
      <w:r>
        <w:rPr>
          <w:rFonts w:hint="eastAsia" w:ascii="宋体" w:hAnsi="宋体" w:cs="宋体"/>
          <w:color w:val="auto"/>
          <w:sz w:val="24"/>
          <w:highlight w:val="none"/>
          <w:lang w:val="en-US" w:eastAsia="zh-CN"/>
        </w:rPr>
        <w:t>合格</w:t>
      </w:r>
      <w:r>
        <w:rPr>
          <w:rFonts w:hint="default" w:ascii="宋体" w:hAnsi="宋体" w:cs="宋体"/>
          <w:color w:val="auto"/>
          <w:sz w:val="24"/>
          <w:highlight w:val="none"/>
          <w:lang w:val="en-US" w:eastAsia="zh-CN"/>
        </w:rPr>
        <w:t>，</w:t>
      </w:r>
      <w:r>
        <w:rPr>
          <w:rFonts w:hint="eastAsia" w:ascii="宋体" w:hAnsi="宋体" w:cs="宋体"/>
          <w:color w:val="auto"/>
          <w:sz w:val="24"/>
          <w:highlight w:val="none"/>
          <w:lang w:val="en-US" w:eastAsia="zh-CN"/>
        </w:rPr>
        <w:t>直接续签下一年度合同</w:t>
      </w:r>
      <w:r>
        <w:rPr>
          <w:rFonts w:hint="default" w:ascii="宋体" w:hAnsi="宋体" w:cs="宋体"/>
          <w:color w:val="auto"/>
          <w:sz w:val="24"/>
          <w:highlight w:val="none"/>
          <w:lang w:val="en-US" w:eastAsia="zh-CN"/>
        </w:rPr>
        <w:t>。</w:t>
      </w:r>
    </w:p>
    <w:p w14:paraId="4A138F92">
      <w:pPr>
        <w:spacing w:line="360" w:lineRule="auto"/>
        <w:jc w:val="left"/>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不合格(80分以下)：</w:t>
      </w:r>
      <w:r>
        <w:rPr>
          <w:rFonts w:hint="eastAsia" w:ascii="宋体" w:hAnsi="宋体" w:cs="宋体"/>
          <w:color w:val="auto"/>
          <w:sz w:val="24"/>
          <w:highlight w:val="none"/>
          <w:lang w:val="en-US" w:eastAsia="zh-CN"/>
        </w:rPr>
        <w:t>不合格</w:t>
      </w:r>
      <w:r>
        <w:rPr>
          <w:rFonts w:hint="default" w:ascii="宋体" w:hAnsi="宋体" w:cs="宋体"/>
          <w:color w:val="auto"/>
          <w:sz w:val="24"/>
          <w:highlight w:val="none"/>
          <w:lang w:val="en-US" w:eastAsia="zh-CN"/>
        </w:rPr>
        <w:t>，</w:t>
      </w:r>
      <w:r>
        <w:rPr>
          <w:rFonts w:hint="eastAsia" w:ascii="宋体" w:hAnsi="宋体" w:cs="宋体"/>
          <w:color w:val="auto"/>
          <w:sz w:val="24"/>
          <w:highlight w:val="none"/>
          <w:lang w:val="en-US" w:eastAsia="zh-CN"/>
        </w:rPr>
        <w:t>不再续签下一年度合同</w:t>
      </w:r>
      <w:r>
        <w:rPr>
          <w:rFonts w:hint="default" w:ascii="宋体" w:hAnsi="宋体" w:cs="宋体"/>
          <w:color w:val="auto"/>
          <w:sz w:val="24"/>
          <w:highlight w:val="none"/>
          <w:lang w:val="en-US" w:eastAsia="zh-CN"/>
        </w:rPr>
        <w:t>。</w:t>
      </w:r>
    </w:p>
    <w:bookmarkEnd w:id="233"/>
    <w:bookmarkEnd w:id="234"/>
    <w:p w14:paraId="1C56F8FC">
      <w:pPr>
        <w:spacing w:line="240" w:lineRule="auto"/>
        <w:rPr>
          <w:rFonts w:hint="eastAsia" w:asciiTheme="minorEastAsia" w:hAnsiTheme="minorEastAsia" w:eastAsiaTheme="minorEastAsia" w:cstheme="minorEastAsia"/>
          <w:color w:val="auto"/>
          <w:sz w:val="24"/>
          <w:szCs w:val="24"/>
          <w:highlight w:val="none"/>
        </w:rPr>
      </w:pPr>
    </w:p>
    <w:p w14:paraId="23F7B181">
      <w:pPr>
        <w:spacing w:line="240" w:lineRule="auto"/>
        <w:jc w:val="center"/>
        <w:rPr>
          <w:rFonts w:hint="eastAsia" w:asciiTheme="minorEastAsia" w:hAnsiTheme="minorEastAsia" w:eastAsiaTheme="minorEastAsia" w:cstheme="minorEastAsia"/>
          <w:color w:val="auto"/>
          <w:sz w:val="24"/>
          <w:szCs w:val="24"/>
          <w:highlight w:val="none"/>
        </w:rPr>
        <w:sectPr>
          <w:pgSz w:w="11906" w:h="16838"/>
          <w:pgMar w:top="1587" w:right="1417" w:bottom="1417" w:left="1587" w:header="1020" w:footer="992" w:gutter="0"/>
          <w:pgNumType w:fmt="decimal"/>
          <w:cols w:space="0" w:num="1"/>
          <w:rtlGutter w:val="0"/>
          <w:docGrid w:linePitch="312" w:charSpace="0"/>
        </w:sectPr>
      </w:pPr>
    </w:p>
    <w:p w14:paraId="541A43BF">
      <w:pPr>
        <w:pStyle w:val="2"/>
        <w:numPr>
          <w:ilvl w:val="0"/>
          <w:numId w:val="0"/>
        </w:numPr>
        <w:spacing w:line="360" w:lineRule="auto"/>
        <w:jc w:val="center"/>
        <w:rPr>
          <w:color w:val="auto"/>
          <w:sz w:val="32"/>
          <w:szCs w:val="32"/>
          <w:highlight w:val="none"/>
        </w:rPr>
      </w:pPr>
      <w:bookmarkStart w:id="237" w:name="_Toc1195"/>
      <w:bookmarkStart w:id="238" w:name="_Toc30424"/>
      <w:bookmarkStart w:id="239" w:name="_Toc4844"/>
      <w:bookmarkStart w:id="240" w:name="_Toc9581"/>
      <w:r>
        <w:rPr>
          <w:rFonts w:hint="eastAsia" w:ascii="黑体" w:hAnsi="黑体" w:eastAsia="黑体" w:cs="Times New Roman"/>
          <w:b/>
          <w:bCs/>
          <w:color w:val="auto"/>
          <w:kern w:val="44"/>
          <w:sz w:val="36"/>
          <w:szCs w:val="36"/>
          <w:highlight w:val="none"/>
          <w:lang w:val="en-US" w:eastAsia="zh-CN" w:bidi="ar-SA"/>
        </w:rPr>
        <w:t>第六章 投标</w:t>
      </w:r>
      <w:r>
        <w:rPr>
          <w:rFonts w:hint="eastAsia" w:ascii="黑体" w:hAnsi="黑体" w:eastAsia="黑体"/>
          <w:b/>
          <w:bCs/>
          <w:color w:val="auto"/>
          <w:sz w:val="36"/>
          <w:szCs w:val="36"/>
          <w:highlight w:val="none"/>
          <w:lang w:val="en-US" w:eastAsia="zh-CN"/>
        </w:rPr>
        <w:t>文件</w:t>
      </w:r>
      <w:r>
        <w:rPr>
          <w:rFonts w:hint="eastAsia" w:ascii="黑体" w:hAnsi="黑体" w:eastAsia="黑体" w:cs="Times New Roman"/>
          <w:b/>
          <w:bCs/>
          <w:color w:val="auto"/>
          <w:kern w:val="44"/>
          <w:sz w:val="36"/>
          <w:szCs w:val="36"/>
          <w:highlight w:val="none"/>
          <w:lang w:val="en-US" w:eastAsia="zh-CN" w:bidi="ar-SA"/>
        </w:rPr>
        <w:t>格式</w:t>
      </w:r>
      <w:bookmarkEnd w:id="237"/>
      <w:bookmarkEnd w:id="238"/>
      <w:bookmarkEnd w:id="239"/>
      <w:bookmarkEnd w:id="240"/>
    </w:p>
    <w:p w14:paraId="6F89AE93">
      <w:pPr>
        <w:spacing w:line="360" w:lineRule="auto"/>
        <w:jc w:val="center"/>
        <w:outlineLvl w:val="1"/>
        <w:rPr>
          <w:rFonts w:hint="eastAsia"/>
          <w:b/>
          <w:color w:val="auto"/>
          <w:sz w:val="30"/>
          <w:szCs w:val="30"/>
          <w:highlight w:val="none"/>
          <w:lang w:val="en-US" w:eastAsia="zh-CN"/>
        </w:rPr>
      </w:pPr>
      <w:r>
        <w:rPr>
          <w:rFonts w:hint="eastAsia"/>
          <w:b/>
          <w:color w:val="auto"/>
          <w:sz w:val="30"/>
          <w:szCs w:val="30"/>
          <w:highlight w:val="none"/>
          <w:lang w:val="en-US" w:eastAsia="zh-CN"/>
        </w:rPr>
        <w:t>封面格式</w:t>
      </w:r>
    </w:p>
    <w:p w14:paraId="79229E13">
      <w:pPr>
        <w:keepNext w:val="0"/>
        <w:keepLines w:val="0"/>
        <w:pageBreakBefore w:val="0"/>
        <w:widowControl w:val="0"/>
        <w:shd w:val="clear" w:color="auto" w:fill="FFFFFF" w:themeFill="background1"/>
        <w:kinsoku/>
        <w:wordWrap/>
        <w:overflowPunct/>
        <w:topLinePunct w:val="0"/>
        <w:autoSpaceDE/>
        <w:autoSpaceDN/>
        <w:bidi w:val="0"/>
        <w:adjustRightInd/>
        <w:snapToGrid/>
        <w:spacing w:line="360" w:lineRule="auto"/>
        <w:jc w:val="center"/>
        <w:textAlignment w:val="auto"/>
        <w:rPr>
          <w:rFonts w:hint="eastAsia" w:ascii="宋体" w:hAnsi="宋体"/>
          <w:b/>
          <w:bCs w:val="0"/>
          <w:color w:val="auto"/>
          <w:sz w:val="44"/>
          <w:szCs w:val="52"/>
          <w:highlight w:val="none"/>
          <w:lang w:eastAsia="zh-CN"/>
        </w:rPr>
      </w:pPr>
    </w:p>
    <w:p w14:paraId="08E43371">
      <w:pPr>
        <w:keepNext w:val="0"/>
        <w:keepLines w:val="0"/>
        <w:pageBreakBefore w:val="0"/>
        <w:widowControl w:val="0"/>
        <w:shd w:val="clear" w:color="auto" w:fill="FFFFFF" w:themeFill="background1"/>
        <w:kinsoku/>
        <w:wordWrap/>
        <w:overflowPunct/>
        <w:topLinePunct w:val="0"/>
        <w:autoSpaceDE/>
        <w:autoSpaceDN/>
        <w:bidi w:val="0"/>
        <w:adjustRightInd/>
        <w:snapToGrid/>
        <w:spacing w:line="360" w:lineRule="auto"/>
        <w:jc w:val="center"/>
        <w:textAlignment w:val="auto"/>
        <w:rPr>
          <w:rFonts w:hint="eastAsia" w:ascii="宋体" w:hAnsi="宋体"/>
          <w:b/>
          <w:bCs w:val="0"/>
          <w:color w:val="auto"/>
          <w:sz w:val="44"/>
          <w:szCs w:val="52"/>
          <w:highlight w:val="none"/>
          <w:lang w:eastAsia="zh-CN"/>
        </w:rPr>
      </w:pPr>
      <w:r>
        <w:rPr>
          <w:rFonts w:hint="eastAsia" w:ascii="宋体" w:hAnsi="宋体"/>
          <w:b/>
          <w:bCs w:val="0"/>
          <w:color w:val="auto"/>
          <w:sz w:val="44"/>
          <w:szCs w:val="52"/>
          <w:highlight w:val="none"/>
          <w:lang w:eastAsia="zh-CN"/>
        </w:rPr>
        <w:t>西南林业大学工会2025至2027年教职工健康体检服务（第一年）</w:t>
      </w:r>
    </w:p>
    <w:p w14:paraId="2001FF17">
      <w:pPr>
        <w:shd w:val="clear" w:color="auto" w:fill="FFFFFF" w:themeFill="background1"/>
        <w:spacing w:before="120" w:after="120" w:line="240" w:lineRule="auto"/>
        <w:jc w:val="center"/>
        <w:rPr>
          <w:rFonts w:hint="eastAsia" w:ascii="宋体" w:hAnsi="宋体"/>
          <w:b/>
          <w:color w:val="auto"/>
          <w:sz w:val="56"/>
          <w:szCs w:val="72"/>
          <w:highlight w:val="none"/>
          <w:lang w:eastAsia="zh-CN"/>
        </w:rPr>
      </w:pPr>
    </w:p>
    <w:p w14:paraId="667A220F">
      <w:pPr>
        <w:pStyle w:val="56"/>
        <w:spacing w:line="240" w:lineRule="auto"/>
        <w:jc w:val="center"/>
        <w:rPr>
          <w:rFonts w:hint="eastAsia"/>
          <w:color w:val="auto"/>
          <w:sz w:val="20"/>
          <w:szCs w:val="20"/>
          <w:highlight w:val="none"/>
          <w:lang w:eastAsia="zh-CN"/>
        </w:rPr>
      </w:pPr>
      <w:r>
        <w:rPr>
          <w:rFonts w:hint="eastAsia" w:ascii="宋体" w:hAnsi="宋体"/>
          <w:b/>
          <w:color w:val="auto"/>
          <w:sz w:val="52"/>
          <w:szCs w:val="56"/>
          <w:highlight w:val="none"/>
          <w:lang w:eastAsia="zh-CN"/>
        </w:rPr>
        <w:t>项目编号：</w:t>
      </w:r>
      <w:r>
        <w:rPr>
          <w:rFonts w:hint="eastAsia" w:ascii="宋体" w:hAnsi="宋体"/>
          <w:b/>
          <w:color w:val="auto"/>
          <w:sz w:val="52"/>
          <w:szCs w:val="56"/>
          <w:highlight w:val="none"/>
          <w:lang w:val="en-US" w:eastAsia="zh-CN"/>
        </w:rPr>
        <w:t xml:space="preserve"> </w:t>
      </w:r>
    </w:p>
    <w:p w14:paraId="0E778C32">
      <w:pPr>
        <w:shd w:val="clear" w:color="auto" w:fill="FFFFFF" w:themeFill="background1"/>
        <w:spacing w:before="120" w:after="120" w:line="400" w:lineRule="atLeast"/>
        <w:jc w:val="center"/>
        <w:rPr>
          <w:rFonts w:hint="eastAsia" w:ascii="宋体" w:hAnsi="宋体"/>
          <w:b/>
          <w:color w:val="auto"/>
          <w:sz w:val="84"/>
          <w:szCs w:val="102"/>
          <w:highlight w:val="none"/>
        </w:rPr>
      </w:pPr>
    </w:p>
    <w:p w14:paraId="2FA66344">
      <w:pPr>
        <w:shd w:val="clear" w:color="auto" w:fill="FFFFFF" w:themeFill="background1"/>
        <w:spacing w:before="120" w:after="120" w:line="400" w:lineRule="atLeast"/>
        <w:jc w:val="center"/>
        <w:rPr>
          <w:rFonts w:hint="eastAsia" w:ascii="宋体" w:hAnsi="宋体"/>
          <w:b/>
          <w:color w:val="auto"/>
          <w:sz w:val="84"/>
          <w:szCs w:val="102"/>
          <w:highlight w:val="none"/>
        </w:rPr>
      </w:pPr>
    </w:p>
    <w:p w14:paraId="22AB5C0F">
      <w:pPr>
        <w:shd w:val="clear" w:color="auto" w:fill="FFFFFF" w:themeFill="background1"/>
        <w:spacing w:before="120" w:after="120" w:line="400" w:lineRule="atLeast"/>
        <w:jc w:val="center"/>
        <w:rPr>
          <w:rFonts w:ascii="宋体" w:hAnsi="宋体"/>
          <w:b/>
          <w:color w:val="auto"/>
          <w:sz w:val="84"/>
          <w:szCs w:val="102"/>
          <w:highlight w:val="none"/>
        </w:rPr>
      </w:pPr>
      <w:r>
        <w:rPr>
          <w:rFonts w:hint="eastAsia" w:ascii="宋体" w:hAnsi="宋体"/>
          <w:b/>
          <w:color w:val="auto"/>
          <w:sz w:val="84"/>
          <w:szCs w:val="102"/>
          <w:highlight w:val="none"/>
        </w:rPr>
        <w:t>投 标 文 件</w:t>
      </w:r>
    </w:p>
    <w:p w14:paraId="416925E0">
      <w:pPr>
        <w:shd w:val="clear" w:color="auto" w:fill="FFFFFF" w:themeFill="background1"/>
        <w:spacing w:before="120" w:after="120" w:line="400" w:lineRule="atLeast"/>
        <w:jc w:val="center"/>
        <w:rPr>
          <w:rFonts w:ascii="宋体" w:hAnsi="宋体"/>
          <w:b/>
          <w:color w:val="auto"/>
          <w:highlight w:val="none"/>
        </w:rPr>
      </w:pPr>
    </w:p>
    <w:p w14:paraId="3A850EBB">
      <w:pPr>
        <w:shd w:val="clear" w:color="auto" w:fill="FFFFFF" w:themeFill="background1"/>
        <w:spacing w:line="580" w:lineRule="atLeast"/>
        <w:ind w:left="840" w:leftChars="400"/>
        <w:rPr>
          <w:rFonts w:ascii="宋体" w:hAnsi="宋体"/>
          <w:bCs/>
          <w:color w:val="auto"/>
          <w:sz w:val="28"/>
          <w:szCs w:val="28"/>
          <w:highlight w:val="none"/>
          <w:u w:val="single"/>
        </w:rPr>
      </w:pPr>
      <w:r>
        <w:rPr>
          <w:rFonts w:hint="eastAsia" w:ascii="宋体" w:hAnsi="宋体"/>
          <w:bCs/>
          <w:color w:val="auto"/>
          <w:sz w:val="28"/>
          <w:szCs w:val="28"/>
          <w:highlight w:val="none"/>
        </w:rPr>
        <w:t>投标人全称(加盖</w:t>
      </w:r>
      <w:r>
        <w:rPr>
          <w:rFonts w:hint="eastAsia" w:ascii="宋体" w:hAnsi="宋体" w:cs="宋体"/>
          <w:bCs/>
          <w:color w:val="auto"/>
          <w:sz w:val="28"/>
          <w:szCs w:val="28"/>
          <w:highlight w:val="none"/>
        </w:rPr>
        <w:t>电子公章</w:t>
      </w:r>
      <w:r>
        <w:rPr>
          <w:rFonts w:hint="eastAsia" w:ascii="宋体" w:hAnsi="宋体"/>
          <w:bCs/>
          <w:color w:val="auto"/>
          <w:sz w:val="28"/>
          <w:szCs w:val="28"/>
          <w:highlight w:val="none"/>
        </w:rPr>
        <w:t>)：</w:t>
      </w:r>
    </w:p>
    <w:p w14:paraId="1167052D">
      <w:pPr>
        <w:shd w:val="clear" w:color="auto" w:fill="FFFFFF" w:themeFill="background1"/>
        <w:spacing w:line="580" w:lineRule="atLeast"/>
        <w:ind w:left="840" w:leftChars="400"/>
        <w:rPr>
          <w:rFonts w:ascii="宋体" w:hAnsi="宋体"/>
          <w:bCs/>
          <w:color w:val="auto"/>
          <w:sz w:val="28"/>
          <w:szCs w:val="28"/>
          <w:highlight w:val="none"/>
          <w:u w:val="single"/>
        </w:rPr>
      </w:pPr>
      <w:r>
        <w:rPr>
          <w:rFonts w:hint="eastAsia" w:ascii="宋体" w:hAnsi="宋体"/>
          <w:bCs/>
          <w:color w:val="auto"/>
          <w:sz w:val="28"/>
          <w:szCs w:val="28"/>
          <w:highlight w:val="none"/>
        </w:rPr>
        <w:t>法定代表人或委托代理人(</w:t>
      </w:r>
      <w:r>
        <w:rPr>
          <w:rFonts w:hint="eastAsia" w:ascii="宋体" w:hAnsi="宋体" w:cs="宋体"/>
          <w:bCs/>
          <w:color w:val="auto"/>
          <w:sz w:val="28"/>
          <w:szCs w:val="28"/>
          <w:highlight w:val="none"/>
        </w:rPr>
        <w:t>电子签章或签字</w:t>
      </w:r>
      <w:r>
        <w:rPr>
          <w:rFonts w:hint="eastAsia" w:ascii="宋体" w:hAnsi="宋体"/>
          <w:bCs/>
          <w:color w:val="auto"/>
          <w:sz w:val="28"/>
          <w:szCs w:val="28"/>
          <w:highlight w:val="none"/>
        </w:rPr>
        <w:t>)：</w:t>
      </w:r>
      <w:r>
        <w:rPr>
          <w:rFonts w:ascii="宋体" w:hAnsi="宋体"/>
          <w:bCs/>
          <w:color w:val="auto"/>
          <w:sz w:val="28"/>
          <w:szCs w:val="28"/>
          <w:highlight w:val="none"/>
        </w:rPr>
        <w:t xml:space="preserve"> </w:t>
      </w:r>
      <w:r>
        <w:rPr>
          <w:rFonts w:hint="eastAsia" w:ascii="宋体" w:hAnsi="宋体"/>
          <w:bCs/>
          <w:color w:val="auto"/>
          <w:sz w:val="28"/>
          <w:szCs w:val="28"/>
          <w:highlight w:val="none"/>
        </w:rPr>
        <w:t xml:space="preserve">        </w:t>
      </w:r>
    </w:p>
    <w:p w14:paraId="1F032EF7">
      <w:pPr>
        <w:shd w:val="clear" w:color="auto" w:fill="FFFFFF" w:themeFill="background1"/>
        <w:spacing w:line="580" w:lineRule="atLeast"/>
        <w:ind w:left="840" w:leftChars="400"/>
        <w:rPr>
          <w:rFonts w:ascii="宋体" w:hAnsi="宋体"/>
          <w:bCs/>
          <w:color w:val="auto"/>
          <w:sz w:val="28"/>
          <w:szCs w:val="28"/>
          <w:highlight w:val="none"/>
        </w:rPr>
      </w:pPr>
      <w:r>
        <w:rPr>
          <w:rFonts w:hint="eastAsia" w:ascii="宋体" w:hAnsi="宋体"/>
          <w:bCs/>
          <w:color w:val="auto"/>
          <w:sz w:val="28"/>
          <w:szCs w:val="28"/>
          <w:highlight w:val="none"/>
        </w:rPr>
        <w:t>日  期：</w:t>
      </w:r>
    </w:p>
    <w:p w14:paraId="2CD06E7C">
      <w:pPr>
        <w:bidi w:val="0"/>
        <w:rPr>
          <w:rFonts w:hint="eastAsia"/>
          <w:color w:val="auto"/>
          <w:highlight w:val="none"/>
          <w:lang w:val="en-US" w:eastAsia="zh-CN"/>
        </w:rPr>
      </w:pPr>
    </w:p>
    <w:p w14:paraId="120FD018">
      <w:pPr>
        <w:spacing w:line="480" w:lineRule="auto"/>
        <w:jc w:val="center"/>
        <w:rPr>
          <w:rFonts w:hint="eastAsia"/>
          <w:b/>
          <w:color w:val="auto"/>
          <w:sz w:val="30"/>
          <w:szCs w:val="30"/>
          <w:highlight w:val="none"/>
          <w:lang w:val="en-US" w:eastAsia="zh-CN"/>
        </w:rPr>
      </w:pPr>
      <w:r>
        <w:rPr>
          <w:rFonts w:hint="eastAsia"/>
          <w:b/>
          <w:color w:val="auto"/>
          <w:sz w:val="30"/>
          <w:szCs w:val="30"/>
          <w:highlight w:val="none"/>
          <w:lang w:val="en-US" w:eastAsia="zh-CN"/>
        </w:rPr>
        <w:br w:type="page"/>
      </w:r>
      <w:r>
        <w:rPr>
          <w:rFonts w:hint="eastAsia"/>
          <w:b/>
          <w:color w:val="auto"/>
          <w:sz w:val="30"/>
          <w:szCs w:val="30"/>
          <w:highlight w:val="none"/>
          <w:lang w:val="en-US" w:eastAsia="zh-CN"/>
        </w:rPr>
        <w:t>目录</w:t>
      </w:r>
    </w:p>
    <w:p w14:paraId="4B6F6E77">
      <w:pPr>
        <w:bidi w:val="0"/>
        <w:spacing w:line="480" w:lineRule="auto"/>
        <w:jc w:val="center"/>
        <w:rPr>
          <w:rFonts w:hint="default"/>
          <w:color w:val="auto"/>
          <w:highlight w:val="none"/>
          <w:lang w:val="en-US" w:eastAsia="zh-CN"/>
        </w:rPr>
      </w:pPr>
      <w:r>
        <w:rPr>
          <w:rFonts w:hint="eastAsia"/>
          <w:color w:val="auto"/>
          <w:highlight w:val="none"/>
          <w:lang w:val="en-US" w:eastAsia="zh-CN"/>
        </w:rPr>
        <w:t>内容、格式自拟</w:t>
      </w:r>
    </w:p>
    <w:p w14:paraId="4737E6AA">
      <w:pPr>
        <w:jc w:val="center"/>
        <w:rPr>
          <w:rFonts w:ascii="宋体"/>
          <w:b/>
          <w:bCs/>
          <w:color w:val="auto"/>
          <w:szCs w:val="21"/>
          <w:highlight w:val="none"/>
        </w:rPr>
      </w:pPr>
      <w:r>
        <w:rPr>
          <w:color w:val="auto"/>
          <w:highlight w:val="none"/>
        </w:rPr>
        <w:br w:type="page"/>
      </w:r>
    </w:p>
    <w:p w14:paraId="6978654F">
      <w:pPr>
        <w:spacing w:line="360" w:lineRule="auto"/>
        <w:outlineLvl w:val="1"/>
        <w:rPr>
          <w:b/>
          <w:color w:val="auto"/>
          <w:sz w:val="24"/>
          <w:highlight w:val="none"/>
        </w:rPr>
      </w:pPr>
      <w:bookmarkStart w:id="241" w:name="_A1_投标书"/>
      <w:bookmarkEnd w:id="241"/>
      <w:bookmarkStart w:id="242" w:name="_Toc372807484"/>
      <w:bookmarkStart w:id="243" w:name="_Toc414445764"/>
      <w:bookmarkStart w:id="244" w:name="_Toc410631173"/>
      <w:bookmarkStart w:id="245" w:name="_Toc416103814"/>
      <w:bookmarkStart w:id="246" w:name="_Toc192127127"/>
      <w:bookmarkStart w:id="247" w:name="_Toc128455956"/>
      <w:bookmarkStart w:id="248" w:name="_Toc176663528"/>
      <w:bookmarkStart w:id="249" w:name="_Toc162669084"/>
      <w:bookmarkStart w:id="250" w:name="_Toc30875"/>
      <w:bookmarkStart w:id="251" w:name="_Toc16930"/>
      <w:bookmarkStart w:id="252" w:name="_Toc181038076"/>
      <w:bookmarkStart w:id="253" w:name="_Toc179091096"/>
      <w:bookmarkStart w:id="254" w:name="_Toc192127128"/>
      <w:r>
        <w:rPr>
          <w:rFonts w:hint="eastAsia"/>
          <w:b/>
          <w:color w:val="auto"/>
          <w:sz w:val="24"/>
          <w:highlight w:val="none"/>
        </w:rPr>
        <w:t xml:space="preserve">附件1  </w:t>
      </w:r>
      <w:bookmarkEnd w:id="242"/>
      <w:bookmarkEnd w:id="243"/>
      <w:bookmarkEnd w:id="244"/>
      <w:bookmarkEnd w:id="245"/>
      <w:r>
        <w:rPr>
          <w:b/>
          <w:color w:val="auto"/>
          <w:sz w:val="24"/>
          <w:highlight w:val="none"/>
        </w:rPr>
        <w:t>投标</w:t>
      </w:r>
      <w:r>
        <w:rPr>
          <w:rFonts w:hint="eastAsia"/>
          <w:b/>
          <w:color w:val="auto"/>
          <w:sz w:val="24"/>
          <w:highlight w:val="none"/>
        </w:rPr>
        <w:t>书</w:t>
      </w:r>
      <w:bookmarkEnd w:id="246"/>
      <w:bookmarkEnd w:id="247"/>
      <w:bookmarkEnd w:id="248"/>
      <w:bookmarkEnd w:id="249"/>
      <w:bookmarkEnd w:id="250"/>
      <w:bookmarkEnd w:id="251"/>
      <w:bookmarkEnd w:id="252"/>
      <w:bookmarkEnd w:id="253"/>
    </w:p>
    <w:p w14:paraId="1559E996">
      <w:pPr>
        <w:autoSpaceDE w:val="0"/>
        <w:autoSpaceDN w:val="0"/>
        <w:adjustRightInd w:val="0"/>
        <w:jc w:val="center"/>
        <w:rPr>
          <w:rFonts w:hint="eastAsia" w:ascii="黑体" w:hAnsi="黑体" w:eastAsia="黑体" w:cs="黑体"/>
          <w:color w:val="auto"/>
          <w:kern w:val="0"/>
          <w:sz w:val="40"/>
          <w:szCs w:val="40"/>
          <w:highlight w:val="none"/>
        </w:rPr>
      </w:pPr>
      <w:r>
        <w:rPr>
          <w:rFonts w:hint="eastAsia" w:ascii="黑体" w:hAnsi="黑体" w:eastAsia="黑体" w:cs="黑体"/>
          <w:color w:val="auto"/>
          <w:kern w:val="0"/>
          <w:sz w:val="40"/>
          <w:szCs w:val="40"/>
          <w:highlight w:val="none"/>
        </w:rPr>
        <w:t>投</w:t>
      </w:r>
      <w:r>
        <w:rPr>
          <w:rFonts w:hint="eastAsia" w:ascii="黑体" w:hAnsi="黑体" w:eastAsia="黑体" w:cs="黑体"/>
          <w:color w:val="auto"/>
          <w:kern w:val="0"/>
          <w:sz w:val="40"/>
          <w:szCs w:val="40"/>
          <w:highlight w:val="none"/>
          <w:lang w:val="en-US" w:eastAsia="zh-CN"/>
        </w:rPr>
        <w:t xml:space="preserve"> </w:t>
      </w:r>
      <w:r>
        <w:rPr>
          <w:rFonts w:hint="eastAsia" w:ascii="黑体" w:hAnsi="黑体" w:eastAsia="黑体" w:cs="黑体"/>
          <w:color w:val="auto"/>
          <w:kern w:val="0"/>
          <w:sz w:val="40"/>
          <w:szCs w:val="40"/>
          <w:highlight w:val="none"/>
        </w:rPr>
        <w:t>标</w:t>
      </w:r>
      <w:r>
        <w:rPr>
          <w:rFonts w:hint="eastAsia" w:ascii="黑体" w:hAnsi="黑体" w:eastAsia="黑体" w:cs="黑体"/>
          <w:color w:val="auto"/>
          <w:kern w:val="0"/>
          <w:sz w:val="40"/>
          <w:szCs w:val="40"/>
          <w:highlight w:val="none"/>
          <w:lang w:val="en-US" w:eastAsia="zh-CN"/>
        </w:rPr>
        <w:t xml:space="preserve"> </w:t>
      </w:r>
      <w:r>
        <w:rPr>
          <w:rFonts w:hint="eastAsia" w:ascii="黑体" w:hAnsi="黑体" w:eastAsia="黑体" w:cs="黑体"/>
          <w:color w:val="auto"/>
          <w:kern w:val="0"/>
          <w:sz w:val="40"/>
          <w:szCs w:val="40"/>
          <w:highlight w:val="none"/>
        </w:rPr>
        <w:t>书</w:t>
      </w:r>
    </w:p>
    <w:p w14:paraId="120DE2EA">
      <w:pPr>
        <w:autoSpaceDE w:val="0"/>
        <w:autoSpaceDN w:val="0"/>
        <w:adjustRightInd w:val="0"/>
        <w:jc w:val="center"/>
        <w:rPr>
          <w:rFonts w:ascii="宋体" w:hAnsi="宋体" w:cs="黑体"/>
          <w:color w:val="auto"/>
          <w:kern w:val="0"/>
          <w:sz w:val="24"/>
          <w:highlight w:val="none"/>
        </w:rPr>
      </w:pPr>
    </w:p>
    <w:p w14:paraId="470C1ED3">
      <w:pPr>
        <w:autoSpaceDE w:val="0"/>
        <w:autoSpaceDN w:val="0"/>
        <w:adjustRightInd w:val="0"/>
        <w:jc w:val="center"/>
        <w:rPr>
          <w:rFonts w:ascii="宋体" w:hAnsi="宋体" w:cs="黑体"/>
          <w:color w:val="auto"/>
          <w:kern w:val="0"/>
          <w:sz w:val="24"/>
          <w:highlight w:val="none"/>
        </w:rPr>
      </w:pPr>
    </w:p>
    <w:p w14:paraId="2449A0FE">
      <w:pPr>
        <w:autoSpaceDE w:val="0"/>
        <w:autoSpaceDN w:val="0"/>
        <w:adjustRightInd w:val="0"/>
        <w:snapToGrid w:val="0"/>
        <w:spacing w:line="360" w:lineRule="auto"/>
        <w:jc w:val="left"/>
        <w:rPr>
          <w:rFonts w:ascii="宋体" w:hAnsi="宋体" w:cs="仿宋_GB2312"/>
          <w:b/>
          <w:bCs/>
          <w:color w:val="auto"/>
          <w:kern w:val="0"/>
          <w:sz w:val="24"/>
          <w:highlight w:val="none"/>
        </w:rPr>
      </w:pPr>
      <w:r>
        <w:rPr>
          <w:rFonts w:hint="eastAsia" w:ascii="宋体" w:hAnsi="宋体" w:cs="仿宋_GB2312"/>
          <w:b/>
          <w:bCs/>
          <w:color w:val="auto"/>
          <w:kern w:val="0"/>
          <w:sz w:val="24"/>
          <w:highlight w:val="none"/>
          <w:u w:val="single"/>
        </w:rPr>
        <w:t xml:space="preserve">                </w:t>
      </w:r>
      <w:r>
        <w:rPr>
          <w:rFonts w:hint="eastAsia" w:ascii="宋体" w:hAnsi="宋体" w:cs="仿宋_GB2312"/>
          <w:b/>
          <w:bCs/>
          <w:color w:val="auto"/>
          <w:kern w:val="0"/>
          <w:sz w:val="24"/>
          <w:highlight w:val="none"/>
        </w:rPr>
        <w:t>（采购人名称）：</w:t>
      </w:r>
    </w:p>
    <w:p w14:paraId="2B24819C">
      <w:pPr>
        <w:autoSpaceDE w:val="0"/>
        <w:autoSpaceDN w:val="0"/>
        <w:adjustRightInd w:val="0"/>
        <w:snapToGrid w:val="0"/>
        <w:spacing w:line="360" w:lineRule="auto"/>
        <w:ind w:firstLine="480" w:firstLineChars="200"/>
        <w:jc w:val="left"/>
        <w:rPr>
          <w:rFonts w:hint="eastAsia" w:ascii="宋体" w:hAnsi="宋体" w:cs="TimesNewRomanPSMT"/>
          <w:color w:val="auto"/>
          <w:kern w:val="0"/>
          <w:sz w:val="24"/>
          <w:highlight w:val="none"/>
        </w:rPr>
      </w:pPr>
    </w:p>
    <w:p w14:paraId="46275BFB">
      <w:pPr>
        <w:autoSpaceDE w:val="0"/>
        <w:autoSpaceDN w:val="0"/>
        <w:adjustRightInd w:val="0"/>
        <w:snapToGrid w:val="0"/>
        <w:spacing w:line="360" w:lineRule="auto"/>
        <w:ind w:firstLine="480" w:firstLineChars="200"/>
        <w:jc w:val="left"/>
        <w:rPr>
          <w:rFonts w:ascii="宋体" w:hAnsi="宋体" w:cs="仿宋_GB2312"/>
          <w:color w:val="auto"/>
          <w:kern w:val="0"/>
          <w:sz w:val="24"/>
          <w:highlight w:val="none"/>
        </w:rPr>
      </w:pPr>
      <w:r>
        <w:rPr>
          <w:rFonts w:hint="eastAsia" w:ascii="宋体" w:hAnsi="宋体" w:cs="TimesNewRomanPSMT"/>
          <w:color w:val="auto"/>
          <w:kern w:val="0"/>
          <w:sz w:val="24"/>
          <w:highlight w:val="none"/>
        </w:rPr>
        <w:t>1.</w:t>
      </w:r>
      <w:r>
        <w:rPr>
          <w:rFonts w:hint="eastAsia" w:ascii="宋体" w:hAnsi="宋体" w:cs="仿宋_GB2312"/>
          <w:color w:val="auto"/>
          <w:kern w:val="0"/>
          <w:sz w:val="24"/>
          <w:highlight w:val="none"/>
        </w:rPr>
        <w:t>我方已仔细研究了</w:t>
      </w:r>
      <w:r>
        <w:rPr>
          <w:rFonts w:hint="eastAsia" w:ascii="宋体" w:hAnsi="宋体" w:cs="仿宋_GB2312"/>
          <w:color w:val="auto"/>
          <w:kern w:val="0"/>
          <w:sz w:val="24"/>
          <w:highlight w:val="none"/>
          <w:u w:val="single"/>
        </w:rPr>
        <w:t xml:space="preserve">  （项目名称）   </w:t>
      </w:r>
      <w:r>
        <w:rPr>
          <w:rFonts w:hint="eastAsia" w:ascii="宋体" w:hAnsi="宋体" w:cs="仿宋_GB2312"/>
          <w:color w:val="auto"/>
          <w:kern w:val="0"/>
          <w:sz w:val="24"/>
          <w:highlight w:val="none"/>
        </w:rPr>
        <w:t>招标文件（包括修改、澄清文件）的全部内容，且对招标文件无任何异议，并愿意以“报价表”所填写的投标总价</w:t>
      </w:r>
      <w:r>
        <w:rPr>
          <w:rFonts w:hint="eastAsia" w:ascii="宋体" w:hAnsi="宋体" w:cs="仿宋_GB2312"/>
          <w:color w:val="auto"/>
          <w:kern w:val="0"/>
          <w:sz w:val="24"/>
          <w:highlight w:val="none"/>
          <w:lang w:eastAsia="zh-CN"/>
        </w:rPr>
        <w:t>（</w:t>
      </w:r>
      <w:r>
        <w:rPr>
          <w:rFonts w:hint="eastAsia" w:ascii="宋体" w:hAnsi="宋体" w:cs="仿宋_GB2312"/>
          <w:color w:val="auto"/>
          <w:kern w:val="0"/>
          <w:sz w:val="24"/>
          <w:highlight w:val="none"/>
          <w:lang w:val="en-US" w:eastAsia="zh-CN"/>
        </w:rPr>
        <w:t>单价</w:t>
      </w:r>
      <w:r>
        <w:rPr>
          <w:rFonts w:hint="eastAsia" w:ascii="宋体" w:hAnsi="宋体" w:cs="仿宋_GB2312"/>
          <w:color w:val="auto"/>
          <w:kern w:val="0"/>
          <w:sz w:val="24"/>
          <w:highlight w:val="none"/>
          <w:lang w:eastAsia="zh-CN"/>
        </w:rPr>
        <w:t>）</w:t>
      </w:r>
      <w:r>
        <w:rPr>
          <w:rFonts w:hint="eastAsia" w:ascii="宋体" w:hAnsi="宋体" w:cs="仿宋_GB2312"/>
          <w:color w:val="auto"/>
          <w:kern w:val="0"/>
          <w:sz w:val="24"/>
          <w:highlight w:val="none"/>
        </w:rPr>
        <w:t>、服务期及服务地点</w:t>
      </w:r>
      <w:r>
        <w:rPr>
          <w:rFonts w:hint="eastAsia" w:ascii="宋体" w:hAnsi="宋体" w:cs="TimesNewRomanPSMT"/>
          <w:color w:val="auto"/>
          <w:kern w:val="0"/>
          <w:sz w:val="24"/>
          <w:highlight w:val="none"/>
        </w:rPr>
        <w:t>，向你方</w:t>
      </w:r>
      <w:r>
        <w:rPr>
          <w:rFonts w:hint="eastAsia" w:ascii="宋体" w:hAnsi="宋体"/>
          <w:color w:val="auto"/>
          <w:sz w:val="24"/>
          <w:highlight w:val="none"/>
        </w:rPr>
        <w:t>提供</w:t>
      </w:r>
      <w:r>
        <w:rPr>
          <w:rFonts w:hint="eastAsia" w:ascii="宋体" w:hAnsi="宋体"/>
          <w:color w:val="auto"/>
          <w:sz w:val="24"/>
          <w:highlight w:val="none"/>
          <w:lang w:val="en-US" w:eastAsia="zh-CN"/>
        </w:rPr>
        <w:t>符合</w:t>
      </w:r>
      <w:r>
        <w:rPr>
          <w:rFonts w:hint="eastAsia" w:ascii="宋体" w:hAnsi="宋体"/>
          <w:color w:val="auto"/>
          <w:sz w:val="24"/>
          <w:highlight w:val="none"/>
        </w:rPr>
        <w:t>招标文件要求的服务</w:t>
      </w:r>
      <w:r>
        <w:rPr>
          <w:rFonts w:hint="eastAsia" w:ascii="宋体" w:hAnsi="宋体" w:cs="仿宋_GB2312"/>
          <w:color w:val="auto"/>
          <w:kern w:val="0"/>
          <w:sz w:val="24"/>
          <w:highlight w:val="none"/>
        </w:rPr>
        <w:t>。</w:t>
      </w:r>
    </w:p>
    <w:p w14:paraId="572D71A2">
      <w:pPr>
        <w:autoSpaceDE w:val="0"/>
        <w:autoSpaceDN w:val="0"/>
        <w:adjustRightInd w:val="0"/>
        <w:snapToGrid w:val="0"/>
        <w:spacing w:line="360" w:lineRule="auto"/>
        <w:ind w:firstLine="480" w:firstLineChars="200"/>
        <w:jc w:val="left"/>
        <w:rPr>
          <w:rFonts w:ascii="宋体" w:hAnsi="宋体" w:cs="TimesNewRomanPSMT"/>
          <w:color w:val="auto"/>
          <w:kern w:val="0"/>
          <w:sz w:val="24"/>
          <w:highlight w:val="none"/>
        </w:rPr>
      </w:pPr>
      <w:r>
        <w:rPr>
          <w:rFonts w:hint="eastAsia" w:ascii="宋体" w:hAnsi="宋体" w:cs="TimesNewRomanPSMT"/>
          <w:color w:val="auto"/>
          <w:kern w:val="0"/>
          <w:sz w:val="24"/>
          <w:highlight w:val="none"/>
        </w:rPr>
        <w:t>2.我方承诺在投标有效期内不修改或撤销投标文件。否则，你方可不予退还我方的投标保证金。</w:t>
      </w:r>
    </w:p>
    <w:p w14:paraId="4DED6D7F">
      <w:pPr>
        <w:autoSpaceDE w:val="0"/>
        <w:autoSpaceDN w:val="0"/>
        <w:adjustRightInd w:val="0"/>
        <w:snapToGrid w:val="0"/>
        <w:spacing w:line="360" w:lineRule="auto"/>
        <w:ind w:firstLine="480" w:firstLineChars="200"/>
        <w:jc w:val="left"/>
        <w:rPr>
          <w:rFonts w:ascii="宋体" w:hAnsi="宋体" w:cs="TimesNewRomanPSMT"/>
          <w:color w:val="auto"/>
          <w:kern w:val="0"/>
          <w:sz w:val="24"/>
          <w:highlight w:val="none"/>
        </w:rPr>
      </w:pPr>
      <w:r>
        <w:rPr>
          <w:rFonts w:hint="eastAsia" w:ascii="宋体" w:hAnsi="宋体" w:cs="TimesNewRomanPSMT"/>
          <w:color w:val="auto"/>
          <w:kern w:val="0"/>
          <w:sz w:val="24"/>
          <w:highlight w:val="none"/>
        </w:rPr>
        <w:t>3.随同本投标函提交投标保证金一份，金额见“</w:t>
      </w:r>
      <w:r>
        <w:rPr>
          <w:rFonts w:hint="eastAsia" w:ascii="宋体" w:hAnsi="宋体" w:cs="仿宋_GB2312"/>
          <w:color w:val="auto"/>
          <w:kern w:val="0"/>
          <w:sz w:val="24"/>
          <w:highlight w:val="none"/>
        </w:rPr>
        <w:t>报价表”</w:t>
      </w:r>
      <w:r>
        <w:rPr>
          <w:rFonts w:hint="eastAsia" w:ascii="宋体" w:hAnsi="宋体" w:cs="TimesNewRomanPSMT"/>
          <w:color w:val="auto"/>
          <w:kern w:val="0"/>
          <w:sz w:val="24"/>
          <w:highlight w:val="none"/>
        </w:rPr>
        <w:t>。</w:t>
      </w:r>
    </w:p>
    <w:p w14:paraId="23AD49A3">
      <w:pPr>
        <w:autoSpaceDE w:val="0"/>
        <w:autoSpaceDN w:val="0"/>
        <w:adjustRightInd w:val="0"/>
        <w:snapToGrid w:val="0"/>
        <w:spacing w:line="360" w:lineRule="auto"/>
        <w:ind w:firstLine="480" w:firstLineChars="200"/>
        <w:jc w:val="left"/>
        <w:rPr>
          <w:rFonts w:ascii="宋体" w:hAnsi="宋体" w:cs="TimesNewRomanPSMT"/>
          <w:color w:val="auto"/>
          <w:kern w:val="0"/>
          <w:sz w:val="24"/>
          <w:highlight w:val="none"/>
        </w:rPr>
      </w:pPr>
      <w:r>
        <w:rPr>
          <w:rFonts w:hint="eastAsia" w:ascii="宋体" w:hAnsi="宋体" w:cs="TimesNewRomanPSMT"/>
          <w:color w:val="auto"/>
          <w:kern w:val="0"/>
          <w:sz w:val="24"/>
          <w:highlight w:val="none"/>
        </w:rPr>
        <w:t>4.本投标的投标有效期为自投标截止之日起</w:t>
      </w:r>
      <w:r>
        <w:rPr>
          <w:rFonts w:hint="eastAsia" w:ascii="宋体" w:hAnsi="宋体" w:cs="TimesNewRomanPSMT"/>
          <w:color w:val="auto"/>
          <w:kern w:val="0"/>
          <w:sz w:val="24"/>
          <w:highlight w:val="none"/>
          <w:u w:val="single"/>
        </w:rPr>
        <w:t xml:space="preserve">  </w:t>
      </w:r>
      <w:r>
        <w:rPr>
          <w:rFonts w:hint="eastAsia" w:ascii="宋体" w:hAnsi="宋体" w:cs="TimesNewRomanPSMT"/>
          <w:color w:val="auto"/>
          <w:kern w:val="0"/>
          <w:sz w:val="24"/>
          <w:highlight w:val="none"/>
          <w:u w:val="single"/>
          <w:lang w:val="en-US" w:eastAsia="zh-CN"/>
        </w:rPr>
        <w:t xml:space="preserve">  </w:t>
      </w:r>
      <w:r>
        <w:rPr>
          <w:rFonts w:hint="eastAsia" w:ascii="宋体" w:hAnsi="宋体" w:cs="TimesNewRomanPSMT"/>
          <w:color w:val="auto"/>
          <w:kern w:val="0"/>
          <w:sz w:val="24"/>
          <w:highlight w:val="none"/>
          <w:u w:val="single"/>
        </w:rPr>
        <w:t xml:space="preserve">  </w:t>
      </w:r>
      <w:r>
        <w:rPr>
          <w:rFonts w:hint="eastAsia" w:ascii="宋体" w:hAnsi="宋体" w:cs="TimesNewRomanPSMT"/>
          <w:color w:val="auto"/>
          <w:kern w:val="0"/>
          <w:sz w:val="24"/>
          <w:highlight w:val="none"/>
        </w:rPr>
        <w:t>个日历天。</w:t>
      </w:r>
    </w:p>
    <w:p w14:paraId="03CE01C1">
      <w:pPr>
        <w:autoSpaceDE w:val="0"/>
        <w:autoSpaceDN w:val="0"/>
        <w:adjustRightInd w:val="0"/>
        <w:snapToGrid w:val="0"/>
        <w:spacing w:line="360" w:lineRule="auto"/>
        <w:ind w:firstLine="480" w:firstLineChars="200"/>
        <w:jc w:val="left"/>
        <w:rPr>
          <w:rFonts w:ascii="宋体" w:hAnsi="宋体" w:cs="TimesNewRomanPSMT"/>
          <w:color w:val="auto"/>
          <w:kern w:val="0"/>
          <w:sz w:val="24"/>
          <w:highlight w:val="none"/>
        </w:rPr>
      </w:pPr>
      <w:r>
        <w:rPr>
          <w:rFonts w:hint="eastAsia" w:ascii="宋体" w:hAnsi="宋体" w:cs="TimesNewRomanPSMT"/>
          <w:color w:val="auto"/>
          <w:kern w:val="0"/>
          <w:sz w:val="24"/>
          <w:highlight w:val="none"/>
        </w:rPr>
        <w:t>5.我方承诺所提交的投标文件及有关资料是完整的、真实的和准确的，否则，我方承担由此造成的任何损失及引起的任何后果。若我方已经收到中标通知书，我方将无条件的承认该中标通知书无效，对采购人不具有任何法律约束力。</w:t>
      </w:r>
    </w:p>
    <w:p w14:paraId="15FE82BF">
      <w:pPr>
        <w:autoSpaceDE w:val="0"/>
        <w:autoSpaceDN w:val="0"/>
        <w:adjustRightInd w:val="0"/>
        <w:snapToGrid w:val="0"/>
        <w:spacing w:line="360" w:lineRule="auto"/>
        <w:ind w:firstLine="480" w:firstLineChars="200"/>
        <w:jc w:val="left"/>
        <w:rPr>
          <w:rFonts w:ascii="宋体" w:hAnsi="宋体" w:cs="TimesNewRomanPSMT"/>
          <w:color w:val="auto"/>
          <w:kern w:val="0"/>
          <w:sz w:val="24"/>
          <w:highlight w:val="none"/>
        </w:rPr>
      </w:pPr>
      <w:r>
        <w:rPr>
          <w:rFonts w:hint="eastAsia" w:ascii="宋体" w:hAnsi="宋体" w:cs="TimesNewRomanPSMT"/>
          <w:color w:val="auto"/>
          <w:kern w:val="0"/>
          <w:sz w:val="24"/>
          <w:highlight w:val="none"/>
        </w:rPr>
        <w:t>6．如我方中标：</w:t>
      </w:r>
    </w:p>
    <w:p w14:paraId="3256127F">
      <w:pPr>
        <w:autoSpaceDE w:val="0"/>
        <w:autoSpaceDN w:val="0"/>
        <w:adjustRightInd w:val="0"/>
        <w:snapToGrid w:val="0"/>
        <w:spacing w:line="360" w:lineRule="auto"/>
        <w:ind w:left="359" w:leftChars="171"/>
        <w:jc w:val="left"/>
        <w:rPr>
          <w:rFonts w:ascii="宋体" w:hAnsi="宋体" w:cs="仿宋_GB2312"/>
          <w:color w:val="auto"/>
          <w:kern w:val="0"/>
          <w:sz w:val="24"/>
          <w:highlight w:val="none"/>
        </w:rPr>
      </w:pPr>
      <w:r>
        <w:rPr>
          <w:rFonts w:hint="eastAsia" w:ascii="宋体" w:hAnsi="宋体" w:cs="仿宋_GB2312"/>
          <w:color w:val="auto"/>
          <w:kern w:val="0"/>
          <w:sz w:val="24"/>
          <w:highlight w:val="none"/>
        </w:rPr>
        <w:t>（</w:t>
      </w:r>
      <w:r>
        <w:rPr>
          <w:rFonts w:ascii="宋体" w:hAnsi="宋体" w:cs="TimesNewRomanPSMT"/>
          <w:color w:val="auto"/>
          <w:kern w:val="0"/>
          <w:sz w:val="24"/>
          <w:highlight w:val="none"/>
        </w:rPr>
        <w:t>1</w:t>
      </w:r>
      <w:r>
        <w:rPr>
          <w:rFonts w:hint="eastAsia" w:ascii="宋体" w:hAnsi="宋体" w:cs="仿宋_GB2312"/>
          <w:color w:val="auto"/>
          <w:kern w:val="0"/>
          <w:sz w:val="24"/>
          <w:highlight w:val="none"/>
        </w:rPr>
        <w:t>）我方承诺在收到中标通知书后，在中标通知书规定的期限内与你方签订合同。</w:t>
      </w:r>
    </w:p>
    <w:p w14:paraId="2A86823B">
      <w:pPr>
        <w:autoSpaceDE w:val="0"/>
        <w:autoSpaceDN w:val="0"/>
        <w:adjustRightInd w:val="0"/>
        <w:snapToGrid w:val="0"/>
        <w:spacing w:line="360" w:lineRule="auto"/>
        <w:ind w:left="359" w:leftChars="171"/>
        <w:jc w:val="left"/>
        <w:rPr>
          <w:rFonts w:ascii="宋体" w:hAnsi="宋体" w:cs="仿宋_GB2312"/>
          <w:color w:val="auto"/>
          <w:kern w:val="0"/>
          <w:sz w:val="24"/>
          <w:highlight w:val="none"/>
        </w:rPr>
      </w:pPr>
      <w:r>
        <w:rPr>
          <w:rFonts w:hint="eastAsia" w:ascii="宋体" w:hAnsi="宋体" w:cs="仿宋_GB2312"/>
          <w:color w:val="auto"/>
          <w:kern w:val="0"/>
          <w:sz w:val="24"/>
          <w:highlight w:val="none"/>
        </w:rPr>
        <w:t>（</w:t>
      </w:r>
      <w:r>
        <w:rPr>
          <w:rFonts w:hint="eastAsia" w:ascii="宋体" w:hAnsi="宋体" w:cs="TimesNewRomanPSMT"/>
          <w:color w:val="auto"/>
          <w:kern w:val="0"/>
          <w:sz w:val="24"/>
          <w:highlight w:val="none"/>
          <w:lang w:val="en-US" w:eastAsia="zh-CN"/>
        </w:rPr>
        <w:t>2</w:t>
      </w:r>
      <w:r>
        <w:rPr>
          <w:rFonts w:hint="eastAsia" w:ascii="宋体" w:hAnsi="宋体" w:cs="仿宋_GB2312"/>
          <w:color w:val="auto"/>
          <w:kern w:val="0"/>
          <w:sz w:val="24"/>
          <w:highlight w:val="none"/>
        </w:rPr>
        <w:t>）我方承诺按合同约定的期限和地点，提供符合招标文件要求的</w:t>
      </w:r>
      <w:r>
        <w:rPr>
          <w:rFonts w:hint="eastAsia" w:ascii="宋体" w:hAnsi="宋体" w:cs="仿宋_GB2312"/>
          <w:color w:val="auto"/>
          <w:kern w:val="0"/>
          <w:sz w:val="24"/>
          <w:highlight w:val="none"/>
          <w:lang w:val="en-US" w:eastAsia="zh-CN"/>
        </w:rPr>
        <w:t>服务</w:t>
      </w:r>
      <w:r>
        <w:rPr>
          <w:rFonts w:hint="eastAsia" w:ascii="宋体" w:hAnsi="宋体" w:cs="仿宋_GB2312"/>
          <w:color w:val="auto"/>
          <w:kern w:val="0"/>
          <w:sz w:val="24"/>
          <w:highlight w:val="none"/>
        </w:rPr>
        <w:t>。</w:t>
      </w:r>
    </w:p>
    <w:p w14:paraId="462CCA7F">
      <w:pPr>
        <w:autoSpaceDE w:val="0"/>
        <w:autoSpaceDN w:val="0"/>
        <w:adjustRightInd w:val="0"/>
        <w:snapToGrid w:val="0"/>
        <w:spacing w:line="360" w:lineRule="auto"/>
        <w:ind w:left="359" w:leftChars="171"/>
        <w:jc w:val="left"/>
        <w:rPr>
          <w:rFonts w:ascii="宋体" w:hAnsi="宋体" w:cs="仿宋_GB2312"/>
          <w:color w:val="auto"/>
          <w:kern w:val="0"/>
          <w:sz w:val="24"/>
          <w:highlight w:val="none"/>
        </w:rPr>
      </w:pPr>
      <w:r>
        <w:rPr>
          <w:rFonts w:hint="eastAsia" w:ascii="宋体" w:hAnsi="宋体" w:cs="仿宋_GB2312"/>
          <w:color w:val="auto"/>
          <w:kern w:val="0"/>
          <w:sz w:val="24"/>
          <w:highlight w:val="none"/>
        </w:rPr>
        <w:t>（</w:t>
      </w:r>
      <w:r>
        <w:rPr>
          <w:rFonts w:hint="eastAsia" w:ascii="宋体" w:hAnsi="宋体" w:cs="仿宋_GB2312"/>
          <w:color w:val="auto"/>
          <w:kern w:val="0"/>
          <w:sz w:val="24"/>
          <w:highlight w:val="none"/>
          <w:lang w:val="en-US" w:eastAsia="zh-CN"/>
        </w:rPr>
        <w:t>3</w:t>
      </w:r>
      <w:r>
        <w:rPr>
          <w:rFonts w:hint="eastAsia" w:ascii="宋体" w:hAnsi="宋体" w:cs="仿宋_GB2312"/>
          <w:color w:val="auto"/>
          <w:kern w:val="0"/>
          <w:sz w:val="24"/>
          <w:highlight w:val="none"/>
        </w:rPr>
        <w:t>）我方保证在收到中标通知书后五个工作日内按要求支付招标服务费。</w:t>
      </w:r>
    </w:p>
    <w:p w14:paraId="5D1F70C7">
      <w:pPr>
        <w:autoSpaceDE w:val="0"/>
        <w:autoSpaceDN w:val="0"/>
        <w:adjustRightInd w:val="0"/>
        <w:snapToGrid w:val="0"/>
        <w:spacing w:line="360" w:lineRule="auto"/>
        <w:ind w:firstLine="480" w:firstLineChars="200"/>
        <w:jc w:val="left"/>
        <w:rPr>
          <w:rFonts w:ascii="宋体" w:hAnsi="宋体" w:cs="TimesNewRomanPSMT"/>
          <w:color w:val="auto"/>
          <w:kern w:val="0"/>
          <w:sz w:val="24"/>
          <w:highlight w:val="none"/>
        </w:rPr>
      </w:pPr>
      <w:r>
        <w:rPr>
          <w:rFonts w:hint="eastAsia" w:ascii="宋体" w:hAnsi="宋体" w:cs="TimesNewRomanPSMT"/>
          <w:color w:val="auto"/>
          <w:kern w:val="0"/>
          <w:sz w:val="24"/>
          <w:highlight w:val="none"/>
        </w:rPr>
        <w:t>7．</w:t>
      </w:r>
      <w:r>
        <w:rPr>
          <w:rFonts w:hint="eastAsia" w:ascii="宋体" w:hAnsi="宋体" w:cs="TimesNewRomanPSMT"/>
          <w:color w:val="auto"/>
          <w:kern w:val="0"/>
          <w:sz w:val="24"/>
          <w:highlight w:val="none"/>
          <w:u w:val="single"/>
        </w:rPr>
        <w:t xml:space="preserve">               </w:t>
      </w:r>
      <w:r>
        <w:rPr>
          <w:rFonts w:ascii="宋体" w:hAnsi="宋体" w:cs="TimesNewRomanPSMT"/>
          <w:color w:val="auto"/>
          <w:kern w:val="0"/>
          <w:sz w:val="24"/>
          <w:highlight w:val="none"/>
          <w:u w:val="single"/>
        </w:rPr>
        <w:t xml:space="preserve"> </w:t>
      </w:r>
      <w:r>
        <w:rPr>
          <w:rFonts w:hint="eastAsia" w:ascii="宋体" w:hAnsi="宋体" w:cs="TimesNewRomanPSMT"/>
          <w:color w:val="auto"/>
          <w:kern w:val="0"/>
          <w:sz w:val="24"/>
          <w:highlight w:val="none"/>
        </w:rPr>
        <w:t>（其他补充说明）。</w:t>
      </w:r>
    </w:p>
    <w:p w14:paraId="1669ED18">
      <w:pPr>
        <w:autoSpaceDE w:val="0"/>
        <w:autoSpaceDN w:val="0"/>
        <w:adjustRightInd w:val="0"/>
        <w:snapToGrid w:val="0"/>
        <w:spacing w:line="360" w:lineRule="auto"/>
        <w:ind w:left="3780" w:leftChars="1800"/>
        <w:jc w:val="left"/>
        <w:rPr>
          <w:rFonts w:hint="eastAsia" w:ascii="宋体" w:hAnsi="宋体" w:cs="仿宋_GB2312"/>
          <w:color w:val="auto"/>
          <w:kern w:val="0"/>
          <w:sz w:val="24"/>
          <w:highlight w:val="none"/>
        </w:rPr>
      </w:pPr>
    </w:p>
    <w:p w14:paraId="7AC8A41B">
      <w:pPr>
        <w:autoSpaceDE w:val="0"/>
        <w:autoSpaceDN w:val="0"/>
        <w:adjustRightInd w:val="0"/>
        <w:snapToGrid w:val="0"/>
        <w:spacing w:line="360" w:lineRule="auto"/>
        <w:ind w:left="3780" w:leftChars="1800"/>
        <w:jc w:val="left"/>
        <w:rPr>
          <w:rFonts w:ascii="宋体" w:hAnsi="宋体" w:cs="仿宋_GB2312"/>
          <w:color w:val="auto"/>
          <w:kern w:val="0"/>
          <w:sz w:val="24"/>
          <w:highlight w:val="none"/>
        </w:rPr>
      </w:pPr>
      <w:r>
        <w:rPr>
          <w:rFonts w:hint="eastAsia" w:ascii="宋体" w:hAnsi="宋体" w:cs="仿宋_GB2312"/>
          <w:color w:val="auto"/>
          <w:kern w:val="0"/>
          <w:sz w:val="24"/>
          <w:highlight w:val="none"/>
        </w:rPr>
        <w:t>投</w:t>
      </w:r>
      <w:r>
        <w:rPr>
          <w:rFonts w:ascii="宋体" w:hAnsi="宋体" w:cs="仿宋_GB2312"/>
          <w:color w:val="auto"/>
          <w:kern w:val="0"/>
          <w:sz w:val="24"/>
          <w:highlight w:val="none"/>
        </w:rPr>
        <w:t xml:space="preserve"> </w:t>
      </w:r>
      <w:r>
        <w:rPr>
          <w:rFonts w:hint="eastAsia" w:ascii="宋体" w:hAnsi="宋体" w:cs="仿宋_GB2312"/>
          <w:color w:val="auto"/>
          <w:kern w:val="0"/>
          <w:sz w:val="24"/>
          <w:highlight w:val="none"/>
        </w:rPr>
        <w:t>标</w:t>
      </w:r>
      <w:r>
        <w:rPr>
          <w:rFonts w:ascii="宋体" w:hAnsi="宋体" w:cs="仿宋_GB2312"/>
          <w:color w:val="auto"/>
          <w:kern w:val="0"/>
          <w:sz w:val="24"/>
          <w:highlight w:val="none"/>
        </w:rPr>
        <w:t xml:space="preserve"> </w:t>
      </w:r>
      <w:r>
        <w:rPr>
          <w:rFonts w:hint="eastAsia" w:ascii="宋体" w:hAnsi="宋体" w:cs="仿宋_GB2312"/>
          <w:color w:val="auto"/>
          <w:kern w:val="0"/>
          <w:sz w:val="24"/>
          <w:highlight w:val="none"/>
        </w:rPr>
        <w:t>人（加盖电子公章）：</w:t>
      </w:r>
      <w:r>
        <w:rPr>
          <w:rFonts w:ascii="宋体" w:hAnsi="宋体" w:cs="仿宋_GB2312"/>
          <w:color w:val="auto"/>
          <w:kern w:val="0"/>
          <w:sz w:val="24"/>
          <w:highlight w:val="none"/>
        </w:rPr>
        <w:t xml:space="preserve"> </w:t>
      </w:r>
    </w:p>
    <w:p w14:paraId="7178E94B">
      <w:pPr>
        <w:autoSpaceDE w:val="0"/>
        <w:autoSpaceDN w:val="0"/>
        <w:adjustRightInd w:val="0"/>
        <w:snapToGrid w:val="0"/>
        <w:spacing w:line="360" w:lineRule="auto"/>
        <w:ind w:left="3780" w:leftChars="1800"/>
        <w:jc w:val="left"/>
        <w:rPr>
          <w:rFonts w:ascii="宋体" w:hAnsi="宋体" w:cs="仿宋_GB2312"/>
          <w:color w:val="auto"/>
          <w:kern w:val="0"/>
          <w:sz w:val="24"/>
          <w:highlight w:val="none"/>
        </w:rPr>
      </w:pPr>
      <w:r>
        <w:rPr>
          <w:rFonts w:hint="eastAsia" w:ascii="宋体" w:hAnsi="宋体" w:cs="仿宋_GB2312"/>
          <w:color w:val="auto"/>
          <w:kern w:val="0"/>
          <w:sz w:val="24"/>
          <w:highlight w:val="none"/>
        </w:rPr>
        <w:t>法定代表人或其委托代理人（签字或加盖人名章）：</w:t>
      </w:r>
    </w:p>
    <w:p w14:paraId="21E86160">
      <w:pPr>
        <w:autoSpaceDE w:val="0"/>
        <w:autoSpaceDN w:val="0"/>
        <w:adjustRightInd w:val="0"/>
        <w:snapToGrid w:val="0"/>
        <w:spacing w:line="360" w:lineRule="auto"/>
        <w:ind w:left="3780" w:leftChars="1800"/>
        <w:jc w:val="left"/>
        <w:rPr>
          <w:rFonts w:ascii="宋体" w:hAnsi="宋体" w:cs="仿宋_GB2312"/>
          <w:color w:val="auto"/>
          <w:kern w:val="0"/>
          <w:sz w:val="24"/>
          <w:highlight w:val="none"/>
        </w:rPr>
      </w:pPr>
      <w:r>
        <w:rPr>
          <w:rFonts w:hint="eastAsia" w:ascii="宋体" w:hAnsi="宋体" w:cs="仿宋_GB2312"/>
          <w:color w:val="auto"/>
          <w:kern w:val="0"/>
          <w:sz w:val="24"/>
          <w:highlight w:val="none"/>
        </w:rPr>
        <w:t>地址：</w:t>
      </w:r>
    </w:p>
    <w:p w14:paraId="1F827249">
      <w:pPr>
        <w:autoSpaceDE w:val="0"/>
        <w:autoSpaceDN w:val="0"/>
        <w:adjustRightInd w:val="0"/>
        <w:snapToGrid w:val="0"/>
        <w:spacing w:line="360" w:lineRule="auto"/>
        <w:ind w:left="3780" w:leftChars="1800"/>
        <w:jc w:val="left"/>
        <w:rPr>
          <w:rFonts w:ascii="宋体" w:hAnsi="宋体" w:cs="仿宋_GB2312"/>
          <w:color w:val="auto"/>
          <w:kern w:val="0"/>
          <w:sz w:val="24"/>
          <w:highlight w:val="none"/>
        </w:rPr>
      </w:pPr>
      <w:r>
        <w:rPr>
          <w:rFonts w:hint="eastAsia" w:ascii="宋体" w:hAnsi="宋体" w:cs="仿宋_GB2312"/>
          <w:color w:val="auto"/>
          <w:kern w:val="0"/>
          <w:sz w:val="24"/>
          <w:highlight w:val="none"/>
        </w:rPr>
        <w:t>电话：</w:t>
      </w:r>
    </w:p>
    <w:p w14:paraId="4D587F28">
      <w:pPr>
        <w:autoSpaceDE w:val="0"/>
        <w:autoSpaceDN w:val="0"/>
        <w:adjustRightInd w:val="0"/>
        <w:snapToGrid w:val="0"/>
        <w:spacing w:line="360" w:lineRule="auto"/>
        <w:ind w:left="3780" w:leftChars="1800"/>
        <w:jc w:val="left"/>
        <w:rPr>
          <w:rFonts w:ascii="宋体" w:hAnsi="宋体" w:cs="仿宋_GB2312"/>
          <w:color w:val="auto"/>
          <w:kern w:val="0"/>
          <w:sz w:val="24"/>
          <w:highlight w:val="none"/>
        </w:rPr>
      </w:pPr>
      <w:r>
        <w:rPr>
          <w:rFonts w:hint="eastAsia" w:ascii="宋体" w:hAnsi="宋体" w:cs="仿宋_GB2312"/>
          <w:color w:val="auto"/>
          <w:kern w:val="0"/>
          <w:sz w:val="24"/>
          <w:highlight w:val="none"/>
        </w:rPr>
        <w:t>传真：</w:t>
      </w:r>
    </w:p>
    <w:p w14:paraId="62066F8D">
      <w:pPr>
        <w:autoSpaceDE w:val="0"/>
        <w:autoSpaceDN w:val="0"/>
        <w:adjustRightInd w:val="0"/>
        <w:snapToGrid w:val="0"/>
        <w:spacing w:line="360" w:lineRule="auto"/>
        <w:ind w:left="5939" w:leftChars="2828"/>
        <w:jc w:val="left"/>
        <w:rPr>
          <w:rFonts w:ascii="宋体" w:hAnsi="宋体" w:cs="仿宋_GB2312"/>
          <w:color w:val="auto"/>
          <w:kern w:val="0"/>
          <w:sz w:val="24"/>
          <w:highlight w:val="none"/>
        </w:rPr>
      </w:pPr>
      <w:r>
        <w:rPr>
          <w:rFonts w:hint="eastAsia" w:ascii="宋体" w:hAnsi="宋体" w:cs="仿宋_GB2312"/>
          <w:color w:val="auto"/>
          <w:kern w:val="0"/>
          <w:sz w:val="24"/>
          <w:highlight w:val="none"/>
        </w:rPr>
        <w:t>年</w:t>
      </w:r>
      <w:r>
        <w:rPr>
          <w:rFonts w:hint="eastAsia" w:ascii="宋体" w:hAnsi="宋体" w:cs="仿宋_GB2312"/>
          <w:color w:val="auto"/>
          <w:kern w:val="0"/>
          <w:sz w:val="24"/>
          <w:highlight w:val="none"/>
          <w:lang w:val="en-US" w:eastAsia="zh-CN"/>
        </w:rPr>
        <w:t xml:space="preserve">  </w:t>
      </w:r>
      <w:r>
        <w:rPr>
          <w:rFonts w:ascii="宋体" w:hAnsi="宋体" w:cs="仿宋_GB2312"/>
          <w:color w:val="auto"/>
          <w:kern w:val="0"/>
          <w:sz w:val="24"/>
          <w:highlight w:val="none"/>
        </w:rPr>
        <w:t xml:space="preserve"> </w:t>
      </w:r>
      <w:r>
        <w:rPr>
          <w:rFonts w:hint="eastAsia" w:ascii="宋体" w:hAnsi="宋体" w:cs="仿宋_GB2312"/>
          <w:color w:val="auto"/>
          <w:kern w:val="0"/>
          <w:sz w:val="24"/>
          <w:highlight w:val="none"/>
        </w:rPr>
        <w:t>月</w:t>
      </w:r>
      <w:r>
        <w:rPr>
          <w:rFonts w:ascii="宋体" w:hAnsi="宋体" w:cs="仿宋_GB2312"/>
          <w:color w:val="auto"/>
          <w:kern w:val="0"/>
          <w:sz w:val="24"/>
          <w:highlight w:val="none"/>
        </w:rPr>
        <w:t xml:space="preserve"> </w:t>
      </w:r>
      <w:r>
        <w:rPr>
          <w:rFonts w:hint="eastAsia" w:ascii="宋体" w:hAnsi="宋体" w:cs="仿宋_GB2312"/>
          <w:color w:val="auto"/>
          <w:kern w:val="0"/>
          <w:sz w:val="24"/>
          <w:highlight w:val="none"/>
          <w:lang w:val="en-US" w:eastAsia="zh-CN"/>
        </w:rPr>
        <w:t xml:space="preserve">  </w:t>
      </w:r>
      <w:r>
        <w:rPr>
          <w:rFonts w:hint="eastAsia" w:ascii="宋体" w:hAnsi="宋体" w:cs="仿宋_GB2312"/>
          <w:color w:val="auto"/>
          <w:kern w:val="0"/>
          <w:sz w:val="24"/>
          <w:highlight w:val="none"/>
        </w:rPr>
        <w:t>日</w:t>
      </w:r>
    </w:p>
    <w:bookmarkEnd w:id="254"/>
    <w:p w14:paraId="3974D980">
      <w:pPr>
        <w:rPr>
          <w:rFonts w:hint="eastAsia"/>
          <w:b/>
          <w:color w:val="auto"/>
          <w:sz w:val="24"/>
          <w:highlight w:val="none"/>
        </w:rPr>
      </w:pPr>
      <w:bookmarkStart w:id="255" w:name="_Toc3327"/>
      <w:bookmarkStart w:id="256" w:name="_Toc20678"/>
      <w:bookmarkStart w:id="257" w:name="_Toc195922057"/>
      <w:bookmarkStart w:id="258" w:name="_Toc192127131"/>
      <w:r>
        <w:rPr>
          <w:rFonts w:hint="eastAsia"/>
          <w:b/>
          <w:color w:val="auto"/>
          <w:sz w:val="24"/>
          <w:highlight w:val="none"/>
        </w:rPr>
        <w:br w:type="page"/>
      </w:r>
    </w:p>
    <w:p w14:paraId="00666779">
      <w:pPr>
        <w:spacing w:line="360" w:lineRule="auto"/>
        <w:outlineLvl w:val="1"/>
        <w:rPr>
          <w:b/>
          <w:color w:val="auto"/>
          <w:sz w:val="24"/>
          <w:highlight w:val="none"/>
        </w:rPr>
      </w:pPr>
      <w:r>
        <w:rPr>
          <w:rFonts w:hint="eastAsia"/>
          <w:b/>
          <w:color w:val="auto"/>
          <w:sz w:val="24"/>
          <w:highlight w:val="none"/>
        </w:rPr>
        <w:t>附件2　报价表</w:t>
      </w:r>
      <w:bookmarkEnd w:id="255"/>
      <w:bookmarkEnd w:id="256"/>
    </w:p>
    <w:p w14:paraId="2BB07C9D">
      <w:pPr>
        <w:autoSpaceDE w:val="0"/>
        <w:autoSpaceDN w:val="0"/>
        <w:adjustRightInd w:val="0"/>
        <w:spacing w:line="360" w:lineRule="auto"/>
        <w:jc w:val="center"/>
        <w:rPr>
          <w:rFonts w:hint="eastAsia" w:ascii="黑体" w:hAnsi="黑体" w:eastAsia="黑体" w:cs="黑体"/>
          <w:color w:val="auto"/>
          <w:kern w:val="0"/>
          <w:sz w:val="40"/>
          <w:szCs w:val="40"/>
          <w:highlight w:val="none"/>
        </w:rPr>
      </w:pPr>
      <w:r>
        <w:rPr>
          <w:rFonts w:hint="eastAsia" w:ascii="黑体" w:hAnsi="黑体" w:eastAsia="黑体" w:cs="黑体"/>
          <w:color w:val="auto"/>
          <w:kern w:val="0"/>
          <w:sz w:val="40"/>
          <w:szCs w:val="40"/>
          <w:highlight w:val="none"/>
        </w:rPr>
        <w:t>报</w:t>
      </w:r>
      <w:r>
        <w:rPr>
          <w:rFonts w:hint="eastAsia" w:ascii="黑体" w:hAnsi="黑体" w:eastAsia="黑体" w:cs="黑体"/>
          <w:color w:val="auto"/>
          <w:kern w:val="0"/>
          <w:sz w:val="40"/>
          <w:szCs w:val="40"/>
          <w:highlight w:val="none"/>
          <w:lang w:val="en-US" w:eastAsia="zh-CN"/>
        </w:rPr>
        <w:t xml:space="preserve"> </w:t>
      </w:r>
      <w:r>
        <w:rPr>
          <w:rFonts w:hint="eastAsia" w:ascii="黑体" w:hAnsi="黑体" w:eastAsia="黑体" w:cs="黑体"/>
          <w:color w:val="auto"/>
          <w:kern w:val="0"/>
          <w:sz w:val="40"/>
          <w:szCs w:val="40"/>
          <w:highlight w:val="none"/>
        </w:rPr>
        <w:t>价</w:t>
      </w:r>
      <w:r>
        <w:rPr>
          <w:rFonts w:hint="eastAsia" w:ascii="黑体" w:hAnsi="黑体" w:eastAsia="黑体" w:cs="黑体"/>
          <w:color w:val="auto"/>
          <w:kern w:val="0"/>
          <w:sz w:val="40"/>
          <w:szCs w:val="40"/>
          <w:highlight w:val="none"/>
          <w:lang w:val="en-US" w:eastAsia="zh-CN"/>
        </w:rPr>
        <w:t xml:space="preserve"> </w:t>
      </w:r>
      <w:r>
        <w:rPr>
          <w:rFonts w:hint="eastAsia" w:ascii="黑体" w:hAnsi="黑体" w:eastAsia="黑体" w:cs="黑体"/>
          <w:color w:val="auto"/>
          <w:kern w:val="0"/>
          <w:sz w:val="40"/>
          <w:szCs w:val="40"/>
          <w:highlight w:val="none"/>
        </w:rPr>
        <w:t>表</w:t>
      </w:r>
    </w:p>
    <w:tbl>
      <w:tblPr>
        <w:tblStyle w:val="44"/>
        <w:tblW w:w="8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53"/>
        <w:gridCol w:w="6122"/>
      </w:tblGrid>
      <w:tr w14:paraId="21D48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atLeast"/>
          <w:jc w:val="center"/>
        </w:trPr>
        <w:tc>
          <w:tcPr>
            <w:tcW w:w="2153" w:type="dxa"/>
            <w:vAlign w:val="center"/>
          </w:tcPr>
          <w:p w14:paraId="6B987E43">
            <w:pPr>
              <w:ind w:left="141" w:leftChars="67" w:right="103" w:rightChars="49"/>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项目编号</w:t>
            </w:r>
          </w:p>
          <w:p w14:paraId="22CFAD97">
            <w:pPr>
              <w:ind w:left="141" w:leftChars="67" w:right="103" w:rightChars="49"/>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及投标</w:t>
            </w:r>
            <w:r>
              <w:rPr>
                <w:rFonts w:hint="eastAsia" w:ascii="宋体" w:hAnsi="宋体" w:eastAsia="宋体" w:cs="宋体"/>
                <w:b/>
                <w:color w:val="auto"/>
                <w:sz w:val="24"/>
                <w:highlight w:val="none"/>
                <w:lang w:val="en-US" w:eastAsia="zh-CN"/>
              </w:rPr>
              <w:t>项目</w:t>
            </w:r>
            <w:r>
              <w:rPr>
                <w:rFonts w:hint="eastAsia" w:ascii="宋体" w:hAnsi="宋体" w:eastAsia="宋体" w:cs="宋体"/>
                <w:b/>
                <w:color w:val="auto"/>
                <w:sz w:val="24"/>
                <w:highlight w:val="none"/>
              </w:rPr>
              <w:t>名称</w:t>
            </w:r>
          </w:p>
        </w:tc>
        <w:tc>
          <w:tcPr>
            <w:tcW w:w="6122" w:type="dxa"/>
            <w:vAlign w:val="center"/>
          </w:tcPr>
          <w:p w14:paraId="6ED318A0">
            <w:pPr>
              <w:ind w:left="189" w:leftChars="90" w:firstLine="1"/>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p>
          <w:p w14:paraId="69082906">
            <w:pPr>
              <w:ind w:left="189" w:leftChars="90" w:firstLine="1"/>
              <w:rPr>
                <w:rFonts w:hint="eastAsia" w:ascii="宋体" w:hAnsi="宋体" w:eastAsia="宋体" w:cs="宋体"/>
                <w:color w:val="auto"/>
                <w:sz w:val="24"/>
                <w:highlight w:val="none"/>
              </w:rPr>
            </w:pPr>
          </w:p>
          <w:p w14:paraId="5254B12D">
            <w:pPr>
              <w:ind w:left="189" w:leftChars="90" w:firstLine="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名称：</w:t>
            </w:r>
          </w:p>
        </w:tc>
      </w:tr>
      <w:tr w14:paraId="4152B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atLeast"/>
          <w:jc w:val="center"/>
        </w:trPr>
        <w:tc>
          <w:tcPr>
            <w:tcW w:w="2153" w:type="dxa"/>
            <w:vAlign w:val="center"/>
          </w:tcPr>
          <w:p w14:paraId="51FA6B08">
            <w:pPr>
              <w:ind w:left="141" w:leftChars="67" w:right="103" w:rightChars="49"/>
              <w:jc w:val="center"/>
              <w:rPr>
                <w:rFonts w:hint="eastAsia" w:ascii="宋体" w:hAnsi="宋体" w:cs="宋体"/>
                <w:b/>
                <w:color w:val="auto"/>
                <w:sz w:val="24"/>
                <w:highlight w:val="none"/>
                <w:lang w:eastAsia="zh-CN"/>
              </w:rPr>
            </w:pPr>
            <w:r>
              <w:rPr>
                <w:rFonts w:hint="eastAsia" w:ascii="宋体" w:hAnsi="宋体" w:eastAsia="宋体" w:cs="宋体"/>
                <w:b/>
                <w:color w:val="auto"/>
                <w:sz w:val="24"/>
                <w:highlight w:val="none"/>
              </w:rPr>
              <w:t>投标总</w:t>
            </w:r>
            <w:r>
              <w:rPr>
                <w:rFonts w:hint="eastAsia" w:ascii="宋体" w:hAnsi="宋体" w:cs="宋体"/>
                <w:b/>
                <w:color w:val="auto"/>
                <w:sz w:val="24"/>
                <w:highlight w:val="none"/>
                <w:lang w:val="en-US" w:eastAsia="zh-CN"/>
              </w:rPr>
              <w:t>报</w:t>
            </w:r>
            <w:r>
              <w:rPr>
                <w:rFonts w:hint="eastAsia" w:ascii="宋体" w:hAnsi="宋体" w:eastAsia="宋体" w:cs="宋体"/>
                <w:b/>
                <w:color w:val="auto"/>
                <w:sz w:val="24"/>
                <w:highlight w:val="none"/>
              </w:rPr>
              <w:t>价</w:t>
            </w:r>
            <w:r>
              <w:rPr>
                <w:rFonts w:hint="eastAsia" w:ascii="宋体" w:hAnsi="宋体" w:cs="宋体"/>
                <w:b/>
                <w:color w:val="auto"/>
                <w:sz w:val="24"/>
                <w:highlight w:val="none"/>
                <w:lang w:eastAsia="zh-CN"/>
              </w:rPr>
              <w:t>（第一年）</w:t>
            </w:r>
          </w:p>
          <w:p w14:paraId="01D4743D">
            <w:pPr>
              <w:ind w:left="141" w:leftChars="67" w:right="103" w:rightChars="49"/>
              <w:jc w:val="center"/>
              <w:rPr>
                <w:rFonts w:hint="eastAsia" w:eastAsia="宋体"/>
                <w:color w:val="auto"/>
                <w:highlight w:val="none"/>
                <w:lang w:eastAsia="zh-CN"/>
              </w:rPr>
            </w:pPr>
            <w:r>
              <w:rPr>
                <w:rFonts w:hint="eastAsia" w:ascii="宋体" w:hAnsi="宋体" w:eastAsia="宋体" w:cs="宋体"/>
                <w:b/>
                <w:color w:val="auto"/>
                <w:sz w:val="24"/>
                <w:highlight w:val="none"/>
                <w:lang w:eastAsia="zh-CN"/>
              </w:rPr>
              <w:t>（</w:t>
            </w:r>
            <w:r>
              <w:rPr>
                <w:rFonts w:hint="eastAsia" w:ascii="宋体" w:hAnsi="宋体" w:cs="宋体"/>
                <w:b/>
                <w:color w:val="auto"/>
                <w:sz w:val="24"/>
                <w:highlight w:val="none"/>
                <w:lang w:eastAsia="zh-CN"/>
              </w:rPr>
              <w:t>含增值税，</w:t>
            </w:r>
            <w:r>
              <w:rPr>
                <w:rFonts w:hint="eastAsia" w:ascii="宋体" w:hAnsi="宋体" w:eastAsia="宋体" w:cs="宋体"/>
                <w:b/>
                <w:color w:val="auto"/>
                <w:sz w:val="24"/>
                <w:highlight w:val="none"/>
                <w:lang w:val="en-US" w:eastAsia="zh-CN"/>
              </w:rPr>
              <w:t>元</w:t>
            </w:r>
            <w:r>
              <w:rPr>
                <w:rFonts w:hint="eastAsia" w:ascii="宋体" w:hAnsi="宋体" w:eastAsia="宋体" w:cs="宋体"/>
                <w:b/>
                <w:color w:val="auto"/>
                <w:sz w:val="24"/>
                <w:highlight w:val="none"/>
                <w:lang w:eastAsia="zh-CN"/>
              </w:rPr>
              <w:t>）</w:t>
            </w:r>
          </w:p>
        </w:tc>
        <w:tc>
          <w:tcPr>
            <w:tcW w:w="6122" w:type="dxa"/>
            <w:vAlign w:val="center"/>
          </w:tcPr>
          <w:p w14:paraId="2110600A">
            <w:pPr>
              <w:spacing w:line="360" w:lineRule="auto"/>
              <w:ind w:left="189" w:leftChars="90" w:firstLine="1"/>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人民币（小写金额）：</w:t>
            </w:r>
            <w:r>
              <w:rPr>
                <w:rFonts w:hint="eastAsia" w:ascii="宋体" w:hAnsi="宋体" w:cs="宋体"/>
                <w:color w:val="auto"/>
                <w:sz w:val="24"/>
                <w:highlight w:val="none"/>
                <w:u w:val="single"/>
                <w:lang w:val="en-US" w:eastAsia="zh-CN"/>
              </w:rPr>
              <w:t xml:space="preserve">                </w:t>
            </w:r>
          </w:p>
          <w:p w14:paraId="1B4E02C6">
            <w:pPr>
              <w:spacing w:line="360" w:lineRule="auto"/>
              <w:ind w:left="189" w:leftChars="90" w:firstLine="1" w:firstLineChars="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人民币（大写金额）：</w:t>
            </w:r>
            <w:r>
              <w:rPr>
                <w:rFonts w:hint="eastAsia" w:ascii="宋体" w:hAnsi="宋体" w:cs="宋体"/>
                <w:color w:val="auto"/>
                <w:sz w:val="24"/>
                <w:highlight w:val="none"/>
                <w:u w:val="single"/>
                <w:lang w:val="en-US" w:eastAsia="zh-CN"/>
              </w:rPr>
              <w:t xml:space="preserve">                </w:t>
            </w:r>
          </w:p>
        </w:tc>
      </w:tr>
      <w:tr w14:paraId="74B9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1" w:hRule="atLeast"/>
          <w:jc w:val="center"/>
        </w:trPr>
        <w:tc>
          <w:tcPr>
            <w:tcW w:w="2153" w:type="dxa"/>
            <w:vAlign w:val="center"/>
          </w:tcPr>
          <w:p w14:paraId="2EB8FF43">
            <w:pPr>
              <w:ind w:left="-13" w:leftChars="-6"/>
              <w:jc w:val="center"/>
              <w:rPr>
                <w:rFonts w:hint="eastAsia" w:ascii="宋体" w:hAnsi="宋体" w:eastAsia="宋体" w:cs="宋体"/>
                <w:b/>
                <w:color w:val="auto"/>
                <w:sz w:val="24"/>
                <w:highlight w:val="none"/>
                <w:lang w:eastAsia="zh-CN"/>
              </w:rPr>
            </w:pPr>
            <w:bookmarkStart w:id="334" w:name="_GoBack"/>
            <w:r>
              <w:rPr>
                <w:rFonts w:hint="eastAsia" w:ascii="宋体" w:hAnsi="宋体" w:eastAsia="宋体" w:cs="宋体"/>
                <w:b/>
                <w:color w:val="auto"/>
                <w:sz w:val="24"/>
                <w:highlight w:val="none"/>
              </w:rPr>
              <w:t>合同履行期限</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服务期</w:t>
            </w:r>
            <w:r>
              <w:rPr>
                <w:rFonts w:hint="eastAsia" w:ascii="宋体" w:hAnsi="宋体" w:cs="宋体"/>
                <w:b/>
                <w:color w:val="auto"/>
                <w:sz w:val="24"/>
                <w:highlight w:val="none"/>
                <w:lang w:eastAsia="zh-CN"/>
              </w:rPr>
              <w:t>）</w:t>
            </w:r>
            <w:bookmarkEnd w:id="334"/>
          </w:p>
        </w:tc>
        <w:tc>
          <w:tcPr>
            <w:tcW w:w="6122" w:type="dxa"/>
            <w:vAlign w:val="center"/>
          </w:tcPr>
          <w:p w14:paraId="277686B6">
            <w:pPr>
              <w:rPr>
                <w:rFonts w:hint="eastAsia" w:ascii="宋体" w:hAnsi="宋体" w:eastAsia="宋体" w:cs="宋体"/>
                <w:color w:val="auto"/>
                <w:sz w:val="24"/>
                <w:highlight w:val="none"/>
              </w:rPr>
            </w:pPr>
          </w:p>
        </w:tc>
      </w:tr>
      <w:tr w14:paraId="27CDF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1" w:hRule="atLeast"/>
          <w:jc w:val="center"/>
        </w:trPr>
        <w:tc>
          <w:tcPr>
            <w:tcW w:w="2153" w:type="dxa"/>
            <w:vAlign w:val="center"/>
          </w:tcPr>
          <w:p w14:paraId="0838330A">
            <w:pPr>
              <w:ind w:left="-13" w:leftChars="-6"/>
              <w:jc w:val="center"/>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服务地点</w:t>
            </w:r>
          </w:p>
        </w:tc>
        <w:tc>
          <w:tcPr>
            <w:tcW w:w="6122" w:type="dxa"/>
            <w:vAlign w:val="center"/>
          </w:tcPr>
          <w:p w14:paraId="177EA983">
            <w:pPr>
              <w:rPr>
                <w:rFonts w:hint="eastAsia" w:ascii="宋体" w:hAnsi="宋体" w:eastAsia="宋体" w:cs="宋体"/>
                <w:color w:val="auto"/>
                <w:sz w:val="24"/>
                <w:highlight w:val="none"/>
              </w:rPr>
            </w:pPr>
          </w:p>
        </w:tc>
      </w:tr>
      <w:tr w14:paraId="07760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1" w:hRule="atLeast"/>
          <w:jc w:val="center"/>
        </w:trPr>
        <w:tc>
          <w:tcPr>
            <w:tcW w:w="2153" w:type="dxa"/>
            <w:vAlign w:val="center"/>
          </w:tcPr>
          <w:p w14:paraId="4178111F">
            <w:pPr>
              <w:ind w:left="-13" w:leftChars="-6"/>
              <w:jc w:val="cente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投标保证金（元）</w:t>
            </w:r>
          </w:p>
        </w:tc>
        <w:tc>
          <w:tcPr>
            <w:tcW w:w="6122" w:type="dxa"/>
            <w:vAlign w:val="center"/>
          </w:tcPr>
          <w:p w14:paraId="79859B23">
            <w:pPr>
              <w:rPr>
                <w:rFonts w:hint="eastAsia" w:ascii="宋体" w:hAnsi="宋体" w:eastAsia="宋体" w:cs="宋体"/>
                <w:color w:val="auto"/>
                <w:sz w:val="24"/>
                <w:highlight w:val="none"/>
              </w:rPr>
            </w:pPr>
          </w:p>
        </w:tc>
      </w:tr>
      <w:tr w14:paraId="7167F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0" w:hRule="atLeast"/>
          <w:jc w:val="center"/>
        </w:trPr>
        <w:tc>
          <w:tcPr>
            <w:tcW w:w="2153" w:type="dxa"/>
            <w:vAlign w:val="center"/>
          </w:tcPr>
          <w:p w14:paraId="6784D740">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其他声明（如有）</w:t>
            </w:r>
          </w:p>
        </w:tc>
        <w:tc>
          <w:tcPr>
            <w:tcW w:w="6122" w:type="dxa"/>
            <w:vAlign w:val="center"/>
          </w:tcPr>
          <w:p w14:paraId="61294803">
            <w:pPr>
              <w:rPr>
                <w:rFonts w:hint="eastAsia" w:ascii="宋体" w:hAnsi="宋体" w:eastAsia="宋体" w:cs="宋体"/>
                <w:color w:val="auto"/>
                <w:sz w:val="24"/>
                <w:highlight w:val="none"/>
              </w:rPr>
            </w:pPr>
          </w:p>
        </w:tc>
      </w:tr>
    </w:tbl>
    <w:p w14:paraId="400B5F54">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 </w:t>
      </w:r>
    </w:p>
    <w:p w14:paraId="53E52D3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1.本表须放在投标文件封面（或扉页）后第一页，应按照给定格式填写。</w:t>
      </w:r>
    </w:p>
    <w:p w14:paraId="601A0C3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2.投标报价保留两位小数，第三位四舍五入。</w:t>
      </w:r>
    </w:p>
    <w:p w14:paraId="32994020">
      <w:pPr>
        <w:spacing w:line="480" w:lineRule="auto"/>
        <w:ind w:left="178" w:leftChars="85"/>
        <w:rPr>
          <w:rFonts w:hint="eastAsia" w:ascii="宋体" w:hAnsi="宋体" w:cs="宋体"/>
          <w:color w:val="auto"/>
          <w:sz w:val="24"/>
          <w:highlight w:val="none"/>
          <w:u w:val="none"/>
        </w:rPr>
      </w:pPr>
    </w:p>
    <w:p w14:paraId="72632681">
      <w:pPr>
        <w:spacing w:line="480" w:lineRule="auto"/>
        <w:ind w:left="178" w:leftChars="85"/>
        <w:rPr>
          <w:rFonts w:ascii="宋体" w:hAnsi="宋体" w:cs="宋体"/>
          <w:b/>
          <w:bCs/>
          <w:color w:val="auto"/>
          <w:sz w:val="24"/>
          <w:highlight w:val="none"/>
          <w:u w:val="none"/>
        </w:rPr>
      </w:pPr>
      <w:r>
        <w:rPr>
          <w:rFonts w:hint="eastAsia" w:ascii="宋体" w:hAnsi="宋体" w:cs="宋体"/>
          <w:b/>
          <w:bCs/>
          <w:color w:val="auto"/>
          <w:sz w:val="24"/>
          <w:highlight w:val="none"/>
          <w:u w:val="none"/>
        </w:rPr>
        <w:t>投标人</w:t>
      </w:r>
      <w:r>
        <w:rPr>
          <w:rFonts w:hint="eastAsia" w:hAnsi="宋体"/>
          <w:b/>
          <w:bCs/>
          <w:color w:val="auto"/>
          <w:sz w:val="24"/>
          <w:highlight w:val="none"/>
          <w:u w:val="none"/>
        </w:rPr>
        <w:t>（加盖电子公章）</w:t>
      </w:r>
      <w:r>
        <w:rPr>
          <w:rFonts w:hint="eastAsia" w:ascii="宋体" w:hAnsi="宋体" w:cs="宋体"/>
          <w:b/>
          <w:bCs/>
          <w:color w:val="auto"/>
          <w:sz w:val="24"/>
          <w:highlight w:val="none"/>
          <w:u w:val="none"/>
        </w:rPr>
        <w:t>：</w:t>
      </w:r>
    </w:p>
    <w:p w14:paraId="54FAAA5B">
      <w:pPr>
        <w:spacing w:line="480" w:lineRule="auto"/>
        <w:ind w:left="178" w:leftChars="85"/>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法定代表人（公司负责人）或委托代理人（电子签章或签字）：</w:t>
      </w:r>
    </w:p>
    <w:p w14:paraId="102E5787">
      <w:pPr>
        <w:spacing w:line="480" w:lineRule="auto"/>
        <w:ind w:left="178" w:leftChars="85"/>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日期：     年   月   日</w:t>
      </w:r>
    </w:p>
    <w:p w14:paraId="64C6593E">
      <w:pPr>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br w:type="page"/>
      </w:r>
    </w:p>
    <w:p w14:paraId="549AD8D6">
      <w:pPr>
        <w:spacing w:line="480" w:lineRule="auto"/>
        <w:ind w:left="178" w:leftChars="85"/>
        <w:jc w:val="center"/>
        <w:rPr>
          <w:rFonts w:hint="eastAsia" w:ascii="宋体" w:hAnsi="宋体" w:cs="宋体"/>
          <w:b/>
          <w:bCs/>
          <w:color w:val="auto"/>
          <w:sz w:val="24"/>
          <w:highlight w:val="none"/>
          <w:u w:val="none"/>
          <w:lang w:eastAsia="zh-CN"/>
        </w:rPr>
      </w:pPr>
      <w:r>
        <w:rPr>
          <w:rFonts w:hint="eastAsia" w:ascii="宋体" w:hAnsi="宋体" w:cs="宋体"/>
          <w:b/>
          <w:bCs/>
          <w:color w:val="auto"/>
          <w:sz w:val="24"/>
          <w:highlight w:val="none"/>
          <w:u w:val="none"/>
          <w:lang w:val="en-US" w:eastAsia="zh-CN"/>
        </w:rPr>
        <w:t>2.1</w:t>
      </w:r>
      <w:r>
        <w:rPr>
          <w:rFonts w:hint="eastAsia" w:ascii="宋体" w:hAnsi="宋体" w:cs="宋体"/>
          <w:b/>
          <w:bCs/>
          <w:color w:val="auto"/>
          <w:sz w:val="24"/>
          <w:highlight w:val="none"/>
          <w:u w:val="none"/>
          <w:lang w:eastAsia="zh-CN"/>
        </w:rPr>
        <w:t>分项报价表</w:t>
      </w:r>
    </w:p>
    <w:p w14:paraId="5959DD90">
      <w:pPr>
        <w:spacing w:line="360" w:lineRule="auto"/>
        <w:ind w:firstLine="240" w:firstLineChars="100"/>
        <w:rPr>
          <w:rFonts w:ascii="宋体" w:hAnsi="宋体"/>
          <w:color w:val="auto"/>
          <w:sz w:val="24"/>
          <w:szCs w:val="32"/>
          <w:highlight w:val="none"/>
        </w:rPr>
      </w:pPr>
      <w:r>
        <w:rPr>
          <w:rFonts w:hint="eastAsia" w:ascii="宋体" w:hAnsi="宋体"/>
          <w:color w:val="auto"/>
          <w:sz w:val="24"/>
          <w:szCs w:val="32"/>
          <w:highlight w:val="none"/>
        </w:rPr>
        <w:t>项目名称：</w:t>
      </w:r>
    </w:p>
    <w:p w14:paraId="78962F40">
      <w:pPr>
        <w:spacing w:line="360" w:lineRule="auto"/>
        <w:ind w:firstLine="240" w:firstLineChars="100"/>
        <w:rPr>
          <w:rFonts w:hint="eastAsia" w:ascii="宋体" w:hAnsi="宋体"/>
          <w:color w:val="auto"/>
          <w:sz w:val="24"/>
          <w:szCs w:val="32"/>
          <w:highlight w:val="none"/>
          <w:lang w:eastAsia="zh-CN"/>
        </w:rPr>
      </w:pPr>
      <w:r>
        <w:rPr>
          <w:rFonts w:hint="eastAsia" w:ascii="宋体" w:hAnsi="宋体"/>
          <w:color w:val="auto"/>
          <w:sz w:val="24"/>
          <w:szCs w:val="32"/>
          <w:highlight w:val="none"/>
        </w:rPr>
        <w:t>项目编号：</w:t>
      </w:r>
    </w:p>
    <w:tbl>
      <w:tblPr>
        <w:tblStyle w:val="45"/>
        <w:tblW w:w="8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5"/>
        <w:gridCol w:w="1268"/>
        <w:gridCol w:w="1091"/>
        <w:gridCol w:w="1622"/>
        <w:gridCol w:w="1787"/>
        <w:gridCol w:w="1235"/>
        <w:gridCol w:w="919"/>
      </w:tblGrid>
      <w:tr w14:paraId="7149E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jc w:val="center"/>
        </w:trPr>
        <w:tc>
          <w:tcPr>
            <w:tcW w:w="745" w:type="dxa"/>
            <w:tcBorders>
              <w:right w:val="single" w:color="auto" w:sz="4" w:space="0"/>
            </w:tcBorders>
            <w:noWrap w:val="0"/>
            <w:vAlign w:val="center"/>
          </w:tcPr>
          <w:p w14:paraId="05F196D7">
            <w:pPr>
              <w:keepNext w:val="0"/>
              <w:keepLines w:val="0"/>
              <w:widowControl/>
              <w:suppressLineNumbers w:val="0"/>
              <w:snapToGrid w:val="0"/>
              <w:spacing w:before="0" w:beforeAutospacing="0" w:after="0" w:afterAutospacing="0" w:line="240" w:lineRule="atLeast"/>
              <w:ind w:left="0" w:right="0"/>
              <w:jc w:val="center"/>
              <w:textAlignment w:val="center"/>
              <w:rPr>
                <w:rFonts w:hint="eastAsia" w:ascii="宋体" w:hAnsi="宋体" w:eastAsia="宋体" w:cs="宋体"/>
                <w:b/>
                <w:color w:val="auto"/>
                <w:kern w:val="0"/>
                <w:sz w:val="21"/>
                <w:szCs w:val="21"/>
                <w:highlight w:val="none"/>
                <w:lang w:eastAsia="zh-CN" w:bidi="ar"/>
              </w:rPr>
            </w:pPr>
            <w:r>
              <w:rPr>
                <w:rFonts w:hint="eastAsia" w:ascii="宋体" w:hAnsi="宋体" w:eastAsia="宋体" w:cs="宋体"/>
                <w:b/>
                <w:color w:val="auto"/>
                <w:kern w:val="0"/>
                <w:sz w:val="21"/>
                <w:szCs w:val="21"/>
                <w:highlight w:val="none"/>
                <w:lang w:eastAsia="zh-CN" w:bidi="ar"/>
              </w:rPr>
              <w:t>序号</w:t>
            </w:r>
          </w:p>
        </w:tc>
        <w:tc>
          <w:tcPr>
            <w:tcW w:w="1268" w:type="dxa"/>
            <w:tcBorders>
              <w:left w:val="single" w:color="auto" w:sz="4" w:space="0"/>
            </w:tcBorders>
            <w:noWrap w:val="0"/>
            <w:vAlign w:val="center"/>
          </w:tcPr>
          <w:p w14:paraId="3F088BA8">
            <w:pPr>
              <w:keepNext w:val="0"/>
              <w:keepLines w:val="0"/>
              <w:widowControl/>
              <w:suppressLineNumbers w:val="0"/>
              <w:snapToGrid w:val="0"/>
              <w:spacing w:before="0" w:beforeAutospacing="0" w:after="0" w:afterAutospacing="0" w:line="240" w:lineRule="atLeast"/>
              <w:ind w:left="0" w:right="0"/>
              <w:jc w:val="center"/>
              <w:textAlignment w:val="center"/>
              <w:rPr>
                <w:rFonts w:hint="eastAsia" w:ascii="宋体" w:hAnsi="宋体" w:eastAsia="宋体" w:cs="宋体"/>
                <w:b/>
                <w:color w:val="auto"/>
                <w:kern w:val="0"/>
                <w:sz w:val="21"/>
                <w:szCs w:val="21"/>
                <w:highlight w:val="none"/>
                <w:lang w:eastAsia="zh-CN" w:bidi="ar"/>
              </w:rPr>
            </w:pPr>
            <w:r>
              <w:rPr>
                <w:rFonts w:hint="eastAsia" w:ascii="宋体" w:hAnsi="宋体" w:eastAsia="宋体" w:cs="宋体"/>
                <w:b/>
                <w:color w:val="auto"/>
                <w:kern w:val="0"/>
                <w:sz w:val="21"/>
                <w:szCs w:val="21"/>
                <w:highlight w:val="none"/>
                <w:lang w:eastAsia="zh-CN" w:bidi="ar"/>
              </w:rPr>
              <w:t>职工性别</w:t>
            </w:r>
          </w:p>
        </w:tc>
        <w:tc>
          <w:tcPr>
            <w:tcW w:w="1091" w:type="dxa"/>
            <w:noWrap w:val="0"/>
            <w:vAlign w:val="center"/>
          </w:tcPr>
          <w:p w14:paraId="0FD52C5B">
            <w:pPr>
              <w:keepNext w:val="0"/>
              <w:keepLines w:val="0"/>
              <w:widowControl/>
              <w:suppressLineNumbers w:val="0"/>
              <w:snapToGrid w:val="0"/>
              <w:spacing w:before="0" w:beforeAutospacing="0" w:after="0" w:afterAutospacing="0" w:line="240" w:lineRule="atLeast"/>
              <w:ind w:left="0" w:right="0"/>
              <w:jc w:val="center"/>
              <w:textAlignment w:val="center"/>
              <w:rPr>
                <w:rFonts w:hint="eastAsia" w:ascii="宋体" w:hAnsi="宋体" w:eastAsia="宋体" w:cs="宋体"/>
                <w:b/>
                <w:color w:val="auto"/>
                <w:kern w:val="0"/>
                <w:sz w:val="21"/>
                <w:szCs w:val="21"/>
                <w:highlight w:val="none"/>
                <w:lang w:eastAsia="zh-CN" w:bidi="ar"/>
              </w:rPr>
            </w:pPr>
            <w:r>
              <w:rPr>
                <w:rFonts w:hint="eastAsia" w:ascii="宋体" w:hAnsi="宋体" w:eastAsia="宋体" w:cs="宋体"/>
                <w:b/>
                <w:color w:val="auto"/>
                <w:kern w:val="0"/>
                <w:sz w:val="21"/>
                <w:szCs w:val="21"/>
                <w:highlight w:val="none"/>
                <w:lang w:eastAsia="zh-CN" w:bidi="ar"/>
              </w:rPr>
              <w:t>人数（预估）</w:t>
            </w:r>
          </w:p>
        </w:tc>
        <w:tc>
          <w:tcPr>
            <w:tcW w:w="1622" w:type="dxa"/>
            <w:noWrap w:val="0"/>
            <w:vAlign w:val="center"/>
          </w:tcPr>
          <w:p w14:paraId="35B7FDB5">
            <w:pPr>
              <w:keepNext w:val="0"/>
              <w:keepLines w:val="0"/>
              <w:widowControl/>
              <w:suppressLineNumbers w:val="0"/>
              <w:snapToGrid w:val="0"/>
              <w:spacing w:before="0" w:beforeAutospacing="0" w:after="0" w:afterAutospacing="0" w:line="240" w:lineRule="atLeast"/>
              <w:ind w:left="0" w:right="0"/>
              <w:jc w:val="center"/>
              <w:textAlignment w:val="center"/>
              <w:rPr>
                <w:rFonts w:hint="eastAsia" w:ascii="宋体" w:hAnsi="宋体" w:eastAsia="宋体" w:cs="宋体"/>
                <w:b/>
                <w:color w:val="auto"/>
                <w:kern w:val="0"/>
                <w:sz w:val="21"/>
                <w:szCs w:val="21"/>
                <w:highlight w:val="none"/>
                <w:lang w:bidi="ar"/>
              </w:rPr>
            </w:pPr>
            <w:r>
              <w:rPr>
                <w:rFonts w:hint="eastAsia" w:ascii="宋体" w:hAnsi="宋体" w:eastAsia="宋体" w:cs="宋体"/>
                <w:b/>
                <w:color w:val="auto"/>
                <w:kern w:val="0"/>
                <w:sz w:val="21"/>
                <w:szCs w:val="21"/>
                <w:highlight w:val="none"/>
                <w:lang w:eastAsia="zh-CN" w:bidi="ar"/>
              </w:rPr>
              <w:t>单价限价（含增值税，元</w:t>
            </w:r>
            <w:r>
              <w:rPr>
                <w:rFonts w:hint="eastAsia" w:ascii="宋体" w:hAnsi="宋体" w:eastAsia="宋体" w:cs="宋体"/>
                <w:b/>
                <w:color w:val="auto"/>
                <w:kern w:val="0"/>
                <w:sz w:val="21"/>
                <w:szCs w:val="21"/>
                <w:highlight w:val="none"/>
                <w:lang w:val="en-US" w:eastAsia="zh-CN" w:bidi="ar"/>
              </w:rPr>
              <w:t>/人</w:t>
            </w:r>
            <w:r>
              <w:rPr>
                <w:rFonts w:hint="eastAsia" w:ascii="宋体" w:hAnsi="宋体" w:eastAsia="宋体" w:cs="宋体"/>
                <w:b/>
                <w:color w:val="auto"/>
                <w:kern w:val="0"/>
                <w:sz w:val="21"/>
                <w:szCs w:val="21"/>
                <w:highlight w:val="none"/>
                <w:lang w:eastAsia="zh-CN" w:bidi="ar"/>
              </w:rPr>
              <w:t>）</w:t>
            </w:r>
          </w:p>
        </w:tc>
        <w:tc>
          <w:tcPr>
            <w:tcW w:w="1787" w:type="dxa"/>
            <w:tcBorders>
              <w:right w:val="single" w:color="auto" w:sz="4" w:space="0"/>
            </w:tcBorders>
            <w:noWrap w:val="0"/>
            <w:vAlign w:val="center"/>
          </w:tcPr>
          <w:p w14:paraId="25A8B9A8">
            <w:pPr>
              <w:keepNext w:val="0"/>
              <w:keepLines w:val="0"/>
              <w:widowControl/>
              <w:suppressLineNumbers w:val="0"/>
              <w:snapToGrid w:val="0"/>
              <w:spacing w:before="0" w:beforeAutospacing="0" w:after="0" w:afterAutospacing="0" w:line="240" w:lineRule="atLeast"/>
              <w:ind w:left="0" w:right="0"/>
              <w:jc w:val="center"/>
              <w:textAlignment w:val="center"/>
              <w:rPr>
                <w:rFonts w:hint="eastAsia" w:ascii="宋体" w:hAnsi="宋体" w:eastAsia="宋体" w:cs="宋体"/>
                <w:b/>
                <w:color w:val="auto"/>
                <w:kern w:val="0"/>
                <w:sz w:val="21"/>
                <w:szCs w:val="21"/>
                <w:highlight w:val="none"/>
                <w:lang w:eastAsia="zh-CN" w:bidi="ar"/>
              </w:rPr>
            </w:pPr>
            <w:r>
              <w:rPr>
                <w:rFonts w:hint="eastAsia" w:ascii="宋体" w:hAnsi="宋体" w:eastAsia="宋体" w:cs="宋体"/>
                <w:b/>
                <w:color w:val="auto"/>
                <w:kern w:val="0"/>
                <w:sz w:val="21"/>
                <w:szCs w:val="21"/>
                <w:highlight w:val="none"/>
                <w:lang w:eastAsia="zh-CN" w:bidi="ar"/>
              </w:rPr>
              <w:t>单价报价（含增值税，元</w:t>
            </w:r>
            <w:r>
              <w:rPr>
                <w:rFonts w:hint="eastAsia" w:ascii="宋体" w:hAnsi="宋体" w:eastAsia="宋体" w:cs="宋体"/>
                <w:b/>
                <w:color w:val="auto"/>
                <w:kern w:val="0"/>
                <w:sz w:val="21"/>
                <w:szCs w:val="21"/>
                <w:highlight w:val="none"/>
                <w:lang w:val="en-US" w:eastAsia="zh-CN" w:bidi="ar"/>
              </w:rPr>
              <w:t>/人</w:t>
            </w:r>
            <w:r>
              <w:rPr>
                <w:rFonts w:hint="eastAsia" w:ascii="宋体" w:hAnsi="宋体" w:eastAsia="宋体" w:cs="宋体"/>
                <w:b/>
                <w:color w:val="auto"/>
                <w:kern w:val="0"/>
                <w:sz w:val="21"/>
                <w:szCs w:val="21"/>
                <w:highlight w:val="none"/>
                <w:lang w:eastAsia="zh-CN" w:bidi="ar"/>
              </w:rPr>
              <w:t>）</w:t>
            </w:r>
          </w:p>
        </w:tc>
        <w:tc>
          <w:tcPr>
            <w:tcW w:w="1235" w:type="dxa"/>
            <w:tcBorders>
              <w:left w:val="single" w:color="auto" w:sz="4" w:space="0"/>
            </w:tcBorders>
            <w:noWrap w:val="0"/>
            <w:vAlign w:val="center"/>
          </w:tcPr>
          <w:p w14:paraId="2ECBAA26">
            <w:pPr>
              <w:keepNext w:val="0"/>
              <w:keepLines w:val="0"/>
              <w:widowControl/>
              <w:suppressLineNumbers w:val="0"/>
              <w:snapToGrid w:val="0"/>
              <w:spacing w:before="0" w:beforeAutospacing="0" w:after="0" w:afterAutospacing="0" w:line="240" w:lineRule="atLeast"/>
              <w:ind w:left="0" w:right="0"/>
              <w:jc w:val="center"/>
              <w:textAlignment w:val="center"/>
              <w:rPr>
                <w:rFonts w:hint="eastAsia" w:ascii="宋体" w:hAnsi="宋体" w:eastAsia="宋体" w:cs="宋体"/>
                <w:b/>
                <w:color w:val="auto"/>
                <w:kern w:val="0"/>
                <w:sz w:val="21"/>
                <w:szCs w:val="21"/>
                <w:highlight w:val="none"/>
                <w:lang w:eastAsia="zh-CN" w:bidi="ar"/>
              </w:rPr>
            </w:pPr>
            <w:r>
              <w:rPr>
                <w:rFonts w:hint="eastAsia" w:ascii="宋体" w:hAnsi="宋体" w:eastAsia="宋体" w:cs="宋体"/>
                <w:b/>
                <w:color w:val="auto"/>
                <w:kern w:val="0"/>
                <w:sz w:val="21"/>
                <w:szCs w:val="21"/>
                <w:highlight w:val="none"/>
                <w:lang w:eastAsia="zh-CN" w:bidi="ar"/>
              </w:rPr>
              <w:t>小计</w:t>
            </w:r>
          </w:p>
        </w:tc>
        <w:tc>
          <w:tcPr>
            <w:tcW w:w="919" w:type="dxa"/>
            <w:tcBorders>
              <w:left w:val="single" w:color="auto" w:sz="4" w:space="0"/>
            </w:tcBorders>
            <w:noWrap w:val="0"/>
            <w:vAlign w:val="center"/>
          </w:tcPr>
          <w:p w14:paraId="3A8954AD">
            <w:pPr>
              <w:keepNext w:val="0"/>
              <w:keepLines w:val="0"/>
              <w:widowControl/>
              <w:suppressLineNumbers w:val="0"/>
              <w:snapToGrid w:val="0"/>
              <w:spacing w:before="0" w:beforeAutospacing="0" w:after="0" w:afterAutospacing="0" w:line="240" w:lineRule="atLeast"/>
              <w:ind w:left="0" w:right="0"/>
              <w:jc w:val="center"/>
              <w:textAlignment w:val="center"/>
              <w:rPr>
                <w:rFonts w:hint="eastAsia" w:ascii="宋体" w:hAnsi="宋体" w:eastAsia="宋体" w:cs="宋体"/>
                <w:b/>
                <w:color w:val="auto"/>
                <w:kern w:val="0"/>
                <w:sz w:val="21"/>
                <w:szCs w:val="21"/>
                <w:highlight w:val="none"/>
                <w:lang w:eastAsia="zh-CN" w:bidi="ar"/>
              </w:rPr>
            </w:pPr>
            <w:r>
              <w:rPr>
                <w:rFonts w:hint="eastAsia" w:ascii="宋体" w:hAnsi="宋体" w:eastAsia="宋体" w:cs="宋体"/>
                <w:b/>
                <w:color w:val="auto"/>
                <w:kern w:val="0"/>
                <w:sz w:val="21"/>
                <w:szCs w:val="21"/>
                <w:highlight w:val="none"/>
                <w:lang w:eastAsia="zh-CN" w:bidi="ar"/>
              </w:rPr>
              <w:t>备注</w:t>
            </w:r>
          </w:p>
        </w:tc>
      </w:tr>
      <w:tr w14:paraId="296BF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45" w:type="dxa"/>
            <w:tcBorders>
              <w:right w:val="single" w:color="auto" w:sz="4" w:space="0"/>
            </w:tcBorders>
            <w:noWrap w:val="0"/>
            <w:vAlign w:val="center"/>
          </w:tcPr>
          <w:p w14:paraId="2BDD089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p>
        </w:tc>
        <w:tc>
          <w:tcPr>
            <w:tcW w:w="1268" w:type="dxa"/>
            <w:tcBorders>
              <w:left w:val="single" w:color="auto" w:sz="4" w:space="0"/>
            </w:tcBorders>
            <w:noWrap w:val="0"/>
            <w:vAlign w:val="center"/>
          </w:tcPr>
          <w:p w14:paraId="4A4AC02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sz w:val="21"/>
                <w:szCs w:val="21"/>
                <w:highlight w:val="none"/>
              </w:rPr>
              <w:t>男性职工</w:t>
            </w:r>
          </w:p>
        </w:tc>
        <w:tc>
          <w:tcPr>
            <w:tcW w:w="1091" w:type="dxa"/>
            <w:noWrap w:val="0"/>
            <w:vAlign w:val="center"/>
          </w:tcPr>
          <w:p w14:paraId="56BC5D0D">
            <w:pPr>
              <w:widowControl/>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902</w:t>
            </w:r>
          </w:p>
        </w:tc>
        <w:tc>
          <w:tcPr>
            <w:tcW w:w="1622" w:type="dxa"/>
            <w:noWrap w:val="0"/>
            <w:vAlign w:val="center"/>
          </w:tcPr>
          <w:p w14:paraId="508AD4E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740</w:t>
            </w:r>
            <w:r>
              <w:rPr>
                <w:rFonts w:hint="eastAsia" w:ascii="宋体" w:hAnsi="宋体" w:eastAsia="宋体" w:cs="宋体"/>
                <w:color w:val="auto"/>
                <w:kern w:val="0"/>
                <w:sz w:val="21"/>
                <w:szCs w:val="21"/>
                <w:highlight w:val="none"/>
                <w:lang w:val="en-US" w:eastAsia="zh-CN" w:bidi="ar"/>
              </w:rPr>
              <w:t>.00</w:t>
            </w:r>
          </w:p>
        </w:tc>
        <w:tc>
          <w:tcPr>
            <w:tcW w:w="1787" w:type="dxa"/>
            <w:tcBorders>
              <w:right w:val="single" w:color="auto" w:sz="4" w:space="0"/>
            </w:tcBorders>
            <w:noWrap w:val="0"/>
            <w:vAlign w:val="center"/>
          </w:tcPr>
          <w:p w14:paraId="154B817D">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val="en-US" w:eastAsia="zh-CN" w:bidi="ar"/>
              </w:rPr>
            </w:pPr>
          </w:p>
        </w:tc>
        <w:tc>
          <w:tcPr>
            <w:tcW w:w="1235" w:type="dxa"/>
            <w:tcBorders>
              <w:left w:val="single" w:color="auto" w:sz="4" w:space="0"/>
            </w:tcBorders>
            <w:noWrap w:val="0"/>
            <w:vAlign w:val="center"/>
          </w:tcPr>
          <w:p w14:paraId="27BBD7B4">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bidi="ar"/>
              </w:rPr>
            </w:pPr>
          </w:p>
        </w:tc>
        <w:tc>
          <w:tcPr>
            <w:tcW w:w="919" w:type="dxa"/>
            <w:tcBorders>
              <w:left w:val="single" w:color="auto" w:sz="4" w:space="0"/>
            </w:tcBorders>
            <w:noWrap w:val="0"/>
            <w:vAlign w:val="center"/>
          </w:tcPr>
          <w:p w14:paraId="6E7AEF11">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bidi="ar"/>
              </w:rPr>
            </w:pPr>
          </w:p>
        </w:tc>
      </w:tr>
      <w:tr w14:paraId="5734D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45" w:type="dxa"/>
            <w:tcBorders>
              <w:right w:val="single" w:color="auto" w:sz="4" w:space="0"/>
            </w:tcBorders>
            <w:noWrap w:val="0"/>
            <w:vAlign w:val="center"/>
          </w:tcPr>
          <w:p w14:paraId="7AC7CAF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1268" w:type="dxa"/>
            <w:tcBorders>
              <w:left w:val="single" w:color="auto" w:sz="4" w:space="0"/>
            </w:tcBorders>
            <w:noWrap w:val="0"/>
            <w:vAlign w:val="center"/>
          </w:tcPr>
          <w:p w14:paraId="26EF93F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已婚女职工</w:t>
            </w:r>
          </w:p>
        </w:tc>
        <w:tc>
          <w:tcPr>
            <w:tcW w:w="1091" w:type="dxa"/>
            <w:noWrap w:val="0"/>
            <w:vAlign w:val="center"/>
          </w:tcPr>
          <w:p w14:paraId="686227FE">
            <w:pPr>
              <w:widowControl/>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930</w:t>
            </w:r>
          </w:p>
        </w:tc>
        <w:tc>
          <w:tcPr>
            <w:tcW w:w="1622" w:type="dxa"/>
            <w:noWrap w:val="0"/>
            <w:vAlign w:val="center"/>
          </w:tcPr>
          <w:p w14:paraId="54363167">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800</w:t>
            </w:r>
            <w:r>
              <w:rPr>
                <w:rFonts w:hint="eastAsia" w:ascii="宋体" w:hAnsi="宋体" w:eastAsia="宋体" w:cs="宋体"/>
                <w:color w:val="auto"/>
                <w:kern w:val="0"/>
                <w:sz w:val="21"/>
                <w:szCs w:val="21"/>
                <w:highlight w:val="none"/>
                <w:lang w:val="en-US" w:eastAsia="zh-CN" w:bidi="ar"/>
              </w:rPr>
              <w:t>.00</w:t>
            </w:r>
          </w:p>
        </w:tc>
        <w:tc>
          <w:tcPr>
            <w:tcW w:w="1787" w:type="dxa"/>
            <w:tcBorders>
              <w:right w:val="single" w:color="auto" w:sz="4" w:space="0"/>
            </w:tcBorders>
            <w:noWrap w:val="0"/>
            <w:vAlign w:val="center"/>
          </w:tcPr>
          <w:p w14:paraId="2C7FD14A">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val="en-US" w:eastAsia="zh-CN" w:bidi="ar"/>
              </w:rPr>
            </w:pPr>
          </w:p>
        </w:tc>
        <w:tc>
          <w:tcPr>
            <w:tcW w:w="1235" w:type="dxa"/>
            <w:tcBorders>
              <w:left w:val="single" w:color="auto" w:sz="4" w:space="0"/>
            </w:tcBorders>
            <w:noWrap w:val="0"/>
            <w:vAlign w:val="center"/>
          </w:tcPr>
          <w:p w14:paraId="660EAE9E">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bidi="ar"/>
              </w:rPr>
            </w:pPr>
          </w:p>
        </w:tc>
        <w:tc>
          <w:tcPr>
            <w:tcW w:w="919" w:type="dxa"/>
            <w:tcBorders>
              <w:left w:val="single" w:color="auto" w:sz="4" w:space="0"/>
            </w:tcBorders>
            <w:noWrap w:val="0"/>
            <w:vAlign w:val="center"/>
          </w:tcPr>
          <w:p w14:paraId="19C08FE6">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bidi="ar"/>
              </w:rPr>
            </w:pPr>
          </w:p>
        </w:tc>
      </w:tr>
      <w:tr w14:paraId="14571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45" w:type="dxa"/>
            <w:tcBorders>
              <w:right w:val="single" w:color="auto" w:sz="4" w:space="0"/>
            </w:tcBorders>
            <w:noWrap w:val="0"/>
            <w:vAlign w:val="center"/>
          </w:tcPr>
          <w:p w14:paraId="4E23B88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w:t>
            </w:r>
          </w:p>
        </w:tc>
        <w:tc>
          <w:tcPr>
            <w:tcW w:w="1268" w:type="dxa"/>
            <w:tcBorders>
              <w:left w:val="single" w:color="auto" w:sz="4" w:space="0"/>
            </w:tcBorders>
            <w:noWrap w:val="0"/>
            <w:vAlign w:val="center"/>
          </w:tcPr>
          <w:p w14:paraId="20B5E5A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未婚女职工</w:t>
            </w:r>
          </w:p>
        </w:tc>
        <w:tc>
          <w:tcPr>
            <w:tcW w:w="1091" w:type="dxa"/>
            <w:noWrap w:val="0"/>
            <w:vAlign w:val="center"/>
          </w:tcPr>
          <w:p w14:paraId="0089FC49">
            <w:pPr>
              <w:widowControl/>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180</w:t>
            </w:r>
          </w:p>
        </w:tc>
        <w:tc>
          <w:tcPr>
            <w:tcW w:w="1622" w:type="dxa"/>
            <w:noWrap w:val="0"/>
            <w:vAlign w:val="center"/>
          </w:tcPr>
          <w:p w14:paraId="1C7B206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740</w:t>
            </w:r>
            <w:r>
              <w:rPr>
                <w:rFonts w:hint="eastAsia" w:ascii="宋体" w:hAnsi="宋体" w:eastAsia="宋体" w:cs="宋体"/>
                <w:color w:val="auto"/>
                <w:kern w:val="0"/>
                <w:sz w:val="21"/>
                <w:szCs w:val="21"/>
                <w:highlight w:val="none"/>
                <w:lang w:val="en-US" w:eastAsia="zh-CN" w:bidi="ar"/>
              </w:rPr>
              <w:t>.00</w:t>
            </w:r>
          </w:p>
        </w:tc>
        <w:tc>
          <w:tcPr>
            <w:tcW w:w="1787" w:type="dxa"/>
            <w:tcBorders>
              <w:right w:val="single" w:color="auto" w:sz="4" w:space="0"/>
            </w:tcBorders>
            <w:noWrap w:val="0"/>
            <w:vAlign w:val="center"/>
          </w:tcPr>
          <w:p w14:paraId="4690A8A4">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val="en-US" w:eastAsia="zh-CN" w:bidi="ar"/>
              </w:rPr>
            </w:pPr>
          </w:p>
        </w:tc>
        <w:tc>
          <w:tcPr>
            <w:tcW w:w="1235" w:type="dxa"/>
            <w:tcBorders>
              <w:left w:val="single" w:color="auto" w:sz="4" w:space="0"/>
            </w:tcBorders>
            <w:noWrap w:val="0"/>
            <w:vAlign w:val="center"/>
          </w:tcPr>
          <w:p w14:paraId="42B67713">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bidi="ar"/>
              </w:rPr>
            </w:pPr>
          </w:p>
        </w:tc>
        <w:tc>
          <w:tcPr>
            <w:tcW w:w="919" w:type="dxa"/>
            <w:tcBorders>
              <w:left w:val="single" w:color="auto" w:sz="4" w:space="0"/>
            </w:tcBorders>
            <w:noWrap w:val="0"/>
            <w:vAlign w:val="center"/>
          </w:tcPr>
          <w:p w14:paraId="65389518">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bidi="ar"/>
              </w:rPr>
            </w:pPr>
          </w:p>
        </w:tc>
      </w:tr>
      <w:tr w14:paraId="08F2A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6" w:hRule="atLeast"/>
          <w:jc w:val="center"/>
        </w:trPr>
        <w:tc>
          <w:tcPr>
            <w:tcW w:w="745" w:type="dxa"/>
            <w:tcBorders>
              <w:right w:val="single" w:color="auto" w:sz="4" w:space="0"/>
            </w:tcBorders>
            <w:noWrap w:val="0"/>
            <w:vAlign w:val="center"/>
          </w:tcPr>
          <w:p w14:paraId="15DCDDD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5768" w:type="dxa"/>
            <w:gridSpan w:val="4"/>
            <w:tcBorders>
              <w:left w:val="single" w:color="auto" w:sz="4" w:space="0"/>
              <w:right w:val="single" w:color="auto" w:sz="4" w:space="0"/>
            </w:tcBorders>
            <w:noWrap w:val="0"/>
            <w:vAlign w:val="center"/>
          </w:tcPr>
          <w:p w14:paraId="67028C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投标总</w:t>
            </w:r>
            <w:r>
              <w:rPr>
                <w:rFonts w:hint="eastAsia" w:ascii="宋体" w:hAnsi="宋体" w:eastAsia="宋体" w:cs="宋体"/>
                <w:b/>
                <w:color w:val="auto"/>
                <w:sz w:val="21"/>
                <w:szCs w:val="21"/>
                <w:highlight w:val="none"/>
                <w:lang w:val="en-US" w:eastAsia="zh-CN"/>
              </w:rPr>
              <w:t>报</w:t>
            </w:r>
            <w:r>
              <w:rPr>
                <w:rFonts w:hint="eastAsia" w:ascii="宋体" w:hAnsi="宋体" w:eastAsia="宋体" w:cs="宋体"/>
                <w:b/>
                <w:color w:val="auto"/>
                <w:sz w:val="21"/>
                <w:szCs w:val="21"/>
                <w:highlight w:val="none"/>
              </w:rPr>
              <w:t>价（第一年）</w:t>
            </w:r>
          </w:p>
          <w:p w14:paraId="1E9963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color w:val="auto"/>
                <w:sz w:val="21"/>
                <w:szCs w:val="21"/>
                <w:highlight w:val="none"/>
                <w:lang w:eastAsia="zh-CN"/>
              </w:rPr>
              <w:t>（含增值税，</w:t>
            </w:r>
            <w:r>
              <w:rPr>
                <w:rFonts w:hint="eastAsia" w:ascii="宋体" w:hAnsi="宋体" w:eastAsia="宋体" w:cs="宋体"/>
                <w:b/>
                <w:color w:val="auto"/>
                <w:sz w:val="21"/>
                <w:szCs w:val="21"/>
                <w:highlight w:val="none"/>
                <w:lang w:val="en-US" w:eastAsia="zh-CN"/>
              </w:rPr>
              <w:t>元</w:t>
            </w:r>
            <w:r>
              <w:rPr>
                <w:rFonts w:hint="eastAsia" w:ascii="宋体" w:hAnsi="宋体" w:eastAsia="宋体" w:cs="宋体"/>
                <w:b/>
                <w:color w:val="auto"/>
                <w:sz w:val="21"/>
                <w:szCs w:val="21"/>
                <w:highlight w:val="none"/>
                <w:lang w:eastAsia="zh-CN"/>
              </w:rPr>
              <w:t>）</w:t>
            </w:r>
          </w:p>
        </w:tc>
        <w:tc>
          <w:tcPr>
            <w:tcW w:w="1235" w:type="dxa"/>
            <w:tcBorders>
              <w:left w:val="single" w:color="auto" w:sz="4" w:space="0"/>
            </w:tcBorders>
            <w:noWrap w:val="0"/>
            <w:vAlign w:val="center"/>
          </w:tcPr>
          <w:p w14:paraId="39ACCF9C">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bidi="ar"/>
              </w:rPr>
            </w:pPr>
          </w:p>
        </w:tc>
        <w:tc>
          <w:tcPr>
            <w:tcW w:w="919" w:type="dxa"/>
            <w:tcBorders>
              <w:left w:val="single" w:color="auto" w:sz="4" w:space="0"/>
            </w:tcBorders>
            <w:noWrap w:val="0"/>
            <w:vAlign w:val="center"/>
          </w:tcPr>
          <w:p w14:paraId="0AE5D357">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bidi="ar"/>
              </w:rPr>
            </w:pPr>
          </w:p>
        </w:tc>
      </w:tr>
    </w:tbl>
    <w:p w14:paraId="399BFE04">
      <w:pPr>
        <w:pStyle w:val="457"/>
        <w:rPr>
          <w:rFonts w:hint="eastAsia" w:ascii="宋体" w:hAnsi="宋体"/>
          <w:color w:val="auto"/>
          <w:sz w:val="24"/>
          <w:highlight w:val="none"/>
        </w:rPr>
      </w:pPr>
    </w:p>
    <w:p w14:paraId="5B313DAB">
      <w:pPr>
        <w:snapToGrid w:val="0"/>
        <w:spacing w:line="360" w:lineRule="auto"/>
        <w:ind w:right="24" w:firstLine="540"/>
        <w:rPr>
          <w:rFonts w:hint="eastAsia" w:hAnsi="宋体"/>
          <w:b/>
          <w:bCs/>
          <w:color w:val="auto"/>
          <w:szCs w:val="21"/>
          <w:highlight w:val="none"/>
          <w:u w:val="single"/>
        </w:rPr>
      </w:pPr>
      <w:r>
        <w:rPr>
          <w:rFonts w:hint="eastAsia" w:ascii="宋体" w:hAnsi="宋体"/>
          <w:b/>
          <w:bCs/>
          <w:color w:val="auto"/>
          <w:szCs w:val="21"/>
          <w:highlight w:val="none"/>
        </w:rPr>
        <w:t>注：</w:t>
      </w:r>
      <w:r>
        <w:rPr>
          <w:rFonts w:hint="eastAsia" w:hAnsi="宋体"/>
          <w:b/>
          <w:bCs/>
          <w:color w:val="auto"/>
          <w:szCs w:val="21"/>
          <w:highlight w:val="none"/>
          <w:u w:val="single"/>
        </w:rPr>
        <w:t>1、本表项目“投标总报价</w:t>
      </w:r>
      <w:r>
        <w:rPr>
          <w:rFonts w:hint="eastAsia" w:hAnsi="宋体"/>
          <w:b/>
          <w:bCs/>
          <w:color w:val="auto"/>
          <w:szCs w:val="21"/>
          <w:highlight w:val="none"/>
          <w:u w:val="single"/>
          <w:lang w:eastAsia="zh-CN"/>
        </w:rPr>
        <w:t>（第一年）</w:t>
      </w:r>
      <w:r>
        <w:rPr>
          <w:rFonts w:hint="eastAsia" w:hAnsi="宋体"/>
          <w:b/>
          <w:bCs/>
          <w:color w:val="auto"/>
          <w:szCs w:val="21"/>
          <w:highlight w:val="none"/>
          <w:u w:val="single"/>
        </w:rPr>
        <w:t>（含增值税，元）”一栏金额应与《</w:t>
      </w:r>
      <w:r>
        <w:rPr>
          <w:rFonts w:hint="eastAsia" w:hAnsi="宋体"/>
          <w:b/>
          <w:bCs/>
          <w:color w:val="auto"/>
          <w:szCs w:val="21"/>
          <w:highlight w:val="none"/>
          <w:u w:val="single"/>
          <w:lang w:eastAsia="zh-CN"/>
        </w:rPr>
        <w:t>报价</w:t>
      </w:r>
      <w:r>
        <w:rPr>
          <w:rFonts w:hint="eastAsia" w:hAnsi="宋体"/>
          <w:b/>
          <w:bCs/>
          <w:color w:val="auto"/>
          <w:szCs w:val="21"/>
          <w:highlight w:val="none"/>
          <w:u w:val="single"/>
        </w:rPr>
        <w:t>表》</w:t>
      </w:r>
      <w:r>
        <w:rPr>
          <w:rFonts w:hint="eastAsia" w:hAnsi="宋体"/>
          <w:b/>
          <w:bCs/>
          <w:color w:val="auto"/>
          <w:szCs w:val="21"/>
          <w:highlight w:val="none"/>
          <w:u w:val="single"/>
          <w:lang w:eastAsia="zh-CN"/>
        </w:rPr>
        <w:t>“投标总报价（第一年）（含增值税，元）”</w:t>
      </w:r>
      <w:r>
        <w:rPr>
          <w:rFonts w:hint="eastAsia" w:hAnsi="宋体"/>
          <w:b/>
          <w:bCs/>
          <w:color w:val="auto"/>
          <w:szCs w:val="21"/>
          <w:highlight w:val="none"/>
          <w:u w:val="single"/>
        </w:rPr>
        <w:t>保持一致。</w:t>
      </w:r>
    </w:p>
    <w:p w14:paraId="2228F9EC">
      <w:pPr>
        <w:snapToGrid w:val="0"/>
        <w:spacing w:line="360" w:lineRule="auto"/>
        <w:ind w:right="24" w:firstLine="540"/>
        <w:rPr>
          <w:rFonts w:hint="default" w:hAnsi="宋体" w:eastAsia="宋体"/>
          <w:b/>
          <w:bCs/>
          <w:color w:val="auto"/>
          <w:szCs w:val="21"/>
          <w:highlight w:val="none"/>
          <w:u w:val="single"/>
          <w:lang w:val="en-US" w:eastAsia="zh-CN"/>
        </w:rPr>
      </w:pPr>
      <w:r>
        <w:rPr>
          <w:rFonts w:hint="eastAsia" w:hAnsi="宋体"/>
          <w:b/>
          <w:bCs/>
          <w:color w:val="auto"/>
          <w:szCs w:val="21"/>
          <w:highlight w:val="none"/>
          <w:u w:val="single"/>
          <w:lang w:val="en-US" w:eastAsia="zh-CN"/>
        </w:rPr>
        <w:t>2、具体参加体检人数以最终实际参加人数为准。最终结算金额=男性职工中标单价×实际男性职工体检人数+已婚女职工中标单价×实际已婚女职工体检人数+未婚女职工中标单价×实际未婚女职工体检人数。</w:t>
      </w:r>
    </w:p>
    <w:p w14:paraId="46F3EC67">
      <w:pPr>
        <w:spacing w:line="360" w:lineRule="auto"/>
        <w:rPr>
          <w:rFonts w:hint="eastAsia" w:ascii="宋体" w:hAnsi="宋体"/>
          <w:color w:val="auto"/>
          <w:highlight w:val="none"/>
        </w:rPr>
      </w:pPr>
    </w:p>
    <w:p w14:paraId="2CBEA472">
      <w:pPr>
        <w:spacing w:line="480" w:lineRule="auto"/>
        <w:ind w:left="178" w:leftChars="85"/>
        <w:rPr>
          <w:rFonts w:hint="eastAsia" w:ascii="宋体" w:hAnsi="宋体" w:cs="宋体"/>
          <w:b/>
          <w:bCs/>
          <w:color w:val="auto"/>
          <w:sz w:val="24"/>
          <w:highlight w:val="none"/>
          <w:u w:val="none"/>
        </w:rPr>
      </w:pPr>
    </w:p>
    <w:p w14:paraId="4367B313">
      <w:pPr>
        <w:spacing w:line="480" w:lineRule="auto"/>
        <w:ind w:left="178" w:leftChars="85"/>
        <w:rPr>
          <w:rFonts w:ascii="宋体" w:hAnsi="宋体" w:cs="宋体"/>
          <w:b/>
          <w:bCs/>
          <w:color w:val="auto"/>
          <w:sz w:val="24"/>
          <w:highlight w:val="none"/>
          <w:u w:val="none"/>
        </w:rPr>
      </w:pPr>
      <w:r>
        <w:rPr>
          <w:rFonts w:hint="eastAsia" w:ascii="宋体" w:hAnsi="宋体" w:cs="宋体"/>
          <w:b/>
          <w:bCs/>
          <w:color w:val="auto"/>
          <w:sz w:val="24"/>
          <w:highlight w:val="none"/>
          <w:u w:val="none"/>
        </w:rPr>
        <w:t>投标人</w:t>
      </w:r>
      <w:r>
        <w:rPr>
          <w:rFonts w:hint="eastAsia" w:hAnsi="宋体"/>
          <w:b/>
          <w:bCs/>
          <w:color w:val="auto"/>
          <w:sz w:val="24"/>
          <w:highlight w:val="none"/>
          <w:u w:val="none"/>
        </w:rPr>
        <w:t>（加盖电子公章）</w:t>
      </w:r>
      <w:r>
        <w:rPr>
          <w:rFonts w:hint="eastAsia" w:ascii="宋体" w:hAnsi="宋体" w:cs="宋体"/>
          <w:b/>
          <w:bCs/>
          <w:color w:val="auto"/>
          <w:sz w:val="24"/>
          <w:highlight w:val="none"/>
          <w:u w:val="none"/>
        </w:rPr>
        <w:t>：</w:t>
      </w:r>
    </w:p>
    <w:p w14:paraId="332D0332">
      <w:pPr>
        <w:spacing w:line="480" w:lineRule="auto"/>
        <w:ind w:left="178" w:leftChars="85"/>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法定代表人（公司负责人）或委托代理人（电子签章或签字）：</w:t>
      </w:r>
    </w:p>
    <w:p w14:paraId="4B2342A0">
      <w:pPr>
        <w:spacing w:line="480" w:lineRule="auto"/>
        <w:ind w:left="178" w:leftChars="85"/>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日期：     年   月   日</w:t>
      </w:r>
    </w:p>
    <w:p w14:paraId="44036432">
      <w:pPr>
        <w:spacing w:line="360" w:lineRule="auto"/>
        <w:outlineLvl w:val="1"/>
        <w:rPr>
          <w:b/>
          <w:color w:val="auto"/>
          <w:sz w:val="24"/>
          <w:highlight w:val="none"/>
        </w:rPr>
      </w:pPr>
      <w:bookmarkStart w:id="259" w:name="_Toc23334"/>
      <w:bookmarkStart w:id="260" w:name="_Toc15203"/>
      <w:r>
        <w:rPr>
          <w:rFonts w:hint="eastAsia"/>
          <w:b/>
          <w:color w:val="auto"/>
          <w:sz w:val="24"/>
          <w:highlight w:val="none"/>
        </w:rPr>
        <w:br w:type="page"/>
      </w:r>
      <w:r>
        <w:rPr>
          <w:rFonts w:hint="eastAsia"/>
          <w:b/>
          <w:color w:val="auto"/>
          <w:sz w:val="24"/>
          <w:highlight w:val="none"/>
        </w:rPr>
        <w:t>附件3  法定代表人身份证明</w:t>
      </w:r>
      <w:bookmarkEnd w:id="259"/>
      <w:bookmarkEnd w:id="260"/>
    </w:p>
    <w:p w14:paraId="3EF84248">
      <w:pPr>
        <w:spacing w:beforeLines="50" w:line="288" w:lineRule="auto"/>
        <w:ind w:hanging="104"/>
        <w:jc w:val="center"/>
        <w:rPr>
          <w:rFonts w:ascii="宋体" w:hAnsi="宋体"/>
          <w:color w:val="auto"/>
          <w:szCs w:val="21"/>
          <w:highlight w:val="none"/>
        </w:rPr>
      </w:pPr>
    </w:p>
    <w:p w14:paraId="6A371B41">
      <w:pPr>
        <w:autoSpaceDE w:val="0"/>
        <w:autoSpaceDN w:val="0"/>
        <w:adjustRightInd w:val="0"/>
        <w:spacing w:line="360" w:lineRule="auto"/>
        <w:jc w:val="center"/>
        <w:rPr>
          <w:rFonts w:hint="eastAsia" w:ascii="黑体" w:hAnsi="黑体" w:eastAsia="黑体" w:cs="黑体"/>
          <w:color w:val="auto"/>
          <w:kern w:val="0"/>
          <w:sz w:val="40"/>
          <w:szCs w:val="40"/>
          <w:highlight w:val="none"/>
        </w:rPr>
      </w:pPr>
      <w:r>
        <w:rPr>
          <w:rFonts w:hint="eastAsia" w:ascii="黑体" w:hAnsi="黑体" w:eastAsia="黑体" w:cs="黑体"/>
          <w:color w:val="auto"/>
          <w:kern w:val="0"/>
          <w:sz w:val="40"/>
          <w:szCs w:val="40"/>
          <w:highlight w:val="none"/>
        </w:rPr>
        <w:t>法定代表人身份证明</w:t>
      </w:r>
    </w:p>
    <w:p w14:paraId="63798548">
      <w:pPr>
        <w:autoSpaceDE w:val="0"/>
        <w:autoSpaceDN w:val="0"/>
        <w:adjustRightInd w:val="0"/>
        <w:spacing w:line="360" w:lineRule="auto"/>
        <w:jc w:val="left"/>
        <w:rPr>
          <w:rFonts w:ascii="宋体" w:hAnsi="宋体" w:cs="仿宋_GB2312"/>
          <w:color w:val="auto"/>
          <w:kern w:val="0"/>
          <w:sz w:val="24"/>
          <w:highlight w:val="none"/>
        </w:rPr>
      </w:pPr>
    </w:p>
    <w:p w14:paraId="6C02BA56">
      <w:pPr>
        <w:autoSpaceDE w:val="0"/>
        <w:autoSpaceDN w:val="0"/>
        <w:adjustRightInd w:val="0"/>
        <w:spacing w:line="360" w:lineRule="auto"/>
        <w:jc w:val="left"/>
        <w:rPr>
          <w:rFonts w:ascii="宋体" w:hAnsi="宋体" w:cs="仿宋_GB2312"/>
          <w:color w:val="auto"/>
          <w:kern w:val="0"/>
          <w:sz w:val="24"/>
          <w:highlight w:val="none"/>
        </w:rPr>
      </w:pPr>
    </w:p>
    <w:p w14:paraId="7402EB5D">
      <w:pPr>
        <w:autoSpaceDE w:val="0"/>
        <w:autoSpaceDN w:val="0"/>
        <w:adjustRightInd w:val="0"/>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投标人名称：</w:t>
      </w:r>
      <w:r>
        <w:rPr>
          <w:rFonts w:hint="eastAsia"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 xml:space="preserve"> </w:t>
      </w:r>
    </w:p>
    <w:p w14:paraId="6E994CDA">
      <w:pPr>
        <w:autoSpaceDE w:val="0"/>
        <w:autoSpaceDN w:val="0"/>
        <w:adjustRightInd w:val="0"/>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 xml:space="preserve">单位性质： </w:t>
      </w:r>
      <w:r>
        <w:rPr>
          <w:rFonts w:hint="eastAsia"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 xml:space="preserve"> </w:t>
      </w:r>
    </w:p>
    <w:p w14:paraId="28D77B64">
      <w:pPr>
        <w:autoSpaceDE w:val="0"/>
        <w:autoSpaceDN w:val="0"/>
        <w:adjustRightInd w:val="0"/>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 xml:space="preserve">地    址： </w:t>
      </w:r>
      <w:r>
        <w:rPr>
          <w:rFonts w:hint="eastAsia" w:ascii="宋体" w:hAnsi="宋体" w:cs="仿宋_GB2312"/>
          <w:color w:val="auto"/>
          <w:kern w:val="0"/>
          <w:sz w:val="24"/>
          <w:highlight w:val="none"/>
          <w:u w:val="single"/>
        </w:rPr>
        <w:t xml:space="preserve">                       </w:t>
      </w:r>
    </w:p>
    <w:p w14:paraId="782C1D99">
      <w:pPr>
        <w:autoSpaceDE w:val="0"/>
        <w:autoSpaceDN w:val="0"/>
        <w:adjustRightInd w:val="0"/>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成立时间：</w:t>
      </w:r>
      <w:r>
        <w:rPr>
          <w:rFonts w:hint="eastAsia" w:ascii="宋体" w:hAnsi="宋体" w:cs="仿宋_GB2312"/>
          <w:color w:val="auto"/>
          <w:kern w:val="0"/>
          <w:sz w:val="24"/>
          <w:highlight w:val="none"/>
          <w:u w:val="single"/>
        </w:rPr>
        <w:t xml:space="preserve">     </w:t>
      </w:r>
      <w:r>
        <w:rPr>
          <w:rFonts w:ascii="宋体" w:hAnsi="宋体" w:cs="仿宋_GB2312"/>
          <w:color w:val="auto"/>
          <w:kern w:val="0"/>
          <w:sz w:val="24"/>
          <w:highlight w:val="none"/>
        </w:rPr>
        <w:t xml:space="preserve"> </w:t>
      </w:r>
      <w:r>
        <w:rPr>
          <w:rFonts w:hint="eastAsia" w:ascii="宋体" w:hAnsi="宋体" w:cs="仿宋_GB2312"/>
          <w:color w:val="auto"/>
          <w:kern w:val="0"/>
          <w:sz w:val="24"/>
          <w:highlight w:val="none"/>
        </w:rPr>
        <w:t>年</w:t>
      </w:r>
      <w:r>
        <w:rPr>
          <w:rFonts w:hint="eastAsia"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月</w:t>
      </w:r>
      <w:r>
        <w:rPr>
          <w:rFonts w:hint="eastAsia" w:ascii="宋体" w:hAnsi="宋体" w:cs="仿宋_GB2312"/>
          <w:color w:val="auto"/>
          <w:kern w:val="0"/>
          <w:sz w:val="24"/>
          <w:highlight w:val="none"/>
          <w:u w:val="single"/>
        </w:rPr>
        <w:t xml:space="preserve">  </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日</w:t>
      </w:r>
    </w:p>
    <w:p w14:paraId="058831F1">
      <w:pPr>
        <w:autoSpaceDE w:val="0"/>
        <w:autoSpaceDN w:val="0"/>
        <w:adjustRightInd w:val="0"/>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经营期限：</w:t>
      </w:r>
    </w:p>
    <w:p w14:paraId="62884C4B">
      <w:pPr>
        <w:autoSpaceDE w:val="0"/>
        <w:autoSpaceDN w:val="0"/>
        <w:adjustRightInd w:val="0"/>
        <w:spacing w:line="360" w:lineRule="auto"/>
        <w:jc w:val="left"/>
        <w:rPr>
          <w:rFonts w:ascii="宋体" w:hAnsi="宋体" w:cs="仿宋_GB2312"/>
          <w:color w:val="auto"/>
          <w:kern w:val="0"/>
          <w:sz w:val="24"/>
          <w:highlight w:val="none"/>
        </w:rPr>
      </w:pPr>
    </w:p>
    <w:p w14:paraId="19392222">
      <w:pPr>
        <w:autoSpaceDE w:val="0"/>
        <w:autoSpaceDN w:val="0"/>
        <w:adjustRightInd w:val="0"/>
        <w:spacing w:line="360" w:lineRule="auto"/>
        <w:jc w:val="left"/>
        <w:rPr>
          <w:rFonts w:ascii="宋体" w:hAnsi="宋体" w:cs="仿宋_GB2312"/>
          <w:color w:val="auto"/>
          <w:kern w:val="0"/>
          <w:sz w:val="24"/>
          <w:highlight w:val="none"/>
        </w:rPr>
      </w:pPr>
    </w:p>
    <w:p w14:paraId="597A65A9">
      <w:pPr>
        <w:autoSpaceDE w:val="0"/>
        <w:autoSpaceDN w:val="0"/>
        <w:adjustRightInd w:val="0"/>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姓名：</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性别：</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年龄：</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 xml:space="preserve"> 职务：</w:t>
      </w:r>
      <w:r>
        <w:rPr>
          <w:rFonts w:hint="eastAsia"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系</w:t>
      </w:r>
      <w:r>
        <w:rPr>
          <w:rFonts w:hint="eastAsia"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（投标人名称）的法定代表人。</w:t>
      </w:r>
    </w:p>
    <w:p w14:paraId="2F24E49B">
      <w:pPr>
        <w:autoSpaceDE w:val="0"/>
        <w:autoSpaceDN w:val="0"/>
        <w:adjustRightInd w:val="0"/>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特此证明。</w:t>
      </w:r>
    </w:p>
    <w:p w14:paraId="08D34F2D">
      <w:pPr>
        <w:autoSpaceDE w:val="0"/>
        <w:autoSpaceDN w:val="0"/>
        <w:adjustRightInd w:val="0"/>
        <w:spacing w:line="360" w:lineRule="auto"/>
        <w:jc w:val="left"/>
        <w:rPr>
          <w:rFonts w:ascii="宋体" w:hAnsi="宋体" w:cs="仿宋_GB2312"/>
          <w:color w:val="auto"/>
          <w:kern w:val="0"/>
          <w:sz w:val="24"/>
          <w:highlight w:val="none"/>
        </w:rPr>
      </w:pPr>
    </w:p>
    <w:p w14:paraId="70990171">
      <w:pPr>
        <w:autoSpaceDE w:val="0"/>
        <w:autoSpaceDN w:val="0"/>
        <w:adjustRightInd w:val="0"/>
        <w:spacing w:line="360" w:lineRule="auto"/>
        <w:jc w:val="left"/>
        <w:rPr>
          <w:rFonts w:ascii="宋体" w:hAnsi="宋体" w:cs="仿宋_GB2312"/>
          <w:color w:val="auto"/>
          <w:kern w:val="0"/>
          <w:sz w:val="24"/>
          <w:highlight w:val="none"/>
        </w:rPr>
      </w:pPr>
    </w:p>
    <w:p w14:paraId="469051EC">
      <w:pPr>
        <w:autoSpaceDE w:val="0"/>
        <w:autoSpaceDN w:val="0"/>
        <w:adjustRightInd w:val="0"/>
        <w:spacing w:line="360" w:lineRule="auto"/>
        <w:jc w:val="left"/>
        <w:rPr>
          <w:rFonts w:ascii="宋体" w:hAnsi="宋体" w:cs="仿宋_GB2312"/>
          <w:color w:val="auto"/>
          <w:kern w:val="0"/>
          <w:sz w:val="24"/>
          <w:highlight w:val="none"/>
        </w:rPr>
      </w:pPr>
    </w:p>
    <w:p w14:paraId="1BD092C0">
      <w:pPr>
        <w:autoSpaceDE w:val="0"/>
        <w:autoSpaceDN w:val="0"/>
        <w:adjustRightInd w:val="0"/>
        <w:spacing w:line="360" w:lineRule="auto"/>
        <w:jc w:val="left"/>
        <w:rPr>
          <w:rFonts w:ascii="宋体" w:hAnsi="宋体" w:cs="仿宋_GB2312"/>
          <w:color w:val="auto"/>
          <w:kern w:val="0"/>
          <w:sz w:val="24"/>
          <w:highlight w:val="none"/>
        </w:rPr>
      </w:pPr>
    </w:p>
    <w:p w14:paraId="24ADD328">
      <w:pPr>
        <w:autoSpaceDE w:val="0"/>
        <w:autoSpaceDN w:val="0"/>
        <w:adjustRightInd w:val="0"/>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投标人</w:t>
      </w:r>
      <w:r>
        <w:rPr>
          <w:rFonts w:hint="eastAsia" w:hAnsi="宋体"/>
          <w:color w:val="auto"/>
          <w:sz w:val="24"/>
          <w:highlight w:val="none"/>
          <w:u w:val="none"/>
        </w:rPr>
        <w:t>（加盖电子公章）</w:t>
      </w:r>
      <w:r>
        <w:rPr>
          <w:rFonts w:hint="eastAsia" w:ascii="宋体" w:hAnsi="宋体" w:cs="仿宋_GB2312"/>
          <w:color w:val="auto"/>
          <w:kern w:val="0"/>
          <w:sz w:val="24"/>
          <w:highlight w:val="none"/>
        </w:rPr>
        <w:t xml:space="preserve">：          </w:t>
      </w:r>
      <w:r>
        <w:rPr>
          <w:rFonts w:ascii="宋体" w:hAnsi="宋体" w:cs="仿宋_GB2312"/>
          <w:color w:val="auto"/>
          <w:kern w:val="0"/>
          <w:sz w:val="24"/>
          <w:highlight w:val="none"/>
        </w:rPr>
        <w:t xml:space="preserve"> </w:t>
      </w:r>
    </w:p>
    <w:p w14:paraId="63DE680C">
      <w:pPr>
        <w:autoSpaceDE w:val="0"/>
        <w:autoSpaceDN w:val="0"/>
        <w:adjustRightInd w:val="0"/>
        <w:spacing w:line="360" w:lineRule="auto"/>
        <w:ind w:left="5399" w:leftChars="2571"/>
        <w:jc w:val="left"/>
        <w:rPr>
          <w:rFonts w:ascii="宋体" w:hAnsi="宋体" w:cs="仿宋_GB2312"/>
          <w:color w:val="auto"/>
          <w:kern w:val="0"/>
          <w:sz w:val="24"/>
          <w:highlight w:val="none"/>
        </w:rPr>
      </w:pPr>
    </w:p>
    <w:p w14:paraId="55FB14A4">
      <w:pPr>
        <w:autoSpaceDE w:val="0"/>
        <w:autoSpaceDN w:val="0"/>
        <w:adjustRightInd w:val="0"/>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年</w:t>
      </w:r>
      <w:r>
        <w:rPr>
          <w:rFonts w:ascii="宋体" w:hAnsi="宋体" w:cs="仿宋_GB2312"/>
          <w:color w:val="auto"/>
          <w:kern w:val="0"/>
          <w:sz w:val="24"/>
          <w:highlight w:val="none"/>
        </w:rPr>
        <w:t xml:space="preserve"> </w:t>
      </w:r>
      <w:r>
        <w:rPr>
          <w:rFonts w:hint="eastAsia" w:ascii="宋体" w:hAnsi="宋体" w:cs="仿宋_GB2312"/>
          <w:color w:val="auto"/>
          <w:kern w:val="0"/>
          <w:sz w:val="24"/>
          <w:highlight w:val="none"/>
        </w:rPr>
        <w:t>月</w:t>
      </w:r>
      <w:r>
        <w:rPr>
          <w:rFonts w:ascii="宋体" w:hAnsi="宋体" w:cs="仿宋_GB2312"/>
          <w:color w:val="auto"/>
          <w:kern w:val="0"/>
          <w:sz w:val="24"/>
          <w:highlight w:val="none"/>
        </w:rPr>
        <w:t xml:space="preserve"> </w:t>
      </w:r>
      <w:r>
        <w:rPr>
          <w:rFonts w:hint="eastAsia" w:ascii="宋体" w:hAnsi="宋体" w:cs="仿宋_GB2312"/>
          <w:color w:val="auto"/>
          <w:kern w:val="0"/>
          <w:sz w:val="24"/>
          <w:highlight w:val="none"/>
        </w:rPr>
        <w:t>日</w:t>
      </w:r>
    </w:p>
    <w:p w14:paraId="4CA2BDC5">
      <w:pPr>
        <w:spacing w:line="360" w:lineRule="auto"/>
        <w:outlineLvl w:val="1"/>
        <w:rPr>
          <w:b/>
          <w:color w:val="auto"/>
          <w:sz w:val="24"/>
          <w:highlight w:val="none"/>
        </w:rPr>
      </w:pPr>
      <w:r>
        <w:rPr>
          <w:rFonts w:ascii="宋体" w:hAnsi="宋体" w:cs="TimesNewRomanPSMT"/>
          <w:color w:val="auto"/>
          <w:kern w:val="0"/>
          <w:sz w:val="18"/>
          <w:szCs w:val="18"/>
          <w:highlight w:val="none"/>
        </w:rPr>
        <w:br w:type="page"/>
      </w:r>
      <w:bookmarkStart w:id="261" w:name="_Toc23211"/>
      <w:bookmarkStart w:id="262" w:name="_Toc4452"/>
      <w:bookmarkStart w:id="263" w:name="_Toc195922058"/>
      <w:r>
        <w:rPr>
          <w:rFonts w:hint="eastAsia"/>
          <w:b/>
          <w:color w:val="auto"/>
          <w:sz w:val="24"/>
          <w:highlight w:val="none"/>
        </w:rPr>
        <w:t>附件4  授权委托书</w:t>
      </w:r>
      <w:bookmarkEnd w:id="261"/>
      <w:bookmarkEnd w:id="262"/>
    </w:p>
    <w:p w14:paraId="017F948C">
      <w:pPr>
        <w:autoSpaceDE w:val="0"/>
        <w:autoSpaceDN w:val="0"/>
        <w:adjustRightInd w:val="0"/>
        <w:jc w:val="center"/>
        <w:rPr>
          <w:rFonts w:ascii="宋体" w:hAnsi="宋体" w:cs="TimesNewRomanPSMT"/>
          <w:color w:val="auto"/>
          <w:kern w:val="0"/>
          <w:sz w:val="18"/>
          <w:szCs w:val="18"/>
          <w:highlight w:val="none"/>
        </w:rPr>
      </w:pPr>
    </w:p>
    <w:p w14:paraId="12018404">
      <w:pPr>
        <w:autoSpaceDE w:val="0"/>
        <w:autoSpaceDN w:val="0"/>
        <w:adjustRightInd w:val="0"/>
        <w:spacing w:line="360" w:lineRule="auto"/>
        <w:jc w:val="center"/>
        <w:rPr>
          <w:rFonts w:hint="eastAsia" w:ascii="黑体" w:hAnsi="黑体" w:eastAsia="黑体" w:cs="黑体"/>
          <w:color w:val="auto"/>
          <w:kern w:val="0"/>
          <w:sz w:val="40"/>
          <w:szCs w:val="40"/>
          <w:highlight w:val="none"/>
        </w:rPr>
      </w:pPr>
      <w:r>
        <w:rPr>
          <w:rFonts w:hint="eastAsia" w:ascii="黑体" w:hAnsi="黑体" w:eastAsia="黑体" w:cs="黑体"/>
          <w:color w:val="auto"/>
          <w:kern w:val="0"/>
          <w:sz w:val="40"/>
          <w:szCs w:val="40"/>
          <w:highlight w:val="none"/>
        </w:rPr>
        <w:t>授权委托书</w:t>
      </w:r>
      <w:bookmarkEnd w:id="263"/>
    </w:p>
    <w:p w14:paraId="1E109F60">
      <w:pPr>
        <w:autoSpaceDE w:val="0"/>
        <w:autoSpaceDN w:val="0"/>
        <w:adjustRightInd w:val="0"/>
        <w:jc w:val="center"/>
        <w:rPr>
          <w:rFonts w:ascii="宋体" w:hAnsi="宋体" w:cs="黑体"/>
          <w:color w:val="auto"/>
          <w:kern w:val="0"/>
          <w:sz w:val="28"/>
          <w:szCs w:val="28"/>
          <w:highlight w:val="none"/>
        </w:rPr>
      </w:pPr>
    </w:p>
    <w:p w14:paraId="3A1F0DCA">
      <w:pPr>
        <w:autoSpaceDE w:val="0"/>
        <w:autoSpaceDN w:val="0"/>
        <w:adjustRightInd w:val="0"/>
        <w:jc w:val="left"/>
        <w:rPr>
          <w:rFonts w:ascii="宋体" w:hAnsi="宋体" w:cs="仿宋_GB2312"/>
          <w:color w:val="auto"/>
          <w:kern w:val="0"/>
          <w:szCs w:val="21"/>
          <w:highlight w:val="none"/>
        </w:rPr>
      </w:pPr>
    </w:p>
    <w:p w14:paraId="63423E3D">
      <w:pPr>
        <w:autoSpaceDE w:val="0"/>
        <w:autoSpaceDN w:val="0"/>
        <w:adjustRightInd w:val="0"/>
        <w:spacing w:line="360" w:lineRule="auto"/>
        <w:ind w:firstLine="480" w:firstLineChars="200"/>
        <w:jc w:val="left"/>
        <w:rPr>
          <w:rFonts w:ascii="宋体" w:hAnsi="宋体" w:cs="仿宋_GB2312"/>
          <w:color w:val="auto"/>
          <w:kern w:val="0"/>
          <w:sz w:val="24"/>
          <w:highlight w:val="none"/>
        </w:rPr>
      </w:pPr>
      <w:r>
        <w:rPr>
          <w:rFonts w:hint="eastAsia" w:ascii="宋体" w:hAnsi="宋体" w:cs="仿宋_GB2312"/>
          <w:color w:val="auto"/>
          <w:kern w:val="0"/>
          <w:sz w:val="24"/>
          <w:highlight w:val="none"/>
        </w:rPr>
        <w:t>本人</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（姓名）系</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（投标人名称）的法定代表人，现委托</w:t>
      </w:r>
      <w:r>
        <w:rPr>
          <w:rFonts w:hint="eastAsia"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（姓名）为我方代理人。代理人根据授权，以我方名义签署、澄清、说明、补正、递交、撤回、修改</w:t>
      </w:r>
      <w:r>
        <w:rPr>
          <w:rFonts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u w:val="single"/>
        </w:rPr>
        <w:t xml:space="preserve">           </w:t>
      </w:r>
      <w:r>
        <w:rPr>
          <w:rFonts w:hint="eastAsia" w:ascii="宋体" w:hAnsi="宋体" w:cs="仿宋_GB2312"/>
          <w:color w:val="auto"/>
          <w:kern w:val="0"/>
          <w:sz w:val="24"/>
          <w:highlight w:val="none"/>
        </w:rPr>
        <w:t>（项目名称）投标文件、签订合同和处理有关事宜，其法律后果由我方承担。</w:t>
      </w:r>
    </w:p>
    <w:p w14:paraId="0408D5C6">
      <w:pPr>
        <w:autoSpaceDE w:val="0"/>
        <w:autoSpaceDN w:val="0"/>
        <w:adjustRightInd w:val="0"/>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委托期限：</w:t>
      </w:r>
      <w:r>
        <w:rPr>
          <w:rFonts w:hint="eastAsia" w:ascii="宋体" w:hAnsi="宋体" w:cs="仿宋_GB2312"/>
          <w:color w:val="auto"/>
          <w:kern w:val="0"/>
          <w:sz w:val="24"/>
          <w:highlight w:val="none"/>
          <w:u w:val="single"/>
        </w:rPr>
        <w:t xml:space="preserve">             </w:t>
      </w:r>
      <w:r>
        <w:rPr>
          <w:rFonts w:ascii="宋体" w:hAnsi="宋体" w:cs="仿宋_GB2312"/>
          <w:color w:val="auto"/>
          <w:kern w:val="0"/>
          <w:sz w:val="24"/>
          <w:highlight w:val="none"/>
        </w:rPr>
        <w:t xml:space="preserve"> </w:t>
      </w:r>
      <w:r>
        <w:rPr>
          <w:rFonts w:hint="eastAsia" w:ascii="宋体" w:hAnsi="宋体" w:cs="仿宋_GB2312"/>
          <w:color w:val="auto"/>
          <w:kern w:val="0"/>
          <w:sz w:val="24"/>
          <w:highlight w:val="none"/>
        </w:rPr>
        <w:t>。</w:t>
      </w:r>
    </w:p>
    <w:p w14:paraId="3B6ECC79">
      <w:pPr>
        <w:autoSpaceDE w:val="0"/>
        <w:autoSpaceDN w:val="0"/>
        <w:adjustRightInd w:val="0"/>
        <w:spacing w:line="360" w:lineRule="auto"/>
        <w:jc w:val="left"/>
        <w:rPr>
          <w:rFonts w:ascii="宋体" w:hAnsi="宋体" w:cs="仿宋_GB2312"/>
          <w:color w:val="auto"/>
          <w:kern w:val="0"/>
          <w:sz w:val="24"/>
          <w:highlight w:val="none"/>
        </w:rPr>
      </w:pPr>
    </w:p>
    <w:p w14:paraId="4E27F636">
      <w:pPr>
        <w:autoSpaceDE w:val="0"/>
        <w:autoSpaceDN w:val="0"/>
        <w:adjustRightInd w:val="0"/>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代理人无转委托权。</w:t>
      </w:r>
    </w:p>
    <w:p w14:paraId="015DF6BA">
      <w:pPr>
        <w:autoSpaceDE w:val="0"/>
        <w:autoSpaceDN w:val="0"/>
        <w:adjustRightInd w:val="0"/>
        <w:spacing w:line="360" w:lineRule="auto"/>
        <w:jc w:val="left"/>
        <w:rPr>
          <w:rFonts w:ascii="宋体" w:hAnsi="宋体" w:cs="仿宋_GB2312"/>
          <w:color w:val="auto"/>
          <w:kern w:val="0"/>
          <w:sz w:val="24"/>
          <w:highlight w:val="none"/>
        </w:rPr>
      </w:pPr>
    </w:p>
    <w:p w14:paraId="692381A2">
      <w:pPr>
        <w:autoSpaceDE w:val="0"/>
        <w:autoSpaceDN w:val="0"/>
        <w:adjustRightInd w:val="0"/>
        <w:spacing w:line="360" w:lineRule="auto"/>
        <w:jc w:val="left"/>
        <w:rPr>
          <w:rFonts w:ascii="宋体" w:hAnsi="宋体" w:cs="仿宋_GB2312"/>
          <w:color w:val="auto"/>
          <w:kern w:val="0"/>
          <w:sz w:val="24"/>
          <w:highlight w:val="none"/>
        </w:rPr>
      </w:pPr>
    </w:p>
    <w:p w14:paraId="5051933A">
      <w:pPr>
        <w:autoSpaceDE w:val="0"/>
        <w:autoSpaceDN w:val="0"/>
        <w:adjustRightInd w:val="0"/>
        <w:spacing w:line="360" w:lineRule="auto"/>
        <w:jc w:val="left"/>
        <w:rPr>
          <w:rFonts w:ascii="宋体" w:hAnsi="宋体" w:cs="仿宋_GB2312"/>
          <w:color w:val="auto"/>
          <w:kern w:val="0"/>
          <w:sz w:val="24"/>
          <w:highlight w:val="none"/>
        </w:rPr>
      </w:pPr>
    </w:p>
    <w:p w14:paraId="424858AF">
      <w:pPr>
        <w:autoSpaceDE w:val="0"/>
        <w:autoSpaceDN w:val="0"/>
        <w:adjustRightInd w:val="0"/>
        <w:spacing w:line="360" w:lineRule="auto"/>
        <w:ind w:firstLine="0"/>
        <w:jc w:val="left"/>
        <w:rPr>
          <w:rFonts w:hint="eastAsia" w:ascii="宋体" w:hAnsi="宋体" w:cs="仿宋_GB2312"/>
          <w:color w:val="auto"/>
          <w:kern w:val="0"/>
          <w:sz w:val="24"/>
          <w:highlight w:val="none"/>
          <w:lang w:val="en-US" w:eastAsia="zh-CN"/>
        </w:rPr>
      </w:pPr>
      <w:r>
        <w:rPr>
          <w:rFonts w:hint="eastAsia" w:ascii="宋体" w:hAnsi="宋体" w:cs="仿宋_GB2312"/>
          <w:color w:val="auto"/>
          <w:kern w:val="0"/>
          <w:sz w:val="24"/>
          <w:highlight w:val="none"/>
        </w:rPr>
        <w:t>附：法定代表人身份证明</w:t>
      </w:r>
    </w:p>
    <w:p w14:paraId="478B67AC">
      <w:pPr>
        <w:autoSpaceDE w:val="0"/>
        <w:autoSpaceDN w:val="0"/>
        <w:adjustRightInd w:val="0"/>
        <w:spacing w:line="360" w:lineRule="auto"/>
        <w:ind w:firstLine="480"/>
        <w:jc w:val="left"/>
        <w:rPr>
          <w:rFonts w:hint="eastAsia" w:ascii="宋体" w:hAnsi="宋体" w:cs="仿宋_GB2312"/>
          <w:color w:val="auto"/>
          <w:kern w:val="0"/>
          <w:sz w:val="24"/>
          <w:highlight w:val="none"/>
          <w:lang w:val="en-US" w:eastAsia="zh-CN"/>
        </w:rPr>
      </w:pPr>
      <w:r>
        <w:rPr>
          <w:rFonts w:hint="eastAsia" w:ascii="宋体" w:hAnsi="宋体" w:cs="仿宋_GB2312"/>
          <w:color w:val="auto"/>
          <w:kern w:val="0"/>
          <w:sz w:val="24"/>
          <w:highlight w:val="none"/>
          <w:lang w:val="en-US" w:eastAsia="zh-CN"/>
        </w:rPr>
        <w:t>委托代理人身份证复印件</w:t>
      </w:r>
    </w:p>
    <w:p w14:paraId="12EEC3AE">
      <w:pPr>
        <w:autoSpaceDE w:val="0"/>
        <w:autoSpaceDN w:val="0"/>
        <w:adjustRightInd w:val="0"/>
        <w:spacing w:line="360" w:lineRule="auto"/>
        <w:jc w:val="left"/>
        <w:rPr>
          <w:rFonts w:ascii="宋体" w:hAnsi="宋体" w:cs="仿宋_GB2312"/>
          <w:color w:val="auto"/>
          <w:kern w:val="0"/>
          <w:sz w:val="24"/>
          <w:highlight w:val="none"/>
        </w:rPr>
      </w:pPr>
    </w:p>
    <w:p w14:paraId="2839EAF6">
      <w:pPr>
        <w:autoSpaceDE w:val="0"/>
        <w:autoSpaceDN w:val="0"/>
        <w:adjustRightInd w:val="0"/>
        <w:spacing w:line="360" w:lineRule="auto"/>
        <w:jc w:val="left"/>
        <w:rPr>
          <w:rFonts w:ascii="宋体" w:hAnsi="宋体" w:cs="仿宋_GB2312"/>
          <w:color w:val="auto"/>
          <w:kern w:val="0"/>
          <w:sz w:val="24"/>
          <w:highlight w:val="none"/>
        </w:rPr>
      </w:pPr>
    </w:p>
    <w:p w14:paraId="063D4D78">
      <w:pPr>
        <w:autoSpaceDE w:val="0"/>
        <w:autoSpaceDN w:val="0"/>
        <w:adjustRightInd w:val="0"/>
        <w:spacing w:line="360" w:lineRule="auto"/>
        <w:jc w:val="left"/>
        <w:rPr>
          <w:rFonts w:ascii="宋体" w:hAnsi="宋体" w:cs="仿宋_GB2312"/>
          <w:color w:val="auto"/>
          <w:kern w:val="0"/>
          <w:sz w:val="24"/>
          <w:highlight w:val="none"/>
        </w:rPr>
      </w:pPr>
    </w:p>
    <w:p w14:paraId="3D244C39">
      <w:pPr>
        <w:autoSpaceDE w:val="0"/>
        <w:autoSpaceDN w:val="0"/>
        <w:adjustRightInd w:val="0"/>
        <w:spacing w:line="360" w:lineRule="auto"/>
        <w:ind w:left="3958" w:leftChars="1885"/>
        <w:jc w:val="left"/>
        <w:rPr>
          <w:rFonts w:ascii="宋体" w:hAnsi="宋体" w:cs="仿宋_GB2312"/>
          <w:color w:val="auto"/>
          <w:kern w:val="0"/>
          <w:sz w:val="24"/>
          <w:highlight w:val="none"/>
        </w:rPr>
      </w:pPr>
      <w:r>
        <w:rPr>
          <w:rFonts w:hint="eastAsia" w:ascii="宋体" w:hAnsi="宋体" w:cs="仿宋_GB2312"/>
          <w:color w:val="auto"/>
          <w:kern w:val="0"/>
          <w:sz w:val="24"/>
          <w:highlight w:val="none"/>
        </w:rPr>
        <w:t>投标人</w:t>
      </w:r>
      <w:r>
        <w:rPr>
          <w:rFonts w:hint="eastAsia" w:hAnsi="宋体"/>
          <w:color w:val="auto"/>
          <w:sz w:val="24"/>
          <w:highlight w:val="none"/>
          <w:u w:val="none"/>
        </w:rPr>
        <w:t>（加盖电子公章）</w:t>
      </w:r>
      <w:r>
        <w:rPr>
          <w:rFonts w:hint="eastAsia" w:ascii="宋体" w:hAnsi="宋体" w:cs="仿宋_GB2312"/>
          <w:color w:val="auto"/>
          <w:kern w:val="0"/>
          <w:sz w:val="24"/>
          <w:highlight w:val="none"/>
        </w:rPr>
        <w:t>：</w:t>
      </w:r>
      <w:r>
        <w:rPr>
          <w:rFonts w:ascii="宋体" w:hAnsi="宋体" w:cs="仿宋_GB2312"/>
          <w:color w:val="auto"/>
          <w:kern w:val="0"/>
          <w:sz w:val="24"/>
          <w:highlight w:val="none"/>
        </w:rPr>
        <w:t xml:space="preserve"> </w:t>
      </w:r>
      <w:r>
        <w:rPr>
          <w:rFonts w:hint="eastAsia" w:ascii="宋体" w:hAnsi="宋体" w:cs="仿宋_GB2312"/>
          <w:color w:val="auto"/>
          <w:kern w:val="0"/>
          <w:sz w:val="24"/>
          <w:highlight w:val="none"/>
        </w:rPr>
        <w:t xml:space="preserve">          </w:t>
      </w:r>
    </w:p>
    <w:p w14:paraId="688DB857">
      <w:pPr>
        <w:autoSpaceDE w:val="0"/>
        <w:autoSpaceDN w:val="0"/>
        <w:adjustRightInd w:val="0"/>
        <w:spacing w:line="360" w:lineRule="auto"/>
        <w:ind w:left="3958" w:leftChars="1885"/>
        <w:jc w:val="left"/>
        <w:rPr>
          <w:rFonts w:ascii="宋体" w:hAnsi="宋体" w:cs="仿宋_GB2312"/>
          <w:color w:val="auto"/>
          <w:kern w:val="0"/>
          <w:sz w:val="24"/>
          <w:highlight w:val="none"/>
        </w:rPr>
      </w:pPr>
      <w:r>
        <w:rPr>
          <w:rFonts w:hint="eastAsia" w:ascii="宋体" w:hAnsi="宋体" w:cs="仿宋_GB2312"/>
          <w:color w:val="auto"/>
          <w:kern w:val="0"/>
          <w:sz w:val="24"/>
          <w:highlight w:val="none"/>
        </w:rPr>
        <w:t>法定代表人</w:t>
      </w:r>
      <w:r>
        <w:rPr>
          <w:rFonts w:hint="eastAsia" w:ascii="宋体" w:hAnsi="宋体" w:cs="宋体"/>
          <w:color w:val="auto"/>
          <w:sz w:val="24"/>
          <w:highlight w:val="none"/>
          <w:u w:val="none"/>
        </w:rPr>
        <w:t>（电子签章或签字）</w:t>
      </w:r>
      <w:r>
        <w:rPr>
          <w:rFonts w:hint="eastAsia" w:ascii="宋体" w:hAnsi="宋体" w:cs="仿宋_GB2312"/>
          <w:color w:val="auto"/>
          <w:kern w:val="0"/>
          <w:sz w:val="24"/>
          <w:highlight w:val="none"/>
        </w:rPr>
        <w:t>：</w:t>
      </w:r>
      <w:r>
        <w:rPr>
          <w:rFonts w:ascii="宋体" w:hAnsi="宋体" w:cs="仿宋_GB2312"/>
          <w:color w:val="auto"/>
          <w:kern w:val="0"/>
          <w:sz w:val="24"/>
          <w:highlight w:val="none"/>
        </w:rPr>
        <w:t xml:space="preserve"> </w:t>
      </w:r>
      <w:r>
        <w:rPr>
          <w:rFonts w:hint="eastAsia" w:ascii="宋体" w:hAnsi="宋体" w:cs="仿宋_GB2312"/>
          <w:color w:val="auto"/>
          <w:kern w:val="0"/>
          <w:sz w:val="24"/>
          <w:highlight w:val="none"/>
        </w:rPr>
        <w:t xml:space="preserve">         </w:t>
      </w:r>
    </w:p>
    <w:p w14:paraId="5F6EAD6B">
      <w:pPr>
        <w:autoSpaceDE w:val="0"/>
        <w:autoSpaceDN w:val="0"/>
        <w:adjustRightInd w:val="0"/>
        <w:spacing w:line="360" w:lineRule="auto"/>
        <w:ind w:left="3958" w:leftChars="1885"/>
        <w:jc w:val="left"/>
        <w:rPr>
          <w:rFonts w:ascii="宋体" w:hAnsi="宋体" w:cs="仿宋_GB2312"/>
          <w:color w:val="auto"/>
          <w:kern w:val="0"/>
          <w:sz w:val="24"/>
          <w:highlight w:val="none"/>
        </w:rPr>
      </w:pPr>
      <w:r>
        <w:rPr>
          <w:rFonts w:hint="eastAsia" w:ascii="宋体" w:hAnsi="宋体" w:cs="仿宋_GB2312"/>
          <w:color w:val="auto"/>
          <w:kern w:val="0"/>
          <w:sz w:val="24"/>
          <w:highlight w:val="none"/>
        </w:rPr>
        <w:t>身份证号码：</w:t>
      </w:r>
    </w:p>
    <w:p w14:paraId="15F7275F">
      <w:pPr>
        <w:autoSpaceDE w:val="0"/>
        <w:autoSpaceDN w:val="0"/>
        <w:adjustRightInd w:val="0"/>
        <w:spacing w:line="360" w:lineRule="auto"/>
        <w:ind w:left="3958" w:leftChars="1885"/>
        <w:jc w:val="left"/>
        <w:rPr>
          <w:rFonts w:ascii="宋体" w:hAnsi="宋体" w:cs="仿宋_GB2312"/>
          <w:color w:val="auto"/>
          <w:kern w:val="0"/>
          <w:sz w:val="24"/>
          <w:highlight w:val="none"/>
        </w:rPr>
      </w:pPr>
      <w:r>
        <w:rPr>
          <w:rFonts w:hint="eastAsia" w:ascii="宋体" w:hAnsi="宋体" w:cs="仿宋_GB2312"/>
          <w:color w:val="auto"/>
          <w:kern w:val="0"/>
          <w:sz w:val="24"/>
          <w:highlight w:val="none"/>
        </w:rPr>
        <w:t>委托代理人</w:t>
      </w:r>
      <w:r>
        <w:rPr>
          <w:rFonts w:hint="eastAsia" w:ascii="宋体" w:hAnsi="宋体" w:cs="宋体"/>
          <w:color w:val="auto"/>
          <w:sz w:val="24"/>
          <w:highlight w:val="none"/>
          <w:u w:val="none"/>
        </w:rPr>
        <w:t>（电子签章或签字）</w:t>
      </w:r>
      <w:r>
        <w:rPr>
          <w:rFonts w:hint="eastAsia" w:ascii="宋体" w:hAnsi="宋体" w:cs="仿宋_GB2312"/>
          <w:color w:val="auto"/>
          <w:kern w:val="0"/>
          <w:sz w:val="24"/>
          <w:highlight w:val="none"/>
        </w:rPr>
        <w:t>：</w:t>
      </w:r>
      <w:r>
        <w:rPr>
          <w:rFonts w:ascii="宋体" w:hAnsi="宋体" w:cs="仿宋_GB2312"/>
          <w:color w:val="auto"/>
          <w:kern w:val="0"/>
          <w:sz w:val="24"/>
          <w:highlight w:val="none"/>
        </w:rPr>
        <w:t xml:space="preserve"> </w:t>
      </w:r>
      <w:r>
        <w:rPr>
          <w:rFonts w:hint="eastAsia" w:ascii="宋体" w:hAnsi="宋体" w:cs="仿宋_GB2312"/>
          <w:color w:val="auto"/>
          <w:kern w:val="0"/>
          <w:sz w:val="24"/>
          <w:highlight w:val="none"/>
        </w:rPr>
        <w:t xml:space="preserve">           </w:t>
      </w:r>
    </w:p>
    <w:p w14:paraId="48ED3252">
      <w:pPr>
        <w:autoSpaceDE w:val="0"/>
        <w:autoSpaceDN w:val="0"/>
        <w:adjustRightInd w:val="0"/>
        <w:spacing w:line="360" w:lineRule="auto"/>
        <w:ind w:left="3958" w:leftChars="1885"/>
        <w:jc w:val="left"/>
        <w:rPr>
          <w:rFonts w:ascii="宋体" w:hAnsi="宋体" w:cs="仿宋_GB2312"/>
          <w:color w:val="auto"/>
          <w:kern w:val="0"/>
          <w:sz w:val="24"/>
          <w:highlight w:val="none"/>
        </w:rPr>
      </w:pPr>
      <w:r>
        <w:rPr>
          <w:rFonts w:hint="eastAsia" w:ascii="宋体" w:hAnsi="宋体" w:cs="仿宋_GB2312"/>
          <w:color w:val="auto"/>
          <w:kern w:val="0"/>
          <w:sz w:val="24"/>
          <w:highlight w:val="none"/>
        </w:rPr>
        <w:t>身份证号码：</w:t>
      </w:r>
    </w:p>
    <w:p w14:paraId="6623CE54">
      <w:pPr>
        <w:autoSpaceDE w:val="0"/>
        <w:autoSpaceDN w:val="0"/>
        <w:adjustRightInd w:val="0"/>
        <w:spacing w:line="360" w:lineRule="auto"/>
        <w:ind w:left="3958" w:leftChars="1885" w:firstLine="720" w:firstLineChars="300"/>
        <w:jc w:val="left"/>
        <w:rPr>
          <w:rFonts w:ascii="宋体" w:hAnsi="宋体" w:cs="仿宋_GB2312"/>
          <w:color w:val="auto"/>
          <w:kern w:val="0"/>
          <w:sz w:val="24"/>
          <w:highlight w:val="none"/>
        </w:rPr>
      </w:pPr>
      <w:r>
        <w:rPr>
          <w:rFonts w:hint="eastAsia" w:ascii="宋体" w:hAnsi="宋体" w:cs="仿宋_GB2312"/>
          <w:color w:val="auto"/>
          <w:kern w:val="0"/>
          <w:sz w:val="24"/>
          <w:highlight w:val="none"/>
        </w:rPr>
        <w:t>年</w:t>
      </w:r>
      <w:r>
        <w:rPr>
          <w:rFonts w:ascii="宋体" w:hAnsi="宋体" w:cs="仿宋_GB2312"/>
          <w:color w:val="auto"/>
          <w:kern w:val="0"/>
          <w:sz w:val="24"/>
          <w:highlight w:val="none"/>
        </w:rPr>
        <w:t xml:space="preserve"> </w:t>
      </w:r>
      <w:r>
        <w:rPr>
          <w:rFonts w:hint="eastAsia" w:ascii="宋体" w:hAnsi="宋体" w:cs="仿宋_GB2312"/>
          <w:color w:val="auto"/>
          <w:kern w:val="0"/>
          <w:sz w:val="24"/>
          <w:highlight w:val="none"/>
          <w:lang w:val="en-US" w:eastAsia="zh-CN"/>
        </w:rPr>
        <w:t xml:space="preserve">  </w:t>
      </w:r>
      <w:r>
        <w:rPr>
          <w:rFonts w:hint="eastAsia" w:ascii="宋体" w:hAnsi="宋体" w:cs="仿宋_GB2312"/>
          <w:color w:val="auto"/>
          <w:kern w:val="0"/>
          <w:sz w:val="24"/>
          <w:highlight w:val="none"/>
        </w:rPr>
        <w:t>月</w:t>
      </w:r>
      <w:r>
        <w:rPr>
          <w:rFonts w:ascii="宋体" w:hAnsi="宋体" w:cs="仿宋_GB2312"/>
          <w:color w:val="auto"/>
          <w:kern w:val="0"/>
          <w:sz w:val="24"/>
          <w:highlight w:val="none"/>
        </w:rPr>
        <w:t xml:space="preserve"> </w:t>
      </w:r>
      <w:r>
        <w:rPr>
          <w:rFonts w:hint="eastAsia" w:ascii="宋体" w:hAnsi="宋体" w:cs="仿宋_GB2312"/>
          <w:color w:val="auto"/>
          <w:kern w:val="0"/>
          <w:sz w:val="24"/>
          <w:highlight w:val="none"/>
          <w:lang w:val="en-US" w:eastAsia="zh-CN"/>
        </w:rPr>
        <w:t xml:space="preserve">  </w:t>
      </w:r>
      <w:r>
        <w:rPr>
          <w:rFonts w:hint="eastAsia" w:ascii="宋体" w:hAnsi="宋体" w:cs="仿宋_GB2312"/>
          <w:color w:val="auto"/>
          <w:kern w:val="0"/>
          <w:sz w:val="24"/>
          <w:highlight w:val="none"/>
        </w:rPr>
        <w:t>日</w:t>
      </w:r>
    </w:p>
    <w:p w14:paraId="6DBF92A4">
      <w:pPr>
        <w:adjustRightInd/>
        <w:spacing w:line="360" w:lineRule="auto"/>
        <w:ind w:firstLine="0" w:firstLineChars="0"/>
        <w:jc w:val="both"/>
        <w:outlineLvl w:val="1"/>
        <w:rPr>
          <w:rFonts w:ascii="宋体" w:hAnsi="宋体"/>
          <w:b/>
          <w:color w:val="auto"/>
          <w:sz w:val="24"/>
          <w:highlight w:val="none"/>
        </w:rPr>
      </w:pPr>
      <w:bookmarkStart w:id="264" w:name="_Toc414445766"/>
      <w:bookmarkStart w:id="265" w:name="_Toc410631175"/>
      <w:r>
        <w:rPr>
          <w:rFonts w:ascii="Arial" w:hAnsi="宋体" w:cs="Arial"/>
          <w:color w:val="auto"/>
          <w:sz w:val="28"/>
          <w:szCs w:val="28"/>
          <w:highlight w:val="none"/>
        </w:rPr>
        <w:br w:type="page"/>
      </w:r>
      <w:bookmarkEnd w:id="264"/>
      <w:bookmarkEnd w:id="265"/>
      <w:bookmarkStart w:id="266" w:name="_Toc14944"/>
      <w:bookmarkStart w:id="267" w:name="_Toc390"/>
      <w:r>
        <w:rPr>
          <w:rFonts w:hint="eastAsia"/>
          <w:b/>
          <w:color w:val="auto"/>
          <w:sz w:val="24"/>
          <w:highlight w:val="none"/>
        </w:rPr>
        <w:t>附件5　投标保证金</w:t>
      </w:r>
      <w:bookmarkEnd w:id="257"/>
      <w:bookmarkEnd w:id="258"/>
      <w:r>
        <w:rPr>
          <w:rFonts w:hint="eastAsia" w:ascii="宋体" w:hAnsi="宋体"/>
          <w:b/>
          <w:color w:val="auto"/>
          <w:sz w:val="24"/>
          <w:highlight w:val="none"/>
        </w:rPr>
        <w:t>（</w:t>
      </w:r>
      <w:r>
        <w:rPr>
          <w:rFonts w:hint="eastAsia" w:ascii="宋体" w:hAnsi="宋体"/>
          <w:color w:val="auto"/>
          <w:sz w:val="24"/>
          <w:highlight w:val="none"/>
        </w:rPr>
        <w:t>支票、汇票或本票的复印件，或采用汇款、网银等方式提交的保证金的汇款底单复印件</w:t>
      </w:r>
      <w:r>
        <w:rPr>
          <w:rFonts w:hint="eastAsia" w:ascii="宋体" w:hAnsi="宋体"/>
          <w:b/>
          <w:color w:val="auto"/>
          <w:sz w:val="24"/>
          <w:highlight w:val="none"/>
        </w:rPr>
        <w:t>）</w:t>
      </w:r>
      <w:bookmarkEnd w:id="266"/>
      <w:bookmarkEnd w:id="267"/>
    </w:p>
    <w:p w14:paraId="6DB500D9">
      <w:pPr>
        <w:jc w:val="center"/>
        <w:rPr>
          <w:b/>
          <w:color w:val="auto"/>
          <w:sz w:val="24"/>
          <w:highlight w:val="none"/>
        </w:rPr>
      </w:pPr>
    </w:p>
    <w:p w14:paraId="56ADE870">
      <w:pPr>
        <w:ind w:firstLine="422"/>
        <w:rPr>
          <w:rFonts w:ascii="宋体"/>
          <w:b/>
          <w:color w:val="auto"/>
          <w:szCs w:val="21"/>
          <w:highlight w:val="none"/>
        </w:rPr>
      </w:pPr>
    </w:p>
    <w:p w14:paraId="1918C872">
      <w:pPr>
        <w:ind w:firstLine="422"/>
        <w:rPr>
          <w:rFonts w:hint="eastAsia" w:ascii="宋体"/>
          <w:b/>
          <w:color w:val="auto"/>
          <w:szCs w:val="21"/>
          <w:highlight w:val="none"/>
        </w:rPr>
      </w:pPr>
    </w:p>
    <w:p w14:paraId="2402B7A6">
      <w:pPr>
        <w:ind w:firstLine="422"/>
        <w:rPr>
          <w:rFonts w:hint="eastAsia" w:ascii="宋体"/>
          <w:b/>
          <w:color w:val="auto"/>
          <w:szCs w:val="21"/>
          <w:highlight w:val="none"/>
        </w:rPr>
      </w:pPr>
    </w:p>
    <w:p w14:paraId="32A767DA">
      <w:pPr>
        <w:ind w:firstLine="422"/>
        <w:rPr>
          <w:rFonts w:hint="eastAsia" w:ascii="宋体"/>
          <w:b/>
          <w:color w:val="auto"/>
          <w:szCs w:val="21"/>
          <w:highlight w:val="none"/>
        </w:rPr>
      </w:pPr>
    </w:p>
    <w:p w14:paraId="28A7F849">
      <w:pPr>
        <w:ind w:firstLine="422"/>
        <w:rPr>
          <w:rFonts w:hint="eastAsia" w:ascii="宋体"/>
          <w:b/>
          <w:color w:val="auto"/>
          <w:szCs w:val="21"/>
          <w:highlight w:val="none"/>
        </w:rPr>
      </w:pPr>
    </w:p>
    <w:p w14:paraId="4253B0A0">
      <w:pPr>
        <w:ind w:firstLine="422"/>
        <w:rPr>
          <w:rFonts w:hint="eastAsia" w:ascii="宋体"/>
          <w:b/>
          <w:color w:val="auto"/>
          <w:szCs w:val="21"/>
          <w:highlight w:val="none"/>
        </w:rPr>
      </w:pPr>
    </w:p>
    <w:p w14:paraId="59498E37">
      <w:pPr>
        <w:ind w:firstLine="422"/>
        <w:rPr>
          <w:rFonts w:ascii="宋体"/>
          <w:b/>
          <w:color w:val="auto"/>
          <w:szCs w:val="21"/>
          <w:highlight w:val="none"/>
        </w:rPr>
      </w:pPr>
    </w:p>
    <w:p w14:paraId="31FAF495">
      <w:pPr>
        <w:ind w:firstLine="422"/>
        <w:rPr>
          <w:rFonts w:ascii="宋体"/>
          <w:b/>
          <w:color w:val="auto"/>
          <w:szCs w:val="21"/>
          <w:highlight w:val="none"/>
        </w:rPr>
      </w:pPr>
    </w:p>
    <w:p w14:paraId="7EF49288">
      <w:pPr>
        <w:ind w:firstLine="422"/>
        <w:rPr>
          <w:rFonts w:ascii="宋体"/>
          <w:b/>
          <w:color w:val="auto"/>
          <w:szCs w:val="21"/>
          <w:highlight w:val="none"/>
        </w:rPr>
      </w:pPr>
    </w:p>
    <w:p w14:paraId="53D62498">
      <w:pPr>
        <w:spacing w:before="120" w:after="120" w:line="360" w:lineRule="auto"/>
        <w:ind w:firstLine="420" w:firstLineChars="200"/>
        <w:rPr>
          <w:rFonts w:ascii="宋体"/>
          <w:color w:val="auto"/>
          <w:szCs w:val="21"/>
          <w:highlight w:val="none"/>
        </w:rPr>
      </w:pPr>
    </w:p>
    <w:p w14:paraId="6AEC9623">
      <w:pPr>
        <w:spacing w:before="120" w:after="120" w:line="360" w:lineRule="auto"/>
        <w:ind w:firstLine="420" w:firstLineChars="200"/>
        <w:rPr>
          <w:rFonts w:ascii="宋体"/>
          <w:color w:val="auto"/>
          <w:szCs w:val="21"/>
          <w:highlight w:val="none"/>
        </w:rPr>
      </w:pPr>
    </w:p>
    <w:p w14:paraId="2F09CA4F">
      <w:pPr>
        <w:spacing w:line="480" w:lineRule="auto"/>
        <w:ind w:left="178" w:leftChars="85"/>
        <w:rPr>
          <w:rFonts w:ascii="宋体" w:hAnsi="宋体" w:cs="宋体"/>
          <w:color w:val="auto"/>
          <w:sz w:val="24"/>
          <w:highlight w:val="none"/>
          <w:u w:val="none"/>
        </w:rPr>
      </w:pPr>
      <w:r>
        <w:rPr>
          <w:rFonts w:hint="eastAsia" w:ascii="宋体" w:hAnsi="宋体" w:cs="宋体"/>
          <w:color w:val="auto"/>
          <w:sz w:val="24"/>
          <w:highlight w:val="none"/>
          <w:u w:val="none"/>
        </w:rPr>
        <w:t>投标人</w:t>
      </w:r>
      <w:r>
        <w:rPr>
          <w:rFonts w:hint="eastAsia" w:hAnsi="宋体"/>
          <w:color w:val="auto"/>
          <w:sz w:val="24"/>
          <w:highlight w:val="none"/>
          <w:u w:val="none"/>
        </w:rPr>
        <w:t>（加盖电子公章）</w:t>
      </w:r>
      <w:r>
        <w:rPr>
          <w:rFonts w:hint="eastAsia" w:ascii="宋体" w:hAnsi="宋体" w:cs="宋体"/>
          <w:color w:val="auto"/>
          <w:sz w:val="24"/>
          <w:highlight w:val="none"/>
          <w:u w:val="none"/>
        </w:rPr>
        <w:t>：</w:t>
      </w:r>
    </w:p>
    <w:p w14:paraId="31EA3340">
      <w:pPr>
        <w:spacing w:line="480" w:lineRule="auto"/>
        <w:ind w:left="178" w:leftChars="85"/>
        <w:rPr>
          <w:rFonts w:hint="eastAsia" w:ascii="宋体" w:hAnsi="宋体" w:cs="宋体"/>
          <w:color w:val="auto"/>
          <w:sz w:val="24"/>
          <w:highlight w:val="none"/>
          <w:u w:val="none"/>
        </w:rPr>
      </w:pPr>
      <w:r>
        <w:rPr>
          <w:rFonts w:hint="eastAsia" w:ascii="宋体" w:hAnsi="宋体" w:cs="宋体"/>
          <w:color w:val="auto"/>
          <w:sz w:val="24"/>
          <w:highlight w:val="none"/>
          <w:u w:val="none"/>
        </w:rPr>
        <w:t>法定代表人（公司负责人）或委托代理人（电子签章或签字）：</w:t>
      </w:r>
    </w:p>
    <w:p w14:paraId="268B2E14">
      <w:pPr>
        <w:spacing w:line="480" w:lineRule="auto"/>
        <w:ind w:left="178" w:leftChars="85"/>
        <w:rPr>
          <w:rFonts w:ascii="宋体"/>
          <w:color w:val="auto"/>
          <w:szCs w:val="21"/>
          <w:highlight w:val="none"/>
        </w:rPr>
      </w:pPr>
      <w:r>
        <w:rPr>
          <w:rFonts w:hint="eastAsia" w:ascii="宋体" w:hAnsi="宋体" w:cs="宋体"/>
          <w:color w:val="auto"/>
          <w:sz w:val="24"/>
          <w:highlight w:val="none"/>
          <w:u w:val="none"/>
        </w:rPr>
        <w:t>日期：     年   月   日</w:t>
      </w:r>
    </w:p>
    <w:p w14:paraId="16DCBF13">
      <w:pPr>
        <w:spacing w:beforeLines="50" w:line="440" w:lineRule="exact"/>
        <w:ind w:firstLine="422"/>
        <w:rPr>
          <w:rFonts w:ascii="宋体"/>
          <w:b/>
          <w:color w:val="auto"/>
          <w:szCs w:val="21"/>
          <w:highlight w:val="none"/>
        </w:rPr>
      </w:pPr>
    </w:p>
    <w:p w14:paraId="7E8EE63A">
      <w:pPr>
        <w:rPr>
          <w:rFonts w:ascii="宋体" w:hAnsi="宋体"/>
          <w:color w:val="auto"/>
          <w:szCs w:val="21"/>
          <w:highlight w:val="none"/>
        </w:rPr>
      </w:pPr>
      <w:r>
        <w:rPr>
          <w:rFonts w:ascii="宋体" w:hAnsi="宋体"/>
          <w:color w:val="auto"/>
          <w:szCs w:val="21"/>
          <w:highlight w:val="none"/>
        </w:rPr>
        <w:br w:type="page"/>
      </w:r>
    </w:p>
    <w:p w14:paraId="7F9395DA">
      <w:pPr>
        <w:spacing w:line="360" w:lineRule="auto"/>
        <w:outlineLvl w:val="1"/>
        <w:rPr>
          <w:b/>
          <w:color w:val="auto"/>
          <w:sz w:val="24"/>
          <w:highlight w:val="none"/>
        </w:rPr>
      </w:pPr>
      <w:r>
        <w:rPr>
          <w:rFonts w:hint="eastAsia"/>
          <w:b/>
          <w:color w:val="auto"/>
          <w:sz w:val="24"/>
          <w:highlight w:val="none"/>
        </w:rPr>
        <w:t>附件</w:t>
      </w:r>
      <w:r>
        <w:rPr>
          <w:rFonts w:hint="eastAsia"/>
          <w:b/>
          <w:color w:val="auto"/>
          <w:sz w:val="24"/>
          <w:highlight w:val="none"/>
          <w:lang w:val="en-US" w:eastAsia="zh-CN"/>
        </w:rPr>
        <w:t>6</w:t>
      </w:r>
      <w:r>
        <w:rPr>
          <w:rFonts w:hint="eastAsia"/>
          <w:b/>
          <w:color w:val="auto"/>
          <w:sz w:val="24"/>
          <w:highlight w:val="none"/>
        </w:rPr>
        <w:t xml:space="preserve">  </w:t>
      </w:r>
      <w:r>
        <w:rPr>
          <w:rFonts w:hint="eastAsia"/>
          <w:b/>
          <w:color w:val="auto"/>
          <w:sz w:val="24"/>
          <w:highlight w:val="none"/>
          <w:lang w:eastAsia="zh-CN"/>
        </w:rPr>
        <w:t>技术</w:t>
      </w:r>
      <w:r>
        <w:rPr>
          <w:b/>
          <w:color w:val="auto"/>
          <w:sz w:val="24"/>
          <w:highlight w:val="none"/>
        </w:rPr>
        <w:t>偏差表</w:t>
      </w:r>
    </w:p>
    <w:p w14:paraId="43615A3B">
      <w:pPr>
        <w:autoSpaceDE w:val="0"/>
        <w:autoSpaceDN w:val="0"/>
        <w:adjustRightInd w:val="0"/>
        <w:spacing w:line="360" w:lineRule="auto"/>
        <w:jc w:val="center"/>
        <w:rPr>
          <w:rFonts w:hint="eastAsia" w:ascii="黑体" w:hAnsi="黑体" w:eastAsia="黑体" w:cs="黑体"/>
          <w:color w:val="auto"/>
          <w:kern w:val="0"/>
          <w:sz w:val="40"/>
          <w:szCs w:val="40"/>
          <w:highlight w:val="none"/>
          <w:lang w:val="zh-CN"/>
        </w:rPr>
      </w:pPr>
      <w:r>
        <w:rPr>
          <w:rFonts w:hint="eastAsia" w:ascii="黑体" w:hAnsi="黑体" w:eastAsia="黑体" w:cs="黑体"/>
          <w:color w:val="auto"/>
          <w:kern w:val="0"/>
          <w:sz w:val="40"/>
          <w:szCs w:val="40"/>
          <w:highlight w:val="none"/>
          <w:lang w:val="zh-CN"/>
        </w:rPr>
        <w:t>技术条款偏差表</w:t>
      </w:r>
    </w:p>
    <w:p w14:paraId="683869A9">
      <w:pPr>
        <w:spacing w:line="440" w:lineRule="exact"/>
        <w:ind w:firstLine="480" w:firstLineChars="200"/>
        <w:rPr>
          <w:rFonts w:hint="eastAsia" w:ascii="宋体" w:hAnsi="宋体" w:eastAsia="宋体" w:cs="宋体"/>
          <w:color w:val="000000"/>
          <w:sz w:val="24"/>
          <w:szCs w:val="24"/>
        </w:rPr>
      </w:pPr>
      <w:bookmarkStart w:id="268" w:name="_Toc27380"/>
      <w:bookmarkStart w:id="269" w:name="_Toc2297"/>
      <w:bookmarkStart w:id="270" w:name="_Toc143577473"/>
      <w:bookmarkStart w:id="271" w:name="_Toc468781351"/>
      <w:r>
        <w:rPr>
          <w:rFonts w:hint="eastAsia" w:ascii="宋体" w:hAnsi="宋体" w:eastAsia="宋体" w:cs="宋体"/>
          <w:color w:val="000000"/>
          <w:sz w:val="24"/>
          <w:szCs w:val="24"/>
        </w:rPr>
        <w:t>投标人应按自身情况逐条对应招标文件</w:t>
      </w:r>
      <w:r>
        <w:rPr>
          <w:rFonts w:hint="eastAsia" w:ascii="宋体" w:hAnsi="宋体" w:eastAsia="宋体" w:cs="宋体"/>
          <w:sz w:val="24"/>
          <w:szCs w:val="24"/>
        </w:rPr>
        <w:t>第五章《</w:t>
      </w:r>
      <w:r>
        <w:rPr>
          <w:rFonts w:hint="eastAsia" w:ascii="宋体" w:hAnsi="宋体" w:eastAsia="宋体" w:cs="宋体"/>
          <w:sz w:val="24"/>
          <w:szCs w:val="24"/>
          <w:lang w:val="en-US" w:eastAsia="zh-CN"/>
        </w:rPr>
        <w:t>采购需求</w:t>
      </w:r>
      <w:r>
        <w:rPr>
          <w:rFonts w:hint="eastAsia" w:ascii="宋体" w:hAnsi="宋体" w:eastAsia="宋体" w:cs="宋体"/>
          <w:sz w:val="24"/>
          <w:szCs w:val="24"/>
        </w:rPr>
        <w:t>》</w:t>
      </w:r>
      <w:r>
        <w:rPr>
          <w:rFonts w:hint="eastAsia" w:ascii="宋体" w:hAnsi="宋体" w:eastAsia="宋体" w:cs="宋体"/>
          <w:color w:val="000000"/>
          <w:sz w:val="24"/>
          <w:szCs w:val="24"/>
        </w:rPr>
        <w:t>中技术要求的规范如实、完整、准确填写该表。</w:t>
      </w:r>
    </w:p>
    <w:p w14:paraId="19E2A145">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b/>
          <w:color w:val="000000"/>
          <w:sz w:val="24"/>
          <w:szCs w:val="24"/>
        </w:rPr>
        <w:t>本表格将作为评标委员会对投标人技术部分的评审依据，未填写</w:t>
      </w:r>
      <w:r>
        <w:rPr>
          <w:rFonts w:hint="eastAsia" w:ascii="宋体" w:hAnsi="宋体" w:cs="宋体"/>
          <w:b/>
          <w:color w:val="000000"/>
          <w:sz w:val="24"/>
          <w:szCs w:val="24"/>
          <w:lang w:eastAsia="zh-CN"/>
        </w:rPr>
        <w:t>下述内容</w:t>
      </w:r>
      <w:r>
        <w:rPr>
          <w:rFonts w:hint="eastAsia" w:ascii="宋体" w:hAnsi="宋体" w:eastAsia="宋体" w:cs="宋体"/>
          <w:b/>
          <w:color w:val="000000"/>
          <w:sz w:val="24"/>
          <w:szCs w:val="24"/>
        </w:rPr>
        <w:t>的投标人将不能通过符合性审查。</w:t>
      </w:r>
    </w:p>
    <w:p w14:paraId="06347199">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项目编号：</w:t>
      </w:r>
      <w:r>
        <w:rPr>
          <w:rFonts w:hint="eastAsia" w:ascii="宋体" w:hAnsi="宋体" w:eastAsia="宋体" w:cs="宋体"/>
          <w:color w:val="000000"/>
          <w:sz w:val="24"/>
          <w:szCs w:val="24"/>
          <w:u w:val="single"/>
        </w:rPr>
        <w:t xml:space="preserve">                </w:t>
      </w:r>
    </w:p>
    <w:p w14:paraId="24BCCC20">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A.□我公司已详细阅读招标文件中各项技术服务要求，所有服务要求均无偏离，中标后我公司将严格遵照执行。</w:t>
      </w:r>
    </w:p>
    <w:p w14:paraId="51873803">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B.□我公司已详细阅读招标文件中各项技术服务要求，除下述条款有偏离外，其余条款我公司均予以认可，中标后将严格遵照执行。</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535"/>
        <w:gridCol w:w="2944"/>
        <w:gridCol w:w="2157"/>
        <w:gridCol w:w="889"/>
        <w:gridCol w:w="1366"/>
      </w:tblGrid>
      <w:tr w14:paraId="6C32C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6" w:type="dxa"/>
            <w:vAlign w:val="center"/>
          </w:tcPr>
          <w:p w14:paraId="5B3510A8">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535" w:type="dxa"/>
            <w:vAlign w:val="center"/>
          </w:tcPr>
          <w:p w14:paraId="45496171">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2944" w:type="dxa"/>
            <w:vAlign w:val="center"/>
          </w:tcPr>
          <w:p w14:paraId="6AD63C67">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招标文件服务规范、要求</w:t>
            </w:r>
          </w:p>
        </w:tc>
        <w:tc>
          <w:tcPr>
            <w:tcW w:w="2157" w:type="dxa"/>
            <w:vAlign w:val="center"/>
          </w:tcPr>
          <w:p w14:paraId="23538901">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投标文件服务承诺</w:t>
            </w:r>
          </w:p>
        </w:tc>
        <w:tc>
          <w:tcPr>
            <w:tcW w:w="889" w:type="dxa"/>
            <w:vAlign w:val="center"/>
          </w:tcPr>
          <w:p w14:paraId="6B298CB4">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偏离</w:t>
            </w:r>
          </w:p>
        </w:tc>
        <w:tc>
          <w:tcPr>
            <w:tcW w:w="1366" w:type="dxa"/>
            <w:vAlign w:val="center"/>
          </w:tcPr>
          <w:p w14:paraId="67DDED2A">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说明</w:t>
            </w:r>
          </w:p>
        </w:tc>
      </w:tr>
      <w:tr w14:paraId="08904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6" w:type="dxa"/>
            <w:vAlign w:val="center"/>
          </w:tcPr>
          <w:p w14:paraId="34FE4794">
            <w:pPr>
              <w:spacing w:line="440" w:lineRule="exact"/>
              <w:jc w:val="center"/>
              <w:rPr>
                <w:rFonts w:ascii="仿宋" w:hAnsi="仿宋" w:eastAsia="仿宋" w:cs="仿宋"/>
                <w:color w:val="000000"/>
                <w:sz w:val="24"/>
                <w:szCs w:val="24"/>
              </w:rPr>
            </w:pPr>
          </w:p>
        </w:tc>
        <w:tc>
          <w:tcPr>
            <w:tcW w:w="1535" w:type="dxa"/>
            <w:vAlign w:val="center"/>
          </w:tcPr>
          <w:p w14:paraId="21087C2B">
            <w:pPr>
              <w:spacing w:line="440" w:lineRule="exact"/>
              <w:jc w:val="center"/>
              <w:rPr>
                <w:rFonts w:ascii="仿宋" w:hAnsi="仿宋" w:eastAsia="仿宋" w:cs="仿宋"/>
                <w:color w:val="000000"/>
                <w:sz w:val="24"/>
                <w:szCs w:val="24"/>
              </w:rPr>
            </w:pPr>
          </w:p>
        </w:tc>
        <w:tc>
          <w:tcPr>
            <w:tcW w:w="2944" w:type="dxa"/>
            <w:vAlign w:val="center"/>
          </w:tcPr>
          <w:p w14:paraId="6CB70D3A">
            <w:pPr>
              <w:spacing w:line="440" w:lineRule="exact"/>
              <w:jc w:val="center"/>
              <w:rPr>
                <w:rFonts w:ascii="仿宋" w:hAnsi="仿宋" w:eastAsia="仿宋" w:cs="仿宋"/>
                <w:color w:val="000000"/>
                <w:sz w:val="24"/>
                <w:szCs w:val="24"/>
              </w:rPr>
            </w:pPr>
          </w:p>
        </w:tc>
        <w:tc>
          <w:tcPr>
            <w:tcW w:w="2157" w:type="dxa"/>
            <w:vAlign w:val="center"/>
          </w:tcPr>
          <w:p w14:paraId="5F4839E1">
            <w:pPr>
              <w:spacing w:line="440" w:lineRule="exact"/>
              <w:jc w:val="center"/>
              <w:rPr>
                <w:rFonts w:ascii="仿宋" w:hAnsi="仿宋" w:eastAsia="仿宋" w:cs="仿宋"/>
                <w:color w:val="000000"/>
                <w:sz w:val="24"/>
                <w:szCs w:val="24"/>
              </w:rPr>
            </w:pPr>
          </w:p>
        </w:tc>
        <w:tc>
          <w:tcPr>
            <w:tcW w:w="889" w:type="dxa"/>
            <w:vAlign w:val="center"/>
          </w:tcPr>
          <w:p w14:paraId="78785BE4">
            <w:pPr>
              <w:spacing w:line="440" w:lineRule="exact"/>
              <w:jc w:val="center"/>
              <w:rPr>
                <w:rFonts w:ascii="仿宋" w:hAnsi="仿宋" w:eastAsia="仿宋" w:cs="仿宋"/>
                <w:color w:val="000000"/>
                <w:sz w:val="24"/>
                <w:szCs w:val="24"/>
              </w:rPr>
            </w:pPr>
          </w:p>
        </w:tc>
        <w:tc>
          <w:tcPr>
            <w:tcW w:w="1366" w:type="dxa"/>
            <w:vAlign w:val="center"/>
          </w:tcPr>
          <w:p w14:paraId="1FA54925">
            <w:pPr>
              <w:spacing w:line="440" w:lineRule="exact"/>
              <w:jc w:val="center"/>
              <w:rPr>
                <w:rFonts w:ascii="仿宋" w:hAnsi="仿宋" w:eastAsia="仿宋" w:cs="仿宋"/>
                <w:color w:val="000000"/>
                <w:sz w:val="24"/>
                <w:szCs w:val="24"/>
              </w:rPr>
            </w:pPr>
          </w:p>
        </w:tc>
      </w:tr>
      <w:tr w14:paraId="4CA1E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6" w:type="dxa"/>
            <w:vAlign w:val="center"/>
          </w:tcPr>
          <w:p w14:paraId="37D64E62">
            <w:pPr>
              <w:spacing w:line="440" w:lineRule="exact"/>
              <w:jc w:val="center"/>
              <w:rPr>
                <w:rFonts w:ascii="仿宋" w:hAnsi="仿宋" w:eastAsia="仿宋" w:cs="仿宋"/>
                <w:color w:val="000000"/>
                <w:sz w:val="24"/>
                <w:szCs w:val="24"/>
              </w:rPr>
            </w:pPr>
          </w:p>
        </w:tc>
        <w:tc>
          <w:tcPr>
            <w:tcW w:w="1535" w:type="dxa"/>
            <w:vAlign w:val="center"/>
          </w:tcPr>
          <w:p w14:paraId="347A3ECA">
            <w:pPr>
              <w:spacing w:line="440" w:lineRule="exact"/>
              <w:jc w:val="center"/>
              <w:rPr>
                <w:rFonts w:ascii="仿宋" w:hAnsi="仿宋" w:eastAsia="仿宋" w:cs="仿宋"/>
                <w:color w:val="000000"/>
                <w:sz w:val="24"/>
                <w:szCs w:val="24"/>
              </w:rPr>
            </w:pPr>
          </w:p>
        </w:tc>
        <w:tc>
          <w:tcPr>
            <w:tcW w:w="2944" w:type="dxa"/>
            <w:vAlign w:val="center"/>
          </w:tcPr>
          <w:p w14:paraId="61BF753E">
            <w:pPr>
              <w:spacing w:line="440" w:lineRule="exact"/>
              <w:jc w:val="center"/>
              <w:rPr>
                <w:rFonts w:ascii="仿宋" w:hAnsi="仿宋" w:eastAsia="仿宋" w:cs="仿宋"/>
                <w:color w:val="000000"/>
                <w:sz w:val="24"/>
                <w:szCs w:val="24"/>
              </w:rPr>
            </w:pPr>
          </w:p>
        </w:tc>
        <w:tc>
          <w:tcPr>
            <w:tcW w:w="2157" w:type="dxa"/>
            <w:vAlign w:val="center"/>
          </w:tcPr>
          <w:p w14:paraId="46BD87D8">
            <w:pPr>
              <w:spacing w:line="440" w:lineRule="exact"/>
              <w:jc w:val="center"/>
              <w:rPr>
                <w:rFonts w:ascii="仿宋" w:hAnsi="仿宋" w:eastAsia="仿宋" w:cs="仿宋"/>
                <w:color w:val="000000"/>
                <w:sz w:val="24"/>
                <w:szCs w:val="24"/>
              </w:rPr>
            </w:pPr>
          </w:p>
        </w:tc>
        <w:tc>
          <w:tcPr>
            <w:tcW w:w="889" w:type="dxa"/>
            <w:vAlign w:val="center"/>
          </w:tcPr>
          <w:p w14:paraId="5BA8CC4E">
            <w:pPr>
              <w:spacing w:line="440" w:lineRule="exact"/>
              <w:jc w:val="center"/>
              <w:rPr>
                <w:rFonts w:ascii="仿宋" w:hAnsi="仿宋" w:eastAsia="仿宋" w:cs="仿宋"/>
                <w:color w:val="000000"/>
                <w:sz w:val="24"/>
                <w:szCs w:val="24"/>
              </w:rPr>
            </w:pPr>
          </w:p>
        </w:tc>
        <w:tc>
          <w:tcPr>
            <w:tcW w:w="1366" w:type="dxa"/>
            <w:vAlign w:val="center"/>
          </w:tcPr>
          <w:p w14:paraId="5A93E54B">
            <w:pPr>
              <w:spacing w:line="440" w:lineRule="exact"/>
              <w:jc w:val="center"/>
              <w:rPr>
                <w:rFonts w:ascii="仿宋" w:hAnsi="仿宋" w:eastAsia="仿宋" w:cs="仿宋"/>
                <w:color w:val="000000"/>
                <w:sz w:val="24"/>
                <w:szCs w:val="24"/>
              </w:rPr>
            </w:pPr>
          </w:p>
        </w:tc>
      </w:tr>
      <w:tr w14:paraId="785EA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6" w:type="dxa"/>
            <w:vAlign w:val="center"/>
          </w:tcPr>
          <w:p w14:paraId="4342176C">
            <w:pPr>
              <w:spacing w:line="440" w:lineRule="exact"/>
              <w:jc w:val="center"/>
              <w:rPr>
                <w:rFonts w:ascii="仿宋" w:hAnsi="仿宋" w:eastAsia="仿宋" w:cs="仿宋"/>
                <w:color w:val="000000"/>
                <w:sz w:val="24"/>
                <w:szCs w:val="24"/>
              </w:rPr>
            </w:pPr>
          </w:p>
        </w:tc>
        <w:tc>
          <w:tcPr>
            <w:tcW w:w="1535" w:type="dxa"/>
            <w:vAlign w:val="center"/>
          </w:tcPr>
          <w:p w14:paraId="4AF56DE8">
            <w:pPr>
              <w:spacing w:line="440" w:lineRule="exact"/>
              <w:jc w:val="center"/>
              <w:rPr>
                <w:rFonts w:ascii="仿宋" w:hAnsi="仿宋" w:eastAsia="仿宋" w:cs="仿宋"/>
                <w:color w:val="000000"/>
                <w:sz w:val="24"/>
                <w:szCs w:val="24"/>
              </w:rPr>
            </w:pPr>
          </w:p>
        </w:tc>
        <w:tc>
          <w:tcPr>
            <w:tcW w:w="2944" w:type="dxa"/>
            <w:vAlign w:val="center"/>
          </w:tcPr>
          <w:p w14:paraId="6C8E56DC">
            <w:pPr>
              <w:spacing w:line="440" w:lineRule="exact"/>
              <w:jc w:val="center"/>
              <w:rPr>
                <w:rFonts w:ascii="仿宋" w:hAnsi="仿宋" w:eastAsia="仿宋" w:cs="仿宋"/>
                <w:color w:val="000000"/>
                <w:sz w:val="24"/>
                <w:szCs w:val="24"/>
              </w:rPr>
            </w:pPr>
          </w:p>
        </w:tc>
        <w:tc>
          <w:tcPr>
            <w:tcW w:w="2157" w:type="dxa"/>
            <w:vAlign w:val="center"/>
          </w:tcPr>
          <w:p w14:paraId="179B20F9">
            <w:pPr>
              <w:spacing w:line="440" w:lineRule="exact"/>
              <w:jc w:val="center"/>
              <w:rPr>
                <w:rFonts w:ascii="仿宋" w:hAnsi="仿宋" w:eastAsia="仿宋" w:cs="仿宋"/>
                <w:color w:val="000000"/>
                <w:sz w:val="24"/>
                <w:szCs w:val="24"/>
              </w:rPr>
            </w:pPr>
          </w:p>
        </w:tc>
        <w:tc>
          <w:tcPr>
            <w:tcW w:w="889" w:type="dxa"/>
            <w:vAlign w:val="center"/>
          </w:tcPr>
          <w:p w14:paraId="26B42D80">
            <w:pPr>
              <w:spacing w:line="440" w:lineRule="exact"/>
              <w:jc w:val="center"/>
              <w:rPr>
                <w:rFonts w:ascii="仿宋" w:hAnsi="仿宋" w:eastAsia="仿宋" w:cs="仿宋"/>
                <w:color w:val="000000"/>
                <w:sz w:val="24"/>
                <w:szCs w:val="24"/>
              </w:rPr>
            </w:pPr>
          </w:p>
        </w:tc>
        <w:tc>
          <w:tcPr>
            <w:tcW w:w="1366" w:type="dxa"/>
            <w:vAlign w:val="center"/>
          </w:tcPr>
          <w:p w14:paraId="0F806D00">
            <w:pPr>
              <w:spacing w:line="440" w:lineRule="exact"/>
              <w:jc w:val="center"/>
              <w:rPr>
                <w:rFonts w:ascii="仿宋" w:hAnsi="仿宋" w:eastAsia="仿宋" w:cs="仿宋"/>
                <w:color w:val="000000"/>
                <w:sz w:val="24"/>
                <w:szCs w:val="24"/>
              </w:rPr>
            </w:pPr>
          </w:p>
        </w:tc>
      </w:tr>
    </w:tbl>
    <w:p w14:paraId="01D83550">
      <w:pPr>
        <w:spacing w:line="360" w:lineRule="auto"/>
        <w:ind w:firstLine="2" w:firstLineChars="1"/>
        <w:rPr>
          <w:rFonts w:ascii="仿宋" w:hAnsi="仿宋" w:eastAsia="仿宋" w:cs="仿宋"/>
          <w:color w:val="000000"/>
          <w:sz w:val="24"/>
          <w:szCs w:val="24"/>
        </w:rPr>
      </w:pPr>
    </w:p>
    <w:p w14:paraId="54800ACA">
      <w:pPr>
        <w:spacing w:line="360" w:lineRule="auto"/>
        <w:ind w:firstLine="2" w:firstLineChars="1"/>
        <w:rPr>
          <w:rFonts w:ascii="仿宋" w:hAnsi="仿宋" w:eastAsia="仿宋" w:cs="仿宋"/>
          <w:color w:val="000000"/>
          <w:sz w:val="24"/>
          <w:szCs w:val="24"/>
        </w:rPr>
      </w:pPr>
    </w:p>
    <w:p w14:paraId="016C3DFA">
      <w:pPr>
        <w:spacing w:line="480" w:lineRule="auto"/>
        <w:ind w:left="178" w:leftChars="85"/>
        <w:rPr>
          <w:rFonts w:ascii="宋体" w:hAnsi="宋体" w:cs="宋体"/>
          <w:color w:val="auto"/>
          <w:sz w:val="24"/>
          <w:highlight w:val="none"/>
          <w:u w:val="none"/>
        </w:rPr>
      </w:pPr>
      <w:r>
        <w:rPr>
          <w:rFonts w:hint="eastAsia" w:ascii="宋体" w:hAnsi="宋体" w:cs="宋体"/>
          <w:color w:val="auto"/>
          <w:sz w:val="24"/>
          <w:highlight w:val="none"/>
          <w:u w:val="none"/>
        </w:rPr>
        <w:t>投标人</w:t>
      </w:r>
      <w:r>
        <w:rPr>
          <w:rFonts w:hint="eastAsia" w:hAnsi="宋体"/>
          <w:color w:val="auto"/>
          <w:sz w:val="24"/>
          <w:highlight w:val="none"/>
          <w:u w:val="none"/>
        </w:rPr>
        <w:t>（加盖电子公章）</w:t>
      </w:r>
      <w:r>
        <w:rPr>
          <w:rFonts w:hint="eastAsia" w:ascii="宋体" w:hAnsi="宋体" w:cs="宋体"/>
          <w:color w:val="auto"/>
          <w:sz w:val="24"/>
          <w:highlight w:val="none"/>
          <w:u w:val="none"/>
        </w:rPr>
        <w:t>：</w:t>
      </w:r>
    </w:p>
    <w:p w14:paraId="329A0C42">
      <w:pPr>
        <w:spacing w:line="480" w:lineRule="auto"/>
        <w:ind w:left="178" w:leftChars="85"/>
        <w:rPr>
          <w:rFonts w:hint="eastAsia" w:ascii="宋体" w:hAnsi="宋体" w:cs="宋体"/>
          <w:color w:val="auto"/>
          <w:sz w:val="24"/>
          <w:highlight w:val="none"/>
          <w:u w:val="none"/>
        </w:rPr>
      </w:pPr>
      <w:r>
        <w:rPr>
          <w:rFonts w:hint="eastAsia" w:ascii="宋体" w:hAnsi="宋体" w:cs="宋体"/>
          <w:color w:val="auto"/>
          <w:sz w:val="24"/>
          <w:highlight w:val="none"/>
          <w:u w:val="none"/>
        </w:rPr>
        <w:t>法定代表人（公司负责人）或委托代理人（电子签章或签字）：</w:t>
      </w:r>
    </w:p>
    <w:p w14:paraId="13DACEBF">
      <w:pPr>
        <w:spacing w:line="480" w:lineRule="auto"/>
        <w:ind w:left="178" w:leftChars="85"/>
        <w:rPr>
          <w:rFonts w:ascii="仿宋" w:hAnsi="仿宋" w:eastAsia="仿宋" w:cs="仿宋"/>
          <w:b/>
          <w:color w:val="000000"/>
          <w:sz w:val="24"/>
          <w:szCs w:val="24"/>
        </w:rPr>
      </w:pPr>
      <w:r>
        <w:rPr>
          <w:rFonts w:hint="eastAsia" w:ascii="宋体" w:hAnsi="宋体" w:cs="宋体"/>
          <w:color w:val="auto"/>
          <w:sz w:val="24"/>
          <w:highlight w:val="none"/>
          <w:u w:val="none"/>
        </w:rPr>
        <w:t>日期：     年   月   日</w:t>
      </w:r>
    </w:p>
    <w:p w14:paraId="7C35A0C4">
      <w:pPr>
        <w:pStyle w:val="25"/>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表格填写说明：</w:t>
      </w:r>
    </w:p>
    <w:p w14:paraId="09776BC8">
      <w:pPr>
        <w:pStyle w:val="25"/>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投标人根据应根据实际投标情况，填写本表格，若无偏离，则勾选A项，签字盖章即可。若有偏离，则勾选B项，按表格要求及实际情况填写后，签字盖章。</w:t>
      </w:r>
    </w:p>
    <w:p w14:paraId="040A8AEB">
      <w:pPr>
        <w:pStyle w:val="43"/>
        <w:rPr>
          <w:rFonts w:hint="eastAsia" w:ascii="宋体" w:hAnsi="宋体" w:eastAsia="宋体" w:cs="宋体"/>
          <w:color w:val="auto"/>
          <w:szCs w:val="21"/>
          <w:highlight w:val="none"/>
        </w:rPr>
      </w:pPr>
    </w:p>
    <w:p w14:paraId="39F758EA">
      <w:pPr>
        <w:pStyle w:val="43"/>
        <w:rPr>
          <w:rFonts w:hint="eastAsia" w:ascii="宋体" w:hAnsi="宋体" w:eastAsia="宋体" w:cs="宋体"/>
          <w:color w:val="auto"/>
          <w:szCs w:val="21"/>
          <w:highlight w:val="none"/>
        </w:rPr>
      </w:pPr>
    </w:p>
    <w:p w14:paraId="4E70E311">
      <w:pPr>
        <w:spacing w:line="480" w:lineRule="auto"/>
        <w:ind w:left="178" w:leftChars="85"/>
        <w:rPr>
          <w:color w:val="auto"/>
          <w:highlight w:val="none"/>
        </w:rPr>
      </w:pPr>
    </w:p>
    <w:p w14:paraId="47C3C846">
      <w:pPr>
        <w:rPr>
          <w:rFonts w:hint="eastAsia"/>
          <w:b/>
          <w:color w:val="auto"/>
          <w:sz w:val="24"/>
          <w:highlight w:val="none"/>
        </w:rPr>
      </w:pPr>
    </w:p>
    <w:p w14:paraId="36CBD8C3">
      <w:pPr>
        <w:rPr>
          <w:rFonts w:hint="eastAsia"/>
          <w:b/>
          <w:color w:val="auto"/>
          <w:sz w:val="24"/>
          <w:highlight w:val="none"/>
        </w:rPr>
      </w:pPr>
    </w:p>
    <w:p w14:paraId="63B05409">
      <w:pPr>
        <w:rPr>
          <w:rFonts w:hint="eastAsia" w:ascii="宋体" w:hAnsi="宋体" w:cs="宋体"/>
          <w:bCs/>
          <w:color w:val="auto"/>
          <w:szCs w:val="21"/>
          <w:highlight w:val="none"/>
        </w:rPr>
      </w:pPr>
      <w:bookmarkStart w:id="272" w:name="_Toc1213"/>
      <w:bookmarkStart w:id="273" w:name="_Toc31388"/>
      <w:r>
        <w:rPr>
          <w:rFonts w:hint="eastAsia" w:ascii="宋体" w:hAnsi="宋体" w:cs="宋体"/>
          <w:bCs/>
          <w:color w:val="auto"/>
          <w:szCs w:val="21"/>
          <w:highlight w:val="none"/>
        </w:rPr>
        <w:br w:type="page"/>
      </w:r>
    </w:p>
    <w:bookmarkEnd w:id="272"/>
    <w:bookmarkEnd w:id="273"/>
    <w:p w14:paraId="61448681">
      <w:pPr>
        <w:spacing w:line="360" w:lineRule="auto"/>
        <w:outlineLvl w:val="1"/>
        <w:rPr>
          <w:b/>
          <w:color w:val="auto"/>
          <w:sz w:val="24"/>
          <w:highlight w:val="none"/>
        </w:rPr>
      </w:pPr>
      <w:r>
        <w:rPr>
          <w:rFonts w:hint="eastAsia"/>
          <w:b/>
          <w:color w:val="auto"/>
          <w:sz w:val="24"/>
          <w:highlight w:val="none"/>
        </w:rPr>
        <w:t>附件</w:t>
      </w:r>
      <w:r>
        <w:rPr>
          <w:rFonts w:hint="eastAsia"/>
          <w:b/>
          <w:color w:val="auto"/>
          <w:sz w:val="24"/>
          <w:highlight w:val="none"/>
          <w:lang w:val="en-US" w:eastAsia="zh-CN"/>
        </w:rPr>
        <w:t>7</w:t>
      </w:r>
      <w:r>
        <w:rPr>
          <w:rFonts w:hint="eastAsia"/>
          <w:b/>
          <w:color w:val="auto"/>
          <w:sz w:val="24"/>
          <w:highlight w:val="none"/>
        </w:rPr>
        <w:t xml:space="preserve">  </w:t>
      </w:r>
      <w:r>
        <w:rPr>
          <w:b/>
          <w:color w:val="auto"/>
          <w:sz w:val="24"/>
          <w:highlight w:val="none"/>
        </w:rPr>
        <w:t>商务偏差表</w:t>
      </w:r>
      <w:bookmarkEnd w:id="268"/>
      <w:bookmarkEnd w:id="269"/>
    </w:p>
    <w:p w14:paraId="50EBDE06">
      <w:pPr>
        <w:autoSpaceDE w:val="0"/>
        <w:autoSpaceDN w:val="0"/>
        <w:adjustRightInd w:val="0"/>
        <w:spacing w:line="360" w:lineRule="auto"/>
        <w:jc w:val="center"/>
        <w:rPr>
          <w:rFonts w:hint="eastAsia" w:ascii="黑体" w:hAnsi="黑体" w:eastAsia="黑体" w:cs="黑体"/>
          <w:color w:val="auto"/>
          <w:kern w:val="0"/>
          <w:sz w:val="40"/>
          <w:szCs w:val="40"/>
          <w:highlight w:val="none"/>
          <w:lang w:val="zh-CN"/>
        </w:rPr>
      </w:pPr>
      <w:r>
        <w:rPr>
          <w:rFonts w:hint="eastAsia" w:ascii="黑体" w:hAnsi="黑体" w:eastAsia="黑体" w:cs="黑体"/>
          <w:color w:val="auto"/>
          <w:kern w:val="0"/>
          <w:sz w:val="40"/>
          <w:szCs w:val="40"/>
          <w:highlight w:val="none"/>
          <w:lang w:val="zh-CN"/>
        </w:rPr>
        <w:t>商务、合同条款偏差表</w:t>
      </w:r>
    </w:p>
    <w:tbl>
      <w:tblPr>
        <w:tblStyle w:val="44"/>
        <w:tblW w:w="90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93"/>
        <w:gridCol w:w="3623"/>
        <w:gridCol w:w="1134"/>
        <w:gridCol w:w="851"/>
        <w:gridCol w:w="1310"/>
      </w:tblGrid>
      <w:tr w14:paraId="33B49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1" w:hRule="atLeast"/>
          <w:jc w:val="center"/>
        </w:trPr>
        <w:tc>
          <w:tcPr>
            <w:tcW w:w="2093" w:type="dxa"/>
            <w:shd w:val="clear" w:color="auto" w:fill="D7D7D7" w:themeFill="background1" w:themeFillShade="D8"/>
            <w:vAlign w:val="top"/>
          </w:tcPr>
          <w:p w14:paraId="60886D13">
            <w:pPr>
              <w:spacing w:line="440" w:lineRule="atLeast"/>
              <w:jc w:val="center"/>
              <w:rPr>
                <w:b/>
                <w:color w:val="auto"/>
                <w:highlight w:val="none"/>
              </w:rPr>
            </w:pPr>
            <w:r>
              <w:rPr>
                <w:b/>
                <w:color w:val="auto"/>
                <w:highlight w:val="none"/>
              </w:rPr>
              <w:t>招标文件条目号</w:t>
            </w:r>
          </w:p>
        </w:tc>
        <w:tc>
          <w:tcPr>
            <w:tcW w:w="3623" w:type="dxa"/>
            <w:shd w:val="clear" w:color="auto" w:fill="D7D7D7" w:themeFill="background1" w:themeFillShade="D8"/>
            <w:vAlign w:val="top"/>
          </w:tcPr>
          <w:p w14:paraId="4189412A">
            <w:pPr>
              <w:spacing w:line="440" w:lineRule="atLeast"/>
              <w:jc w:val="center"/>
              <w:rPr>
                <w:b/>
                <w:color w:val="auto"/>
                <w:highlight w:val="none"/>
              </w:rPr>
            </w:pPr>
            <w:r>
              <w:rPr>
                <w:b/>
                <w:color w:val="auto"/>
                <w:highlight w:val="none"/>
              </w:rPr>
              <w:t>招标文件的商务、合同条款</w:t>
            </w:r>
          </w:p>
        </w:tc>
        <w:tc>
          <w:tcPr>
            <w:tcW w:w="1134" w:type="dxa"/>
            <w:shd w:val="clear" w:color="auto" w:fill="D7D7D7" w:themeFill="background1" w:themeFillShade="D8"/>
            <w:vAlign w:val="top"/>
          </w:tcPr>
          <w:p w14:paraId="16216B59">
            <w:pPr>
              <w:spacing w:line="440" w:lineRule="atLeast"/>
              <w:jc w:val="center"/>
              <w:rPr>
                <w:b/>
                <w:color w:val="auto"/>
                <w:highlight w:val="none"/>
              </w:rPr>
            </w:pPr>
            <w:r>
              <w:rPr>
                <w:rFonts w:hint="eastAsia"/>
                <w:b/>
                <w:color w:val="auto"/>
                <w:highlight w:val="none"/>
              </w:rPr>
              <w:t>完全</w:t>
            </w:r>
            <w:r>
              <w:rPr>
                <w:b/>
                <w:color w:val="auto"/>
                <w:highlight w:val="none"/>
              </w:rPr>
              <w:t>响应</w:t>
            </w:r>
          </w:p>
        </w:tc>
        <w:tc>
          <w:tcPr>
            <w:tcW w:w="851" w:type="dxa"/>
            <w:shd w:val="clear" w:color="auto" w:fill="D7D7D7" w:themeFill="background1" w:themeFillShade="D8"/>
            <w:vAlign w:val="top"/>
          </w:tcPr>
          <w:p w14:paraId="58972DD4">
            <w:pPr>
              <w:spacing w:line="440" w:lineRule="atLeast"/>
              <w:jc w:val="center"/>
              <w:rPr>
                <w:b/>
                <w:color w:val="auto"/>
                <w:highlight w:val="none"/>
              </w:rPr>
            </w:pPr>
            <w:r>
              <w:rPr>
                <w:rFonts w:hint="eastAsia"/>
                <w:b/>
                <w:color w:val="auto"/>
                <w:highlight w:val="none"/>
              </w:rPr>
              <w:t>有偏离</w:t>
            </w:r>
          </w:p>
        </w:tc>
        <w:tc>
          <w:tcPr>
            <w:tcW w:w="1310" w:type="dxa"/>
            <w:shd w:val="clear" w:color="auto" w:fill="D7D7D7" w:themeFill="background1" w:themeFillShade="D8"/>
            <w:vAlign w:val="top"/>
          </w:tcPr>
          <w:p w14:paraId="2AF14713">
            <w:pPr>
              <w:spacing w:line="440" w:lineRule="atLeast"/>
              <w:jc w:val="center"/>
              <w:rPr>
                <w:b/>
                <w:color w:val="auto"/>
                <w:highlight w:val="none"/>
              </w:rPr>
            </w:pPr>
            <w:r>
              <w:rPr>
                <w:b/>
                <w:color w:val="auto"/>
                <w:highlight w:val="none"/>
              </w:rPr>
              <w:t>偏离</w:t>
            </w:r>
            <w:r>
              <w:rPr>
                <w:rFonts w:hint="eastAsia"/>
                <w:b/>
                <w:color w:val="auto"/>
                <w:highlight w:val="none"/>
              </w:rPr>
              <w:t>描述</w:t>
            </w:r>
          </w:p>
        </w:tc>
      </w:tr>
      <w:tr w14:paraId="15B0B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9" w:hRule="atLeast"/>
          <w:jc w:val="center"/>
        </w:trPr>
        <w:tc>
          <w:tcPr>
            <w:tcW w:w="2093" w:type="dxa"/>
            <w:vAlign w:val="top"/>
          </w:tcPr>
          <w:p w14:paraId="3FECE789">
            <w:pPr>
              <w:spacing w:line="440" w:lineRule="atLeast"/>
              <w:rPr>
                <w:rFonts w:hint="default" w:eastAsia="宋体"/>
                <w:color w:val="auto"/>
                <w:highlight w:val="none"/>
                <w:lang w:val="en-US" w:eastAsia="zh-CN"/>
              </w:rPr>
            </w:pPr>
          </w:p>
        </w:tc>
        <w:tc>
          <w:tcPr>
            <w:tcW w:w="3623" w:type="dxa"/>
            <w:vAlign w:val="top"/>
          </w:tcPr>
          <w:p w14:paraId="1E460BC5">
            <w:pPr>
              <w:spacing w:line="440" w:lineRule="atLeast"/>
              <w:rPr>
                <w:color w:val="auto"/>
                <w:highlight w:val="none"/>
              </w:rPr>
            </w:pPr>
          </w:p>
        </w:tc>
        <w:tc>
          <w:tcPr>
            <w:tcW w:w="1134" w:type="dxa"/>
            <w:vAlign w:val="top"/>
          </w:tcPr>
          <w:p w14:paraId="0D75371C">
            <w:pPr>
              <w:spacing w:line="440" w:lineRule="atLeast"/>
              <w:rPr>
                <w:color w:val="auto"/>
                <w:highlight w:val="none"/>
              </w:rPr>
            </w:pPr>
          </w:p>
        </w:tc>
        <w:tc>
          <w:tcPr>
            <w:tcW w:w="851" w:type="dxa"/>
            <w:vAlign w:val="top"/>
          </w:tcPr>
          <w:p w14:paraId="60E42A7C">
            <w:pPr>
              <w:spacing w:line="440" w:lineRule="atLeast"/>
              <w:rPr>
                <w:color w:val="auto"/>
                <w:highlight w:val="none"/>
              </w:rPr>
            </w:pPr>
          </w:p>
        </w:tc>
        <w:tc>
          <w:tcPr>
            <w:tcW w:w="1310" w:type="dxa"/>
            <w:vAlign w:val="top"/>
          </w:tcPr>
          <w:p w14:paraId="0A10EB11">
            <w:pPr>
              <w:spacing w:line="440" w:lineRule="atLeast"/>
              <w:rPr>
                <w:color w:val="auto"/>
                <w:highlight w:val="none"/>
              </w:rPr>
            </w:pPr>
          </w:p>
        </w:tc>
      </w:tr>
      <w:tr w14:paraId="77D3C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vAlign w:val="top"/>
          </w:tcPr>
          <w:p w14:paraId="7EFBFBDC">
            <w:pPr>
              <w:spacing w:line="440" w:lineRule="atLeast"/>
              <w:rPr>
                <w:color w:val="auto"/>
                <w:highlight w:val="none"/>
              </w:rPr>
            </w:pPr>
          </w:p>
        </w:tc>
        <w:tc>
          <w:tcPr>
            <w:tcW w:w="3623" w:type="dxa"/>
            <w:vAlign w:val="top"/>
          </w:tcPr>
          <w:p w14:paraId="6762E9D4">
            <w:pPr>
              <w:spacing w:line="440" w:lineRule="atLeast"/>
              <w:rPr>
                <w:color w:val="auto"/>
                <w:highlight w:val="none"/>
              </w:rPr>
            </w:pPr>
          </w:p>
        </w:tc>
        <w:tc>
          <w:tcPr>
            <w:tcW w:w="1134" w:type="dxa"/>
            <w:vAlign w:val="top"/>
          </w:tcPr>
          <w:p w14:paraId="536750D7">
            <w:pPr>
              <w:spacing w:line="440" w:lineRule="atLeast"/>
              <w:rPr>
                <w:color w:val="auto"/>
                <w:highlight w:val="none"/>
              </w:rPr>
            </w:pPr>
          </w:p>
        </w:tc>
        <w:tc>
          <w:tcPr>
            <w:tcW w:w="851" w:type="dxa"/>
            <w:vAlign w:val="top"/>
          </w:tcPr>
          <w:p w14:paraId="0EC88DB8">
            <w:pPr>
              <w:spacing w:line="440" w:lineRule="atLeast"/>
              <w:rPr>
                <w:color w:val="auto"/>
                <w:highlight w:val="none"/>
              </w:rPr>
            </w:pPr>
          </w:p>
        </w:tc>
        <w:tc>
          <w:tcPr>
            <w:tcW w:w="1310" w:type="dxa"/>
            <w:vAlign w:val="top"/>
          </w:tcPr>
          <w:p w14:paraId="42BEC5E9">
            <w:pPr>
              <w:spacing w:line="440" w:lineRule="atLeast"/>
              <w:rPr>
                <w:color w:val="auto"/>
                <w:highlight w:val="none"/>
              </w:rPr>
            </w:pPr>
          </w:p>
        </w:tc>
      </w:tr>
      <w:tr w14:paraId="3C198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vAlign w:val="top"/>
          </w:tcPr>
          <w:p w14:paraId="6B2BA8E2">
            <w:pPr>
              <w:spacing w:line="440" w:lineRule="atLeast"/>
              <w:rPr>
                <w:color w:val="auto"/>
                <w:highlight w:val="none"/>
              </w:rPr>
            </w:pPr>
          </w:p>
        </w:tc>
        <w:tc>
          <w:tcPr>
            <w:tcW w:w="3623" w:type="dxa"/>
            <w:vAlign w:val="top"/>
          </w:tcPr>
          <w:p w14:paraId="7382E907">
            <w:pPr>
              <w:spacing w:line="440" w:lineRule="atLeast"/>
              <w:rPr>
                <w:color w:val="auto"/>
                <w:highlight w:val="none"/>
              </w:rPr>
            </w:pPr>
          </w:p>
        </w:tc>
        <w:tc>
          <w:tcPr>
            <w:tcW w:w="1134" w:type="dxa"/>
            <w:vAlign w:val="top"/>
          </w:tcPr>
          <w:p w14:paraId="300FD6D4">
            <w:pPr>
              <w:spacing w:line="440" w:lineRule="atLeast"/>
              <w:rPr>
                <w:color w:val="auto"/>
                <w:highlight w:val="none"/>
              </w:rPr>
            </w:pPr>
          </w:p>
        </w:tc>
        <w:tc>
          <w:tcPr>
            <w:tcW w:w="851" w:type="dxa"/>
            <w:vAlign w:val="top"/>
          </w:tcPr>
          <w:p w14:paraId="64DB84CF">
            <w:pPr>
              <w:spacing w:line="440" w:lineRule="atLeast"/>
              <w:rPr>
                <w:color w:val="auto"/>
                <w:highlight w:val="none"/>
              </w:rPr>
            </w:pPr>
          </w:p>
        </w:tc>
        <w:tc>
          <w:tcPr>
            <w:tcW w:w="1310" w:type="dxa"/>
            <w:vAlign w:val="top"/>
          </w:tcPr>
          <w:p w14:paraId="072E1E3A">
            <w:pPr>
              <w:spacing w:line="440" w:lineRule="atLeast"/>
              <w:rPr>
                <w:color w:val="auto"/>
                <w:highlight w:val="none"/>
              </w:rPr>
            </w:pPr>
          </w:p>
        </w:tc>
      </w:tr>
      <w:tr w14:paraId="46151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vAlign w:val="center"/>
          </w:tcPr>
          <w:p w14:paraId="7A3968B4">
            <w:pPr>
              <w:spacing w:line="440" w:lineRule="atLeast"/>
              <w:rPr>
                <w:color w:val="auto"/>
                <w:highlight w:val="none"/>
              </w:rPr>
            </w:pPr>
          </w:p>
        </w:tc>
        <w:tc>
          <w:tcPr>
            <w:tcW w:w="3623" w:type="dxa"/>
            <w:vAlign w:val="center"/>
          </w:tcPr>
          <w:p w14:paraId="68C0D5D4">
            <w:pPr>
              <w:spacing w:line="440" w:lineRule="atLeast"/>
              <w:rPr>
                <w:color w:val="auto"/>
                <w:highlight w:val="none"/>
              </w:rPr>
            </w:pPr>
          </w:p>
        </w:tc>
        <w:tc>
          <w:tcPr>
            <w:tcW w:w="1134" w:type="dxa"/>
            <w:vAlign w:val="top"/>
          </w:tcPr>
          <w:p w14:paraId="50D14F65">
            <w:pPr>
              <w:spacing w:line="440" w:lineRule="atLeast"/>
              <w:rPr>
                <w:color w:val="auto"/>
                <w:highlight w:val="none"/>
              </w:rPr>
            </w:pPr>
          </w:p>
        </w:tc>
        <w:tc>
          <w:tcPr>
            <w:tcW w:w="851" w:type="dxa"/>
            <w:vAlign w:val="top"/>
          </w:tcPr>
          <w:p w14:paraId="7695EF8D">
            <w:pPr>
              <w:spacing w:line="440" w:lineRule="atLeast"/>
              <w:rPr>
                <w:color w:val="auto"/>
                <w:highlight w:val="none"/>
              </w:rPr>
            </w:pPr>
          </w:p>
        </w:tc>
        <w:tc>
          <w:tcPr>
            <w:tcW w:w="1310" w:type="dxa"/>
            <w:vAlign w:val="top"/>
          </w:tcPr>
          <w:p w14:paraId="444CE670">
            <w:pPr>
              <w:spacing w:line="440" w:lineRule="atLeast"/>
              <w:rPr>
                <w:color w:val="auto"/>
                <w:highlight w:val="none"/>
              </w:rPr>
            </w:pPr>
          </w:p>
        </w:tc>
      </w:tr>
      <w:tr w14:paraId="055ED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vAlign w:val="center"/>
          </w:tcPr>
          <w:p w14:paraId="745F7976">
            <w:pPr>
              <w:spacing w:line="440" w:lineRule="atLeast"/>
              <w:rPr>
                <w:color w:val="auto"/>
                <w:szCs w:val="21"/>
                <w:highlight w:val="none"/>
              </w:rPr>
            </w:pPr>
          </w:p>
        </w:tc>
        <w:tc>
          <w:tcPr>
            <w:tcW w:w="3623" w:type="dxa"/>
            <w:vAlign w:val="center"/>
          </w:tcPr>
          <w:p w14:paraId="0749B0CA">
            <w:pPr>
              <w:spacing w:line="440" w:lineRule="atLeast"/>
              <w:rPr>
                <w:color w:val="auto"/>
                <w:szCs w:val="21"/>
                <w:highlight w:val="none"/>
              </w:rPr>
            </w:pPr>
          </w:p>
        </w:tc>
        <w:tc>
          <w:tcPr>
            <w:tcW w:w="1134" w:type="dxa"/>
            <w:vAlign w:val="top"/>
          </w:tcPr>
          <w:p w14:paraId="036C65B8">
            <w:pPr>
              <w:spacing w:line="440" w:lineRule="atLeast"/>
              <w:rPr>
                <w:color w:val="auto"/>
                <w:highlight w:val="none"/>
              </w:rPr>
            </w:pPr>
          </w:p>
        </w:tc>
        <w:tc>
          <w:tcPr>
            <w:tcW w:w="851" w:type="dxa"/>
            <w:vAlign w:val="top"/>
          </w:tcPr>
          <w:p w14:paraId="0EE81D63">
            <w:pPr>
              <w:spacing w:line="440" w:lineRule="atLeast"/>
              <w:rPr>
                <w:color w:val="auto"/>
                <w:highlight w:val="none"/>
              </w:rPr>
            </w:pPr>
          </w:p>
        </w:tc>
        <w:tc>
          <w:tcPr>
            <w:tcW w:w="1310" w:type="dxa"/>
            <w:vAlign w:val="top"/>
          </w:tcPr>
          <w:p w14:paraId="1D1437E3">
            <w:pPr>
              <w:spacing w:line="440" w:lineRule="atLeast"/>
              <w:rPr>
                <w:color w:val="auto"/>
                <w:highlight w:val="none"/>
              </w:rPr>
            </w:pPr>
          </w:p>
        </w:tc>
      </w:tr>
      <w:tr w14:paraId="3F80B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093" w:type="dxa"/>
            <w:vAlign w:val="center"/>
          </w:tcPr>
          <w:p w14:paraId="01EB9615">
            <w:pPr>
              <w:spacing w:line="440" w:lineRule="atLeast"/>
              <w:rPr>
                <w:color w:val="auto"/>
                <w:szCs w:val="21"/>
                <w:highlight w:val="none"/>
              </w:rPr>
            </w:pPr>
            <w:r>
              <w:rPr>
                <w:rFonts w:hint="eastAsia"/>
                <w:color w:val="auto"/>
                <w:szCs w:val="21"/>
                <w:highlight w:val="none"/>
              </w:rPr>
              <w:t>……</w:t>
            </w:r>
          </w:p>
        </w:tc>
        <w:tc>
          <w:tcPr>
            <w:tcW w:w="3623" w:type="dxa"/>
            <w:vAlign w:val="center"/>
          </w:tcPr>
          <w:p w14:paraId="49DA2C05">
            <w:pPr>
              <w:spacing w:line="440" w:lineRule="atLeast"/>
              <w:rPr>
                <w:color w:val="auto"/>
                <w:szCs w:val="21"/>
                <w:highlight w:val="none"/>
              </w:rPr>
            </w:pPr>
            <w:r>
              <w:rPr>
                <w:rFonts w:hint="eastAsia"/>
                <w:color w:val="auto"/>
                <w:szCs w:val="21"/>
                <w:highlight w:val="none"/>
              </w:rPr>
              <w:t>……</w:t>
            </w:r>
          </w:p>
        </w:tc>
        <w:tc>
          <w:tcPr>
            <w:tcW w:w="1134" w:type="dxa"/>
            <w:vAlign w:val="top"/>
          </w:tcPr>
          <w:p w14:paraId="71CCE5DD">
            <w:pPr>
              <w:spacing w:line="440" w:lineRule="atLeast"/>
              <w:rPr>
                <w:color w:val="auto"/>
                <w:highlight w:val="none"/>
              </w:rPr>
            </w:pPr>
          </w:p>
        </w:tc>
        <w:tc>
          <w:tcPr>
            <w:tcW w:w="851" w:type="dxa"/>
            <w:vAlign w:val="top"/>
          </w:tcPr>
          <w:p w14:paraId="3193F267">
            <w:pPr>
              <w:spacing w:line="440" w:lineRule="atLeast"/>
              <w:rPr>
                <w:color w:val="auto"/>
                <w:highlight w:val="none"/>
              </w:rPr>
            </w:pPr>
          </w:p>
        </w:tc>
        <w:tc>
          <w:tcPr>
            <w:tcW w:w="1310" w:type="dxa"/>
            <w:vAlign w:val="top"/>
          </w:tcPr>
          <w:p w14:paraId="009C9452">
            <w:pPr>
              <w:spacing w:line="440" w:lineRule="atLeast"/>
              <w:rPr>
                <w:color w:val="auto"/>
                <w:highlight w:val="none"/>
              </w:rPr>
            </w:pPr>
          </w:p>
        </w:tc>
      </w:tr>
      <w:tr w14:paraId="68175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38" w:hRule="atLeast"/>
          <w:jc w:val="center"/>
        </w:trPr>
        <w:tc>
          <w:tcPr>
            <w:tcW w:w="9011" w:type="dxa"/>
            <w:gridSpan w:val="5"/>
            <w:vAlign w:val="center"/>
          </w:tcPr>
          <w:p w14:paraId="408B1E84">
            <w:pPr>
              <w:spacing w:line="440" w:lineRule="atLeast"/>
              <w:rPr>
                <w:b/>
                <w:color w:val="auto"/>
                <w:highlight w:val="none"/>
              </w:rPr>
            </w:pPr>
            <w:r>
              <w:rPr>
                <w:rFonts w:hint="eastAsia"/>
                <w:b/>
                <w:color w:val="auto"/>
                <w:szCs w:val="21"/>
                <w:highlight w:val="none"/>
              </w:rPr>
              <w:t>注：</w:t>
            </w:r>
            <w:r>
              <w:rPr>
                <w:rFonts w:hint="eastAsia"/>
                <w:b/>
                <w:color w:val="auto"/>
                <w:highlight w:val="none"/>
              </w:rPr>
              <w:t>我单位确认，除以上表格中列明的偏离外，我单位接受招标文件规定的所有商务、合同条款，无其他负偏离。</w:t>
            </w:r>
          </w:p>
        </w:tc>
      </w:tr>
    </w:tbl>
    <w:p w14:paraId="05B5BBF2">
      <w:pPr>
        <w:spacing w:line="320" w:lineRule="exact"/>
        <w:rPr>
          <w:rFonts w:ascii="宋体" w:hAnsi="宋体" w:cs="宋体"/>
          <w:b/>
          <w:color w:val="auto"/>
          <w:sz w:val="22"/>
          <w:szCs w:val="22"/>
          <w:highlight w:val="none"/>
        </w:rPr>
      </w:pPr>
      <w:r>
        <w:rPr>
          <w:rFonts w:ascii="宋体" w:hAnsi="宋体" w:cs="宋体"/>
          <w:b/>
          <w:color w:val="auto"/>
          <w:sz w:val="22"/>
          <w:szCs w:val="22"/>
          <w:highlight w:val="none"/>
        </w:rPr>
        <w:t>注：</w:t>
      </w:r>
    </w:p>
    <w:p w14:paraId="0375A99C">
      <w:pPr>
        <w:spacing w:line="320" w:lineRule="exact"/>
        <w:rPr>
          <w:rFonts w:ascii="宋体" w:hAnsi="宋体" w:cs="宋体"/>
          <w:b/>
          <w:color w:val="auto"/>
          <w:sz w:val="22"/>
          <w:szCs w:val="22"/>
          <w:highlight w:val="none"/>
        </w:rPr>
      </w:pPr>
      <w:r>
        <w:rPr>
          <w:rFonts w:hint="eastAsia" w:ascii="宋体" w:hAnsi="宋体" w:cs="宋体"/>
          <w:b/>
          <w:color w:val="auto"/>
          <w:sz w:val="22"/>
          <w:szCs w:val="22"/>
          <w:highlight w:val="none"/>
        </w:rPr>
        <w:t>1.本表应包括对合同条款的偏离说明。</w:t>
      </w:r>
    </w:p>
    <w:p w14:paraId="3F516B75">
      <w:pPr>
        <w:spacing w:line="320" w:lineRule="exact"/>
        <w:rPr>
          <w:rFonts w:ascii="宋体" w:hAnsi="宋体" w:cs="宋体"/>
          <w:b/>
          <w:color w:val="auto"/>
          <w:sz w:val="22"/>
          <w:szCs w:val="22"/>
          <w:highlight w:val="none"/>
        </w:rPr>
      </w:pPr>
      <w:r>
        <w:rPr>
          <w:rFonts w:hint="eastAsia" w:ascii="宋体" w:hAnsi="宋体" w:cs="宋体"/>
          <w:b/>
          <w:color w:val="auto"/>
          <w:sz w:val="22"/>
          <w:szCs w:val="22"/>
          <w:highlight w:val="none"/>
        </w:rPr>
        <w:t>2.</w:t>
      </w:r>
      <w:r>
        <w:rPr>
          <w:rFonts w:hint="eastAsia" w:ascii="宋体" w:hAnsi="宋体" w:cs="宋体"/>
          <w:b/>
          <w:color w:val="auto"/>
          <w:sz w:val="22"/>
          <w:szCs w:val="22"/>
          <w:highlight w:val="none"/>
          <w:lang w:eastAsia="zh-CN"/>
        </w:rPr>
        <w:t>投标人</w:t>
      </w:r>
      <w:r>
        <w:rPr>
          <w:rFonts w:hint="eastAsia" w:ascii="宋体" w:hAnsi="宋体" w:cs="宋体"/>
          <w:b/>
          <w:color w:val="auto"/>
          <w:sz w:val="22"/>
          <w:szCs w:val="22"/>
          <w:highlight w:val="none"/>
        </w:rPr>
        <w:t>对招标文件商务部分的要求有偏离，则必须在该表格中列明。</w:t>
      </w:r>
      <w:r>
        <w:rPr>
          <w:rFonts w:hint="eastAsia" w:ascii="宋体" w:hAnsi="宋体" w:cs="宋体"/>
          <w:b/>
          <w:color w:val="auto"/>
          <w:sz w:val="22"/>
          <w:szCs w:val="22"/>
          <w:highlight w:val="none"/>
          <w:lang w:eastAsia="zh-CN"/>
        </w:rPr>
        <w:t>投标人</w:t>
      </w:r>
      <w:r>
        <w:rPr>
          <w:rFonts w:hint="eastAsia" w:ascii="宋体" w:hAnsi="宋体" w:cs="宋体"/>
          <w:b/>
          <w:color w:val="auto"/>
          <w:sz w:val="22"/>
          <w:szCs w:val="22"/>
          <w:highlight w:val="none"/>
        </w:rPr>
        <w:t>对有偏离的条目在本表相应列成交注“正偏离”或“负偏离”。仅可在“完全响应”及“有偏离”中选一标注，同时，当且仅当选取“有偏离”栏中加以标注后，才能在“偏离简述”栏中加以说明。</w:t>
      </w:r>
    </w:p>
    <w:p w14:paraId="0FB28138">
      <w:pPr>
        <w:spacing w:line="320" w:lineRule="exact"/>
        <w:rPr>
          <w:rFonts w:ascii="宋体" w:hAnsi="宋体" w:cs="宋体"/>
          <w:b/>
          <w:color w:val="auto"/>
          <w:sz w:val="22"/>
          <w:szCs w:val="22"/>
          <w:highlight w:val="none"/>
        </w:rPr>
      </w:pPr>
      <w:r>
        <w:rPr>
          <w:rFonts w:hint="eastAsia" w:ascii="宋体" w:hAnsi="宋体" w:cs="宋体"/>
          <w:b/>
          <w:color w:val="auto"/>
          <w:sz w:val="22"/>
          <w:szCs w:val="22"/>
          <w:highlight w:val="none"/>
        </w:rPr>
        <w:t>正偏离是指应答的条件高于招标文件要求，负偏离是指应答的条件低于招标文件要求。</w:t>
      </w:r>
    </w:p>
    <w:p w14:paraId="1EDCC240">
      <w:pPr>
        <w:spacing w:line="320" w:lineRule="exact"/>
        <w:rPr>
          <w:rFonts w:ascii="宋体" w:hAnsi="宋体" w:cs="宋体"/>
          <w:b/>
          <w:color w:val="auto"/>
          <w:sz w:val="22"/>
          <w:szCs w:val="22"/>
          <w:highlight w:val="none"/>
        </w:rPr>
      </w:pPr>
      <w:r>
        <w:rPr>
          <w:rFonts w:hint="eastAsia" w:ascii="宋体" w:hAnsi="宋体" w:cs="宋体"/>
          <w:b/>
          <w:color w:val="auto"/>
          <w:sz w:val="22"/>
          <w:szCs w:val="22"/>
          <w:highlight w:val="none"/>
        </w:rPr>
        <w:t>3.</w:t>
      </w:r>
      <w:r>
        <w:rPr>
          <w:rFonts w:hint="eastAsia" w:ascii="宋体" w:hAnsi="宋体" w:cs="宋体"/>
          <w:b/>
          <w:color w:val="auto"/>
          <w:sz w:val="22"/>
          <w:szCs w:val="22"/>
          <w:highlight w:val="none"/>
          <w:lang w:eastAsia="zh-CN"/>
        </w:rPr>
        <w:t>投标人</w:t>
      </w:r>
      <w:r>
        <w:rPr>
          <w:rFonts w:hint="eastAsia" w:ascii="宋体" w:hAnsi="宋体" w:cs="宋体"/>
          <w:b/>
          <w:color w:val="auto"/>
          <w:sz w:val="22"/>
          <w:szCs w:val="22"/>
          <w:highlight w:val="none"/>
        </w:rPr>
        <w:t>须完整如实填写《商务、合同条款偏差表》。如果未完整填写本表的各项内容则视作</w:t>
      </w:r>
      <w:r>
        <w:rPr>
          <w:rFonts w:hint="eastAsia" w:ascii="宋体" w:hAnsi="宋体" w:cs="宋体"/>
          <w:b/>
          <w:color w:val="auto"/>
          <w:sz w:val="22"/>
          <w:szCs w:val="22"/>
          <w:highlight w:val="none"/>
          <w:lang w:eastAsia="zh-CN"/>
        </w:rPr>
        <w:t>投标人</w:t>
      </w:r>
      <w:r>
        <w:rPr>
          <w:rFonts w:hint="eastAsia" w:ascii="宋体" w:hAnsi="宋体" w:cs="宋体"/>
          <w:b/>
          <w:color w:val="auto"/>
          <w:sz w:val="22"/>
          <w:szCs w:val="22"/>
          <w:highlight w:val="none"/>
        </w:rPr>
        <w:t>已经对招标文件相关要求和内容完全理解并同意，其投标报价为在此基础上的完全价格。</w:t>
      </w:r>
    </w:p>
    <w:p w14:paraId="0760A964">
      <w:pPr>
        <w:snapToGrid w:val="0"/>
        <w:jc w:val="left"/>
        <w:rPr>
          <w:rFonts w:hint="eastAsia" w:ascii="宋体" w:hAnsi="宋体" w:cs="宋体"/>
          <w:color w:val="auto"/>
          <w:sz w:val="20"/>
          <w:szCs w:val="20"/>
          <w:highlight w:val="none"/>
        </w:rPr>
      </w:pPr>
      <w:r>
        <w:rPr>
          <w:rFonts w:hint="eastAsia" w:ascii="宋体" w:hAnsi="宋体" w:cs="宋体"/>
          <w:b/>
          <w:color w:val="auto"/>
          <w:sz w:val="22"/>
          <w:szCs w:val="22"/>
          <w:highlight w:val="none"/>
        </w:rPr>
        <w:t>4.在采购人与</w:t>
      </w:r>
      <w:r>
        <w:rPr>
          <w:rFonts w:hint="eastAsia" w:ascii="宋体" w:hAnsi="宋体" w:cs="宋体"/>
          <w:b/>
          <w:color w:val="auto"/>
          <w:sz w:val="22"/>
          <w:szCs w:val="22"/>
          <w:highlight w:val="none"/>
          <w:lang w:eastAsia="zh-CN"/>
        </w:rPr>
        <w:t>中标人</w:t>
      </w:r>
      <w:r>
        <w:rPr>
          <w:rFonts w:hint="eastAsia" w:ascii="宋体" w:hAnsi="宋体" w:cs="宋体"/>
          <w:b/>
          <w:color w:val="auto"/>
          <w:sz w:val="22"/>
          <w:szCs w:val="22"/>
          <w:highlight w:val="none"/>
        </w:rPr>
        <w:t>签订合同时，如</w:t>
      </w:r>
      <w:r>
        <w:rPr>
          <w:rFonts w:hint="eastAsia" w:ascii="宋体" w:hAnsi="宋体" w:cs="宋体"/>
          <w:b/>
          <w:color w:val="auto"/>
          <w:sz w:val="22"/>
          <w:szCs w:val="22"/>
          <w:highlight w:val="none"/>
          <w:lang w:eastAsia="zh-CN"/>
        </w:rPr>
        <w:t>中标人</w:t>
      </w:r>
      <w:r>
        <w:rPr>
          <w:rFonts w:hint="eastAsia" w:ascii="宋体" w:hAnsi="宋体" w:cs="宋体"/>
          <w:b/>
          <w:color w:val="auto"/>
          <w:sz w:val="22"/>
          <w:szCs w:val="22"/>
          <w:highlight w:val="none"/>
        </w:rPr>
        <w:t>未在投标文件《商务、合同条款偏差表》中列出偏离说明，无论已发生或即将发生任何情形，均视为完全符合招标文件要求，并写入合同。若</w:t>
      </w:r>
      <w:r>
        <w:rPr>
          <w:rFonts w:hint="eastAsia" w:ascii="宋体" w:hAnsi="宋体" w:cs="宋体"/>
          <w:b/>
          <w:color w:val="auto"/>
          <w:sz w:val="22"/>
          <w:szCs w:val="22"/>
          <w:highlight w:val="none"/>
          <w:lang w:eastAsia="zh-CN"/>
        </w:rPr>
        <w:t>中标人</w:t>
      </w:r>
      <w:r>
        <w:rPr>
          <w:rFonts w:hint="eastAsia" w:ascii="宋体" w:hAnsi="宋体" w:cs="宋体"/>
          <w:b/>
          <w:color w:val="auto"/>
          <w:sz w:val="22"/>
          <w:szCs w:val="22"/>
          <w:highlight w:val="none"/>
        </w:rPr>
        <w:t>在合同签订前，以上述事项为借口而不履行合同签订手续及执行合同，则视作拒绝与采购人签订合同。采购人有权取消该中标人的中标资格并没收其投标保证金，并按有关规定重新确定中标单位或另行采购。</w:t>
      </w:r>
    </w:p>
    <w:p w14:paraId="7E0DCF2E">
      <w:pPr>
        <w:spacing w:line="480" w:lineRule="auto"/>
        <w:ind w:left="178" w:leftChars="85"/>
        <w:rPr>
          <w:rFonts w:hint="eastAsia" w:ascii="宋体" w:hAnsi="宋体" w:cs="宋体"/>
          <w:color w:val="auto"/>
          <w:sz w:val="24"/>
          <w:highlight w:val="none"/>
          <w:u w:val="none"/>
        </w:rPr>
      </w:pPr>
    </w:p>
    <w:p w14:paraId="1E6AFA34">
      <w:pPr>
        <w:spacing w:line="480" w:lineRule="auto"/>
        <w:ind w:left="178" w:leftChars="85"/>
        <w:rPr>
          <w:rFonts w:ascii="宋体" w:hAnsi="宋体" w:cs="宋体"/>
          <w:color w:val="auto"/>
          <w:sz w:val="24"/>
          <w:highlight w:val="none"/>
          <w:u w:val="none"/>
        </w:rPr>
      </w:pPr>
      <w:r>
        <w:rPr>
          <w:rFonts w:hint="eastAsia" w:ascii="宋体" w:hAnsi="宋体" w:cs="宋体"/>
          <w:color w:val="auto"/>
          <w:sz w:val="24"/>
          <w:highlight w:val="none"/>
          <w:u w:val="none"/>
        </w:rPr>
        <w:t>投标人</w:t>
      </w:r>
      <w:r>
        <w:rPr>
          <w:rFonts w:hint="eastAsia" w:hAnsi="宋体"/>
          <w:color w:val="auto"/>
          <w:sz w:val="24"/>
          <w:highlight w:val="none"/>
          <w:u w:val="none"/>
        </w:rPr>
        <w:t>（加盖电子公章）</w:t>
      </w:r>
      <w:r>
        <w:rPr>
          <w:rFonts w:hint="eastAsia" w:ascii="宋体" w:hAnsi="宋体" w:cs="宋体"/>
          <w:color w:val="auto"/>
          <w:sz w:val="24"/>
          <w:highlight w:val="none"/>
          <w:u w:val="none"/>
        </w:rPr>
        <w:t>：</w:t>
      </w:r>
    </w:p>
    <w:p w14:paraId="7D059457">
      <w:pPr>
        <w:spacing w:line="480" w:lineRule="auto"/>
        <w:ind w:left="178" w:leftChars="85"/>
        <w:rPr>
          <w:rFonts w:hint="eastAsia" w:ascii="宋体" w:hAnsi="宋体" w:cs="宋体"/>
          <w:color w:val="auto"/>
          <w:sz w:val="24"/>
          <w:highlight w:val="none"/>
          <w:u w:val="none"/>
        </w:rPr>
      </w:pPr>
      <w:r>
        <w:rPr>
          <w:rFonts w:hint="eastAsia" w:ascii="宋体" w:hAnsi="宋体" w:cs="宋体"/>
          <w:color w:val="auto"/>
          <w:sz w:val="24"/>
          <w:highlight w:val="none"/>
          <w:u w:val="none"/>
        </w:rPr>
        <w:t>法定代表人（公司负责人）或委托代理人（电子签章或签字）：</w:t>
      </w:r>
    </w:p>
    <w:p w14:paraId="17F2F42A">
      <w:pPr>
        <w:spacing w:line="480" w:lineRule="auto"/>
        <w:ind w:left="178" w:leftChars="85"/>
        <w:rPr>
          <w:color w:val="auto"/>
          <w:highlight w:val="none"/>
        </w:rPr>
      </w:pPr>
      <w:r>
        <w:rPr>
          <w:rFonts w:hint="eastAsia" w:ascii="宋体" w:hAnsi="宋体" w:cs="宋体"/>
          <w:color w:val="auto"/>
          <w:sz w:val="24"/>
          <w:highlight w:val="none"/>
          <w:u w:val="none"/>
        </w:rPr>
        <w:t>日期：     年   月   日</w:t>
      </w:r>
    </w:p>
    <w:p w14:paraId="6EDDE992">
      <w:pPr>
        <w:snapToGrid w:val="0"/>
        <w:spacing w:afterLines="50"/>
        <w:ind w:left="850" w:leftChars="203" w:hanging="424" w:hangingChars="202"/>
        <w:rPr>
          <w:rFonts w:ascii="宋体" w:hAnsi="宋体"/>
          <w:color w:val="auto"/>
          <w:highlight w:val="none"/>
        </w:rPr>
      </w:pPr>
    </w:p>
    <w:p w14:paraId="79819DB6">
      <w:pPr>
        <w:outlineLvl w:val="9"/>
        <w:rPr>
          <w:rFonts w:ascii="宋体" w:hAnsi="宋体" w:cs="宋体"/>
          <w:b/>
          <w:color w:val="auto"/>
          <w:sz w:val="24"/>
          <w:highlight w:val="none"/>
        </w:rPr>
      </w:pPr>
    </w:p>
    <w:p w14:paraId="0A094156">
      <w:pPr>
        <w:rPr>
          <w:rFonts w:hint="eastAsia"/>
          <w:b/>
          <w:color w:val="auto"/>
          <w:sz w:val="24"/>
          <w:highlight w:val="none"/>
        </w:rPr>
      </w:pPr>
      <w:bookmarkStart w:id="274" w:name="_Toc18481"/>
      <w:bookmarkStart w:id="275" w:name="_Toc17528"/>
      <w:r>
        <w:rPr>
          <w:rFonts w:hint="eastAsia"/>
          <w:b/>
          <w:color w:val="auto"/>
          <w:sz w:val="24"/>
          <w:highlight w:val="none"/>
        </w:rPr>
        <w:br w:type="page"/>
      </w:r>
    </w:p>
    <w:p w14:paraId="58A7AF04">
      <w:pPr>
        <w:spacing w:line="360" w:lineRule="auto"/>
        <w:outlineLvl w:val="1"/>
        <w:rPr>
          <w:b/>
          <w:color w:val="auto"/>
          <w:sz w:val="24"/>
          <w:highlight w:val="none"/>
        </w:rPr>
      </w:pPr>
      <w:r>
        <w:rPr>
          <w:rFonts w:hint="eastAsia"/>
          <w:b/>
          <w:color w:val="auto"/>
          <w:sz w:val="24"/>
          <w:highlight w:val="none"/>
        </w:rPr>
        <w:t>附件</w:t>
      </w:r>
      <w:r>
        <w:rPr>
          <w:rFonts w:hint="eastAsia"/>
          <w:b/>
          <w:color w:val="auto"/>
          <w:sz w:val="24"/>
          <w:highlight w:val="none"/>
          <w:lang w:val="en-US" w:eastAsia="zh-CN"/>
        </w:rPr>
        <w:t>8</w:t>
      </w:r>
      <w:r>
        <w:rPr>
          <w:b/>
          <w:color w:val="auto"/>
          <w:sz w:val="24"/>
          <w:highlight w:val="none"/>
        </w:rPr>
        <w:t xml:space="preserve">  投标人基本情况表</w:t>
      </w:r>
      <w:bookmarkEnd w:id="274"/>
      <w:bookmarkEnd w:id="275"/>
    </w:p>
    <w:p w14:paraId="2C91A594">
      <w:pPr>
        <w:rPr>
          <w:color w:val="auto"/>
          <w:highlight w:val="none"/>
        </w:rPr>
      </w:pPr>
    </w:p>
    <w:tbl>
      <w:tblPr>
        <w:tblStyle w:val="4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97"/>
        <w:gridCol w:w="2887"/>
        <w:gridCol w:w="140"/>
        <w:gridCol w:w="1238"/>
        <w:gridCol w:w="197"/>
        <w:gridCol w:w="2363"/>
      </w:tblGrid>
      <w:tr w14:paraId="2C64F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vAlign w:val="center"/>
          </w:tcPr>
          <w:p w14:paraId="6EB3E2BA">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企业名称</w:t>
            </w:r>
          </w:p>
        </w:tc>
        <w:tc>
          <w:tcPr>
            <w:tcW w:w="3027" w:type="dxa"/>
            <w:gridSpan w:val="2"/>
            <w:vAlign w:val="center"/>
          </w:tcPr>
          <w:p w14:paraId="09B6DED2">
            <w:pPr>
              <w:jc w:val="center"/>
              <w:rPr>
                <w:rFonts w:hint="eastAsia" w:ascii="宋体" w:hAnsi="宋体" w:eastAsia="宋体" w:cs="宋体"/>
                <w:b/>
                <w:bCs/>
                <w:color w:val="auto"/>
                <w:sz w:val="24"/>
                <w:highlight w:val="none"/>
              </w:rPr>
            </w:pPr>
          </w:p>
        </w:tc>
        <w:tc>
          <w:tcPr>
            <w:tcW w:w="1435" w:type="dxa"/>
            <w:gridSpan w:val="2"/>
            <w:vAlign w:val="center"/>
          </w:tcPr>
          <w:p w14:paraId="4E4461E0">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成立日期</w:t>
            </w:r>
          </w:p>
        </w:tc>
        <w:tc>
          <w:tcPr>
            <w:tcW w:w="2363" w:type="dxa"/>
            <w:vAlign w:val="center"/>
          </w:tcPr>
          <w:p w14:paraId="10B0524D">
            <w:pPr>
              <w:jc w:val="center"/>
              <w:rPr>
                <w:rFonts w:hint="eastAsia" w:ascii="宋体" w:hAnsi="宋体" w:eastAsia="宋体" w:cs="宋体"/>
                <w:b/>
                <w:bCs/>
                <w:color w:val="auto"/>
                <w:sz w:val="24"/>
                <w:highlight w:val="none"/>
              </w:rPr>
            </w:pPr>
          </w:p>
        </w:tc>
      </w:tr>
      <w:tr w14:paraId="28193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724" w:type="dxa"/>
            <w:gridSpan w:val="3"/>
            <w:vAlign w:val="center"/>
          </w:tcPr>
          <w:p w14:paraId="10F76935">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企业法人</w:t>
            </w:r>
            <w:r>
              <w:rPr>
                <w:rFonts w:hint="eastAsia" w:ascii="宋体" w:hAnsi="宋体" w:eastAsia="宋体" w:cs="宋体"/>
                <w:b/>
                <w:bCs/>
                <w:color w:val="auto"/>
                <w:sz w:val="24"/>
                <w:szCs w:val="24"/>
                <w:highlight w:val="none"/>
                <w:lang w:val="en-US" w:eastAsia="zh-CN"/>
              </w:rPr>
              <w:t>统一社会信用代码</w:t>
            </w:r>
          </w:p>
        </w:tc>
        <w:tc>
          <w:tcPr>
            <w:tcW w:w="3798" w:type="dxa"/>
            <w:gridSpan w:val="3"/>
            <w:vAlign w:val="center"/>
          </w:tcPr>
          <w:p w14:paraId="53FA2B73">
            <w:pPr>
              <w:jc w:val="center"/>
              <w:rPr>
                <w:rFonts w:hint="eastAsia" w:ascii="宋体" w:hAnsi="宋体" w:eastAsia="宋体" w:cs="宋体"/>
                <w:b/>
                <w:bCs/>
                <w:color w:val="auto"/>
                <w:sz w:val="24"/>
                <w:highlight w:val="none"/>
              </w:rPr>
            </w:pPr>
          </w:p>
        </w:tc>
      </w:tr>
      <w:tr w14:paraId="239C6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4724" w:type="dxa"/>
            <w:gridSpan w:val="3"/>
            <w:vAlign w:val="center"/>
          </w:tcPr>
          <w:p w14:paraId="67CCAF04">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批准登记机关</w:t>
            </w:r>
          </w:p>
        </w:tc>
        <w:tc>
          <w:tcPr>
            <w:tcW w:w="3798" w:type="dxa"/>
            <w:gridSpan w:val="3"/>
            <w:vAlign w:val="center"/>
          </w:tcPr>
          <w:p w14:paraId="5F287AF2">
            <w:pPr>
              <w:jc w:val="center"/>
              <w:rPr>
                <w:rFonts w:hint="eastAsia" w:ascii="宋体" w:hAnsi="宋体" w:eastAsia="宋体" w:cs="宋体"/>
                <w:b/>
                <w:bCs/>
                <w:color w:val="auto"/>
                <w:sz w:val="24"/>
                <w:highlight w:val="none"/>
              </w:rPr>
            </w:pPr>
          </w:p>
        </w:tc>
      </w:tr>
      <w:tr w14:paraId="66871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vAlign w:val="center"/>
          </w:tcPr>
          <w:p w14:paraId="0AB356C4">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注册资本</w:t>
            </w:r>
          </w:p>
        </w:tc>
        <w:tc>
          <w:tcPr>
            <w:tcW w:w="3027" w:type="dxa"/>
            <w:gridSpan w:val="2"/>
            <w:vAlign w:val="center"/>
          </w:tcPr>
          <w:p w14:paraId="66AC249B">
            <w:pPr>
              <w:jc w:val="center"/>
              <w:rPr>
                <w:rFonts w:hint="eastAsia" w:ascii="宋体" w:hAnsi="宋体" w:eastAsia="宋体" w:cs="宋体"/>
                <w:b/>
                <w:bCs/>
                <w:color w:val="auto"/>
                <w:sz w:val="24"/>
                <w:highlight w:val="none"/>
              </w:rPr>
            </w:pPr>
          </w:p>
        </w:tc>
        <w:tc>
          <w:tcPr>
            <w:tcW w:w="1435" w:type="dxa"/>
            <w:gridSpan w:val="2"/>
            <w:vAlign w:val="center"/>
          </w:tcPr>
          <w:p w14:paraId="557DFEF2">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企业类型</w:t>
            </w:r>
          </w:p>
        </w:tc>
        <w:tc>
          <w:tcPr>
            <w:tcW w:w="2363" w:type="dxa"/>
            <w:vAlign w:val="center"/>
          </w:tcPr>
          <w:p w14:paraId="77F92913">
            <w:pPr>
              <w:jc w:val="center"/>
              <w:rPr>
                <w:rFonts w:hint="eastAsia" w:ascii="宋体" w:hAnsi="宋体" w:eastAsia="宋体" w:cs="宋体"/>
                <w:b/>
                <w:bCs/>
                <w:color w:val="auto"/>
                <w:sz w:val="24"/>
                <w:highlight w:val="none"/>
              </w:rPr>
            </w:pPr>
          </w:p>
        </w:tc>
      </w:tr>
      <w:tr w14:paraId="366B8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vAlign w:val="center"/>
          </w:tcPr>
          <w:p w14:paraId="540CBAFB">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w:t>
            </w:r>
          </w:p>
        </w:tc>
        <w:tc>
          <w:tcPr>
            <w:tcW w:w="3027" w:type="dxa"/>
            <w:gridSpan w:val="2"/>
            <w:vAlign w:val="center"/>
          </w:tcPr>
          <w:p w14:paraId="282876CC">
            <w:pPr>
              <w:jc w:val="center"/>
              <w:rPr>
                <w:rFonts w:hint="eastAsia" w:ascii="宋体" w:hAnsi="宋体" w:eastAsia="宋体" w:cs="宋体"/>
                <w:b/>
                <w:bCs/>
                <w:color w:val="auto"/>
                <w:sz w:val="24"/>
                <w:highlight w:val="none"/>
              </w:rPr>
            </w:pPr>
          </w:p>
        </w:tc>
        <w:tc>
          <w:tcPr>
            <w:tcW w:w="1435" w:type="dxa"/>
            <w:gridSpan w:val="2"/>
            <w:vAlign w:val="center"/>
          </w:tcPr>
          <w:p w14:paraId="1437A3E1">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营业期限</w:t>
            </w:r>
          </w:p>
        </w:tc>
        <w:tc>
          <w:tcPr>
            <w:tcW w:w="2363" w:type="dxa"/>
            <w:vAlign w:val="center"/>
          </w:tcPr>
          <w:p w14:paraId="3A2BDE99">
            <w:pPr>
              <w:jc w:val="center"/>
              <w:rPr>
                <w:rFonts w:hint="eastAsia" w:ascii="宋体" w:hAnsi="宋体" w:eastAsia="宋体" w:cs="宋体"/>
                <w:b/>
                <w:bCs/>
                <w:color w:val="auto"/>
                <w:sz w:val="24"/>
                <w:highlight w:val="none"/>
              </w:rPr>
            </w:pPr>
          </w:p>
        </w:tc>
      </w:tr>
      <w:tr w14:paraId="4A8EE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vAlign w:val="center"/>
          </w:tcPr>
          <w:p w14:paraId="4CF56307">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资质类型</w:t>
            </w:r>
          </w:p>
        </w:tc>
        <w:tc>
          <w:tcPr>
            <w:tcW w:w="3027" w:type="dxa"/>
            <w:gridSpan w:val="2"/>
            <w:vAlign w:val="center"/>
          </w:tcPr>
          <w:p w14:paraId="75A9CAF6">
            <w:pPr>
              <w:jc w:val="center"/>
              <w:rPr>
                <w:rFonts w:hint="eastAsia" w:ascii="宋体" w:hAnsi="宋体" w:eastAsia="宋体" w:cs="宋体"/>
                <w:b/>
                <w:bCs/>
                <w:color w:val="auto"/>
                <w:sz w:val="24"/>
                <w:highlight w:val="none"/>
              </w:rPr>
            </w:pPr>
          </w:p>
        </w:tc>
        <w:tc>
          <w:tcPr>
            <w:tcW w:w="1435" w:type="dxa"/>
            <w:gridSpan w:val="2"/>
            <w:vAlign w:val="center"/>
          </w:tcPr>
          <w:p w14:paraId="093FF143">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资质等级</w:t>
            </w:r>
          </w:p>
        </w:tc>
        <w:tc>
          <w:tcPr>
            <w:tcW w:w="2363" w:type="dxa"/>
            <w:vAlign w:val="center"/>
          </w:tcPr>
          <w:p w14:paraId="53AFEAAF">
            <w:pPr>
              <w:jc w:val="center"/>
              <w:rPr>
                <w:rFonts w:hint="eastAsia" w:ascii="宋体" w:hAnsi="宋体" w:eastAsia="宋体" w:cs="宋体"/>
                <w:b/>
                <w:bCs/>
                <w:color w:val="auto"/>
                <w:sz w:val="24"/>
                <w:highlight w:val="none"/>
              </w:rPr>
            </w:pPr>
          </w:p>
        </w:tc>
      </w:tr>
      <w:tr w14:paraId="0DCAF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vAlign w:val="center"/>
          </w:tcPr>
          <w:p w14:paraId="1E38C86F">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主营业务</w:t>
            </w:r>
          </w:p>
        </w:tc>
        <w:tc>
          <w:tcPr>
            <w:tcW w:w="6825" w:type="dxa"/>
            <w:gridSpan w:val="5"/>
            <w:vAlign w:val="center"/>
          </w:tcPr>
          <w:p w14:paraId="282C0C8C">
            <w:pPr>
              <w:jc w:val="center"/>
              <w:rPr>
                <w:rFonts w:hint="eastAsia" w:ascii="宋体" w:hAnsi="宋体" w:eastAsia="宋体" w:cs="宋体"/>
                <w:b/>
                <w:bCs/>
                <w:color w:val="auto"/>
                <w:sz w:val="24"/>
                <w:highlight w:val="none"/>
              </w:rPr>
            </w:pPr>
          </w:p>
        </w:tc>
      </w:tr>
      <w:tr w14:paraId="63556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vAlign w:val="center"/>
          </w:tcPr>
          <w:p w14:paraId="64209055">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地  址</w:t>
            </w:r>
          </w:p>
        </w:tc>
        <w:tc>
          <w:tcPr>
            <w:tcW w:w="6825" w:type="dxa"/>
            <w:gridSpan w:val="5"/>
            <w:vAlign w:val="center"/>
          </w:tcPr>
          <w:p w14:paraId="44472CB3">
            <w:pPr>
              <w:jc w:val="center"/>
              <w:rPr>
                <w:rFonts w:hint="eastAsia" w:ascii="宋体" w:hAnsi="宋体" w:eastAsia="宋体" w:cs="宋体"/>
                <w:b/>
                <w:bCs/>
                <w:color w:val="auto"/>
                <w:sz w:val="24"/>
                <w:highlight w:val="none"/>
              </w:rPr>
            </w:pPr>
          </w:p>
        </w:tc>
      </w:tr>
      <w:tr w14:paraId="79FBD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vAlign w:val="center"/>
          </w:tcPr>
          <w:p w14:paraId="1E131172">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开户银行</w:t>
            </w:r>
          </w:p>
        </w:tc>
        <w:tc>
          <w:tcPr>
            <w:tcW w:w="6825" w:type="dxa"/>
            <w:gridSpan w:val="5"/>
            <w:vAlign w:val="center"/>
          </w:tcPr>
          <w:p w14:paraId="329878A5">
            <w:pPr>
              <w:jc w:val="center"/>
              <w:rPr>
                <w:rFonts w:hint="eastAsia" w:ascii="宋体" w:hAnsi="宋体" w:eastAsia="宋体" w:cs="宋体"/>
                <w:b/>
                <w:bCs/>
                <w:color w:val="auto"/>
                <w:sz w:val="24"/>
                <w:highlight w:val="none"/>
              </w:rPr>
            </w:pPr>
          </w:p>
        </w:tc>
      </w:tr>
      <w:tr w14:paraId="25024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vAlign w:val="center"/>
          </w:tcPr>
          <w:p w14:paraId="21F7D7BD">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开户行号</w:t>
            </w:r>
          </w:p>
          <w:p w14:paraId="06EB450F">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（如有）</w:t>
            </w:r>
          </w:p>
        </w:tc>
        <w:tc>
          <w:tcPr>
            <w:tcW w:w="6825" w:type="dxa"/>
            <w:gridSpan w:val="5"/>
            <w:vAlign w:val="center"/>
          </w:tcPr>
          <w:p w14:paraId="35A56E8F">
            <w:pPr>
              <w:jc w:val="center"/>
              <w:rPr>
                <w:rFonts w:hint="eastAsia" w:ascii="宋体" w:hAnsi="宋体" w:eastAsia="宋体" w:cs="宋体"/>
                <w:b/>
                <w:bCs/>
                <w:color w:val="auto"/>
                <w:sz w:val="24"/>
                <w:highlight w:val="none"/>
              </w:rPr>
            </w:pPr>
          </w:p>
        </w:tc>
      </w:tr>
      <w:tr w14:paraId="22B52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vAlign w:val="center"/>
          </w:tcPr>
          <w:p w14:paraId="7F6031FF">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银行账号</w:t>
            </w:r>
          </w:p>
        </w:tc>
        <w:tc>
          <w:tcPr>
            <w:tcW w:w="6825" w:type="dxa"/>
            <w:gridSpan w:val="5"/>
            <w:vAlign w:val="center"/>
          </w:tcPr>
          <w:p w14:paraId="6F98CF4D">
            <w:pPr>
              <w:jc w:val="center"/>
              <w:rPr>
                <w:rFonts w:hint="eastAsia" w:ascii="宋体" w:hAnsi="宋体" w:eastAsia="宋体" w:cs="宋体"/>
                <w:b/>
                <w:bCs/>
                <w:color w:val="auto"/>
                <w:sz w:val="24"/>
                <w:highlight w:val="none"/>
              </w:rPr>
            </w:pPr>
          </w:p>
        </w:tc>
      </w:tr>
      <w:tr w14:paraId="4372D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vAlign w:val="center"/>
          </w:tcPr>
          <w:p w14:paraId="7E824802">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电  话</w:t>
            </w:r>
          </w:p>
        </w:tc>
        <w:tc>
          <w:tcPr>
            <w:tcW w:w="2887" w:type="dxa"/>
            <w:vAlign w:val="center"/>
          </w:tcPr>
          <w:p w14:paraId="2AB339BC">
            <w:pPr>
              <w:jc w:val="center"/>
              <w:rPr>
                <w:rFonts w:hint="eastAsia" w:ascii="宋体" w:hAnsi="宋体" w:eastAsia="宋体" w:cs="宋体"/>
                <w:b/>
                <w:bCs/>
                <w:color w:val="auto"/>
                <w:sz w:val="24"/>
                <w:highlight w:val="none"/>
              </w:rPr>
            </w:pPr>
          </w:p>
        </w:tc>
        <w:tc>
          <w:tcPr>
            <w:tcW w:w="1378" w:type="dxa"/>
            <w:gridSpan w:val="2"/>
            <w:vAlign w:val="center"/>
          </w:tcPr>
          <w:p w14:paraId="5092734A">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传  真</w:t>
            </w:r>
          </w:p>
        </w:tc>
        <w:tc>
          <w:tcPr>
            <w:tcW w:w="2560" w:type="dxa"/>
            <w:gridSpan w:val="2"/>
            <w:vAlign w:val="center"/>
          </w:tcPr>
          <w:p w14:paraId="41538BD6">
            <w:pPr>
              <w:jc w:val="center"/>
              <w:rPr>
                <w:rFonts w:hint="eastAsia" w:ascii="宋体" w:hAnsi="宋体" w:eastAsia="宋体" w:cs="宋体"/>
                <w:b/>
                <w:bCs/>
                <w:color w:val="auto"/>
                <w:sz w:val="24"/>
                <w:highlight w:val="none"/>
              </w:rPr>
            </w:pPr>
          </w:p>
        </w:tc>
      </w:tr>
      <w:tr w14:paraId="35EAF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vAlign w:val="center"/>
          </w:tcPr>
          <w:p w14:paraId="77831996">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邮  箱</w:t>
            </w:r>
          </w:p>
        </w:tc>
        <w:tc>
          <w:tcPr>
            <w:tcW w:w="2887" w:type="dxa"/>
            <w:vAlign w:val="center"/>
          </w:tcPr>
          <w:p w14:paraId="7C44E2E1">
            <w:pPr>
              <w:jc w:val="center"/>
              <w:rPr>
                <w:rFonts w:hint="eastAsia" w:ascii="宋体" w:hAnsi="宋体" w:eastAsia="宋体" w:cs="宋体"/>
                <w:b/>
                <w:bCs/>
                <w:color w:val="auto"/>
                <w:sz w:val="24"/>
                <w:highlight w:val="none"/>
              </w:rPr>
            </w:pPr>
          </w:p>
        </w:tc>
        <w:tc>
          <w:tcPr>
            <w:tcW w:w="1378" w:type="dxa"/>
            <w:gridSpan w:val="2"/>
            <w:vAlign w:val="center"/>
          </w:tcPr>
          <w:p w14:paraId="04D312D1">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邮  编</w:t>
            </w:r>
          </w:p>
        </w:tc>
        <w:tc>
          <w:tcPr>
            <w:tcW w:w="2560" w:type="dxa"/>
            <w:gridSpan w:val="2"/>
            <w:vAlign w:val="center"/>
          </w:tcPr>
          <w:p w14:paraId="42A4AA54">
            <w:pPr>
              <w:jc w:val="center"/>
              <w:rPr>
                <w:rFonts w:hint="eastAsia" w:ascii="宋体" w:hAnsi="宋体" w:eastAsia="宋体" w:cs="宋体"/>
                <w:b/>
                <w:bCs/>
                <w:color w:val="auto"/>
                <w:sz w:val="24"/>
                <w:highlight w:val="none"/>
              </w:rPr>
            </w:pPr>
          </w:p>
        </w:tc>
      </w:tr>
      <w:tr w14:paraId="4970B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697" w:type="dxa"/>
            <w:vAlign w:val="center"/>
          </w:tcPr>
          <w:p w14:paraId="0153E3AB">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联系人</w:t>
            </w:r>
          </w:p>
        </w:tc>
        <w:tc>
          <w:tcPr>
            <w:tcW w:w="2887" w:type="dxa"/>
            <w:vAlign w:val="center"/>
          </w:tcPr>
          <w:p w14:paraId="58987618">
            <w:pPr>
              <w:jc w:val="center"/>
              <w:rPr>
                <w:rFonts w:hint="eastAsia" w:ascii="宋体" w:hAnsi="宋体" w:eastAsia="宋体" w:cs="宋体"/>
                <w:b/>
                <w:bCs/>
                <w:color w:val="auto"/>
                <w:sz w:val="24"/>
                <w:highlight w:val="none"/>
              </w:rPr>
            </w:pPr>
          </w:p>
        </w:tc>
        <w:tc>
          <w:tcPr>
            <w:tcW w:w="1378" w:type="dxa"/>
            <w:gridSpan w:val="2"/>
            <w:vAlign w:val="center"/>
          </w:tcPr>
          <w:p w14:paraId="7AEADBF7">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联系方式</w:t>
            </w:r>
          </w:p>
        </w:tc>
        <w:tc>
          <w:tcPr>
            <w:tcW w:w="2560" w:type="dxa"/>
            <w:gridSpan w:val="2"/>
            <w:vAlign w:val="center"/>
          </w:tcPr>
          <w:p w14:paraId="12D823A0">
            <w:pPr>
              <w:jc w:val="center"/>
              <w:rPr>
                <w:rFonts w:hint="eastAsia" w:ascii="宋体" w:hAnsi="宋体" w:eastAsia="宋体" w:cs="宋体"/>
                <w:b/>
                <w:bCs/>
                <w:color w:val="auto"/>
                <w:sz w:val="24"/>
                <w:highlight w:val="none"/>
              </w:rPr>
            </w:pPr>
          </w:p>
        </w:tc>
      </w:tr>
    </w:tbl>
    <w:p w14:paraId="614ECAEB">
      <w:pPr>
        <w:spacing w:line="440" w:lineRule="exact"/>
        <w:ind w:firstLine="420" w:firstLineChars="200"/>
        <w:rPr>
          <w:color w:val="auto"/>
          <w:highlight w:val="none"/>
        </w:rPr>
      </w:pPr>
    </w:p>
    <w:p w14:paraId="2F0D4812">
      <w:pPr>
        <w:spacing w:line="440" w:lineRule="exact"/>
        <w:ind w:firstLine="422" w:firstLineChars="200"/>
        <w:rPr>
          <w:b/>
          <w:bCs/>
          <w:color w:val="auto"/>
          <w:highlight w:val="none"/>
        </w:rPr>
      </w:pPr>
      <w:r>
        <w:rPr>
          <w:b/>
          <w:bCs/>
          <w:color w:val="auto"/>
          <w:highlight w:val="none"/>
        </w:rPr>
        <w:t>兹</w:t>
      </w:r>
      <w:r>
        <w:rPr>
          <w:rFonts w:hint="eastAsia"/>
          <w:b/>
          <w:bCs/>
          <w:color w:val="auto"/>
          <w:highlight w:val="none"/>
        </w:rPr>
        <w:t>声</w:t>
      </w:r>
      <w:r>
        <w:rPr>
          <w:b/>
          <w:bCs/>
          <w:color w:val="auto"/>
          <w:highlight w:val="none"/>
        </w:rPr>
        <w:t>明上述</w:t>
      </w:r>
      <w:r>
        <w:rPr>
          <w:rFonts w:hint="eastAsia"/>
          <w:b/>
          <w:bCs/>
          <w:color w:val="auto"/>
          <w:highlight w:val="none"/>
        </w:rPr>
        <w:t>信息</w:t>
      </w:r>
      <w:r>
        <w:rPr>
          <w:b/>
          <w:bCs/>
          <w:color w:val="auto"/>
          <w:highlight w:val="none"/>
        </w:rPr>
        <w:t>是真实、正确的，并提供了全部能提供的资料和数据</w:t>
      </w:r>
      <w:r>
        <w:rPr>
          <w:rFonts w:hint="eastAsia"/>
          <w:b/>
          <w:bCs/>
          <w:color w:val="auto"/>
          <w:highlight w:val="none"/>
        </w:rPr>
        <w:t>；如我方提供的证明材料有虚假情况，愿承担相应后果</w:t>
      </w:r>
      <w:r>
        <w:rPr>
          <w:b/>
          <w:bCs/>
          <w:color w:val="auto"/>
          <w:highlight w:val="none"/>
        </w:rPr>
        <w:t>。</w:t>
      </w:r>
    </w:p>
    <w:p w14:paraId="543FE910">
      <w:pPr>
        <w:rPr>
          <w:color w:val="auto"/>
          <w:highlight w:val="none"/>
        </w:rPr>
      </w:pPr>
    </w:p>
    <w:p w14:paraId="44D643F6">
      <w:pPr>
        <w:rPr>
          <w:color w:val="auto"/>
          <w:highlight w:val="none"/>
        </w:rPr>
      </w:pPr>
    </w:p>
    <w:p w14:paraId="6562E7B0">
      <w:pPr>
        <w:rPr>
          <w:color w:val="auto"/>
          <w:highlight w:val="none"/>
        </w:rPr>
      </w:pPr>
    </w:p>
    <w:p w14:paraId="7AC1F793">
      <w:pPr>
        <w:spacing w:line="480" w:lineRule="auto"/>
        <w:ind w:left="178" w:leftChars="85"/>
        <w:rPr>
          <w:rFonts w:ascii="宋体" w:hAnsi="宋体" w:cs="宋体"/>
          <w:color w:val="auto"/>
          <w:sz w:val="24"/>
          <w:highlight w:val="none"/>
          <w:u w:val="none"/>
        </w:rPr>
      </w:pPr>
      <w:r>
        <w:rPr>
          <w:rFonts w:hint="eastAsia" w:ascii="宋体" w:hAnsi="宋体" w:cs="宋体"/>
          <w:color w:val="auto"/>
          <w:sz w:val="24"/>
          <w:highlight w:val="none"/>
          <w:u w:val="none"/>
        </w:rPr>
        <w:t>投标人</w:t>
      </w:r>
      <w:r>
        <w:rPr>
          <w:rFonts w:hint="eastAsia" w:hAnsi="宋体"/>
          <w:color w:val="auto"/>
          <w:sz w:val="24"/>
          <w:highlight w:val="none"/>
          <w:u w:val="none"/>
        </w:rPr>
        <w:t>（加盖电子公章）</w:t>
      </w:r>
      <w:r>
        <w:rPr>
          <w:rFonts w:hint="eastAsia" w:ascii="宋体" w:hAnsi="宋体" w:cs="宋体"/>
          <w:color w:val="auto"/>
          <w:sz w:val="24"/>
          <w:highlight w:val="none"/>
          <w:u w:val="none"/>
        </w:rPr>
        <w:t>：</w:t>
      </w:r>
    </w:p>
    <w:p w14:paraId="68CD39A2">
      <w:pPr>
        <w:spacing w:line="480" w:lineRule="auto"/>
        <w:ind w:left="178" w:leftChars="85"/>
        <w:rPr>
          <w:rFonts w:hint="eastAsia" w:ascii="宋体" w:hAnsi="宋体" w:cs="宋体"/>
          <w:color w:val="auto"/>
          <w:sz w:val="24"/>
          <w:highlight w:val="none"/>
          <w:u w:val="none"/>
        </w:rPr>
      </w:pPr>
      <w:r>
        <w:rPr>
          <w:rFonts w:hint="eastAsia" w:ascii="宋体" w:hAnsi="宋体" w:cs="宋体"/>
          <w:color w:val="auto"/>
          <w:sz w:val="24"/>
          <w:highlight w:val="none"/>
          <w:u w:val="none"/>
        </w:rPr>
        <w:t>法定代表人（公司负责人）或委托代理人（电子签章或签字）：</w:t>
      </w:r>
    </w:p>
    <w:p w14:paraId="29ED83B9">
      <w:pPr>
        <w:spacing w:line="480" w:lineRule="auto"/>
        <w:ind w:left="178" w:leftChars="85"/>
        <w:rPr>
          <w:rFonts w:hint="eastAsia" w:ascii="宋体" w:hAnsi="宋体" w:cs="宋体"/>
          <w:color w:val="auto"/>
          <w:sz w:val="24"/>
          <w:highlight w:val="none"/>
          <w:u w:val="none"/>
        </w:rPr>
      </w:pPr>
      <w:r>
        <w:rPr>
          <w:rFonts w:hint="eastAsia" w:ascii="宋体" w:hAnsi="宋体" w:cs="宋体"/>
          <w:color w:val="auto"/>
          <w:sz w:val="24"/>
          <w:highlight w:val="none"/>
          <w:u w:val="none"/>
        </w:rPr>
        <w:t>日期：     年   月   日</w:t>
      </w:r>
      <w:bookmarkStart w:id="276" w:name="_Toc416103819"/>
      <w:bookmarkStart w:id="277" w:name="_Toc414445769"/>
      <w:bookmarkStart w:id="278" w:name="_Toc410631178"/>
      <w:bookmarkStart w:id="279" w:name="_Toc18628"/>
      <w:bookmarkStart w:id="280" w:name="_Toc16437"/>
    </w:p>
    <w:p w14:paraId="5BC2C3DD">
      <w:pPr>
        <w:spacing w:line="360" w:lineRule="auto"/>
        <w:outlineLvl w:val="1"/>
        <w:rPr>
          <w:rFonts w:hint="eastAsia" w:ascii="Times New Roman" w:hAnsi="Times New Roman" w:cs="Times New Roman"/>
          <w:b/>
          <w:color w:val="auto"/>
          <w:sz w:val="24"/>
          <w:highlight w:val="none"/>
        </w:rPr>
      </w:pPr>
      <w:r>
        <w:rPr>
          <w:rFonts w:hint="eastAsia" w:ascii="Times New Roman" w:hAnsi="Times New Roman" w:cs="Times New Roman"/>
          <w:b/>
          <w:color w:val="auto"/>
          <w:sz w:val="24"/>
          <w:highlight w:val="none"/>
        </w:rPr>
        <w:br w:type="page"/>
      </w:r>
      <w:r>
        <w:rPr>
          <w:rFonts w:hint="eastAsia" w:ascii="Times New Roman" w:hAnsi="Times New Roman" w:cs="Times New Roman"/>
          <w:b/>
          <w:color w:val="auto"/>
          <w:sz w:val="24"/>
          <w:highlight w:val="none"/>
        </w:rPr>
        <w:t>附件</w:t>
      </w:r>
      <w:r>
        <w:rPr>
          <w:rFonts w:hint="eastAsia" w:cs="Times New Roman"/>
          <w:b/>
          <w:color w:val="auto"/>
          <w:sz w:val="24"/>
          <w:highlight w:val="none"/>
          <w:lang w:val="en-US" w:eastAsia="zh-CN"/>
        </w:rPr>
        <w:t>9</w:t>
      </w:r>
      <w:r>
        <w:rPr>
          <w:rFonts w:hint="eastAsia" w:ascii="Times New Roman" w:hAnsi="Times New Roman" w:cs="Times New Roman"/>
          <w:b/>
          <w:color w:val="auto"/>
          <w:sz w:val="24"/>
          <w:highlight w:val="none"/>
        </w:rPr>
        <w:t xml:space="preserve"> </w:t>
      </w:r>
      <w:bookmarkEnd w:id="276"/>
      <w:bookmarkEnd w:id="277"/>
      <w:bookmarkEnd w:id="278"/>
      <w:r>
        <w:rPr>
          <w:rFonts w:hint="eastAsia" w:ascii="Times New Roman" w:hAnsi="Times New Roman" w:cs="Times New Roman"/>
          <w:b/>
          <w:color w:val="auto"/>
          <w:sz w:val="24"/>
          <w:highlight w:val="none"/>
        </w:rPr>
        <w:t>资格证明文件</w:t>
      </w:r>
      <w:bookmarkEnd w:id="279"/>
      <w:bookmarkEnd w:id="280"/>
    </w:p>
    <w:p w14:paraId="30D978DD">
      <w:pPr>
        <w:numPr>
          <w:ilvl w:val="1"/>
          <w:numId w:val="9"/>
        </w:numPr>
        <w:tabs>
          <w:tab w:val="left" w:pos="993"/>
          <w:tab w:val="left" w:pos="1030"/>
          <w:tab w:val="left" w:pos="8364"/>
        </w:tabs>
        <w:snapToGrid w:val="0"/>
        <w:spacing w:afterLines="50"/>
        <w:ind w:left="993" w:right="-57" w:rightChars="-27" w:hanging="573"/>
        <w:jc w:val="left"/>
        <w:rPr>
          <w:rFonts w:ascii="宋体" w:hAnsi="宋体"/>
          <w:color w:val="auto"/>
          <w:sz w:val="24"/>
          <w:highlight w:val="none"/>
        </w:rPr>
      </w:pPr>
      <w:r>
        <w:rPr>
          <w:rFonts w:hint="eastAsia" w:ascii="宋体" w:hAnsi="宋体"/>
          <w:color w:val="auto"/>
          <w:sz w:val="24"/>
          <w:highlight w:val="none"/>
        </w:rPr>
        <w:t>投标人“三证合一”的企业法人</w:t>
      </w:r>
      <w:r>
        <w:rPr>
          <w:rFonts w:ascii="宋体" w:hAnsi="宋体"/>
          <w:color w:val="auto"/>
          <w:sz w:val="24"/>
          <w:highlight w:val="none"/>
        </w:rPr>
        <w:t>营业执照</w:t>
      </w:r>
      <w:r>
        <w:rPr>
          <w:rFonts w:hint="eastAsia" w:ascii="宋体" w:hAnsi="宋体"/>
          <w:color w:val="auto"/>
          <w:sz w:val="24"/>
          <w:highlight w:val="none"/>
        </w:rPr>
        <w:t>副本复印件；</w:t>
      </w:r>
    </w:p>
    <w:p w14:paraId="12AE339A">
      <w:pPr>
        <w:numPr>
          <w:ilvl w:val="1"/>
          <w:numId w:val="9"/>
        </w:numPr>
        <w:tabs>
          <w:tab w:val="left" w:pos="993"/>
          <w:tab w:val="left" w:pos="1030"/>
          <w:tab w:val="left" w:pos="8364"/>
        </w:tabs>
        <w:snapToGrid w:val="0"/>
        <w:spacing w:afterLines="50"/>
        <w:ind w:left="993" w:right="-57" w:rightChars="-27" w:hanging="573"/>
        <w:jc w:val="left"/>
        <w:rPr>
          <w:rFonts w:ascii="宋体" w:hAnsi="宋体"/>
          <w:color w:val="auto"/>
          <w:sz w:val="24"/>
          <w:highlight w:val="none"/>
        </w:rPr>
      </w:pPr>
      <w:r>
        <w:rPr>
          <w:rFonts w:hint="eastAsia" w:ascii="宋体" w:hAnsi="宋体"/>
          <w:color w:val="auto"/>
          <w:sz w:val="24"/>
          <w:highlight w:val="none"/>
        </w:rPr>
        <w:t>投标人</w:t>
      </w:r>
      <w:r>
        <w:rPr>
          <w:rFonts w:hint="eastAsia" w:ascii="宋体" w:hAnsi="宋体"/>
          <w:color w:val="auto"/>
          <w:sz w:val="24"/>
          <w:highlight w:val="none"/>
          <w:lang w:val="en-US" w:eastAsia="zh-CN"/>
        </w:rPr>
        <w:t>具有健全的财务会计制度</w:t>
      </w:r>
      <w:r>
        <w:rPr>
          <w:rFonts w:hint="eastAsia" w:ascii="宋体" w:hAnsi="宋体"/>
          <w:color w:val="auto"/>
          <w:sz w:val="24"/>
          <w:highlight w:val="none"/>
        </w:rPr>
        <w:t>；</w:t>
      </w:r>
    </w:p>
    <w:p w14:paraId="25A5CED9">
      <w:pPr>
        <w:numPr>
          <w:ilvl w:val="1"/>
          <w:numId w:val="9"/>
        </w:numPr>
        <w:tabs>
          <w:tab w:val="left" w:pos="993"/>
          <w:tab w:val="left" w:pos="1030"/>
          <w:tab w:val="left" w:pos="8364"/>
        </w:tabs>
        <w:snapToGrid w:val="0"/>
        <w:spacing w:afterLines="50"/>
        <w:ind w:left="993" w:right="-57" w:rightChars="-27" w:hanging="573"/>
        <w:jc w:val="left"/>
        <w:rPr>
          <w:rFonts w:ascii="宋体" w:hAnsi="宋体"/>
          <w:color w:val="auto"/>
          <w:sz w:val="24"/>
          <w:highlight w:val="none"/>
        </w:rPr>
      </w:pPr>
      <w:r>
        <w:rPr>
          <w:rFonts w:hint="eastAsia" w:ascii="宋体" w:hAnsi="宋体" w:eastAsia="宋体"/>
          <w:color w:val="auto"/>
          <w:sz w:val="24"/>
          <w:highlight w:val="none"/>
        </w:rPr>
        <w:t>依法缴纳税收和社会保障资金的证明材料复印件</w:t>
      </w:r>
      <w:r>
        <w:rPr>
          <w:rFonts w:hint="eastAsia" w:ascii="宋体" w:hAnsi="宋体"/>
          <w:color w:val="auto"/>
          <w:sz w:val="24"/>
          <w:highlight w:val="none"/>
          <w:lang w:eastAsia="zh-CN"/>
        </w:rPr>
        <w:t>；</w:t>
      </w:r>
    </w:p>
    <w:p w14:paraId="40E356C6">
      <w:pPr>
        <w:numPr>
          <w:ilvl w:val="1"/>
          <w:numId w:val="9"/>
        </w:numPr>
        <w:tabs>
          <w:tab w:val="left" w:pos="993"/>
          <w:tab w:val="left" w:pos="1030"/>
          <w:tab w:val="left" w:pos="8364"/>
        </w:tabs>
        <w:snapToGrid w:val="0"/>
        <w:spacing w:afterLines="50"/>
        <w:ind w:left="993" w:right="-57" w:rightChars="-27" w:hanging="573"/>
        <w:jc w:val="left"/>
        <w:rPr>
          <w:rFonts w:ascii="宋体" w:hAnsi="宋体"/>
          <w:color w:val="auto"/>
          <w:sz w:val="24"/>
          <w:highlight w:val="none"/>
        </w:rPr>
      </w:pPr>
      <w:r>
        <w:rPr>
          <w:rFonts w:hint="eastAsia" w:ascii="宋体" w:hAnsi="宋体"/>
          <w:color w:val="auto"/>
          <w:sz w:val="24"/>
          <w:highlight w:val="none"/>
        </w:rPr>
        <w:t>具备履行合同所必需的设备和专业技术能力的承诺；</w:t>
      </w:r>
    </w:p>
    <w:p w14:paraId="4C6E8C6C">
      <w:pPr>
        <w:numPr>
          <w:ilvl w:val="1"/>
          <w:numId w:val="9"/>
        </w:numPr>
        <w:tabs>
          <w:tab w:val="left" w:pos="993"/>
          <w:tab w:val="left" w:pos="1030"/>
          <w:tab w:val="left" w:pos="8364"/>
        </w:tabs>
        <w:snapToGrid w:val="0"/>
        <w:spacing w:afterLines="50"/>
        <w:ind w:left="993" w:right="-57" w:rightChars="-27" w:hanging="573"/>
        <w:jc w:val="left"/>
        <w:rPr>
          <w:rFonts w:ascii="宋体" w:hAnsi="宋体"/>
          <w:color w:val="auto"/>
          <w:sz w:val="24"/>
          <w:highlight w:val="none"/>
        </w:rPr>
      </w:pPr>
      <w:r>
        <w:rPr>
          <w:rFonts w:hint="eastAsia" w:ascii="宋体" w:hAnsi="宋体"/>
          <w:color w:val="auto"/>
          <w:sz w:val="24"/>
          <w:highlight w:val="none"/>
        </w:rPr>
        <w:t>投标人参加政府采购活动前3年内在经营活动中没有重大违法记录的书面声明原件</w:t>
      </w:r>
    </w:p>
    <w:p w14:paraId="1F4A512C">
      <w:pPr>
        <w:numPr>
          <w:ilvl w:val="1"/>
          <w:numId w:val="9"/>
        </w:numPr>
        <w:tabs>
          <w:tab w:val="left" w:pos="993"/>
          <w:tab w:val="left" w:pos="1030"/>
          <w:tab w:val="left" w:pos="8364"/>
        </w:tabs>
        <w:snapToGrid w:val="0"/>
        <w:spacing w:afterLines="50"/>
        <w:ind w:left="993" w:right="-57" w:rightChars="-27" w:hanging="573"/>
        <w:jc w:val="left"/>
        <w:rPr>
          <w:rFonts w:ascii="宋体" w:hAnsi="宋体"/>
          <w:color w:val="auto"/>
          <w:sz w:val="24"/>
          <w:highlight w:val="none"/>
        </w:rPr>
      </w:pPr>
      <w:r>
        <w:rPr>
          <w:rFonts w:hint="eastAsia" w:ascii="宋体" w:hAnsi="宋体"/>
          <w:color w:val="auto"/>
          <w:sz w:val="24"/>
          <w:highlight w:val="none"/>
        </w:rPr>
        <w:t>投标人控股股东名称、控股公司的名称和存在管理、被管理关系的单位名称说明</w:t>
      </w:r>
    </w:p>
    <w:p w14:paraId="1BCFA4B0">
      <w:pPr>
        <w:numPr>
          <w:ilvl w:val="1"/>
          <w:numId w:val="9"/>
        </w:numPr>
        <w:tabs>
          <w:tab w:val="left" w:pos="993"/>
          <w:tab w:val="left" w:pos="1030"/>
          <w:tab w:val="left" w:pos="8364"/>
        </w:tabs>
        <w:snapToGrid w:val="0"/>
        <w:spacing w:afterLines="50"/>
        <w:ind w:left="993" w:right="-57" w:rightChars="-27" w:hanging="573"/>
        <w:jc w:val="left"/>
        <w:rPr>
          <w:rFonts w:hint="eastAsia" w:ascii="宋体" w:hAnsi="宋体"/>
          <w:color w:val="auto"/>
          <w:sz w:val="24"/>
          <w:highlight w:val="none"/>
        </w:rPr>
      </w:pPr>
      <w:r>
        <w:rPr>
          <w:rFonts w:hint="eastAsia" w:ascii="宋体" w:hAnsi="宋体"/>
          <w:color w:val="auto"/>
          <w:sz w:val="24"/>
          <w:highlight w:val="none"/>
        </w:rPr>
        <w:t>投标人是否属于为本项目提供整体设计、规范编制或者项目管理、监理、检测等服务的投标人声明原件</w:t>
      </w:r>
      <w:r>
        <w:rPr>
          <w:rFonts w:hint="eastAsia" w:ascii="宋体" w:hAnsi="宋体"/>
          <w:color w:val="auto"/>
          <w:sz w:val="24"/>
          <w:highlight w:val="none"/>
          <w:lang w:eastAsia="zh-CN"/>
        </w:rPr>
        <w:t>。</w:t>
      </w:r>
    </w:p>
    <w:p w14:paraId="7C32D59F">
      <w:pPr>
        <w:jc w:val="center"/>
        <w:rPr>
          <w:color w:val="auto"/>
          <w:spacing w:val="20"/>
          <w:sz w:val="30"/>
          <w:szCs w:val="30"/>
          <w:highlight w:val="none"/>
        </w:rPr>
      </w:pPr>
      <w:r>
        <w:rPr>
          <w:color w:val="auto"/>
          <w:highlight w:val="none"/>
        </w:rPr>
        <w:br w:type="page"/>
      </w:r>
      <w:bookmarkStart w:id="281" w:name="_Hlt520274121"/>
      <w:bookmarkEnd w:id="281"/>
    </w:p>
    <w:p w14:paraId="683C99AF">
      <w:pPr>
        <w:jc w:val="left"/>
        <w:outlineLvl w:val="2"/>
        <w:rPr>
          <w:rFonts w:hint="eastAsia" w:ascii="宋体" w:hAnsi="宋体" w:eastAsia="宋体" w:cs="宋体"/>
          <w:b/>
          <w:color w:val="auto"/>
          <w:sz w:val="24"/>
          <w:highlight w:val="none"/>
          <w:lang w:eastAsia="zh-CN"/>
        </w:rPr>
      </w:pPr>
      <w:bookmarkStart w:id="282" w:name="_Toc18442"/>
      <w:bookmarkStart w:id="283" w:name="_Toc25613"/>
      <w:bookmarkStart w:id="284" w:name="_Toc15604"/>
      <w:r>
        <w:rPr>
          <w:rFonts w:hint="eastAsia" w:ascii="宋体" w:hAnsi="宋体" w:cs="宋体"/>
          <w:b/>
          <w:color w:val="auto"/>
          <w:sz w:val="24"/>
          <w:highlight w:val="none"/>
          <w:lang w:val="en-US" w:eastAsia="zh-CN"/>
        </w:rPr>
        <w:t>9</w:t>
      </w:r>
      <w:r>
        <w:rPr>
          <w:rFonts w:hint="eastAsia" w:ascii="宋体" w:hAnsi="宋体" w:eastAsia="宋体" w:cs="宋体"/>
          <w:b/>
          <w:color w:val="auto"/>
          <w:sz w:val="24"/>
          <w:highlight w:val="none"/>
        </w:rPr>
        <w:t>-1 投标人“三证合一”的企业法人营业执照副本复印件（加盖电子公章）</w:t>
      </w:r>
      <w:bookmarkEnd w:id="282"/>
      <w:bookmarkEnd w:id="283"/>
      <w:bookmarkEnd w:id="284"/>
    </w:p>
    <w:p w14:paraId="38E83786">
      <w:pPr>
        <w:jc w:val="left"/>
        <w:rPr>
          <w:rFonts w:hint="eastAsia" w:ascii="仿宋" w:hAnsi="仿宋" w:eastAsia="仿宋" w:cs="仿宋"/>
          <w:color w:val="auto"/>
          <w:sz w:val="24"/>
          <w:highlight w:val="none"/>
        </w:rPr>
      </w:pPr>
    </w:p>
    <w:p w14:paraId="0495335B">
      <w:pPr>
        <w:autoSpaceDE w:val="0"/>
        <w:autoSpaceDN w:val="0"/>
        <w:snapToGrid w:val="0"/>
        <w:spacing w:line="380" w:lineRule="exact"/>
        <w:jc w:val="both"/>
        <w:rPr>
          <w:rFonts w:ascii="Times New Roman" w:hAnsi="Times New Roman" w:cs="宋体"/>
          <w:b/>
          <w:bCs/>
          <w:color w:val="auto"/>
          <w:highlight w:val="none"/>
        </w:rPr>
      </w:pPr>
      <w:r>
        <w:rPr>
          <w:rFonts w:hint="eastAsia" w:ascii="Times New Roman" w:hAnsi="Times New Roman" w:cs="宋体"/>
          <w:b/>
          <w:bCs/>
          <w:color w:val="auto"/>
          <w:highlight w:val="none"/>
        </w:rPr>
        <w:t>说明：</w:t>
      </w:r>
    </w:p>
    <w:p w14:paraId="6724CEFB">
      <w:pPr>
        <w:autoSpaceDE w:val="0"/>
        <w:autoSpaceDN w:val="0"/>
        <w:snapToGrid w:val="0"/>
        <w:spacing w:line="380" w:lineRule="exact"/>
        <w:ind w:firstLine="422" w:firstLineChars="200"/>
        <w:jc w:val="both"/>
        <w:rPr>
          <w:rFonts w:ascii="Times New Roman" w:hAnsi="Times New Roman" w:cs="宋体"/>
          <w:b/>
          <w:bCs/>
          <w:color w:val="auto"/>
          <w:highlight w:val="none"/>
        </w:rPr>
      </w:pPr>
      <w:r>
        <w:rPr>
          <w:rFonts w:hint="eastAsia" w:cs="宋体"/>
          <w:b/>
          <w:bCs/>
          <w:color w:val="auto"/>
          <w:highlight w:val="none"/>
          <w:lang w:eastAsia="zh-CN"/>
        </w:rPr>
        <w:t>投标人</w:t>
      </w:r>
      <w:r>
        <w:rPr>
          <w:rFonts w:hint="eastAsia" w:ascii="Times New Roman" w:hAnsi="Times New Roman" w:cs="宋体"/>
          <w:b/>
          <w:bCs/>
          <w:color w:val="auto"/>
          <w:highlight w:val="none"/>
        </w:rPr>
        <w:t>是企业（包括合伙企业）的，应提供其在工商部门注册的有效“企业法人营业执照”或“营业执照”的复印件；</w:t>
      </w:r>
    </w:p>
    <w:p w14:paraId="511D5F9B">
      <w:pPr>
        <w:autoSpaceDE w:val="0"/>
        <w:autoSpaceDN w:val="0"/>
        <w:snapToGrid w:val="0"/>
        <w:spacing w:line="380" w:lineRule="exact"/>
        <w:ind w:firstLine="422" w:firstLineChars="200"/>
        <w:jc w:val="both"/>
        <w:rPr>
          <w:rFonts w:ascii="Times New Roman" w:hAnsi="Times New Roman" w:cs="宋体"/>
          <w:b/>
          <w:bCs/>
          <w:color w:val="auto"/>
          <w:highlight w:val="none"/>
        </w:rPr>
      </w:pPr>
      <w:r>
        <w:rPr>
          <w:rFonts w:hint="eastAsia" w:cs="宋体"/>
          <w:b/>
          <w:bCs/>
          <w:color w:val="auto"/>
          <w:highlight w:val="none"/>
          <w:lang w:eastAsia="zh-CN"/>
        </w:rPr>
        <w:t>投标人</w:t>
      </w:r>
      <w:r>
        <w:rPr>
          <w:rFonts w:hint="eastAsia" w:ascii="Times New Roman" w:hAnsi="Times New Roman" w:cs="宋体"/>
          <w:b/>
          <w:bCs/>
          <w:color w:val="auto"/>
          <w:highlight w:val="none"/>
        </w:rPr>
        <w:t>是事业单位的，应提供其有效的“事业单位法人证书”复印件；</w:t>
      </w:r>
    </w:p>
    <w:p w14:paraId="607D22A0">
      <w:pPr>
        <w:autoSpaceDE w:val="0"/>
        <w:autoSpaceDN w:val="0"/>
        <w:snapToGrid w:val="0"/>
        <w:spacing w:line="380" w:lineRule="exact"/>
        <w:ind w:firstLine="422" w:firstLineChars="200"/>
        <w:jc w:val="both"/>
        <w:rPr>
          <w:rFonts w:ascii="Times New Roman" w:hAnsi="Times New Roman" w:cs="宋体"/>
          <w:b/>
          <w:bCs/>
          <w:color w:val="auto"/>
          <w:highlight w:val="none"/>
        </w:rPr>
      </w:pPr>
      <w:r>
        <w:rPr>
          <w:rFonts w:hint="eastAsia" w:cs="宋体"/>
          <w:b/>
          <w:bCs/>
          <w:color w:val="auto"/>
          <w:highlight w:val="none"/>
          <w:lang w:eastAsia="zh-CN"/>
        </w:rPr>
        <w:t>投标人</w:t>
      </w:r>
      <w:r>
        <w:rPr>
          <w:rFonts w:hint="eastAsia" w:ascii="Times New Roman" w:hAnsi="Times New Roman" w:cs="宋体"/>
          <w:b/>
          <w:bCs/>
          <w:color w:val="auto"/>
          <w:highlight w:val="none"/>
        </w:rPr>
        <w:t>是非企业专业服务机构的，应提供其有效的“执业许可证”复印件；</w:t>
      </w:r>
    </w:p>
    <w:p w14:paraId="49BB5443">
      <w:pPr>
        <w:autoSpaceDE w:val="0"/>
        <w:autoSpaceDN w:val="0"/>
        <w:snapToGrid w:val="0"/>
        <w:spacing w:line="380" w:lineRule="exact"/>
        <w:ind w:firstLine="422" w:firstLineChars="200"/>
        <w:jc w:val="both"/>
        <w:rPr>
          <w:rFonts w:ascii="Times New Roman" w:hAnsi="Times New Roman" w:cs="宋体"/>
          <w:b/>
          <w:bCs/>
          <w:color w:val="auto"/>
          <w:highlight w:val="none"/>
        </w:rPr>
      </w:pPr>
      <w:r>
        <w:rPr>
          <w:rFonts w:hint="eastAsia" w:cs="宋体"/>
          <w:b/>
          <w:bCs/>
          <w:color w:val="auto"/>
          <w:highlight w:val="none"/>
          <w:lang w:eastAsia="zh-CN"/>
        </w:rPr>
        <w:t>投标人</w:t>
      </w:r>
      <w:r>
        <w:rPr>
          <w:rFonts w:hint="eastAsia" w:ascii="Times New Roman" w:hAnsi="Times New Roman" w:cs="宋体"/>
          <w:b/>
          <w:bCs/>
          <w:color w:val="auto"/>
          <w:highlight w:val="none"/>
        </w:rPr>
        <w:t>是个体工商户的，应提供其有效的“个体工商户营业执照”复印件；</w:t>
      </w:r>
    </w:p>
    <w:p w14:paraId="37909C8D">
      <w:pPr>
        <w:autoSpaceDE w:val="0"/>
        <w:autoSpaceDN w:val="0"/>
        <w:snapToGrid w:val="0"/>
        <w:spacing w:line="380" w:lineRule="exact"/>
        <w:ind w:firstLine="422" w:firstLineChars="200"/>
        <w:jc w:val="both"/>
        <w:rPr>
          <w:rFonts w:ascii="Times New Roman" w:hAnsi="Times New Roman" w:cs="宋体"/>
          <w:b/>
          <w:bCs/>
          <w:color w:val="auto"/>
          <w:highlight w:val="none"/>
        </w:rPr>
      </w:pPr>
      <w:r>
        <w:rPr>
          <w:rFonts w:hint="eastAsia" w:cs="宋体"/>
          <w:b/>
          <w:bCs/>
          <w:color w:val="auto"/>
          <w:highlight w:val="none"/>
          <w:lang w:eastAsia="zh-CN"/>
        </w:rPr>
        <w:t>投标人</w:t>
      </w:r>
      <w:r>
        <w:rPr>
          <w:rFonts w:hint="eastAsia" w:ascii="Times New Roman" w:hAnsi="Times New Roman" w:cs="宋体"/>
          <w:b/>
          <w:bCs/>
          <w:color w:val="auto"/>
          <w:highlight w:val="none"/>
        </w:rPr>
        <w:t>是自然人的，应提供其有效的自然人身份证明</w:t>
      </w:r>
      <w:r>
        <w:rPr>
          <w:rFonts w:hint="eastAsia" w:cs="宋体"/>
          <w:b/>
          <w:bCs/>
          <w:color w:val="auto"/>
          <w:highlight w:val="none"/>
          <w:lang w:val="en-US" w:eastAsia="zh-CN"/>
        </w:rPr>
        <w:t>复印件</w:t>
      </w:r>
      <w:r>
        <w:rPr>
          <w:rFonts w:hint="eastAsia" w:ascii="Times New Roman" w:hAnsi="Times New Roman" w:cs="宋体"/>
          <w:b/>
          <w:bCs/>
          <w:color w:val="auto"/>
          <w:highlight w:val="none"/>
        </w:rPr>
        <w:t>。</w:t>
      </w:r>
    </w:p>
    <w:p w14:paraId="398F38F3">
      <w:pPr>
        <w:jc w:val="left"/>
        <w:rPr>
          <w:rFonts w:hint="eastAsia" w:ascii="仿宋_GB2312" w:hAnsi="宋体" w:eastAsia="仿宋_GB2312"/>
          <w:color w:val="auto"/>
          <w:sz w:val="24"/>
          <w:highlight w:val="none"/>
        </w:rPr>
      </w:pPr>
    </w:p>
    <w:p w14:paraId="03A7D924">
      <w:pPr>
        <w:jc w:val="left"/>
        <w:rPr>
          <w:rFonts w:hint="eastAsia" w:ascii="仿宋_GB2312" w:hAnsi="宋体" w:eastAsia="仿宋_GB2312"/>
          <w:color w:val="auto"/>
          <w:sz w:val="24"/>
          <w:highlight w:val="none"/>
        </w:rPr>
      </w:pPr>
    </w:p>
    <w:p w14:paraId="24545942">
      <w:pPr>
        <w:adjustRightInd w:val="0"/>
        <w:spacing w:line="360" w:lineRule="atLeast"/>
        <w:jc w:val="left"/>
        <w:textAlignment w:val="baseline"/>
        <w:rPr>
          <w:b/>
          <w:color w:val="auto"/>
          <w:sz w:val="28"/>
          <w:highlight w:val="none"/>
        </w:rPr>
      </w:pPr>
      <w:r>
        <w:rPr>
          <w:b/>
          <w:color w:val="auto"/>
          <w:highlight w:val="none"/>
        </w:rPr>
        <w:br w:type="page"/>
      </w:r>
      <w:bookmarkEnd w:id="270"/>
    </w:p>
    <w:p w14:paraId="5F2E5185">
      <w:pPr>
        <w:jc w:val="left"/>
        <w:outlineLvl w:val="2"/>
        <w:rPr>
          <w:rFonts w:hint="eastAsia" w:ascii="宋体" w:hAnsi="宋体" w:cs="宋体"/>
          <w:b/>
          <w:color w:val="auto"/>
          <w:sz w:val="24"/>
          <w:highlight w:val="none"/>
          <w:lang w:val="en-US" w:eastAsia="zh-CN"/>
        </w:rPr>
      </w:pPr>
      <w:bookmarkStart w:id="285" w:name="_Toc21548"/>
      <w:bookmarkStart w:id="286" w:name="_Toc16787"/>
      <w:bookmarkStart w:id="287" w:name="_Toc25484"/>
      <w:r>
        <w:rPr>
          <w:rFonts w:hint="eastAsia" w:ascii="宋体" w:hAnsi="宋体" w:cs="宋体"/>
          <w:b/>
          <w:color w:val="auto"/>
          <w:sz w:val="24"/>
          <w:highlight w:val="none"/>
          <w:lang w:val="en-US" w:eastAsia="zh-CN"/>
        </w:rPr>
        <w:t>9-2  近年经审计的财务报告</w:t>
      </w:r>
      <w:bookmarkEnd w:id="285"/>
      <w:bookmarkEnd w:id="286"/>
      <w:bookmarkEnd w:id="287"/>
    </w:p>
    <w:p w14:paraId="2C39A92A">
      <w:pPr>
        <w:spacing w:line="360" w:lineRule="auto"/>
        <w:rPr>
          <w:color w:val="auto"/>
          <w:szCs w:val="21"/>
          <w:highlight w:val="none"/>
        </w:rPr>
      </w:pPr>
    </w:p>
    <w:p w14:paraId="6989CE44">
      <w:pPr>
        <w:autoSpaceDE w:val="0"/>
        <w:autoSpaceDN w:val="0"/>
        <w:snapToGrid w:val="0"/>
        <w:spacing w:line="380" w:lineRule="exact"/>
        <w:jc w:val="both"/>
        <w:rPr>
          <w:rFonts w:ascii="Times New Roman" w:hAnsi="Times New Roman" w:cs="宋体"/>
          <w:b/>
          <w:bCs/>
          <w:color w:val="auto"/>
          <w:highlight w:val="none"/>
        </w:rPr>
      </w:pPr>
      <w:r>
        <w:rPr>
          <w:rFonts w:hint="eastAsia" w:ascii="Times New Roman" w:hAnsi="Times New Roman" w:cs="宋体"/>
          <w:b/>
          <w:bCs/>
          <w:color w:val="auto"/>
          <w:highlight w:val="none"/>
        </w:rPr>
        <w:t>说明：</w:t>
      </w:r>
    </w:p>
    <w:p w14:paraId="68D4CDAC">
      <w:pPr>
        <w:autoSpaceDE w:val="0"/>
        <w:autoSpaceDN w:val="0"/>
        <w:snapToGrid w:val="0"/>
        <w:spacing w:line="380" w:lineRule="exact"/>
        <w:ind w:left="105" w:leftChars="50" w:right="0" w:firstLine="422" w:firstLineChars="200"/>
        <w:rPr>
          <w:rFonts w:hint="eastAsia" w:asciiTheme="minorEastAsia" w:hAnsiTheme="minorEastAsia" w:eastAsiaTheme="minorEastAsia" w:cstheme="minorEastAsia"/>
          <w:b/>
          <w:bCs/>
          <w:color w:val="auto"/>
          <w:szCs w:val="21"/>
          <w:highlight w:val="none"/>
          <w:lang w:eastAsia="zh-CN"/>
        </w:rPr>
      </w:pPr>
      <w:r>
        <w:rPr>
          <w:rFonts w:hint="eastAsia" w:asciiTheme="minorEastAsia" w:hAnsiTheme="minorEastAsia" w:eastAsiaTheme="minorEastAsia" w:cstheme="minorEastAsia"/>
          <w:b/>
          <w:bCs/>
          <w:color w:val="auto"/>
          <w:szCs w:val="21"/>
          <w:highlight w:val="none"/>
        </w:rPr>
        <w:t>具有良好的商业信誉和健全的财务会计制度</w:t>
      </w:r>
      <w:r>
        <w:rPr>
          <w:rFonts w:hint="eastAsia" w:asciiTheme="minorEastAsia" w:hAnsiTheme="minorEastAsia" w:eastAsiaTheme="minorEastAsia" w:cstheme="minorEastAsia"/>
          <w:b/>
          <w:bCs/>
          <w:color w:val="auto"/>
          <w:szCs w:val="21"/>
          <w:highlight w:val="none"/>
          <w:lang w:eastAsia="zh-CN"/>
        </w:rPr>
        <w:t>：</w:t>
      </w:r>
      <w:r>
        <w:rPr>
          <w:rFonts w:hint="eastAsia" w:asciiTheme="minorEastAsia" w:hAnsiTheme="minorEastAsia" w:eastAsiaTheme="minorEastAsia" w:cstheme="minorEastAsia"/>
          <w:b/>
          <w:bCs/>
          <w:color w:val="auto"/>
          <w:szCs w:val="21"/>
          <w:highlight w:val="none"/>
        </w:rPr>
        <w:t>①提供供应商2023年度或2024年度的经审计的财务报告复印件（至少包括资产负债表、现金流量表、利润表或损益表，事业单位可提供资产负债表、收入支出表）；②</w:t>
      </w:r>
      <w:r>
        <w:rPr>
          <w:rFonts w:hint="eastAsia" w:asciiTheme="minorEastAsia" w:hAnsiTheme="minorEastAsia" w:eastAsiaTheme="minorEastAsia" w:cstheme="minorEastAsia"/>
          <w:b/>
          <w:bCs/>
          <w:color w:val="auto"/>
          <w:szCs w:val="21"/>
          <w:highlight w:val="none"/>
          <w:lang w:eastAsia="zh-CN"/>
        </w:rPr>
        <w:t>2025年内</w:t>
      </w:r>
      <w:r>
        <w:rPr>
          <w:rFonts w:hint="eastAsia" w:asciiTheme="minorEastAsia" w:hAnsiTheme="minorEastAsia" w:eastAsiaTheme="minorEastAsia" w:cstheme="minorEastAsia"/>
          <w:b/>
          <w:bCs/>
          <w:color w:val="auto"/>
          <w:szCs w:val="21"/>
          <w:highlight w:val="none"/>
        </w:rPr>
        <w:t>基本开户银行出具的资信证明。③根据《财政部关于开展政府采购信用担保试点工作方案》（财库[2012]124号），提供财政部门认可的政府采购专业担保机构出具的投标担保函（需同时提供专业担保机构经财政部门认可的证明文件）扫描件。④2025年度新成立的供应商，提供具有健全财务会计制度的承诺。</w:t>
      </w:r>
      <w:r>
        <w:rPr>
          <w:rFonts w:hint="eastAsia" w:asciiTheme="minorEastAsia" w:hAnsiTheme="minorEastAsia" w:eastAsiaTheme="minorEastAsia" w:cstheme="minorEastAsia"/>
          <w:b/>
          <w:bCs/>
          <w:color w:val="auto"/>
          <w:szCs w:val="21"/>
          <w:highlight w:val="none"/>
          <w:lang w:eastAsia="zh-CN"/>
        </w:rPr>
        <w:t>。</w:t>
      </w:r>
    </w:p>
    <w:tbl>
      <w:tblPr>
        <w:tblStyle w:val="44"/>
        <w:tblW w:w="83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08"/>
        <w:gridCol w:w="3480"/>
        <w:gridCol w:w="3793"/>
      </w:tblGrid>
      <w:tr w14:paraId="4AE4D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jc w:val="center"/>
        </w:trPr>
        <w:tc>
          <w:tcPr>
            <w:tcW w:w="1108" w:type="dxa"/>
            <w:vMerge w:val="restart"/>
            <w:vAlign w:val="center"/>
          </w:tcPr>
          <w:p w14:paraId="76E3AF5C">
            <w:pPr>
              <w:snapToGrid w:val="0"/>
              <w:rPr>
                <w:color w:val="auto"/>
                <w:szCs w:val="21"/>
                <w:highlight w:val="none"/>
              </w:rPr>
            </w:pPr>
            <w:r>
              <w:rPr>
                <w:rFonts w:hAnsi="宋体"/>
                <w:b/>
                <w:color w:val="auto"/>
                <w:szCs w:val="21"/>
                <w:highlight w:val="none"/>
              </w:rPr>
              <w:t>开户银行</w:t>
            </w:r>
          </w:p>
        </w:tc>
        <w:tc>
          <w:tcPr>
            <w:tcW w:w="7273" w:type="dxa"/>
            <w:gridSpan w:val="2"/>
            <w:vAlign w:val="center"/>
          </w:tcPr>
          <w:p w14:paraId="7EBBA47C">
            <w:pPr>
              <w:snapToGrid w:val="0"/>
              <w:ind w:left="92" w:firstLine="8"/>
              <w:rPr>
                <w:color w:val="auto"/>
                <w:szCs w:val="21"/>
                <w:highlight w:val="none"/>
              </w:rPr>
            </w:pPr>
            <w:r>
              <w:rPr>
                <w:rFonts w:hAnsi="宋体"/>
                <w:color w:val="auto"/>
                <w:szCs w:val="21"/>
                <w:highlight w:val="none"/>
              </w:rPr>
              <w:t>名称：</w:t>
            </w:r>
          </w:p>
        </w:tc>
      </w:tr>
      <w:tr w14:paraId="3D812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jc w:val="center"/>
        </w:trPr>
        <w:tc>
          <w:tcPr>
            <w:tcW w:w="1108" w:type="dxa"/>
            <w:vMerge w:val="continue"/>
            <w:vAlign w:val="center"/>
          </w:tcPr>
          <w:p w14:paraId="77629D31">
            <w:pPr>
              <w:snapToGrid w:val="0"/>
              <w:rPr>
                <w:color w:val="auto"/>
                <w:szCs w:val="21"/>
                <w:highlight w:val="none"/>
              </w:rPr>
            </w:pPr>
          </w:p>
        </w:tc>
        <w:tc>
          <w:tcPr>
            <w:tcW w:w="7273" w:type="dxa"/>
            <w:gridSpan w:val="2"/>
            <w:vAlign w:val="center"/>
          </w:tcPr>
          <w:p w14:paraId="2615F872">
            <w:pPr>
              <w:snapToGrid w:val="0"/>
              <w:ind w:left="92" w:firstLine="8"/>
              <w:rPr>
                <w:color w:val="auto"/>
                <w:szCs w:val="21"/>
                <w:highlight w:val="none"/>
              </w:rPr>
            </w:pPr>
            <w:r>
              <w:rPr>
                <w:rFonts w:hAnsi="宋体"/>
                <w:color w:val="auto"/>
                <w:szCs w:val="21"/>
                <w:highlight w:val="none"/>
              </w:rPr>
              <w:t>地址：</w:t>
            </w:r>
          </w:p>
        </w:tc>
      </w:tr>
      <w:tr w14:paraId="7CF8D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jc w:val="center"/>
        </w:trPr>
        <w:tc>
          <w:tcPr>
            <w:tcW w:w="1108" w:type="dxa"/>
            <w:vMerge w:val="continue"/>
            <w:vAlign w:val="center"/>
          </w:tcPr>
          <w:p w14:paraId="7351B473">
            <w:pPr>
              <w:snapToGrid w:val="0"/>
              <w:rPr>
                <w:color w:val="auto"/>
                <w:szCs w:val="21"/>
                <w:highlight w:val="none"/>
              </w:rPr>
            </w:pPr>
          </w:p>
        </w:tc>
        <w:tc>
          <w:tcPr>
            <w:tcW w:w="3480" w:type="dxa"/>
            <w:vAlign w:val="center"/>
          </w:tcPr>
          <w:p w14:paraId="3A0CB67B">
            <w:pPr>
              <w:snapToGrid w:val="0"/>
              <w:ind w:left="92" w:firstLine="8"/>
              <w:rPr>
                <w:color w:val="auto"/>
                <w:szCs w:val="21"/>
                <w:highlight w:val="none"/>
              </w:rPr>
            </w:pPr>
            <w:r>
              <w:rPr>
                <w:rFonts w:hAnsi="宋体"/>
                <w:color w:val="auto"/>
                <w:szCs w:val="21"/>
                <w:highlight w:val="none"/>
              </w:rPr>
              <w:t>电话：</w:t>
            </w:r>
          </w:p>
        </w:tc>
        <w:tc>
          <w:tcPr>
            <w:tcW w:w="3793" w:type="dxa"/>
            <w:vAlign w:val="center"/>
          </w:tcPr>
          <w:p w14:paraId="27842A86">
            <w:pPr>
              <w:snapToGrid w:val="0"/>
              <w:ind w:left="92" w:firstLine="8"/>
              <w:rPr>
                <w:color w:val="auto"/>
                <w:szCs w:val="21"/>
                <w:highlight w:val="none"/>
              </w:rPr>
            </w:pPr>
            <w:r>
              <w:rPr>
                <w:rFonts w:hAnsi="宋体"/>
                <w:color w:val="auto"/>
                <w:szCs w:val="21"/>
                <w:highlight w:val="none"/>
              </w:rPr>
              <w:t>联系人及职务：</w:t>
            </w:r>
          </w:p>
        </w:tc>
      </w:tr>
      <w:tr w14:paraId="082D9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jc w:val="center"/>
        </w:trPr>
        <w:tc>
          <w:tcPr>
            <w:tcW w:w="1108" w:type="dxa"/>
            <w:vMerge w:val="continue"/>
            <w:vAlign w:val="center"/>
          </w:tcPr>
          <w:p w14:paraId="2379380C">
            <w:pPr>
              <w:snapToGrid w:val="0"/>
              <w:rPr>
                <w:color w:val="auto"/>
                <w:szCs w:val="21"/>
                <w:highlight w:val="none"/>
              </w:rPr>
            </w:pPr>
          </w:p>
        </w:tc>
        <w:tc>
          <w:tcPr>
            <w:tcW w:w="3480" w:type="dxa"/>
            <w:vAlign w:val="center"/>
          </w:tcPr>
          <w:p w14:paraId="231A22E9">
            <w:pPr>
              <w:snapToGrid w:val="0"/>
              <w:ind w:left="92" w:firstLine="8"/>
              <w:rPr>
                <w:color w:val="auto"/>
                <w:szCs w:val="21"/>
                <w:highlight w:val="none"/>
              </w:rPr>
            </w:pPr>
            <w:r>
              <w:rPr>
                <w:rFonts w:hAnsi="宋体"/>
                <w:color w:val="auto"/>
                <w:szCs w:val="21"/>
                <w:highlight w:val="none"/>
              </w:rPr>
              <w:t>传真：</w:t>
            </w:r>
          </w:p>
        </w:tc>
        <w:tc>
          <w:tcPr>
            <w:tcW w:w="3793" w:type="dxa"/>
            <w:vAlign w:val="center"/>
          </w:tcPr>
          <w:p w14:paraId="40355972">
            <w:pPr>
              <w:snapToGrid w:val="0"/>
              <w:ind w:left="92" w:firstLine="8"/>
              <w:rPr>
                <w:color w:val="auto"/>
                <w:szCs w:val="21"/>
                <w:highlight w:val="none"/>
              </w:rPr>
            </w:pPr>
            <w:r>
              <w:rPr>
                <w:rFonts w:hAnsi="宋体"/>
                <w:color w:val="auto"/>
                <w:szCs w:val="21"/>
                <w:highlight w:val="none"/>
              </w:rPr>
              <w:t>电传：</w:t>
            </w:r>
          </w:p>
        </w:tc>
      </w:tr>
    </w:tbl>
    <w:p w14:paraId="33C34B94">
      <w:pPr>
        <w:autoSpaceDE w:val="0"/>
        <w:autoSpaceDN w:val="0"/>
        <w:snapToGrid w:val="0"/>
        <w:spacing w:line="380" w:lineRule="exact"/>
        <w:ind w:left="105" w:leftChars="50" w:right="0" w:firstLine="422" w:firstLineChars="20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注：附基本帐户的“银行开户许可证”的复印件。</w:t>
      </w:r>
    </w:p>
    <w:p w14:paraId="49A48A94">
      <w:pPr>
        <w:pStyle w:val="57"/>
        <w:rPr>
          <w:rFonts w:hint="eastAsia" w:asciiTheme="minorEastAsia" w:hAnsiTheme="minorEastAsia" w:eastAsiaTheme="minorEastAsia" w:cstheme="minorEastAsia"/>
          <w:b/>
          <w:bCs/>
          <w:color w:val="auto"/>
          <w:szCs w:val="21"/>
          <w:highlight w:val="none"/>
        </w:rPr>
      </w:pPr>
    </w:p>
    <w:p w14:paraId="55DF459F">
      <w:pPr>
        <w:pStyle w:val="56"/>
        <w:rPr>
          <w:rFonts w:hint="eastAsia" w:asciiTheme="minorEastAsia" w:hAnsiTheme="minorEastAsia" w:eastAsiaTheme="minorEastAsia" w:cstheme="minorEastAsia"/>
          <w:b/>
          <w:bCs/>
          <w:color w:val="auto"/>
          <w:szCs w:val="21"/>
          <w:highlight w:val="none"/>
        </w:rPr>
      </w:pPr>
    </w:p>
    <w:p w14:paraId="71D40AAC">
      <w:pPr>
        <w:pStyle w:val="57"/>
        <w:rPr>
          <w:rFonts w:hint="eastAsia"/>
          <w:color w:val="auto"/>
          <w:highlight w:val="none"/>
        </w:rPr>
      </w:pPr>
    </w:p>
    <w:p w14:paraId="13B6BEBB">
      <w:pPr>
        <w:spacing w:line="360" w:lineRule="auto"/>
        <w:rPr>
          <w:color w:val="auto"/>
          <w:szCs w:val="21"/>
          <w:highlight w:val="none"/>
        </w:rPr>
      </w:pPr>
    </w:p>
    <w:p w14:paraId="204B0AA7">
      <w:pPr>
        <w:tabs>
          <w:tab w:val="left" w:pos="993"/>
          <w:tab w:val="left" w:pos="1030"/>
          <w:tab w:val="left" w:pos="8364"/>
        </w:tabs>
        <w:snapToGrid w:val="0"/>
        <w:spacing w:afterLines="50"/>
        <w:ind w:right="-57" w:rightChars="-27"/>
        <w:jc w:val="left"/>
        <w:rPr>
          <w:b w:val="0"/>
          <w:bCs/>
          <w:color w:val="auto"/>
          <w:spacing w:val="20"/>
          <w:sz w:val="24"/>
          <w:highlight w:val="none"/>
        </w:rPr>
      </w:pPr>
      <w:r>
        <w:rPr>
          <w:b/>
          <w:color w:val="auto"/>
          <w:spacing w:val="20"/>
          <w:sz w:val="24"/>
          <w:highlight w:val="none"/>
        </w:rPr>
        <w:br w:type="page"/>
      </w:r>
    </w:p>
    <w:p w14:paraId="1554FB64">
      <w:pPr>
        <w:jc w:val="left"/>
        <w:outlineLvl w:val="2"/>
        <w:rPr>
          <w:rFonts w:hint="eastAsia" w:ascii="宋体" w:hAnsi="宋体" w:cs="宋体"/>
          <w:b/>
          <w:color w:val="auto"/>
          <w:sz w:val="24"/>
          <w:highlight w:val="none"/>
          <w:lang w:val="en-US" w:eastAsia="zh-CN"/>
        </w:rPr>
      </w:pPr>
      <w:bookmarkStart w:id="288" w:name="_Toc27218"/>
      <w:bookmarkStart w:id="289" w:name="_Toc19881"/>
      <w:bookmarkStart w:id="290" w:name="_Toc10448"/>
      <w:r>
        <w:rPr>
          <w:rFonts w:hint="eastAsia" w:ascii="宋体" w:hAnsi="宋体" w:cs="宋体"/>
          <w:b/>
          <w:color w:val="auto"/>
          <w:sz w:val="24"/>
          <w:highlight w:val="none"/>
          <w:lang w:val="en-US" w:eastAsia="zh-CN"/>
        </w:rPr>
        <w:t>9-3  依法缴纳税收的证明</w:t>
      </w:r>
      <w:bookmarkEnd w:id="288"/>
      <w:bookmarkEnd w:id="289"/>
      <w:bookmarkEnd w:id="290"/>
    </w:p>
    <w:p w14:paraId="1CE8B9AE">
      <w:pPr>
        <w:tabs>
          <w:tab w:val="left" w:pos="993"/>
          <w:tab w:val="left" w:pos="1030"/>
          <w:tab w:val="left" w:pos="8364"/>
        </w:tabs>
        <w:snapToGrid w:val="0"/>
        <w:spacing w:afterLines="50"/>
        <w:ind w:left="420" w:right="-57" w:rightChars="-27" w:firstLine="480" w:firstLineChars="200"/>
        <w:jc w:val="left"/>
        <w:rPr>
          <w:rFonts w:ascii="宋体" w:hAnsi="宋体" w:eastAsia="宋体"/>
          <w:color w:val="auto"/>
          <w:sz w:val="24"/>
          <w:highlight w:val="none"/>
        </w:rPr>
      </w:pPr>
    </w:p>
    <w:p w14:paraId="2443A72D">
      <w:pPr>
        <w:autoSpaceDE w:val="0"/>
        <w:autoSpaceDN w:val="0"/>
        <w:snapToGrid w:val="0"/>
        <w:spacing w:line="380" w:lineRule="exact"/>
        <w:ind w:left="105" w:leftChars="50" w:right="0" w:firstLine="422" w:firstLineChars="20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说明：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6CBFDA0F">
      <w:pPr>
        <w:tabs>
          <w:tab w:val="left" w:pos="993"/>
          <w:tab w:val="left" w:pos="1030"/>
          <w:tab w:val="left" w:pos="8364"/>
        </w:tabs>
        <w:snapToGrid w:val="0"/>
        <w:spacing w:afterLines="50"/>
        <w:ind w:left="420" w:right="-57" w:rightChars="-27" w:firstLine="480" w:firstLineChars="200"/>
        <w:jc w:val="left"/>
        <w:rPr>
          <w:rFonts w:ascii="宋体" w:hAnsi="宋体" w:eastAsia="宋体"/>
          <w:color w:val="auto"/>
          <w:sz w:val="24"/>
          <w:highlight w:val="none"/>
        </w:rPr>
      </w:pPr>
    </w:p>
    <w:p w14:paraId="730F65A5">
      <w:pPr>
        <w:tabs>
          <w:tab w:val="left" w:pos="993"/>
          <w:tab w:val="left" w:pos="1030"/>
          <w:tab w:val="left" w:pos="8364"/>
        </w:tabs>
        <w:snapToGrid w:val="0"/>
        <w:spacing w:afterLines="50"/>
        <w:ind w:left="420" w:right="-57" w:rightChars="-27" w:firstLine="480" w:firstLineChars="200"/>
        <w:jc w:val="left"/>
        <w:rPr>
          <w:rFonts w:ascii="宋体" w:hAnsi="宋体" w:eastAsia="宋体"/>
          <w:color w:val="auto"/>
          <w:sz w:val="24"/>
          <w:highlight w:val="none"/>
        </w:rPr>
      </w:pPr>
    </w:p>
    <w:p w14:paraId="07AD72C2">
      <w:pPr>
        <w:tabs>
          <w:tab w:val="left" w:pos="993"/>
          <w:tab w:val="left" w:pos="1030"/>
          <w:tab w:val="left" w:pos="8364"/>
        </w:tabs>
        <w:snapToGrid w:val="0"/>
        <w:spacing w:afterLines="50"/>
        <w:ind w:left="420" w:right="-57" w:rightChars="-27" w:firstLine="480" w:firstLineChars="200"/>
        <w:jc w:val="left"/>
        <w:rPr>
          <w:rFonts w:ascii="宋体" w:hAnsi="宋体" w:eastAsia="宋体"/>
          <w:color w:val="auto"/>
          <w:sz w:val="24"/>
          <w:highlight w:val="none"/>
        </w:rPr>
      </w:pPr>
    </w:p>
    <w:p w14:paraId="6A877734">
      <w:pPr>
        <w:pStyle w:val="56"/>
        <w:rPr>
          <w:rFonts w:ascii="宋体" w:hAnsi="宋体" w:eastAsia="宋体"/>
          <w:color w:val="auto"/>
          <w:sz w:val="24"/>
          <w:highlight w:val="none"/>
        </w:rPr>
      </w:pPr>
    </w:p>
    <w:p w14:paraId="60E7478A">
      <w:pPr>
        <w:pStyle w:val="57"/>
        <w:rPr>
          <w:rFonts w:ascii="宋体" w:hAnsi="宋体" w:eastAsia="宋体"/>
          <w:color w:val="auto"/>
          <w:sz w:val="24"/>
          <w:highlight w:val="none"/>
        </w:rPr>
      </w:pPr>
    </w:p>
    <w:p w14:paraId="2A11A137">
      <w:pPr>
        <w:pStyle w:val="56"/>
        <w:rPr>
          <w:rFonts w:ascii="宋体" w:hAnsi="宋体" w:eastAsia="宋体"/>
          <w:color w:val="auto"/>
          <w:sz w:val="24"/>
          <w:highlight w:val="none"/>
        </w:rPr>
      </w:pPr>
    </w:p>
    <w:p w14:paraId="71410BD3">
      <w:pPr>
        <w:pStyle w:val="57"/>
        <w:rPr>
          <w:color w:val="auto"/>
          <w:highlight w:val="none"/>
        </w:rPr>
      </w:pPr>
    </w:p>
    <w:p w14:paraId="71C8B1A5">
      <w:pPr>
        <w:jc w:val="left"/>
        <w:outlineLvl w:val="2"/>
        <w:rPr>
          <w:rFonts w:hint="eastAsia" w:ascii="宋体" w:hAnsi="宋体" w:cs="宋体"/>
          <w:b/>
          <w:color w:val="auto"/>
          <w:sz w:val="24"/>
          <w:highlight w:val="none"/>
          <w:lang w:val="en-US" w:eastAsia="zh-CN"/>
        </w:rPr>
      </w:pPr>
      <w:bookmarkStart w:id="291" w:name="_Toc7409"/>
      <w:bookmarkStart w:id="292" w:name="_Toc2794"/>
      <w:bookmarkStart w:id="293" w:name="_Toc16271"/>
      <w:r>
        <w:rPr>
          <w:rFonts w:hint="eastAsia" w:ascii="宋体" w:hAnsi="宋体" w:cs="宋体"/>
          <w:b/>
          <w:color w:val="auto"/>
          <w:sz w:val="24"/>
          <w:highlight w:val="none"/>
          <w:lang w:val="en-US" w:eastAsia="zh-CN"/>
        </w:rPr>
        <w:t>9-4  社会保障资金缴纳记录</w:t>
      </w:r>
      <w:bookmarkEnd w:id="291"/>
      <w:bookmarkEnd w:id="292"/>
      <w:bookmarkEnd w:id="293"/>
    </w:p>
    <w:p w14:paraId="42D9498B">
      <w:pPr>
        <w:pStyle w:val="20"/>
        <w:rPr>
          <w:rFonts w:hint="eastAsia"/>
          <w:color w:val="auto"/>
          <w:highlight w:val="none"/>
          <w:lang w:val="en-US" w:eastAsia="zh-CN"/>
        </w:rPr>
      </w:pPr>
    </w:p>
    <w:p w14:paraId="223E2F9E">
      <w:pPr>
        <w:tabs>
          <w:tab w:val="left" w:pos="993"/>
          <w:tab w:val="left" w:pos="1030"/>
          <w:tab w:val="left" w:pos="8364"/>
        </w:tabs>
        <w:snapToGrid w:val="0"/>
        <w:spacing w:afterLines="50" w:line="360" w:lineRule="auto"/>
        <w:ind w:right="-57" w:rightChars="-27" w:firstLine="422" w:firstLineChars="200"/>
        <w:jc w:val="left"/>
        <w:rPr>
          <w:rFonts w:ascii="仿宋_GB2312" w:eastAsia="仿宋_GB2312"/>
          <w:color w:val="auto"/>
          <w:sz w:val="24"/>
          <w:highlight w:val="none"/>
        </w:rPr>
      </w:pPr>
      <w:r>
        <w:rPr>
          <w:rFonts w:hint="eastAsia" w:asciiTheme="minorEastAsia" w:hAnsiTheme="minorEastAsia" w:eastAsiaTheme="minorEastAsia" w:cstheme="minorEastAsia"/>
          <w:b/>
          <w:bCs/>
          <w:color w:val="auto"/>
          <w:szCs w:val="21"/>
          <w:highlight w:val="none"/>
        </w:rPr>
        <w:t>说明：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r>
        <w:rPr>
          <w:rFonts w:ascii="宋体" w:hAnsi="宋体" w:eastAsia="宋体"/>
          <w:color w:val="auto"/>
          <w:sz w:val="24"/>
          <w:highlight w:val="none"/>
        </w:rPr>
        <w:br w:type="page"/>
      </w:r>
    </w:p>
    <w:p w14:paraId="5BB77BB1">
      <w:pPr>
        <w:jc w:val="left"/>
        <w:outlineLvl w:val="2"/>
        <w:rPr>
          <w:rFonts w:hint="eastAsia" w:ascii="宋体" w:hAnsi="宋体" w:cs="宋体"/>
          <w:b/>
          <w:color w:val="auto"/>
          <w:sz w:val="24"/>
          <w:highlight w:val="none"/>
          <w:lang w:val="en-US" w:eastAsia="zh-CN"/>
        </w:rPr>
      </w:pPr>
      <w:bookmarkStart w:id="294" w:name="_Toc27325"/>
      <w:bookmarkStart w:id="295" w:name="_Toc14366"/>
      <w:bookmarkStart w:id="296" w:name="_Toc24176"/>
      <w:r>
        <w:rPr>
          <w:rFonts w:hint="eastAsia" w:ascii="宋体" w:hAnsi="宋体" w:cs="宋体"/>
          <w:b/>
          <w:color w:val="auto"/>
          <w:sz w:val="24"/>
          <w:highlight w:val="none"/>
          <w:lang w:val="en-US" w:eastAsia="zh-CN"/>
        </w:rPr>
        <w:t>9-5  具备履行合同所必需的设备和专业技术能力承诺书</w:t>
      </w:r>
      <w:bookmarkEnd w:id="294"/>
      <w:bookmarkEnd w:id="295"/>
      <w:bookmarkEnd w:id="296"/>
    </w:p>
    <w:p w14:paraId="49AF4AFE">
      <w:pPr>
        <w:ind w:firstLine="480"/>
        <w:rPr>
          <w:rFonts w:ascii="宋体" w:hAnsi="宋体" w:eastAsia="宋体" w:cs="宋体"/>
          <w:color w:val="auto"/>
          <w:kern w:val="0"/>
          <w:sz w:val="24"/>
          <w:highlight w:val="none"/>
        </w:rPr>
      </w:pPr>
    </w:p>
    <w:p w14:paraId="4081497F">
      <w:pPr>
        <w:ind w:firstLine="480"/>
        <w:rPr>
          <w:rFonts w:ascii="宋体" w:hAnsi="宋体" w:eastAsia="宋体" w:cs="宋体"/>
          <w:color w:val="auto"/>
          <w:kern w:val="0"/>
          <w:sz w:val="24"/>
          <w:highlight w:val="none"/>
        </w:rPr>
      </w:pPr>
    </w:p>
    <w:p w14:paraId="54921147">
      <w:pPr>
        <w:rPr>
          <w:rFonts w:hint="eastAsia" w:ascii="宋体" w:hAnsi="宋体" w:eastAsia="宋体" w:cs="宋体"/>
          <w:b/>
          <w:bCs/>
          <w:color w:val="auto"/>
          <w:kern w:val="0"/>
          <w:sz w:val="24"/>
          <w:highlight w:val="none"/>
          <w:u w:val="single"/>
          <w:lang w:eastAsia="zh-CN"/>
        </w:rPr>
      </w:pPr>
      <w:r>
        <w:rPr>
          <w:rFonts w:hint="eastAsia" w:ascii="宋体" w:hAnsi="宋体" w:eastAsia="宋体" w:cs="宋体"/>
          <w:b/>
          <w:bCs/>
          <w:color w:val="auto"/>
          <w:kern w:val="0"/>
          <w:sz w:val="24"/>
          <w:highlight w:val="none"/>
          <w:u w:val="single"/>
        </w:rPr>
        <w:t xml:space="preserve">(采购人名称)      </w:t>
      </w:r>
      <w:r>
        <w:rPr>
          <w:rFonts w:hint="eastAsia" w:ascii="宋体" w:hAnsi="宋体" w:cs="宋体"/>
          <w:b/>
          <w:bCs/>
          <w:color w:val="auto"/>
          <w:kern w:val="0"/>
          <w:sz w:val="24"/>
          <w:highlight w:val="none"/>
          <w:u w:val="single"/>
          <w:lang w:eastAsia="zh-CN"/>
        </w:rPr>
        <w:t>：</w:t>
      </w:r>
    </w:p>
    <w:p w14:paraId="4E0F91BB">
      <w:pPr>
        <w:ind w:firstLine="480"/>
        <w:rPr>
          <w:rFonts w:ascii="宋体" w:hAnsi="宋体" w:eastAsia="宋体" w:cs="宋体"/>
          <w:color w:val="auto"/>
          <w:kern w:val="0"/>
          <w:sz w:val="24"/>
          <w:highlight w:val="none"/>
        </w:rPr>
      </w:pPr>
    </w:p>
    <w:p w14:paraId="463EF39B">
      <w:pPr>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我公司承诺</w:t>
      </w:r>
      <w:r>
        <w:rPr>
          <w:rFonts w:ascii="宋体" w:hAnsi="宋体" w:eastAsia="宋体"/>
          <w:color w:val="auto"/>
          <w:sz w:val="24"/>
          <w:highlight w:val="none"/>
        </w:rPr>
        <w:t>具</w:t>
      </w:r>
      <w:r>
        <w:rPr>
          <w:rFonts w:hint="eastAsia" w:ascii="宋体" w:hAnsi="宋体" w:eastAsia="宋体"/>
          <w:color w:val="auto"/>
          <w:sz w:val="24"/>
          <w:highlight w:val="none"/>
        </w:rPr>
        <w:t>备</w:t>
      </w:r>
      <w:r>
        <w:rPr>
          <w:rFonts w:ascii="宋体" w:hAnsi="宋体" w:eastAsia="宋体"/>
          <w:color w:val="auto"/>
          <w:sz w:val="24"/>
          <w:highlight w:val="none"/>
        </w:rPr>
        <w:t>履行合同所必需的设备和专业技术能力</w:t>
      </w:r>
      <w:r>
        <w:rPr>
          <w:rFonts w:hint="eastAsia" w:ascii="宋体" w:hAnsi="宋体" w:eastAsia="宋体" w:cs="宋体"/>
          <w:color w:val="auto"/>
          <w:kern w:val="0"/>
          <w:sz w:val="24"/>
          <w:highlight w:val="none"/>
        </w:rPr>
        <w:t>。</w:t>
      </w:r>
    </w:p>
    <w:p w14:paraId="7CE21BEC">
      <w:pPr>
        <w:ind w:firstLine="480"/>
        <w:rPr>
          <w:rFonts w:ascii="宋体" w:hAnsi="宋体" w:eastAsia="宋体"/>
          <w:b/>
          <w:color w:val="auto"/>
          <w:sz w:val="24"/>
          <w:highlight w:val="none"/>
        </w:rPr>
      </w:pPr>
    </w:p>
    <w:p w14:paraId="1CE6C5D4">
      <w:pPr>
        <w:ind w:firstLine="480"/>
        <w:rPr>
          <w:rFonts w:ascii="宋体" w:hAnsi="宋体" w:eastAsia="宋体"/>
          <w:b/>
          <w:color w:val="auto"/>
          <w:sz w:val="24"/>
          <w:highlight w:val="none"/>
        </w:rPr>
      </w:pPr>
    </w:p>
    <w:p w14:paraId="076AD07D">
      <w:pPr>
        <w:ind w:firstLine="480"/>
        <w:rPr>
          <w:rFonts w:ascii="宋体" w:hAnsi="宋体" w:eastAsia="宋体"/>
          <w:b/>
          <w:color w:val="auto"/>
          <w:sz w:val="24"/>
          <w:highlight w:val="none"/>
        </w:rPr>
      </w:pPr>
    </w:p>
    <w:p w14:paraId="16DBEDA0">
      <w:pPr>
        <w:spacing w:line="480" w:lineRule="auto"/>
        <w:ind w:left="178" w:leftChars="85"/>
        <w:rPr>
          <w:rFonts w:ascii="宋体" w:hAnsi="宋体" w:cs="宋体"/>
          <w:color w:val="auto"/>
          <w:sz w:val="24"/>
          <w:highlight w:val="none"/>
          <w:u w:val="none"/>
        </w:rPr>
      </w:pPr>
      <w:r>
        <w:rPr>
          <w:rFonts w:hint="eastAsia" w:ascii="宋体" w:hAnsi="宋体" w:cs="宋体"/>
          <w:color w:val="auto"/>
          <w:sz w:val="24"/>
          <w:highlight w:val="none"/>
          <w:u w:val="none"/>
        </w:rPr>
        <w:t>投标人</w:t>
      </w:r>
      <w:r>
        <w:rPr>
          <w:rFonts w:hint="eastAsia" w:hAnsi="宋体"/>
          <w:color w:val="auto"/>
          <w:sz w:val="24"/>
          <w:highlight w:val="none"/>
          <w:u w:val="none"/>
        </w:rPr>
        <w:t>（加盖电子公章）</w:t>
      </w:r>
      <w:r>
        <w:rPr>
          <w:rFonts w:hint="eastAsia" w:ascii="宋体" w:hAnsi="宋体" w:cs="宋体"/>
          <w:color w:val="auto"/>
          <w:sz w:val="24"/>
          <w:highlight w:val="none"/>
          <w:u w:val="none"/>
        </w:rPr>
        <w:t>：</w:t>
      </w:r>
    </w:p>
    <w:p w14:paraId="604063CC">
      <w:pPr>
        <w:spacing w:line="480" w:lineRule="auto"/>
        <w:ind w:left="178" w:leftChars="85"/>
        <w:rPr>
          <w:rFonts w:hint="eastAsia" w:ascii="宋体" w:hAnsi="宋体" w:cs="宋体"/>
          <w:color w:val="auto"/>
          <w:sz w:val="24"/>
          <w:highlight w:val="none"/>
          <w:u w:val="none"/>
        </w:rPr>
      </w:pPr>
      <w:r>
        <w:rPr>
          <w:rFonts w:hint="eastAsia" w:ascii="宋体" w:hAnsi="宋体" w:cs="宋体"/>
          <w:color w:val="auto"/>
          <w:sz w:val="24"/>
          <w:highlight w:val="none"/>
          <w:u w:val="none"/>
        </w:rPr>
        <w:t>法定代表人（公司负责人）或委托代理人（电子签章或签字）：</w:t>
      </w:r>
    </w:p>
    <w:p w14:paraId="7882B4BC">
      <w:pPr>
        <w:spacing w:line="480" w:lineRule="auto"/>
        <w:ind w:left="178" w:leftChars="85"/>
        <w:rPr>
          <w:rFonts w:ascii="宋体" w:hAnsi="宋体" w:eastAsia="宋体"/>
          <w:color w:val="auto"/>
          <w:sz w:val="24"/>
          <w:highlight w:val="none"/>
        </w:rPr>
      </w:pPr>
      <w:r>
        <w:rPr>
          <w:rFonts w:hint="eastAsia" w:ascii="宋体" w:hAnsi="宋体" w:cs="宋体"/>
          <w:color w:val="auto"/>
          <w:sz w:val="24"/>
          <w:highlight w:val="none"/>
          <w:u w:val="none"/>
        </w:rPr>
        <w:t>日期：     年   月   日</w:t>
      </w:r>
    </w:p>
    <w:p w14:paraId="49016668">
      <w:pPr>
        <w:ind w:right="280"/>
        <w:rPr>
          <w:rFonts w:ascii="宋体" w:hAnsi="宋体" w:eastAsia="宋体"/>
          <w:color w:val="auto"/>
          <w:sz w:val="24"/>
          <w:highlight w:val="none"/>
        </w:rPr>
      </w:pPr>
    </w:p>
    <w:p w14:paraId="7E0CD17C">
      <w:pPr>
        <w:tabs>
          <w:tab w:val="left" w:pos="5580"/>
        </w:tabs>
        <w:spacing w:before="120" w:line="360" w:lineRule="auto"/>
        <w:rPr>
          <w:rFonts w:ascii="宋体" w:hAnsi="宋体" w:eastAsia="宋体"/>
          <w:color w:val="auto"/>
          <w:sz w:val="24"/>
          <w:highlight w:val="none"/>
        </w:rPr>
      </w:pPr>
    </w:p>
    <w:p w14:paraId="62AD4029">
      <w:pPr>
        <w:tabs>
          <w:tab w:val="left" w:pos="5580"/>
        </w:tabs>
        <w:spacing w:before="120" w:line="360" w:lineRule="auto"/>
        <w:ind w:firstLine="480" w:firstLineChars="200"/>
        <w:rPr>
          <w:rFonts w:ascii="仿宋_GB2312" w:eastAsia="仿宋_GB2312"/>
          <w:color w:val="auto"/>
          <w:sz w:val="24"/>
          <w:highlight w:val="none"/>
        </w:rPr>
      </w:pPr>
    </w:p>
    <w:p w14:paraId="3898EEB5">
      <w:pPr>
        <w:tabs>
          <w:tab w:val="left" w:pos="5580"/>
        </w:tabs>
        <w:spacing w:before="120" w:line="360" w:lineRule="auto"/>
        <w:ind w:firstLine="480" w:firstLineChars="200"/>
        <w:rPr>
          <w:rFonts w:ascii="仿宋_GB2312" w:eastAsia="仿宋_GB2312"/>
          <w:color w:val="auto"/>
          <w:sz w:val="24"/>
          <w:highlight w:val="none"/>
        </w:rPr>
      </w:pPr>
    </w:p>
    <w:p w14:paraId="6903BC84">
      <w:pPr>
        <w:tabs>
          <w:tab w:val="left" w:pos="993"/>
          <w:tab w:val="left" w:pos="1030"/>
          <w:tab w:val="left" w:pos="8364"/>
        </w:tabs>
        <w:snapToGrid w:val="0"/>
        <w:spacing w:afterLines="50"/>
        <w:ind w:left="420" w:right="-57" w:rightChars="-27" w:firstLine="480" w:firstLineChars="200"/>
        <w:jc w:val="left"/>
        <w:rPr>
          <w:rFonts w:ascii="仿宋_GB2312" w:eastAsia="仿宋_GB2312"/>
          <w:color w:val="auto"/>
          <w:sz w:val="24"/>
          <w:highlight w:val="none"/>
        </w:rPr>
      </w:pPr>
    </w:p>
    <w:p w14:paraId="44BE3A37">
      <w:pPr>
        <w:widowControl/>
        <w:jc w:val="left"/>
        <w:rPr>
          <w:rFonts w:ascii="仿宋_GB2312" w:hAnsi="宋体" w:eastAsia="仿宋_GB2312"/>
          <w:b/>
          <w:color w:val="auto"/>
          <w:sz w:val="24"/>
          <w:highlight w:val="none"/>
        </w:rPr>
      </w:pPr>
      <w:r>
        <w:rPr>
          <w:rFonts w:ascii="仿宋_GB2312" w:hAnsi="宋体" w:eastAsia="仿宋_GB2312"/>
          <w:b/>
          <w:color w:val="auto"/>
          <w:sz w:val="24"/>
          <w:highlight w:val="none"/>
        </w:rPr>
        <w:br w:type="page"/>
      </w:r>
    </w:p>
    <w:p w14:paraId="724216ED">
      <w:pPr>
        <w:jc w:val="left"/>
        <w:outlineLvl w:val="2"/>
        <w:rPr>
          <w:rFonts w:hint="eastAsia" w:ascii="宋体" w:hAnsi="宋体" w:cs="宋体"/>
          <w:b/>
          <w:color w:val="auto"/>
          <w:sz w:val="24"/>
          <w:highlight w:val="none"/>
          <w:lang w:val="en-US" w:eastAsia="zh-CN"/>
        </w:rPr>
      </w:pPr>
      <w:bookmarkStart w:id="297" w:name="_Toc4170"/>
      <w:bookmarkStart w:id="298" w:name="_Toc12562"/>
      <w:bookmarkStart w:id="299" w:name="_Toc2139"/>
      <w:r>
        <w:rPr>
          <w:rFonts w:hint="eastAsia" w:ascii="宋体" w:hAnsi="宋体" w:cs="宋体"/>
          <w:b/>
          <w:color w:val="auto"/>
          <w:sz w:val="24"/>
          <w:highlight w:val="none"/>
          <w:lang w:val="en-US" w:eastAsia="zh-CN"/>
        </w:rPr>
        <w:t>9-6  投标人参加政府采购活动前3年（2022年至今）内在经营活动中没有重大违法记录的书面声明</w:t>
      </w:r>
      <w:bookmarkEnd w:id="297"/>
      <w:bookmarkEnd w:id="298"/>
      <w:bookmarkEnd w:id="299"/>
    </w:p>
    <w:p w14:paraId="27152C9B">
      <w:pPr>
        <w:jc w:val="center"/>
        <w:rPr>
          <w:rFonts w:ascii="宋体" w:hAnsi="宋体" w:eastAsia="宋体"/>
          <w:color w:val="auto"/>
          <w:sz w:val="24"/>
          <w:highlight w:val="none"/>
        </w:rPr>
      </w:pPr>
    </w:p>
    <w:p w14:paraId="7CECD545">
      <w:pPr>
        <w:autoSpaceDE w:val="0"/>
        <w:autoSpaceDN w:val="0"/>
        <w:adjustRightInd w:val="0"/>
        <w:jc w:val="center"/>
        <w:rPr>
          <w:rFonts w:hint="eastAsia" w:ascii="黑体" w:hAnsi="黑体" w:eastAsia="黑体" w:cs="黑体"/>
          <w:color w:val="auto"/>
          <w:kern w:val="0"/>
          <w:sz w:val="40"/>
          <w:szCs w:val="40"/>
          <w:highlight w:val="none"/>
        </w:rPr>
      </w:pPr>
      <w:r>
        <w:rPr>
          <w:rFonts w:hint="eastAsia" w:ascii="黑体" w:hAnsi="黑体" w:eastAsia="黑体" w:cs="黑体"/>
          <w:color w:val="auto"/>
          <w:kern w:val="0"/>
          <w:sz w:val="40"/>
          <w:szCs w:val="40"/>
          <w:highlight w:val="none"/>
        </w:rPr>
        <w:t>声</w:t>
      </w:r>
      <w:r>
        <w:rPr>
          <w:rFonts w:hint="eastAsia" w:ascii="黑体" w:hAnsi="黑体" w:eastAsia="黑体" w:cs="黑体"/>
          <w:color w:val="auto"/>
          <w:kern w:val="0"/>
          <w:sz w:val="40"/>
          <w:szCs w:val="40"/>
          <w:highlight w:val="none"/>
          <w:lang w:val="en-US" w:eastAsia="zh-CN"/>
        </w:rPr>
        <w:t xml:space="preserve"> </w:t>
      </w:r>
      <w:r>
        <w:rPr>
          <w:rFonts w:hint="eastAsia" w:ascii="黑体" w:hAnsi="黑体" w:eastAsia="黑体" w:cs="黑体"/>
          <w:color w:val="auto"/>
          <w:kern w:val="0"/>
          <w:sz w:val="40"/>
          <w:szCs w:val="40"/>
          <w:highlight w:val="none"/>
        </w:rPr>
        <w:t>明</w:t>
      </w:r>
      <w:r>
        <w:rPr>
          <w:rFonts w:hint="eastAsia" w:ascii="黑体" w:hAnsi="黑体" w:eastAsia="黑体" w:cs="黑体"/>
          <w:color w:val="auto"/>
          <w:kern w:val="0"/>
          <w:sz w:val="40"/>
          <w:szCs w:val="40"/>
          <w:highlight w:val="none"/>
          <w:lang w:val="en-US" w:eastAsia="zh-CN"/>
        </w:rPr>
        <w:t xml:space="preserve"> </w:t>
      </w:r>
      <w:r>
        <w:rPr>
          <w:rFonts w:hint="eastAsia" w:ascii="黑体" w:hAnsi="黑体" w:eastAsia="黑体" w:cs="黑体"/>
          <w:color w:val="auto"/>
          <w:kern w:val="0"/>
          <w:sz w:val="40"/>
          <w:szCs w:val="40"/>
          <w:highlight w:val="none"/>
        </w:rPr>
        <w:t>函</w:t>
      </w:r>
    </w:p>
    <w:p w14:paraId="02924F88">
      <w:pPr>
        <w:jc w:val="center"/>
        <w:rPr>
          <w:rFonts w:ascii="宋体" w:hAnsi="宋体" w:eastAsia="宋体"/>
          <w:color w:val="auto"/>
          <w:sz w:val="24"/>
          <w:highlight w:val="none"/>
        </w:rPr>
      </w:pPr>
    </w:p>
    <w:p w14:paraId="06BBFEC2">
      <w:pPr>
        <w:tabs>
          <w:tab w:val="left" w:pos="5580"/>
        </w:tabs>
        <w:spacing w:before="120" w:line="360" w:lineRule="auto"/>
        <w:rPr>
          <w:rFonts w:ascii="宋体" w:hAnsi="宋体" w:eastAsia="宋体"/>
          <w:b/>
          <w:bCs/>
          <w:color w:val="auto"/>
          <w:sz w:val="24"/>
          <w:highlight w:val="none"/>
        </w:rPr>
      </w:pPr>
      <w:r>
        <w:rPr>
          <w:rFonts w:hint="eastAsia" w:ascii="宋体" w:hAnsi="宋体"/>
          <w:b/>
          <w:bCs/>
          <w:color w:val="auto"/>
          <w:sz w:val="24"/>
          <w:highlight w:val="none"/>
          <w:lang w:val="en-US" w:eastAsia="zh-CN"/>
        </w:rPr>
        <w:t>致</w:t>
      </w:r>
      <w:r>
        <w:rPr>
          <w:rFonts w:hint="eastAsia" w:ascii="宋体" w:hAnsi="宋体" w:eastAsia="宋体"/>
          <w:b/>
          <w:bCs/>
          <w:color w:val="auto"/>
          <w:sz w:val="24"/>
          <w:highlight w:val="none"/>
        </w:rPr>
        <w:t>：</w:t>
      </w:r>
      <w:r>
        <w:rPr>
          <w:rFonts w:hint="eastAsia" w:ascii="宋体" w:hAnsi="宋体" w:eastAsia="宋体"/>
          <w:b/>
          <w:bCs/>
          <w:color w:val="auto"/>
          <w:sz w:val="24"/>
          <w:highlight w:val="none"/>
          <w:u w:val="single"/>
        </w:rPr>
        <w:t xml:space="preserve">   （采购人）  </w:t>
      </w:r>
    </w:p>
    <w:p w14:paraId="35A41D82">
      <w:pPr>
        <w:tabs>
          <w:tab w:val="left" w:pos="5580"/>
        </w:tabs>
        <w:spacing w:before="120" w:line="360" w:lineRule="auto"/>
        <w:ind w:firstLine="480" w:firstLineChars="200"/>
        <w:rPr>
          <w:rFonts w:ascii="宋体" w:hAnsi="宋体" w:eastAsia="宋体"/>
          <w:color w:val="auto"/>
          <w:sz w:val="24"/>
          <w:highlight w:val="none"/>
        </w:rPr>
      </w:pPr>
    </w:p>
    <w:p w14:paraId="0AE6C4E8">
      <w:pPr>
        <w:tabs>
          <w:tab w:val="left" w:pos="5580"/>
        </w:tabs>
        <w:spacing w:before="120" w:line="360" w:lineRule="auto"/>
        <w:ind w:firstLine="480" w:firstLineChars="200"/>
        <w:rPr>
          <w:rFonts w:hint="eastAsia" w:ascii="宋体" w:hAnsi="宋体" w:eastAsia="宋体"/>
          <w:color w:val="auto"/>
          <w:sz w:val="24"/>
          <w:highlight w:val="none"/>
        </w:rPr>
      </w:pPr>
      <w:r>
        <w:rPr>
          <w:rFonts w:hint="eastAsia" w:ascii="宋体" w:hAnsi="宋体" w:eastAsia="宋体" w:cs="Times New Roman"/>
          <w:b w:val="0"/>
          <w:color w:val="auto"/>
          <w:sz w:val="24"/>
          <w:szCs w:val="24"/>
          <w:highlight w:val="none"/>
        </w:rPr>
        <w:t>在本项目投标文件截止时间前，</w:t>
      </w:r>
      <w:r>
        <w:rPr>
          <w:rFonts w:hint="eastAsia" w:ascii="宋体" w:hAnsi="宋体" w:eastAsia="宋体"/>
          <w:color w:val="auto"/>
          <w:sz w:val="24"/>
          <w:highlight w:val="none"/>
        </w:rPr>
        <w:t>我公司郑重承诺在参加本项目政府采购活动前三年（20</w:t>
      </w:r>
      <w:r>
        <w:rPr>
          <w:rFonts w:hint="eastAsia" w:ascii="宋体" w:hAnsi="宋体"/>
          <w:color w:val="auto"/>
          <w:sz w:val="24"/>
          <w:highlight w:val="none"/>
          <w:lang w:val="en-US" w:eastAsia="zh-CN"/>
        </w:rPr>
        <w:t>22</w:t>
      </w:r>
      <w:r>
        <w:rPr>
          <w:rFonts w:hint="eastAsia" w:ascii="宋体" w:hAnsi="宋体" w:eastAsia="宋体"/>
          <w:color w:val="auto"/>
          <w:sz w:val="24"/>
          <w:highlight w:val="none"/>
        </w:rPr>
        <w:t>年至今）内，在经营活动中无重大违法记录。公司未受到刑事处罚或责令停业、吊销许可证（或执照）</w:t>
      </w:r>
      <w:r>
        <w:rPr>
          <w:rFonts w:hint="eastAsia" w:ascii="宋体" w:hAnsi="宋体" w:cs="Times New Roman"/>
          <w:color w:val="auto"/>
          <w:sz w:val="24"/>
          <w:szCs w:val="24"/>
          <w:highlight w:val="none"/>
        </w:rPr>
        <w:t>、较大数额罚款等行政处罚</w:t>
      </w:r>
      <w:r>
        <w:rPr>
          <w:rFonts w:hint="eastAsia" w:ascii="宋体" w:hAnsi="宋体" w:eastAsia="宋体"/>
          <w:color w:val="auto"/>
          <w:sz w:val="24"/>
          <w:highlight w:val="none"/>
        </w:rPr>
        <w:t>；未处于财产被接管、冻结、破产状况。</w:t>
      </w:r>
    </w:p>
    <w:p w14:paraId="62A0C431">
      <w:pPr>
        <w:tabs>
          <w:tab w:val="left" w:pos="5580"/>
        </w:tabs>
        <w:spacing w:before="120" w:line="360" w:lineRule="auto"/>
        <w:ind w:firstLine="480" w:firstLineChars="200"/>
        <w:rPr>
          <w:rFonts w:hint="eastAsia" w:ascii="宋体" w:hAnsi="宋体" w:eastAsia="宋体"/>
          <w:color w:val="auto"/>
          <w:sz w:val="24"/>
          <w:highlight w:val="none"/>
        </w:rPr>
      </w:pPr>
      <w:r>
        <w:rPr>
          <w:rFonts w:hint="eastAsia" w:ascii="宋体" w:hAnsi="宋体" w:eastAsia="宋体" w:cs="Times New Roman"/>
          <w:color w:val="auto"/>
          <w:sz w:val="24"/>
          <w:szCs w:val="24"/>
          <w:highlight w:val="none"/>
        </w:rPr>
        <w:t>如发现我单位提供的声明函不实时，我单位将按照《政府采购法》有关提供虚假材料的规定，接受处罚</w:t>
      </w:r>
      <w:r>
        <w:rPr>
          <w:rFonts w:hint="eastAsia" w:ascii="宋体" w:hAnsi="宋体" w:eastAsia="宋体" w:cs="Times New Roman"/>
          <w:color w:val="auto"/>
          <w:sz w:val="24"/>
          <w:szCs w:val="24"/>
          <w:highlight w:val="none"/>
          <w:lang w:eastAsia="zh-CN"/>
        </w:rPr>
        <w:t>。</w:t>
      </w:r>
    </w:p>
    <w:p w14:paraId="1CCC443E">
      <w:pPr>
        <w:tabs>
          <w:tab w:val="left" w:pos="5580"/>
        </w:tabs>
        <w:spacing w:before="120"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特此声明。</w:t>
      </w:r>
    </w:p>
    <w:p w14:paraId="75E02289">
      <w:pPr>
        <w:tabs>
          <w:tab w:val="left" w:pos="5580"/>
        </w:tabs>
        <w:spacing w:before="120" w:line="360" w:lineRule="auto"/>
        <w:ind w:firstLine="480" w:firstLineChars="200"/>
        <w:rPr>
          <w:rFonts w:ascii="宋体" w:hAnsi="宋体" w:eastAsia="宋体"/>
          <w:color w:val="auto"/>
          <w:sz w:val="24"/>
          <w:highlight w:val="none"/>
        </w:rPr>
      </w:pPr>
    </w:p>
    <w:p w14:paraId="19105ABD">
      <w:pPr>
        <w:tabs>
          <w:tab w:val="left" w:pos="5580"/>
        </w:tabs>
        <w:spacing w:before="120" w:line="360" w:lineRule="auto"/>
        <w:ind w:firstLine="480" w:firstLineChars="200"/>
        <w:rPr>
          <w:rFonts w:ascii="宋体" w:hAnsi="宋体" w:eastAsia="宋体"/>
          <w:color w:val="auto"/>
          <w:sz w:val="24"/>
          <w:highlight w:val="none"/>
        </w:rPr>
      </w:pPr>
    </w:p>
    <w:p w14:paraId="06BA4A2F">
      <w:pPr>
        <w:tabs>
          <w:tab w:val="left" w:pos="5580"/>
        </w:tabs>
        <w:spacing w:before="120" w:line="360" w:lineRule="auto"/>
        <w:ind w:firstLine="480" w:firstLineChars="200"/>
        <w:rPr>
          <w:rFonts w:ascii="宋体" w:hAnsi="宋体" w:eastAsia="宋体"/>
          <w:color w:val="auto"/>
          <w:sz w:val="24"/>
          <w:highlight w:val="none"/>
        </w:rPr>
      </w:pPr>
    </w:p>
    <w:p w14:paraId="422E6363">
      <w:pPr>
        <w:spacing w:line="480" w:lineRule="auto"/>
        <w:ind w:left="178" w:leftChars="85"/>
        <w:rPr>
          <w:rFonts w:ascii="宋体" w:hAnsi="宋体" w:cs="宋体"/>
          <w:color w:val="auto"/>
          <w:sz w:val="24"/>
          <w:highlight w:val="none"/>
          <w:u w:val="none"/>
        </w:rPr>
      </w:pPr>
      <w:r>
        <w:rPr>
          <w:rFonts w:hint="eastAsia" w:ascii="宋体" w:hAnsi="宋体" w:cs="宋体"/>
          <w:color w:val="auto"/>
          <w:sz w:val="24"/>
          <w:highlight w:val="none"/>
          <w:u w:val="none"/>
        </w:rPr>
        <w:t>投标人</w:t>
      </w:r>
      <w:r>
        <w:rPr>
          <w:rFonts w:hint="eastAsia" w:hAnsi="宋体"/>
          <w:color w:val="auto"/>
          <w:sz w:val="24"/>
          <w:highlight w:val="none"/>
          <w:u w:val="none"/>
        </w:rPr>
        <w:t>（加盖电子公章）</w:t>
      </w:r>
      <w:r>
        <w:rPr>
          <w:rFonts w:hint="eastAsia" w:ascii="宋体" w:hAnsi="宋体" w:cs="宋体"/>
          <w:color w:val="auto"/>
          <w:sz w:val="24"/>
          <w:highlight w:val="none"/>
          <w:u w:val="none"/>
        </w:rPr>
        <w:t>：</w:t>
      </w:r>
    </w:p>
    <w:p w14:paraId="413E7EAD">
      <w:pPr>
        <w:spacing w:line="480" w:lineRule="auto"/>
        <w:ind w:left="178" w:leftChars="85"/>
        <w:rPr>
          <w:rFonts w:hint="eastAsia" w:ascii="宋体" w:hAnsi="宋体" w:cs="宋体"/>
          <w:color w:val="auto"/>
          <w:sz w:val="24"/>
          <w:highlight w:val="none"/>
          <w:u w:val="none"/>
        </w:rPr>
      </w:pPr>
      <w:r>
        <w:rPr>
          <w:rFonts w:hint="eastAsia" w:ascii="宋体" w:hAnsi="宋体" w:cs="宋体"/>
          <w:color w:val="auto"/>
          <w:sz w:val="24"/>
          <w:highlight w:val="none"/>
          <w:u w:val="none"/>
        </w:rPr>
        <w:t>法定代表人（公司负责人）或委托代理人（电子签章或签字）：</w:t>
      </w:r>
    </w:p>
    <w:p w14:paraId="0AFB67D0">
      <w:pPr>
        <w:spacing w:line="480" w:lineRule="auto"/>
        <w:ind w:left="178" w:leftChars="85"/>
        <w:rPr>
          <w:rFonts w:ascii="宋体" w:hAnsi="宋体" w:eastAsia="宋体"/>
          <w:color w:val="auto"/>
          <w:sz w:val="24"/>
          <w:highlight w:val="none"/>
          <w:u w:val="single"/>
        </w:rPr>
      </w:pPr>
      <w:r>
        <w:rPr>
          <w:rFonts w:hint="eastAsia" w:ascii="宋体" w:hAnsi="宋体" w:cs="宋体"/>
          <w:color w:val="auto"/>
          <w:sz w:val="24"/>
          <w:highlight w:val="none"/>
          <w:u w:val="none"/>
        </w:rPr>
        <w:t>日期：     年   月   日</w:t>
      </w:r>
    </w:p>
    <w:p w14:paraId="1AD60CCC">
      <w:pPr>
        <w:pStyle w:val="87"/>
        <w:spacing w:line="360" w:lineRule="auto"/>
        <w:rPr>
          <w:rFonts w:ascii="宋体" w:hAnsi="宋体" w:eastAsia="宋体"/>
          <w:color w:val="auto"/>
          <w:sz w:val="24"/>
          <w:highlight w:val="none"/>
          <w:u w:val="single"/>
        </w:rPr>
      </w:pPr>
      <w:r>
        <w:rPr>
          <w:rFonts w:ascii="宋体" w:hAnsi="宋体" w:eastAsia="宋体"/>
          <w:color w:val="auto"/>
          <w:sz w:val="24"/>
          <w:highlight w:val="none"/>
          <w:u w:val="single"/>
        </w:rPr>
        <w:br w:type="page"/>
      </w:r>
    </w:p>
    <w:p w14:paraId="7C94B984">
      <w:pPr>
        <w:jc w:val="left"/>
        <w:outlineLvl w:val="2"/>
        <w:rPr>
          <w:rFonts w:hint="eastAsia" w:ascii="宋体" w:hAnsi="宋体" w:cs="宋体"/>
          <w:b/>
          <w:color w:val="auto"/>
          <w:sz w:val="24"/>
          <w:highlight w:val="none"/>
          <w:lang w:val="en-US" w:eastAsia="zh-CN"/>
        </w:rPr>
      </w:pPr>
      <w:bookmarkStart w:id="300" w:name="_Toc20586"/>
      <w:bookmarkStart w:id="301" w:name="_Toc15314"/>
      <w:bookmarkStart w:id="302" w:name="_Toc1047"/>
      <w:r>
        <w:rPr>
          <w:rFonts w:hint="eastAsia" w:ascii="宋体" w:hAnsi="宋体" w:cs="宋体"/>
          <w:b/>
          <w:color w:val="auto"/>
          <w:sz w:val="24"/>
          <w:highlight w:val="none"/>
          <w:lang w:val="en-US" w:eastAsia="zh-CN"/>
        </w:rPr>
        <w:t>9-7  投标人控股股东名称、控股公司的名称和存在管理、被管理关系的单位名称说明</w:t>
      </w:r>
      <w:bookmarkEnd w:id="300"/>
      <w:bookmarkEnd w:id="301"/>
      <w:bookmarkEnd w:id="302"/>
    </w:p>
    <w:p w14:paraId="2F03F899">
      <w:pPr>
        <w:ind w:firstLine="420"/>
        <w:rPr>
          <w:rFonts w:ascii="宋体" w:hAnsi="宋体"/>
          <w:color w:val="auto"/>
          <w:szCs w:val="21"/>
          <w:highlight w:val="none"/>
        </w:rPr>
      </w:pPr>
    </w:p>
    <w:p w14:paraId="6CF08977">
      <w:pPr>
        <w:spacing w:line="360" w:lineRule="auto"/>
        <w:rPr>
          <w:rFonts w:ascii="宋体" w:hAnsi="宋体"/>
          <w:b/>
          <w:bCs/>
          <w:color w:val="auto"/>
          <w:sz w:val="24"/>
          <w:szCs w:val="24"/>
          <w:highlight w:val="none"/>
        </w:rPr>
      </w:pPr>
    </w:p>
    <w:p w14:paraId="7DC72AC1">
      <w:pPr>
        <w:spacing w:line="360" w:lineRule="auto"/>
        <w:rPr>
          <w:rFonts w:ascii="宋体" w:hAnsi="宋体"/>
          <w:b/>
          <w:bCs/>
          <w:color w:val="auto"/>
          <w:sz w:val="24"/>
          <w:szCs w:val="24"/>
          <w:highlight w:val="none"/>
        </w:rPr>
      </w:pPr>
    </w:p>
    <w:p w14:paraId="3464747C">
      <w:pPr>
        <w:spacing w:line="360" w:lineRule="auto"/>
        <w:rPr>
          <w:rFonts w:hint="eastAsia" w:ascii="宋体" w:hAnsi="宋体" w:eastAsia="宋体"/>
          <w:b/>
          <w:bCs/>
          <w:color w:val="auto"/>
          <w:sz w:val="24"/>
          <w:szCs w:val="24"/>
          <w:highlight w:val="none"/>
          <w:lang w:eastAsia="zh-CN"/>
        </w:rPr>
      </w:pPr>
      <w:r>
        <w:rPr>
          <w:rFonts w:ascii="宋体" w:hAnsi="宋体"/>
          <w:b/>
          <w:bCs/>
          <w:color w:val="auto"/>
          <w:sz w:val="24"/>
          <w:szCs w:val="24"/>
          <w:highlight w:val="none"/>
        </w:rPr>
        <w:t>致：</w:t>
      </w:r>
      <w:r>
        <w:rPr>
          <w:rFonts w:hint="eastAsia" w:ascii="宋体" w:hAnsi="宋体"/>
          <w:b/>
          <w:bCs/>
          <w:color w:val="auto"/>
          <w:sz w:val="24"/>
          <w:szCs w:val="24"/>
          <w:highlight w:val="none"/>
          <w:u w:val="single"/>
          <w:lang w:eastAsia="zh-CN"/>
        </w:rPr>
        <w:t>（</w:t>
      </w:r>
      <w:r>
        <w:rPr>
          <w:rFonts w:hint="eastAsia" w:ascii="宋体" w:hAnsi="宋体"/>
          <w:b/>
          <w:bCs/>
          <w:color w:val="auto"/>
          <w:sz w:val="24"/>
          <w:szCs w:val="24"/>
          <w:highlight w:val="none"/>
          <w:u w:val="single"/>
          <w:lang w:val="en-US" w:eastAsia="zh-CN"/>
        </w:rPr>
        <w:t>采购人</w:t>
      </w:r>
      <w:r>
        <w:rPr>
          <w:rFonts w:hint="eastAsia" w:ascii="宋体" w:hAnsi="宋体"/>
          <w:b/>
          <w:bCs/>
          <w:color w:val="auto"/>
          <w:sz w:val="24"/>
          <w:szCs w:val="24"/>
          <w:highlight w:val="none"/>
          <w:u w:val="single"/>
          <w:lang w:eastAsia="zh-CN"/>
        </w:rPr>
        <w:t>）</w:t>
      </w:r>
    </w:p>
    <w:p w14:paraId="1D0C7249">
      <w:pPr>
        <w:ind w:firstLine="426"/>
        <w:rPr>
          <w:rFonts w:hint="eastAsia" w:ascii="宋体" w:hAnsi="Courier New" w:cs="Courier New"/>
          <w:color w:val="auto"/>
          <w:sz w:val="24"/>
          <w:highlight w:val="none"/>
        </w:rPr>
      </w:pPr>
    </w:p>
    <w:p w14:paraId="4A537FC9">
      <w:pPr>
        <w:ind w:firstLine="426"/>
        <w:rPr>
          <w:rFonts w:ascii="宋体" w:hAnsi="Courier New" w:cs="Courier New"/>
          <w:color w:val="auto"/>
          <w:sz w:val="24"/>
          <w:highlight w:val="none"/>
        </w:rPr>
      </w:pPr>
      <w:r>
        <w:rPr>
          <w:rFonts w:hint="eastAsia" w:ascii="宋体" w:hAnsi="Courier New" w:cs="Courier New"/>
          <w:color w:val="auto"/>
          <w:sz w:val="24"/>
          <w:highlight w:val="none"/>
        </w:rPr>
        <w:t>与我方的法定代表人（单位负责人）为同一人的企业如下：</w:t>
      </w:r>
    </w:p>
    <w:p w14:paraId="0868A5EA">
      <w:pPr>
        <w:ind w:firstLine="426"/>
        <w:rPr>
          <w:rFonts w:ascii="宋体" w:hAnsi="Courier New" w:cs="Courier New"/>
          <w:color w:val="auto"/>
          <w:sz w:val="24"/>
          <w:highlight w:val="none"/>
        </w:rPr>
      </w:pPr>
    </w:p>
    <w:p w14:paraId="3B34E4F4">
      <w:pPr>
        <w:ind w:firstLine="426"/>
        <w:rPr>
          <w:rFonts w:ascii="宋体" w:hAnsi="Courier New" w:cs="Courier New"/>
          <w:color w:val="auto"/>
          <w:sz w:val="24"/>
          <w:highlight w:val="none"/>
        </w:rPr>
      </w:pPr>
    </w:p>
    <w:p w14:paraId="3E370F0C">
      <w:pPr>
        <w:ind w:firstLine="426"/>
        <w:rPr>
          <w:rFonts w:ascii="宋体" w:hAnsi="Courier New" w:cs="Courier New"/>
          <w:color w:val="auto"/>
          <w:sz w:val="24"/>
          <w:highlight w:val="none"/>
        </w:rPr>
      </w:pPr>
      <w:r>
        <w:rPr>
          <w:rFonts w:hint="eastAsia" w:ascii="宋体" w:hAnsi="Courier New" w:cs="Courier New"/>
          <w:color w:val="auto"/>
          <w:sz w:val="24"/>
          <w:highlight w:val="none"/>
        </w:rPr>
        <w:t>我方的控股股东如下：</w:t>
      </w:r>
    </w:p>
    <w:p w14:paraId="5D5C87A7">
      <w:pPr>
        <w:ind w:firstLine="426"/>
        <w:rPr>
          <w:rFonts w:ascii="宋体" w:hAnsi="Courier New" w:cs="Courier New"/>
          <w:color w:val="auto"/>
          <w:sz w:val="24"/>
          <w:highlight w:val="none"/>
        </w:rPr>
      </w:pPr>
    </w:p>
    <w:p w14:paraId="7E2B1D7F">
      <w:pPr>
        <w:ind w:firstLine="426"/>
        <w:rPr>
          <w:rFonts w:ascii="宋体" w:hAnsi="Courier New" w:cs="Courier New"/>
          <w:color w:val="auto"/>
          <w:sz w:val="24"/>
          <w:highlight w:val="none"/>
        </w:rPr>
      </w:pPr>
    </w:p>
    <w:p w14:paraId="3D6CD092">
      <w:pPr>
        <w:ind w:firstLine="426"/>
        <w:rPr>
          <w:rFonts w:ascii="宋体" w:hAnsi="Courier New" w:cs="Courier New"/>
          <w:color w:val="auto"/>
          <w:sz w:val="24"/>
          <w:highlight w:val="none"/>
        </w:rPr>
      </w:pPr>
      <w:r>
        <w:rPr>
          <w:rFonts w:hint="eastAsia" w:ascii="宋体" w:hAnsi="Courier New" w:cs="Courier New"/>
          <w:color w:val="auto"/>
          <w:sz w:val="24"/>
          <w:highlight w:val="none"/>
        </w:rPr>
        <w:t>我方直接控股的企业如下：</w:t>
      </w:r>
    </w:p>
    <w:p w14:paraId="318CB603">
      <w:pPr>
        <w:ind w:firstLine="426"/>
        <w:rPr>
          <w:rFonts w:ascii="宋体" w:hAnsi="Courier New" w:cs="Courier New"/>
          <w:color w:val="auto"/>
          <w:sz w:val="24"/>
          <w:highlight w:val="none"/>
        </w:rPr>
      </w:pPr>
    </w:p>
    <w:p w14:paraId="02905D26">
      <w:pPr>
        <w:ind w:firstLine="426"/>
        <w:rPr>
          <w:rFonts w:ascii="宋体" w:hAnsi="Courier New" w:cs="Courier New"/>
          <w:color w:val="auto"/>
          <w:sz w:val="24"/>
          <w:highlight w:val="none"/>
        </w:rPr>
      </w:pPr>
    </w:p>
    <w:p w14:paraId="1773570A">
      <w:pPr>
        <w:ind w:firstLine="426"/>
        <w:rPr>
          <w:rFonts w:ascii="宋体" w:hAnsi="Courier New" w:cs="Courier New"/>
          <w:color w:val="auto"/>
          <w:sz w:val="24"/>
          <w:highlight w:val="none"/>
        </w:rPr>
      </w:pPr>
      <w:r>
        <w:rPr>
          <w:rFonts w:hint="eastAsia" w:ascii="宋体" w:hAnsi="Courier New" w:cs="Courier New"/>
          <w:color w:val="auto"/>
          <w:sz w:val="24"/>
          <w:highlight w:val="none"/>
        </w:rPr>
        <w:t>与我方存在管理、被管理关系的单位名称如下：</w:t>
      </w:r>
    </w:p>
    <w:p w14:paraId="1C08A709">
      <w:pPr>
        <w:ind w:firstLine="426"/>
        <w:rPr>
          <w:rFonts w:ascii="宋体" w:hAnsi="Courier New" w:cs="Courier New"/>
          <w:color w:val="auto"/>
          <w:sz w:val="24"/>
          <w:highlight w:val="none"/>
        </w:rPr>
      </w:pPr>
    </w:p>
    <w:p w14:paraId="4BECF5A7">
      <w:pPr>
        <w:ind w:firstLine="426"/>
        <w:rPr>
          <w:rFonts w:ascii="宋体" w:hAnsi="宋体"/>
          <w:color w:val="auto"/>
          <w:sz w:val="24"/>
          <w:szCs w:val="24"/>
          <w:highlight w:val="none"/>
        </w:rPr>
      </w:pPr>
    </w:p>
    <w:p w14:paraId="06E431C5">
      <w:pPr>
        <w:spacing w:line="480" w:lineRule="auto"/>
        <w:ind w:left="178" w:leftChars="85"/>
        <w:rPr>
          <w:rFonts w:hint="eastAsia" w:ascii="宋体" w:hAnsi="宋体" w:cs="宋体"/>
          <w:color w:val="auto"/>
          <w:sz w:val="24"/>
          <w:highlight w:val="none"/>
          <w:u w:val="none"/>
        </w:rPr>
      </w:pPr>
    </w:p>
    <w:p w14:paraId="6B312784">
      <w:pPr>
        <w:spacing w:line="480" w:lineRule="auto"/>
        <w:ind w:left="178" w:leftChars="85"/>
        <w:rPr>
          <w:rFonts w:hint="eastAsia" w:ascii="宋体" w:hAnsi="宋体" w:cs="宋体"/>
          <w:color w:val="auto"/>
          <w:sz w:val="24"/>
          <w:highlight w:val="none"/>
          <w:u w:val="none"/>
        </w:rPr>
      </w:pPr>
    </w:p>
    <w:p w14:paraId="5A299390">
      <w:pPr>
        <w:spacing w:line="480" w:lineRule="auto"/>
        <w:ind w:left="178" w:leftChars="85"/>
        <w:rPr>
          <w:rFonts w:ascii="宋体" w:hAnsi="宋体" w:cs="宋体"/>
          <w:color w:val="auto"/>
          <w:sz w:val="24"/>
          <w:highlight w:val="none"/>
          <w:u w:val="none"/>
        </w:rPr>
      </w:pPr>
      <w:r>
        <w:rPr>
          <w:rFonts w:hint="eastAsia" w:ascii="宋体" w:hAnsi="宋体" w:cs="宋体"/>
          <w:color w:val="auto"/>
          <w:sz w:val="24"/>
          <w:highlight w:val="none"/>
          <w:u w:val="none"/>
        </w:rPr>
        <w:t>投标人</w:t>
      </w:r>
      <w:r>
        <w:rPr>
          <w:rFonts w:hint="eastAsia" w:hAnsi="宋体"/>
          <w:color w:val="auto"/>
          <w:sz w:val="24"/>
          <w:highlight w:val="none"/>
          <w:u w:val="none"/>
        </w:rPr>
        <w:t>（加盖电子公章）</w:t>
      </w:r>
      <w:r>
        <w:rPr>
          <w:rFonts w:hint="eastAsia" w:ascii="宋体" w:hAnsi="宋体" w:cs="宋体"/>
          <w:color w:val="auto"/>
          <w:sz w:val="24"/>
          <w:highlight w:val="none"/>
          <w:u w:val="none"/>
        </w:rPr>
        <w:t>：</w:t>
      </w:r>
    </w:p>
    <w:p w14:paraId="17513FCA">
      <w:pPr>
        <w:spacing w:line="480" w:lineRule="auto"/>
        <w:ind w:left="178" w:leftChars="85"/>
        <w:rPr>
          <w:rFonts w:hint="eastAsia" w:ascii="宋体" w:hAnsi="宋体" w:cs="宋体"/>
          <w:color w:val="auto"/>
          <w:sz w:val="24"/>
          <w:highlight w:val="none"/>
          <w:u w:val="none"/>
        </w:rPr>
      </w:pPr>
      <w:r>
        <w:rPr>
          <w:rFonts w:hint="eastAsia" w:ascii="宋体" w:hAnsi="宋体" w:cs="宋体"/>
          <w:color w:val="auto"/>
          <w:sz w:val="24"/>
          <w:highlight w:val="none"/>
          <w:u w:val="none"/>
        </w:rPr>
        <w:t>法定代表人（公司负责人）或委托代理人（电子签章或签字）：</w:t>
      </w:r>
    </w:p>
    <w:p w14:paraId="70291852">
      <w:pPr>
        <w:spacing w:line="480" w:lineRule="auto"/>
        <w:ind w:left="178" w:leftChars="85"/>
        <w:rPr>
          <w:rFonts w:ascii="宋体" w:hAnsi="宋体"/>
          <w:color w:val="auto"/>
          <w:sz w:val="24"/>
          <w:szCs w:val="24"/>
          <w:highlight w:val="none"/>
        </w:rPr>
      </w:pPr>
      <w:r>
        <w:rPr>
          <w:rFonts w:hint="eastAsia" w:ascii="宋体" w:hAnsi="宋体" w:cs="宋体"/>
          <w:color w:val="auto"/>
          <w:sz w:val="24"/>
          <w:highlight w:val="none"/>
          <w:u w:val="none"/>
        </w:rPr>
        <w:t>日期：     年   月   日</w:t>
      </w:r>
    </w:p>
    <w:p w14:paraId="48D4D93C">
      <w:pPr>
        <w:ind w:firstLine="480" w:firstLineChars="200"/>
        <w:rPr>
          <w:rFonts w:ascii="宋体" w:hAnsi="宋体"/>
          <w:color w:val="auto"/>
          <w:szCs w:val="21"/>
          <w:highlight w:val="none"/>
        </w:rPr>
      </w:pPr>
      <w:r>
        <w:rPr>
          <w:rFonts w:ascii="宋体" w:hAnsi="宋体"/>
          <w:color w:val="auto"/>
          <w:sz w:val="24"/>
          <w:szCs w:val="24"/>
          <w:highlight w:val="none"/>
        </w:rPr>
        <w:br w:type="page"/>
      </w:r>
    </w:p>
    <w:p w14:paraId="0E30CB53">
      <w:pPr>
        <w:jc w:val="left"/>
        <w:outlineLvl w:val="2"/>
        <w:rPr>
          <w:rFonts w:hint="eastAsia" w:ascii="宋体" w:hAnsi="宋体" w:cs="宋体"/>
          <w:b/>
          <w:color w:val="auto"/>
          <w:sz w:val="24"/>
          <w:highlight w:val="none"/>
          <w:lang w:val="en-US" w:eastAsia="zh-CN"/>
        </w:rPr>
      </w:pPr>
      <w:bookmarkStart w:id="303" w:name="_Toc32535"/>
      <w:bookmarkStart w:id="304" w:name="_Toc9460"/>
      <w:bookmarkStart w:id="305" w:name="_Toc21167"/>
      <w:r>
        <w:rPr>
          <w:rFonts w:hint="eastAsia" w:ascii="宋体" w:hAnsi="宋体" w:cs="宋体"/>
          <w:b/>
          <w:color w:val="auto"/>
          <w:sz w:val="24"/>
          <w:highlight w:val="none"/>
          <w:lang w:val="en-US" w:eastAsia="zh-CN"/>
        </w:rPr>
        <w:t>9-8  投标人是否属于为本项目提供整体设计、规范编制或者项目管理、监理、检测等服务的投标人声明</w:t>
      </w:r>
      <w:bookmarkEnd w:id="303"/>
      <w:bookmarkEnd w:id="304"/>
      <w:bookmarkEnd w:id="305"/>
    </w:p>
    <w:p w14:paraId="2C59F201">
      <w:pPr>
        <w:ind w:firstLine="420"/>
        <w:rPr>
          <w:rFonts w:ascii="宋体" w:hAnsi="宋体"/>
          <w:color w:val="auto"/>
          <w:szCs w:val="21"/>
          <w:highlight w:val="none"/>
        </w:rPr>
      </w:pPr>
    </w:p>
    <w:p w14:paraId="0627D030">
      <w:pPr>
        <w:spacing w:line="360" w:lineRule="auto"/>
        <w:rPr>
          <w:rFonts w:ascii="宋体" w:hAnsi="宋体"/>
          <w:color w:val="auto"/>
          <w:szCs w:val="21"/>
          <w:highlight w:val="none"/>
        </w:rPr>
      </w:pPr>
    </w:p>
    <w:p w14:paraId="6E0ECE71">
      <w:pPr>
        <w:spacing w:line="360" w:lineRule="auto"/>
        <w:rPr>
          <w:rFonts w:ascii="宋体" w:hAnsi="宋体"/>
          <w:b/>
          <w:bCs/>
          <w:color w:val="auto"/>
          <w:sz w:val="24"/>
          <w:szCs w:val="24"/>
          <w:highlight w:val="none"/>
        </w:rPr>
      </w:pPr>
    </w:p>
    <w:p w14:paraId="325DDA93">
      <w:pPr>
        <w:spacing w:line="360" w:lineRule="auto"/>
        <w:rPr>
          <w:rFonts w:hint="eastAsia" w:ascii="宋体" w:hAnsi="宋体" w:eastAsia="宋体"/>
          <w:b/>
          <w:bCs/>
          <w:color w:val="auto"/>
          <w:sz w:val="24"/>
          <w:szCs w:val="24"/>
          <w:highlight w:val="none"/>
          <w:lang w:eastAsia="zh-CN"/>
        </w:rPr>
      </w:pPr>
      <w:r>
        <w:rPr>
          <w:rFonts w:ascii="宋体" w:hAnsi="宋体"/>
          <w:b/>
          <w:bCs/>
          <w:color w:val="auto"/>
          <w:sz w:val="24"/>
          <w:szCs w:val="24"/>
          <w:highlight w:val="none"/>
        </w:rPr>
        <w:t>致：</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采购人</w:t>
      </w:r>
      <w:r>
        <w:rPr>
          <w:rFonts w:hint="eastAsia" w:ascii="宋体" w:hAnsi="宋体"/>
          <w:b/>
          <w:bCs/>
          <w:color w:val="auto"/>
          <w:sz w:val="24"/>
          <w:szCs w:val="24"/>
          <w:highlight w:val="none"/>
          <w:lang w:eastAsia="zh-CN"/>
        </w:rPr>
        <w:t>）</w:t>
      </w:r>
    </w:p>
    <w:p w14:paraId="7172E159">
      <w:pPr>
        <w:spacing w:line="480" w:lineRule="auto"/>
        <w:ind w:firstLine="426"/>
        <w:rPr>
          <w:rFonts w:hint="eastAsia" w:ascii="宋体" w:hAnsi="Courier New" w:cs="Courier New"/>
          <w:color w:val="auto"/>
          <w:sz w:val="24"/>
          <w:highlight w:val="none"/>
        </w:rPr>
      </w:pPr>
    </w:p>
    <w:p w14:paraId="48FA4145">
      <w:pPr>
        <w:spacing w:line="480" w:lineRule="auto"/>
        <w:ind w:firstLine="426"/>
        <w:rPr>
          <w:rFonts w:ascii="宋体" w:hAnsi="Courier New" w:cs="Courier New"/>
          <w:color w:val="auto"/>
          <w:sz w:val="24"/>
          <w:highlight w:val="none"/>
        </w:rPr>
      </w:pPr>
      <w:r>
        <w:rPr>
          <w:rFonts w:hint="eastAsia" w:ascii="宋体" w:hAnsi="Courier New" w:cs="Courier New"/>
          <w:color w:val="auto"/>
          <w:sz w:val="24"/>
          <w:highlight w:val="none"/>
        </w:rPr>
        <w:t>我方</w:t>
      </w:r>
      <w:r>
        <w:rPr>
          <w:rFonts w:hint="eastAsia" w:ascii="宋体" w:hAnsi="Courier New" w:cs="Courier New"/>
          <w:b/>
          <w:bCs/>
          <w:color w:val="auto"/>
          <w:sz w:val="24"/>
          <w:highlight w:val="none"/>
          <w:u w:val="single"/>
        </w:rPr>
        <w:t xml:space="preserve"> </w:t>
      </w:r>
      <w:r>
        <w:rPr>
          <w:rFonts w:hint="eastAsia" w:ascii="宋体" w:hAnsi="Courier New" w:cs="Courier New"/>
          <w:b/>
          <w:bCs/>
          <w:i/>
          <w:iCs/>
          <w:color w:val="auto"/>
          <w:sz w:val="24"/>
          <w:highlight w:val="none"/>
          <w:u w:val="single"/>
        </w:rPr>
        <w:t>属于</w:t>
      </w:r>
      <w:r>
        <w:rPr>
          <w:rFonts w:ascii="宋体" w:hAnsi="Courier New" w:cs="Courier New"/>
          <w:b/>
          <w:bCs/>
          <w:i/>
          <w:iCs/>
          <w:color w:val="auto"/>
          <w:sz w:val="24"/>
          <w:highlight w:val="none"/>
          <w:u w:val="single"/>
        </w:rPr>
        <w:t>/</w:t>
      </w:r>
      <w:r>
        <w:rPr>
          <w:rFonts w:hint="eastAsia" w:ascii="宋体" w:hAnsi="Courier New" w:cs="Courier New"/>
          <w:b/>
          <w:bCs/>
          <w:i/>
          <w:iCs/>
          <w:color w:val="auto"/>
          <w:sz w:val="24"/>
          <w:highlight w:val="none"/>
          <w:u w:val="single"/>
        </w:rPr>
        <w:t>不属于</w:t>
      </w:r>
      <w:r>
        <w:rPr>
          <w:rFonts w:hint="eastAsia" w:ascii="宋体" w:hAnsi="Courier New" w:cs="Courier New"/>
          <w:b/>
          <w:bCs/>
          <w:color w:val="auto"/>
          <w:sz w:val="24"/>
          <w:highlight w:val="none"/>
          <w:u w:val="single"/>
        </w:rPr>
        <w:t xml:space="preserve"> </w:t>
      </w:r>
      <w:r>
        <w:rPr>
          <w:rFonts w:hint="eastAsia" w:ascii="宋体" w:hAnsi="Courier New" w:cs="Courier New"/>
          <w:color w:val="auto"/>
          <w:sz w:val="24"/>
          <w:highlight w:val="none"/>
        </w:rPr>
        <w:t>为本项目提供整体设计、规范编制或者项目管理、监理、检测等服务的投标人。</w:t>
      </w:r>
    </w:p>
    <w:p w14:paraId="4D747B28">
      <w:pPr>
        <w:ind w:firstLine="426"/>
        <w:rPr>
          <w:rFonts w:ascii="宋体" w:hAnsi="Courier New" w:cs="Courier New"/>
          <w:color w:val="auto"/>
          <w:sz w:val="24"/>
          <w:highlight w:val="none"/>
        </w:rPr>
      </w:pPr>
    </w:p>
    <w:p w14:paraId="24D3DAB9">
      <w:pPr>
        <w:ind w:firstLine="426"/>
        <w:rPr>
          <w:rFonts w:ascii="宋体" w:hAnsi="宋体"/>
          <w:color w:val="auto"/>
          <w:sz w:val="24"/>
          <w:szCs w:val="24"/>
          <w:highlight w:val="none"/>
        </w:rPr>
      </w:pPr>
    </w:p>
    <w:p w14:paraId="4385D7CA">
      <w:pPr>
        <w:spacing w:line="480" w:lineRule="auto"/>
        <w:ind w:left="178" w:leftChars="85"/>
        <w:rPr>
          <w:rFonts w:hint="eastAsia" w:ascii="宋体" w:hAnsi="宋体" w:cs="宋体"/>
          <w:color w:val="auto"/>
          <w:sz w:val="24"/>
          <w:highlight w:val="none"/>
          <w:u w:val="none"/>
        </w:rPr>
      </w:pPr>
    </w:p>
    <w:p w14:paraId="6CACDCA3">
      <w:pPr>
        <w:spacing w:line="480" w:lineRule="auto"/>
        <w:ind w:left="178" w:leftChars="85"/>
        <w:rPr>
          <w:rFonts w:hint="eastAsia" w:ascii="宋体" w:hAnsi="宋体" w:cs="宋体"/>
          <w:color w:val="auto"/>
          <w:sz w:val="24"/>
          <w:highlight w:val="none"/>
          <w:u w:val="none"/>
        </w:rPr>
      </w:pPr>
    </w:p>
    <w:p w14:paraId="0B89FB5D">
      <w:pPr>
        <w:spacing w:line="480" w:lineRule="auto"/>
        <w:ind w:left="178" w:leftChars="85"/>
        <w:rPr>
          <w:rFonts w:ascii="宋体" w:hAnsi="宋体" w:cs="宋体"/>
          <w:color w:val="auto"/>
          <w:sz w:val="24"/>
          <w:highlight w:val="none"/>
          <w:u w:val="none"/>
        </w:rPr>
      </w:pPr>
      <w:r>
        <w:rPr>
          <w:rFonts w:hint="eastAsia" w:ascii="宋体" w:hAnsi="宋体" w:cs="宋体"/>
          <w:color w:val="auto"/>
          <w:sz w:val="24"/>
          <w:highlight w:val="none"/>
          <w:u w:val="none"/>
        </w:rPr>
        <w:t>投标人</w:t>
      </w:r>
      <w:r>
        <w:rPr>
          <w:rFonts w:hint="eastAsia" w:hAnsi="宋体"/>
          <w:color w:val="auto"/>
          <w:sz w:val="24"/>
          <w:highlight w:val="none"/>
          <w:u w:val="none"/>
        </w:rPr>
        <w:t>（加盖电子公章）</w:t>
      </w:r>
      <w:r>
        <w:rPr>
          <w:rFonts w:hint="eastAsia" w:ascii="宋体" w:hAnsi="宋体" w:cs="宋体"/>
          <w:color w:val="auto"/>
          <w:sz w:val="24"/>
          <w:highlight w:val="none"/>
          <w:u w:val="none"/>
        </w:rPr>
        <w:t>：</w:t>
      </w:r>
    </w:p>
    <w:p w14:paraId="20DE1473">
      <w:pPr>
        <w:spacing w:line="480" w:lineRule="auto"/>
        <w:ind w:left="178" w:leftChars="85"/>
        <w:rPr>
          <w:rFonts w:hint="eastAsia" w:ascii="宋体" w:hAnsi="宋体" w:cs="宋体"/>
          <w:color w:val="auto"/>
          <w:sz w:val="24"/>
          <w:highlight w:val="none"/>
          <w:u w:val="none"/>
        </w:rPr>
      </w:pPr>
      <w:r>
        <w:rPr>
          <w:rFonts w:hint="eastAsia" w:ascii="宋体" w:hAnsi="宋体" w:cs="宋体"/>
          <w:color w:val="auto"/>
          <w:sz w:val="24"/>
          <w:highlight w:val="none"/>
          <w:u w:val="none"/>
        </w:rPr>
        <w:t>法定代表人（公司负责人）或委托代理人（电子签章或签字）：</w:t>
      </w:r>
    </w:p>
    <w:p w14:paraId="6B76D904">
      <w:pPr>
        <w:spacing w:line="480" w:lineRule="auto"/>
        <w:ind w:left="178" w:leftChars="85"/>
        <w:rPr>
          <w:rFonts w:ascii="宋体" w:hAnsi="宋体"/>
          <w:color w:val="auto"/>
          <w:sz w:val="24"/>
          <w:szCs w:val="24"/>
          <w:highlight w:val="none"/>
        </w:rPr>
      </w:pPr>
      <w:r>
        <w:rPr>
          <w:rFonts w:hint="eastAsia" w:ascii="宋体" w:hAnsi="宋体" w:cs="宋体"/>
          <w:color w:val="auto"/>
          <w:sz w:val="24"/>
          <w:highlight w:val="none"/>
          <w:u w:val="none"/>
        </w:rPr>
        <w:t>日期：     年   月   日</w:t>
      </w:r>
    </w:p>
    <w:p w14:paraId="233655BF">
      <w:pPr>
        <w:rPr>
          <w:rFonts w:ascii="宋体" w:hAnsi="宋体"/>
          <w:color w:val="auto"/>
          <w:szCs w:val="21"/>
          <w:highlight w:val="none"/>
        </w:rPr>
      </w:pPr>
    </w:p>
    <w:p w14:paraId="5027B6F8">
      <w:pPr>
        <w:widowControl/>
        <w:jc w:val="left"/>
        <w:rPr>
          <w:color w:val="auto"/>
          <w:sz w:val="24"/>
          <w:highlight w:val="none"/>
        </w:rPr>
      </w:pPr>
      <w:r>
        <w:rPr>
          <w:rFonts w:ascii="宋体" w:hAnsi="宋体" w:eastAsia="宋体"/>
          <w:color w:val="auto"/>
          <w:sz w:val="24"/>
          <w:highlight w:val="none"/>
          <w:u w:val="single"/>
        </w:rPr>
        <w:br w:type="page"/>
      </w:r>
    </w:p>
    <w:p w14:paraId="7682DF80">
      <w:pPr>
        <w:jc w:val="left"/>
        <w:outlineLvl w:val="2"/>
        <w:rPr>
          <w:rFonts w:hint="eastAsia" w:ascii="宋体" w:hAnsi="宋体" w:cs="宋体"/>
          <w:b/>
          <w:color w:val="auto"/>
          <w:sz w:val="24"/>
          <w:highlight w:val="none"/>
          <w:lang w:val="en-US" w:eastAsia="zh-CN"/>
        </w:rPr>
      </w:pPr>
      <w:bookmarkStart w:id="306" w:name="_Toc28262"/>
      <w:bookmarkStart w:id="307" w:name="_Toc10439"/>
      <w:bookmarkStart w:id="308" w:name="_Toc20329"/>
      <w:bookmarkStart w:id="309" w:name="_Toc10343"/>
      <w:bookmarkStart w:id="310" w:name="_Toc3599"/>
      <w:r>
        <w:rPr>
          <w:rFonts w:hint="eastAsia" w:ascii="宋体" w:hAnsi="宋体" w:cs="宋体"/>
          <w:b/>
          <w:color w:val="auto"/>
          <w:sz w:val="24"/>
          <w:highlight w:val="none"/>
          <w:lang w:val="en-US" w:eastAsia="zh-CN"/>
        </w:rPr>
        <w:t>9-9  联合体说明</w:t>
      </w:r>
      <w:bookmarkEnd w:id="306"/>
      <w:bookmarkEnd w:id="307"/>
      <w:bookmarkEnd w:id="308"/>
    </w:p>
    <w:p w14:paraId="253B2740">
      <w:pPr>
        <w:spacing w:line="360" w:lineRule="auto"/>
        <w:rPr>
          <w:rFonts w:ascii="宋体" w:hAnsi="宋体"/>
          <w:color w:val="auto"/>
          <w:sz w:val="24"/>
          <w:highlight w:val="none"/>
        </w:rPr>
      </w:pPr>
    </w:p>
    <w:p w14:paraId="197D9419">
      <w:pPr>
        <w:spacing w:line="360" w:lineRule="auto"/>
        <w:rPr>
          <w:rFonts w:ascii="宋体" w:hAnsi="宋体"/>
          <w:b/>
          <w:bCs/>
          <w:color w:val="auto"/>
          <w:sz w:val="24"/>
          <w:highlight w:val="none"/>
        </w:rPr>
      </w:pPr>
      <w:r>
        <w:rPr>
          <w:rFonts w:ascii="宋体" w:hAnsi="宋体"/>
          <w:b/>
          <w:bCs/>
          <w:color w:val="auto"/>
          <w:sz w:val="24"/>
          <w:highlight w:val="none"/>
        </w:rPr>
        <w:t>致：</w:t>
      </w:r>
      <w:r>
        <w:rPr>
          <w:rFonts w:hint="eastAsia" w:ascii="宋体" w:hAnsi="宋体"/>
          <w:b/>
          <w:bCs/>
          <w:color w:val="auto"/>
          <w:sz w:val="24"/>
          <w:highlight w:val="none"/>
          <w:u w:val="single"/>
        </w:rPr>
        <w:t>（采购人）</w:t>
      </w:r>
    </w:p>
    <w:p w14:paraId="535089CB">
      <w:pPr>
        <w:ind w:firstLine="426"/>
        <w:rPr>
          <w:rFonts w:ascii="宋体" w:hAnsi="宋体" w:cs="Courier New"/>
          <w:color w:val="auto"/>
          <w:sz w:val="24"/>
          <w:highlight w:val="none"/>
        </w:rPr>
      </w:pPr>
    </w:p>
    <w:p w14:paraId="1EDBCF69">
      <w:pPr>
        <w:spacing w:line="360" w:lineRule="auto"/>
        <w:ind w:firstLine="426"/>
        <w:rPr>
          <w:rFonts w:ascii="宋体" w:hAnsi="宋体" w:cs="Courier New"/>
          <w:color w:val="auto"/>
          <w:sz w:val="24"/>
          <w:highlight w:val="none"/>
        </w:rPr>
      </w:pPr>
      <w:r>
        <w:rPr>
          <w:rFonts w:hint="eastAsia" w:ascii="宋体" w:hAnsi="宋体" w:cs="Courier New"/>
          <w:color w:val="auto"/>
          <w:sz w:val="24"/>
          <w:highlight w:val="none"/>
        </w:rPr>
        <w:t>我方</w:t>
      </w:r>
      <w:r>
        <w:rPr>
          <w:rFonts w:hint="eastAsia" w:ascii="宋体" w:hAnsi="宋体" w:cs="Courier New"/>
          <w:b/>
          <w:bCs/>
          <w:i/>
          <w:iCs/>
          <w:color w:val="auto"/>
          <w:sz w:val="24"/>
          <w:highlight w:val="none"/>
          <w:u w:val="single"/>
        </w:rPr>
        <w:t>是/非</w:t>
      </w:r>
      <w:r>
        <w:rPr>
          <w:rFonts w:hint="eastAsia" w:ascii="宋体" w:hAnsi="宋体" w:cs="Courier New"/>
          <w:color w:val="auto"/>
          <w:sz w:val="24"/>
          <w:highlight w:val="none"/>
        </w:rPr>
        <w:t>联合体参与本项目</w:t>
      </w:r>
      <w:r>
        <w:rPr>
          <w:rFonts w:hint="eastAsia" w:ascii="宋体" w:hAnsi="宋体" w:cs="Courier New"/>
          <w:color w:val="auto"/>
          <w:sz w:val="24"/>
          <w:highlight w:val="none"/>
          <w:lang w:val="en-US" w:eastAsia="zh-CN"/>
        </w:rPr>
        <w:t>投标</w:t>
      </w:r>
      <w:r>
        <w:rPr>
          <w:rFonts w:hint="eastAsia" w:ascii="宋体" w:hAnsi="宋体" w:cs="Courier New"/>
          <w:color w:val="auto"/>
          <w:sz w:val="24"/>
          <w:highlight w:val="none"/>
        </w:rPr>
        <w:t>。</w:t>
      </w:r>
    </w:p>
    <w:p w14:paraId="1BC1AB7B">
      <w:pPr>
        <w:ind w:firstLine="426"/>
        <w:rPr>
          <w:rFonts w:ascii="宋体" w:hAnsi="宋体" w:cs="Courier New"/>
          <w:color w:val="auto"/>
          <w:sz w:val="24"/>
          <w:highlight w:val="none"/>
        </w:rPr>
      </w:pPr>
    </w:p>
    <w:p w14:paraId="0697DF75">
      <w:pPr>
        <w:ind w:firstLine="426"/>
        <w:rPr>
          <w:rFonts w:ascii="宋体" w:hAnsi="宋体"/>
          <w:color w:val="auto"/>
          <w:sz w:val="24"/>
          <w:highlight w:val="none"/>
        </w:rPr>
      </w:pPr>
    </w:p>
    <w:p w14:paraId="731D38F1">
      <w:pPr>
        <w:spacing w:line="480" w:lineRule="auto"/>
        <w:ind w:left="178" w:leftChars="85"/>
        <w:rPr>
          <w:rFonts w:hint="eastAsia" w:ascii="宋体" w:hAnsi="宋体" w:cs="宋体"/>
          <w:color w:val="auto"/>
          <w:sz w:val="24"/>
          <w:highlight w:val="none"/>
          <w:u w:val="none"/>
        </w:rPr>
      </w:pPr>
    </w:p>
    <w:p w14:paraId="5A8F102A">
      <w:pPr>
        <w:spacing w:line="480" w:lineRule="auto"/>
        <w:ind w:left="178" w:leftChars="85"/>
        <w:rPr>
          <w:rFonts w:ascii="宋体" w:hAnsi="宋体" w:cs="宋体"/>
          <w:color w:val="auto"/>
          <w:sz w:val="24"/>
          <w:highlight w:val="none"/>
          <w:u w:val="none"/>
        </w:rPr>
      </w:pPr>
      <w:r>
        <w:rPr>
          <w:rFonts w:hint="eastAsia" w:ascii="宋体" w:hAnsi="宋体" w:cs="宋体"/>
          <w:color w:val="auto"/>
          <w:sz w:val="24"/>
          <w:highlight w:val="none"/>
          <w:u w:val="none"/>
        </w:rPr>
        <w:t>投标人</w:t>
      </w:r>
      <w:r>
        <w:rPr>
          <w:rFonts w:hint="eastAsia" w:hAnsi="宋体"/>
          <w:color w:val="auto"/>
          <w:sz w:val="24"/>
          <w:highlight w:val="none"/>
          <w:u w:val="none"/>
        </w:rPr>
        <w:t>（加盖电子公章）</w:t>
      </w:r>
      <w:r>
        <w:rPr>
          <w:rFonts w:hint="eastAsia" w:ascii="宋体" w:hAnsi="宋体" w:cs="宋体"/>
          <w:color w:val="auto"/>
          <w:sz w:val="24"/>
          <w:highlight w:val="none"/>
          <w:u w:val="none"/>
        </w:rPr>
        <w:t>：</w:t>
      </w:r>
    </w:p>
    <w:p w14:paraId="4CFBD2FB">
      <w:pPr>
        <w:spacing w:line="480" w:lineRule="auto"/>
        <w:ind w:left="178" w:leftChars="85"/>
        <w:rPr>
          <w:rFonts w:hint="eastAsia" w:ascii="宋体" w:hAnsi="宋体" w:cs="宋体"/>
          <w:color w:val="auto"/>
          <w:sz w:val="24"/>
          <w:highlight w:val="none"/>
          <w:u w:val="none"/>
        </w:rPr>
      </w:pPr>
      <w:r>
        <w:rPr>
          <w:rFonts w:hint="eastAsia" w:ascii="宋体" w:hAnsi="宋体" w:cs="宋体"/>
          <w:color w:val="auto"/>
          <w:sz w:val="24"/>
          <w:highlight w:val="none"/>
          <w:u w:val="none"/>
        </w:rPr>
        <w:t>法定代表人（公司负责人）或委托代理人（电子签章或签字）：</w:t>
      </w:r>
    </w:p>
    <w:p w14:paraId="11A71DDE">
      <w:pPr>
        <w:spacing w:line="480" w:lineRule="auto"/>
        <w:ind w:left="178" w:leftChars="85"/>
        <w:rPr>
          <w:rFonts w:hint="eastAsia" w:ascii="宋体" w:hAnsi="宋体" w:cs="宋体"/>
          <w:color w:val="auto"/>
          <w:sz w:val="24"/>
          <w:highlight w:val="none"/>
          <w:u w:val="none"/>
        </w:rPr>
      </w:pPr>
      <w:r>
        <w:rPr>
          <w:rFonts w:hint="eastAsia" w:ascii="宋体" w:hAnsi="宋体" w:cs="宋体"/>
          <w:color w:val="auto"/>
          <w:sz w:val="24"/>
          <w:highlight w:val="none"/>
          <w:u w:val="none"/>
        </w:rPr>
        <w:t>日期：     年   月   日</w:t>
      </w:r>
    </w:p>
    <w:p w14:paraId="4348AE4A">
      <w:pPr>
        <w:pStyle w:val="56"/>
        <w:rPr>
          <w:color w:val="auto"/>
          <w:highlight w:val="none"/>
        </w:rPr>
      </w:pPr>
    </w:p>
    <w:p w14:paraId="58ECBEB8">
      <w:pPr>
        <w:rPr>
          <w:rFonts w:hint="eastAsia" w:asciiTheme="minorEastAsia" w:hAnsiTheme="minorEastAsia" w:eastAsiaTheme="minorEastAsia" w:cstheme="minorEastAsia"/>
          <w:b/>
          <w:color w:val="auto"/>
          <w:sz w:val="24"/>
          <w:highlight w:val="none"/>
        </w:rPr>
      </w:pPr>
    </w:p>
    <w:p w14:paraId="534A2B9D">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br w:type="page"/>
      </w:r>
    </w:p>
    <w:p w14:paraId="074B00B7">
      <w:pPr>
        <w:jc w:val="left"/>
        <w:outlineLvl w:val="1"/>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附件</w:t>
      </w:r>
      <w:r>
        <w:rPr>
          <w:rFonts w:hint="eastAsia" w:asciiTheme="minorEastAsia" w:hAnsiTheme="minorEastAsia" w:eastAsiaTheme="minorEastAsia" w:cstheme="minorEastAsia"/>
          <w:b/>
          <w:color w:val="auto"/>
          <w:sz w:val="24"/>
          <w:highlight w:val="none"/>
          <w:lang w:val="en-US" w:eastAsia="zh-CN"/>
        </w:rPr>
        <w:t>1</w:t>
      </w:r>
      <w:bookmarkEnd w:id="309"/>
      <w:bookmarkEnd w:id="310"/>
      <w:bookmarkStart w:id="311" w:name="_Toc15854"/>
      <w:bookmarkStart w:id="312" w:name="_Toc9094"/>
      <w:r>
        <w:rPr>
          <w:rFonts w:hint="eastAsia" w:asciiTheme="minorEastAsia" w:hAnsiTheme="minorEastAsia" w:eastAsiaTheme="minorEastAsia" w:cstheme="minorEastAsia"/>
          <w:b/>
          <w:color w:val="auto"/>
          <w:sz w:val="24"/>
          <w:highlight w:val="none"/>
          <w:lang w:val="en-US" w:eastAsia="zh-CN"/>
        </w:rPr>
        <w:t xml:space="preserve">0  </w:t>
      </w:r>
      <w:r>
        <w:rPr>
          <w:rFonts w:hint="eastAsia" w:asciiTheme="minorEastAsia" w:hAnsiTheme="minorEastAsia" w:eastAsiaTheme="minorEastAsia" w:cstheme="minorEastAsia"/>
          <w:b/>
          <w:color w:val="auto"/>
          <w:kern w:val="0"/>
          <w:sz w:val="24"/>
          <w:highlight w:val="none"/>
        </w:rPr>
        <w:t>小微企业、监狱企业、残疾人福利单位的声明函或证明材料</w:t>
      </w:r>
      <w:bookmarkEnd w:id="311"/>
      <w:bookmarkEnd w:id="312"/>
    </w:p>
    <w:p w14:paraId="5E0F2155">
      <w:pPr>
        <w:bidi w:val="0"/>
        <w:rPr>
          <w:rFonts w:hint="eastAsia"/>
          <w:color w:val="auto"/>
          <w:highlight w:val="none"/>
        </w:rPr>
      </w:pPr>
    </w:p>
    <w:p w14:paraId="7D3147B9">
      <w:pPr>
        <w:jc w:val="center"/>
        <w:outlineLvl w:val="2"/>
        <w:rPr>
          <w:rFonts w:hAnsi="宋体"/>
          <w:sz w:val="32"/>
          <w:szCs w:val="32"/>
        </w:rPr>
      </w:pPr>
      <w:bookmarkStart w:id="313" w:name="_Toc24338"/>
      <w:r>
        <w:rPr>
          <w:rFonts w:hint="eastAsia" w:hAnsi="宋体"/>
          <w:b/>
          <w:bCs/>
          <w:color w:val="000000" w:themeColor="text1"/>
          <w:sz w:val="32"/>
          <w:szCs w:val="32"/>
          <w:highlight w:val="none"/>
          <w14:textFill>
            <w14:solidFill>
              <w14:schemeClr w14:val="tx1"/>
            </w14:solidFill>
          </w14:textFill>
        </w:rPr>
        <w:t>（一）</w:t>
      </w:r>
      <w:bookmarkEnd w:id="313"/>
      <w:r>
        <w:rPr>
          <w:rFonts w:hint="eastAsia" w:hAnsi="宋体"/>
          <w:sz w:val="32"/>
          <w:szCs w:val="32"/>
        </w:rPr>
        <w:t>中小企业声明函（工程、服务）</w:t>
      </w:r>
    </w:p>
    <w:p w14:paraId="38122965">
      <w:pPr>
        <w:jc w:val="center"/>
        <w:outlineLvl w:val="9"/>
        <w:rPr>
          <w:rFonts w:hint="eastAsia" w:hAnsi="宋体"/>
          <w:sz w:val="24"/>
        </w:rPr>
      </w:pPr>
    </w:p>
    <w:p w14:paraId="74721146">
      <w:pPr>
        <w:jc w:val="center"/>
        <w:outlineLvl w:val="9"/>
        <w:rPr>
          <w:rFonts w:hAnsi="宋体"/>
          <w:sz w:val="24"/>
        </w:rPr>
      </w:pPr>
      <w:r>
        <w:rPr>
          <w:rFonts w:hint="eastAsia" w:hAnsi="宋体"/>
          <w:sz w:val="24"/>
        </w:rPr>
        <w:t>（注：符合中小企业划型标准的企业请提供本函，不符合的不提供本函）</w:t>
      </w:r>
    </w:p>
    <w:p w14:paraId="2C99F0A0">
      <w:pPr>
        <w:pStyle w:val="87"/>
        <w:snapToGrid w:val="0"/>
        <w:spacing w:beforeLines="50"/>
        <w:rPr>
          <w:rFonts w:hint="eastAsia" w:hAnsi="宋体" w:cs="宋体"/>
          <w:sz w:val="24"/>
          <w:szCs w:val="24"/>
        </w:rPr>
      </w:pPr>
    </w:p>
    <w:p w14:paraId="742A79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本公司（</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联合体</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）郑重声明，根据《政府采购促进中小企业发展管理办法》（财库﹝2020﹞46 号）的规定，本公司（</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联合体</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）参加</w:t>
      </w:r>
      <w:r>
        <w:rPr>
          <w:rFonts w:hint="eastAsia" w:ascii="宋体" w:hAnsi="宋体" w:eastAsia="宋体" w:cs="宋体"/>
          <w:sz w:val="24"/>
          <w:szCs w:val="24"/>
          <w:lang w:val="en-US" w:eastAsia="zh-CN"/>
        </w:rPr>
        <w:t xml:space="preserve"> </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单位名称</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i/>
          <w:iCs/>
          <w:sz w:val="24"/>
          <w:szCs w:val="24"/>
          <w:u w:val="single"/>
          <w:lang w:val="en-US" w:eastAsia="zh-CN"/>
        </w:rPr>
        <w:t xml:space="preserve"> </w:t>
      </w:r>
      <w:r>
        <w:rPr>
          <w:rFonts w:hint="default" w:ascii="宋体" w:hAnsi="宋体" w:eastAsia="宋体" w:cs="宋体"/>
          <w:sz w:val="24"/>
          <w:szCs w:val="24"/>
          <w:lang w:val="en-US" w:eastAsia="zh-CN"/>
        </w:rPr>
        <w:t>的</w:t>
      </w:r>
      <w:r>
        <w:rPr>
          <w:rFonts w:hint="eastAsia" w:ascii="宋体" w:hAnsi="宋体" w:eastAsia="宋体" w:cs="宋体"/>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项目名称</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lang w:val="en-US" w:eastAsia="zh-CN"/>
        </w:rPr>
        <w:t>采购活动，工程的施工单位全部为符合政策要求的中小企业（或者：服务全部由符合政策要求的中小企业承接）。相关企业</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（含联合体中的中小企业、签订分包意向协议的中小企业</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）的具体情况如下：</w:t>
      </w:r>
    </w:p>
    <w:p w14:paraId="7AE790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1.</w:t>
      </w:r>
      <w:r>
        <w:rPr>
          <w:rFonts w:hint="default" w:ascii="宋体" w:hAnsi="宋体" w:eastAsia="宋体" w:cs="宋体"/>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标的名称</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default" w:ascii="宋体" w:hAnsi="宋体" w:eastAsia="宋体" w:cs="宋体"/>
          <w:sz w:val="24"/>
          <w:szCs w:val="24"/>
          <w:lang w:val="en-US" w:eastAsia="zh-CN"/>
        </w:rPr>
        <w:t xml:space="preserve"> ，属于</w:t>
      </w:r>
      <w:r>
        <w:rPr>
          <w:rFonts w:hint="eastAsia" w:ascii="宋体" w:hAnsi="宋体" w:eastAsia="宋体" w:cs="宋体"/>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采购文件中明确的所属行业</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lang w:val="en-US" w:eastAsia="zh-CN"/>
        </w:rPr>
        <w:t>；承建（承接）企业为</w:t>
      </w:r>
      <w:r>
        <w:rPr>
          <w:rFonts w:hint="eastAsia" w:ascii="宋体" w:hAnsi="宋体" w:eastAsia="宋体" w:cs="宋体"/>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企业名称</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lang w:val="en-US" w:eastAsia="zh-CN"/>
        </w:rPr>
        <w:t>，从业人员</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u w:val="single"/>
          <w:lang w:val="en-US" w:eastAsia="zh-CN"/>
        </w:rPr>
        <w:t xml:space="preserve"> </w:t>
      </w:r>
      <w:r>
        <w:rPr>
          <w:rFonts w:hint="default" w:ascii="宋体" w:hAnsi="宋体" w:eastAsia="宋体" w:cs="宋体"/>
          <w:sz w:val="24"/>
          <w:szCs w:val="24"/>
          <w:lang w:val="en-US" w:eastAsia="zh-CN"/>
        </w:rPr>
        <w:t>人，营业收入为</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u w:val="single"/>
          <w:lang w:val="en-US" w:eastAsia="zh-CN"/>
        </w:rPr>
        <w:t xml:space="preserve"> </w:t>
      </w:r>
      <w:r>
        <w:rPr>
          <w:rFonts w:hint="default" w:ascii="宋体" w:hAnsi="宋体" w:eastAsia="宋体" w:cs="宋体"/>
          <w:sz w:val="24"/>
          <w:szCs w:val="24"/>
          <w:lang w:val="en-US" w:eastAsia="zh-CN"/>
        </w:rPr>
        <w:t>万元，资产总额为</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u w:val="single"/>
          <w:lang w:val="en-US" w:eastAsia="zh-CN"/>
        </w:rPr>
        <w:t xml:space="preserve"> </w:t>
      </w:r>
      <w:r>
        <w:rPr>
          <w:rFonts w:hint="default" w:ascii="宋体" w:hAnsi="宋体" w:eastAsia="宋体" w:cs="宋体"/>
          <w:sz w:val="24"/>
          <w:szCs w:val="24"/>
          <w:lang w:val="en-US" w:eastAsia="zh-CN"/>
        </w:rPr>
        <w:t>万元</w:t>
      </w:r>
      <w:r>
        <w:rPr>
          <w:rFonts w:hint="eastAsia" w:ascii="宋体" w:hAnsi="宋体" w:eastAsia="宋体" w:cs="宋体"/>
          <w:b w:val="0"/>
          <w:bCs w:val="0"/>
          <w:sz w:val="32"/>
          <w:szCs w:val="32"/>
        </w:rPr>
        <w:t>¹</w:t>
      </w:r>
      <w:r>
        <w:rPr>
          <w:rFonts w:hint="default" w:ascii="宋体" w:hAnsi="宋体" w:eastAsia="宋体" w:cs="宋体"/>
          <w:sz w:val="24"/>
          <w:szCs w:val="24"/>
          <w:lang w:val="en-US" w:eastAsia="zh-CN"/>
        </w:rPr>
        <w:t>，属于</w:t>
      </w:r>
      <w:r>
        <w:rPr>
          <w:rFonts w:hint="eastAsia" w:ascii="宋体" w:hAnsi="宋体" w:eastAsia="宋体" w:cs="宋体"/>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中型企业、小型企业、微型企业</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lang w:val="en-US" w:eastAsia="zh-CN"/>
        </w:rPr>
        <w:t>；</w:t>
      </w:r>
    </w:p>
    <w:p w14:paraId="277A6C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2.</w:t>
      </w:r>
      <w:r>
        <w:rPr>
          <w:rFonts w:hint="default" w:ascii="宋体" w:hAnsi="宋体" w:eastAsia="宋体" w:cs="宋体"/>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标的名称</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default" w:ascii="宋体" w:hAnsi="宋体" w:eastAsia="宋体" w:cs="宋体"/>
          <w:sz w:val="24"/>
          <w:szCs w:val="24"/>
          <w:u w:val="single"/>
          <w:lang w:val="en-US" w:eastAsia="zh-CN"/>
        </w:rPr>
        <w:t xml:space="preserve"> </w:t>
      </w:r>
      <w:r>
        <w:rPr>
          <w:rFonts w:hint="default" w:ascii="宋体" w:hAnsi="宋体" w:eastAsia="宋体" w:cs="宋体"/>
          <w:sz w:val="24"/>
          <w:szCs w:val="24"/>
          <w:lang w:val="en-US" w:eastAsia="zh-CN"/>
        </w:rPr>
        <w:t>，属于</w:t>
      </w:r>
      <w:r>
        <w:rPr>
          <w:rFonts w:hint="eastAsia" w:ascii="宋体" w:hAnsi="宋体" w:eastAsia="宋体" w:cs="宋体"/>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采购文件中明确的所属行业</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lang w:val="en-US" w:eastAsia="zh-CN"/>
        </w:rPr>
        <w:t>；承建（承接）企业为</w:t>
      </w:r>
      <w:r>
        <w:rPr>
          <w:rFonts w:hint="eastAsia" w:ascii="宋体" w:hAnsi="宋体" w:eastAsia="宋体" w:cs="宋体"/>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企业名称</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lang w:val="en-US" w:eastAsia="zh-CN"/>
        </w:rPr>
        <w:t>，从业人员</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u w:val="single"/>
          <w:lang w:val="en-US" w:eastAsia="zh-CN"/>
        </w:rPr>
        <w:t xml:space="preserve"> </w:t>
      </w:r>
      <w:r>
        <w:rPr>
          <w:rFonts w:hint="default" w:ascii="宋体" w:hAnsi="宋体" w:eastAsia="宋体" w:cs="宋体"/>
          <w:sz w:val="24"/>
          <w:szCs w:val="24"/>
          <w:lang w:val="en-US" w:eastAsia="zh-CN"/>
        </w:rPr>
        <w:t>人，营业收入为</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u w:val="single"/>
          <w:lang w:val="en-US" w:eastAsia="zh-CN"/>
        </w:rPr>
        <w:t xml:space="preserve"> </w:t>
      </w:r>
      <w:r>
        <w:rPr>
          <w:rFonts w:hint="default" w:ascii="宋体" w:hAnsi="宋体" w:eastAsia="宋体" w:cs="宋体"/>
          <w:sz w:val="24"/>
          <w:szCs w:val="24"/>
          <w:lang w:val="en-US" w:eastAsia="zh-CN"/>
        </w:rPr>
        <w:t>万元，资产总额为</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u w:val="single"/>
          <w:lang w:val="en-US" w:eastAsia="zh-CN"/>
        </w:rPr>
        <w:t xml:space="preserve"> </w:t>
      </w:r>
      <w:r>
        <w:rPr>
          <w:rFonts w:hint="default" w:ascii="宋体" w:hAnsi="宋体" w:eastAsia="宋体" w:cs="宋体"/>
          <w:sz w:val="24"/>
          <w:szCs w:val="24"/>
          <w:lang w:val="en-US" w:eastAsia="zh-CN"/>
        </w:rPr>
        <w:t>万元，属于</w:t>
      </w:r>
      <w:r>
        <w:rPr>
          <w:rFonts w:hint="eastAsia" w:ascii="宋体" w:hAnsi="宋体" w:eastAsia="宋体" w:cs="宋体"/>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中型企业、小型企业、微型企业</w:t>
      </w:r>
      <w:r>
        <w:rPr>
          <w:rFonts w:hint="eastAsia" w:ascii="宋体" w:hAnsi="宋体" w:eastAsia="宋体" w:cs="宋体"/>
          <w:i/>
          <w:iCs/>
          <w:sz w:val="24"/>
          <w:szCs w:val="24"/>
          <w:u w:val="single"/>
          <w:lang w:val="en-US" w:eastAsia="zh-CN"/>
        </w:rPr>
        <w:t xml:space="preserve"> </w:t>
      </w:r>
      <w:r>
        <w:rPr>
          <w:rFonts w:hint="default" w:ascii="宋体" w:hAnsi="宋体" w:eastAsia="宋体" w:cs="宋体"/>
          <w:i/>
          <w:iCs/>
          <w:sz w:val="24"/>
          <w:szCs w:val="24"/>
          <w:u w:val="single"/>
          <w:lang w:val="en-US" w:eastAsia="zh-CN"/>
        </w:rPr>
        <w:t>）</w:t>
      </w:r>
      <w:r>
        <w:rPr>
          <w:rFonts w:hint="eastAsia" w:ascii="宋体" w:hAnsi="宋体" w:eastAsia="宋体" w:cs="宋体"/>
          <w:sz w:val="24"/>
          <w:szCs w:val="24"/>
          <w:u w:val="single"/>
          <w:lang w:val="en-US" w:eastAsia="zh-CN"/>
        </w:rPr>
        <w:t xml:space="preserve"> </w:t>
      </w:r>
      <w:r>
        <w:rPr>
          <w:rFonts w:hint="default" w:ascii="宋体" w:hAnsi="宋体" w:eastAsia="宋体" w:cs="宋体"/>
          <w:sz w:val="24"/>
          <w:szCs w:val="24"/>
          <w:lang w:val="en-US" w:eastAsia="zh-CN"/>
        </w:rPr>
        <w:t>；</w:t>
      </w:r>
    </w:p>
    <w:p w14:paraId="7807E1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w:t>
      </w:r>
    </w:p>
    <w:p w14:paraId="382E5C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以上企业，不属于大企业的分支机构，不存在控股股东为大企业的情形，也不存在与大企业的负责人为同一人的情形。</w:t>
      </w:r>
    </w:p>
    <w:p w14:paraId="4362F08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default" w:ascii="宋体" w:hAnsi="宋体" w:eastAsia="宋体" w:cs="宋体"/>
          <w:sz w:val="24"/>
          <w:szCs w:val="24"/>
          <w:lang w:val="en-US" w:eastAsia="zh-CN"/>
        </w:rPr>
        <w:t>本企业对上述声明内容的真实性负责。如有虚假，将依法承担相应责任</w:t>
      </w:r>
      <w:r>
        <w:rPr>
          <w:rFonts w:hint="eastAsia" w:ascii="宋体" w:hAnsi="宋体" w:cs="宋体"/>
          <w:color w:val="000000" w:themeColor="text1"/>
          <w:sz w:val="24"/>
          <w:highlight w:val="none"/>
          <w:lang w:bidi="ar"/>
          <w14:textFill>
            <w14:solidFill>
              <w14:schemeClr w14:val="tx1"/>
            </w14:solidFill>
          </w14:textFill>
        </w:rPr>
        <w:t xml:space="preserve">。 </w:t>
      </w:r>
    </w:p>
    <w:p w14:paraId="12315FD2">
      <w:pPr>
        <w:spacing w:line="360" w:lineRule="auto"/>
        <w:ind w:firstLine="480" w:firstLineChars="200"/>
        <w:rPr>
          <w:rFonts w:ascii="宋体" w:hAnsi="宋体" w:cs="宋体"/>
          <w:color w:val="000000" w:themeColor="text1"/>
          <w:sz w:val="24"/>
          <w:highlight w:val="none"/>
          <w14:textFill>
            <w14:solidFill>
              <w14:schemeClr w14:val="tx1"/>
            </w14:solidFill>
          </w14:textFill>
        </w:rPr>
      </w:pPr>
    </w:p>
    <w:p w14:paraId="67DECD8C">
      <w:pPr>
        <w:spacing w:line="360" w:lineRule="auto"/>
        <w:ind w:firstLine="480" w:firstLineChars="200"/>
        <w:rPr>
          <w:rFonts w:ascii="宋体" w:hAnsi="宋体" w:cs="宋体"/>
          <w:color w:val="000000" w:themeColor="text1"/>
          <w:sz w:val="24"/>
          <w:highlight w:val="none"/>
          <w14:textFill>
            <w14:solidFill>
              <w14:schemeClr w14:val="tx1"/>
            </w14:solidFill>
          </w14:textFill>
        </w:rPr>
      </w:pPr>
    </w:p>
    <w:p w14:paraId="3F6C48B4">
      <w:pPr>
        <w:spacing w:line="360" w:lineRule="auto"/>
        <w:ind w:firstLine="4337" w:firstLineChars="1800"/>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企业名称（</w:t>
      </w:r>
      <w:r>
        <w:rPr>
          <w:rFonts w:hint="eastAsia" w:ascii="宋体" w:hAnsi="宋体" w:cs="宋体"/>
          <w:b/>
          <w:bCs/>
          <w:color w:val="000000" w:themeColor="text1"/>
          <w:sz w:val="24"/>
          <w:highlight w:val="none"/>
          <w14:textFill>
            <w14:solidFill>
              <w14:schemeClr w14:val="tx1"/>
            </w14:solidFill>
          </w14:textFill>
        </w:rPr>
        <w:t>电子签章</w:t>
      </w:r>
      <w:r>
        <w:rPr>
          <w:rFonts w:ascii="宋体" w:hAnsi="宋体" w:cs="宋体"/>
          <w:b/>
          <w:bCs/>
          <w:color w:val="000000" w:themeColor="text1"/>
          <w:sz w:val="24"/>
          <w:highlight w:val="none"/>
          <w14:textFill>
            <w14:solidFill>
              <w14:schemeClr w14:val="tx1"/>
            </w14:solidFill>
          </w14:textFill>
        </w:rPr>
        <w:t>）：</w:t>
      </w:r>
    </w:p>
    <w:p w14:paraId="425200E7">
      <w:pPr>
        <w:spacing w:line="360" w:lineRule="auto"/>
        <w:ind w:firstLine="4337" w:firstLineChars="1800"/>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日 期：</w:t>
      </w:r>
    </w:p>
    <w:p w14:paraId="51452693">
      <w:pPr>
        <w:rPr>
          <w:color w:val="000000" w:themeColor="text1"/>
          <w:sz w:val="18"/>
          <w:szCs w:val="18"/>
          <w:highlight w:val="none"/>
          <w14:textFill>
            <w14:solidFill>
              <w14:schemeClr w14:val="tx1"/>
            </w14:solidFill>
          </w14:textFill>
        </w:rPr>
      </w:pPr>
    </w:p>
    <w:p w14:paraId="001E475A">
      <w:pPr>
        <w:rPr>
          <w:color w:val="000000" w:themeColor="text1"/>
          <w:sz w:val="18"/>
          <w:szCs w:val="18"/>
          <w:highlight w:val="none"/>
          <w14:textFill>
            <w14:solidFill>
              <w14:schemeClr w14:val="tx1"/>
            </w14:solidFill>
          </w14:textFill>
        </w:rPr>
      </w:pPr>
    </w:p>
    <w:p w14:paraId="5BBF8F3D">
      <w:pPr>
        <w:rPr>
          <w:color w:val="000000" w:themeColor="text1"/>
          <w:sz w:val="18"/>
          <w:szCs w:val="18"/>
          <w:highlight w:val="none"/>
          <w14:textFill>
            <w14:solidFill>
              <w14:schemeClr w14:val="tx1"/>
            </w14:solidFill>
          </w14:textFill>
        </w:rPr>
      </w:pPr>
    </w:p>
    <w:p w14:paraId="4569BCD4">
      <w:pPr>
        <w:rPr>
          <w:color w:val="000000" w:themeColor="text1"/>
          <w:sz w:val="18"/>
          <w:szCs w:val="18"/>
          <w:highlight w:val="none"/>
          <w14:textFill>
            <w14:solidFill>
              <w14:schemeClr w14:val="tx1"/>
            </w14:solidFill>
          </w14:textFill>
        </w:rPr>
      </w:pPr>
    </w:p>
    <w:p w14:paraId="74A38135">
      <w:pPr>
        <w:rPr>
          <w:rFonts w:eastAsiaTheme="minorEastAsia"/>
          <w:color w:val="000000" w:themeColor="text1"/>
          <w:highlight w:val="none"/>
          <w:u w:val="singl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p>
    <w:p w14:paraId="1E29F2EA">
      <w:pPr>
        <w:rPr>
          <w:rFonts w:ascii="宋体" w:hAnsi="宋体" w:cs="宋体"/>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1 从业人员、营业收入、资产总额填报上一年度数据，无上一年度数据的新成立企业可不填报。</w:t>
      </w:r>
    </w:p>
    <w:p w14:paraId="0741A2DA">
      <w:pPr>
        <w:keepNext w:val="0"/>
        <w:keepLines w:val="0"/>
        <w:pageBreakBefore w:val="0"/>
        <w:widowControl w:val="0"/>
        <w:kinsoku/>
        <w:wordWrap/>
        <w:overflowPunct/>
        <w:topLinePunct w:val="0"/>
        <w:autoSpaceDE/>
        <w:autoSpaceDN/>
        <w:bidi w:val="0"/>
        <w:adjustRightInd/>
        <w:snapToGrid/>
        <w:spacing w:line="360" w:lineRule="auto"/>
        <w:ind w:firstLine="3240" w:firstLineChars="1800"/>
        <w:textAlignment w:val="auto"/>
        <w:rPr>
          <w:rFonts w:hint="default"/>
          <w:color w:val="auto"/>
          <w:sz w:val="18"/>
          <w:szCs w:val="18"/>
          <w:highlight w:val="none"/>
          <w:lang w:val="en-US" w:eastAsia="zh-CN"/>
        </w:rPr>
      </w:pPr>
    </w:p>
    <w:p w14:paraId="0C06950D">
      <w:pPr>
        <w:pStyle w:val="57"/>
        <w:rPr>
          <w:rFonts w:hint="default"/>
          <w:color w:val="auto"/>
          <w:highlight w:val="none"/>
          <w:lang w:val="en-US" w:eastAsia="zh-CN"/>
        </w:rPr>
      </w:pPr>
    </w:p>
    <w:p w14:paraId="3A0C4EB8">
      <w:pPr>
        <w:widowControl/>
        <w:jc w:val="left"/>
        <w:rPr>
          <w:rFonts w:hAnsi="宋体" w:cs="宋体"/>
          <w:color w:val="auto"/>
          <w:sz w:val="24"/>
          <w:szCs w:val="24"/>
          <w:highlight w:val="none"/>
        </w:rPr>
      </w:pPr>
      <w:r>
        <w:rPr>
          <w:rFonts w:hAnsi="宋体" w:cs="宋体"/>
          <w:color w:val="auto"/>
          <w:sz w:val="24"/>
          <w:highlight w:val="none"/>
        </w:rPr>
        <w:br w:type="page"/>
      </w:r>
    </w:p>
    <w:p w14:paraId="2774748A">
      <w:pPr>
        <w:spacing w:line="480" w:lineRule="auto"/>
        <w:jc w:val="center"/>
        <w:outlineLvl w:val="2"/>
        <w:rPr>
          <w:rFonts w:hint="eastAsia" w:ascii="宋体" w:hAnsi="宋体" w:cs="宋体"/>
          <w:b/>
          <w:color w:val="auto"/>
          <w:sz w:val="36"/>
          <w:szCs w:val="36"/>
          <w:highlight w:val="none"/>
          <w:lang w:val="en-US" w:eastAsia="zh-CN"/>
        </w:rPr>
      </w:pPr>
      <w:bookmarkStart w:id="314" w:name="_Toc13395"/>
      <w:bookmarkStart w:id="315" w:name="_Toc3780"/>
      <w:bookmarkStart w:id="316" w:name="_Toc17321"/>
      <w:r>
        <w:rPr>
          <w:rFonts w:hint="eastAsia" w:ascii="宋体" w:hAnsi="宋体" w:cs="宋体"/>
          <w:b/>
          <w:color w:val="auto"/>
          <w:sz w:val="36"/>
          <w:szCs w:val="36"/>
          <w:highlight w:val="none"/>
          <w:lang w:val="en-US" w:eastAsia="zh-CN"/>
        </w:rPr>
        <w:t>（二）监狱企业证明</w:t>
      </w:r>
      <w:bookmarkEnd w:id="314"/>
      <w:bookmarkEnd w:id="315"/>
      <w:bookmarkEnd w:id="316"/>
    </w:p>
    <w:p w14:paraId="3CFAA12C">
      <w:pPr>
        <w:jc w:val="center"/>
        <w:rPr>
          <w:color w:val="auto"/>
          <w:sz w:val="24"/>
          <w:highlight w:val="none"/>
        </w:rPr>
      </w:pPr>
      <w:r>
        <w:rPr>
          <w:rFonts w:hint="eastAsia"/>
          <w:color w:val="auto"/>
          <w:sz w:val="24"/>
          <w:highlight w:val="none"/>
        </w:rPr>
        <w:t>（注：符合条件的监狱企业请提供本函，不符合的不提供本函）</w:t>
      </w:r>
    </w:p>
    <w:p w14:paraId="5043A122">
      <w:pPr>
        <w:pStyle w:val="87"/>
        <w:snapToGrid w:val="0"/>
        <w:spacing w:beforeLines="50"/>
        <w:rPr>
          <w:rFonts w:hAnsi="宋体" w:cs="宋体"/>
          <w:color w:val="auto"/>
          <w:sz w:val="24"/>
          <w:szCs w:val="24"/>
          <w:highlight w:val="none"/>
        </w:rPr>
      </w:pPr>
    </w:p>
    <w:p w14:paraId="371C1D4A">
      <w:pPr>
        <w:snapToGrid w:val="0"/>
        <w:spacing w:beforeLines="50" w:line="360" w:lineRule="auto"/>
        <w:ind w:firstLine="480" w:firstLineChars="200"/>
        <w:rPr>
          <w:rFonts w:hint="eastAsia" w:hAnsi="Times New Roman" w:cs="Times New Roman"/>
          <w:color w:val="auto"/>
          <w:sz w:val="24"/>
          <w:szCs w:val="24"/>
          <w:highlight w:val="none"/>
        </w:rPr>
      </w:pPr>
      <w:r>
        <w:rPr>
          <w:rFonts w:hint="eastAsia" w:hAnsi="Times New Roman" w:cs="Times New Roman"/>
          <w:color w:val="auto"/>
          <w:sz w:val="24"/>
          <w:szCs w:val="24"/>
          <w:highlight w:val="none"/>
        </w:rPr>
        <w:t>省级以上监狱管理局、戒毒管理局（含新疆生产建设兵团）出具的属于监狱企业的证明文件。</w:t>
      </w:r>
    </w:p>
    <w:p w14:paraId="664F5040">
      <w:pPr>
        <w:pStyle w:val="87"/>
        <w:snapToGrid w:val="0"/>
        <w:spacing w:beforeLines="50"/>
        <w:rPr>
          <w:rFonts w:hAnsi="宋体" w:cs="宋体"/>
          <w:color w:val="auto"/>
          <w:sz w:val="24"/>
          <w:szCs w:val="24"/>
          <w:highlight w:val="none"/>
        </w:rPr>
      </w:pPr>
    </w:p>
    <w:p w14:paraId="18D79ED4">
      <w:pPr>
        <w:spacing w:line="480" w:lineRule="auto"/>
        <w:jc w:val="center"/>
        <w:outlineLvl w:val="2"/>
        <w:rPr>
          <w:rFonts w:hAnsi="宋体"/>
          <w:color w:val="auto"/>
          <w:sz w:val="32"/>
          <w:szCs w:val="32"/>
          <w:highlight w:val="none"/>
        </w:rPr>
      </w:pPr>
      <w:r>
        <w:rPr>
          <w:rFonts w:hAnsi="宋体" w:cs="宋体"/>
          <w:color w:val="auto"/>
          <w:sz w:val="24"/>
          <w:highlight w:val="none"/>
        </w:rPr>
        <w:br w:type="page"/>
      </w:r>
      <w:bookmarkStart w:id="317" w:name="_Toc10862"/>
      <w:bookmarkStart w:id="318" w:name="_Toc13898"/>
      <w:bookmarkStart w:id="319" w:name="_Toc25672"/>
      <w:r>
        <w:rPr>
          <w:rFonts w:hint="eastAsia" w:ascii="宋体" w:hAnsi="宋体" w:cs="宋体"/>
          <w:b/>
          <w:color w:val="auto"/>
          <w:sz w:val="36"/>
          <w:szCs w:val="36"/>
          <w:highlight w:val="none"/>
          <w:lang w:val="en-US" w:eastAsia="zh-CN"/>
        </w:rPr>
        <w:t>（三）残疾人福利性单位声明函</w:t>
      </w:r>
      <w:bookmarkEnd w:id="317"/>
      <w:bookmarkEnd w:id="318"/>
      <w:bookmarkEnd w:id="319"/>
    </w:p>
    <w:p w14:paraId="4C623605">
      <w:pPr>
        <w:jc w:val="center"/>
        <w:rPr>
          <w:color w:val="auto"/>
          <w:sz w:val="24"/>
          <w:highlight w:val="none"/>
        </w:rPr>
      </w:pPr>
      <w:r>
        <w:rPr>
          <w:rFonts w:hint="eastAsia"/>
          <w:color w:val="auto"/>
          <w:sz w:val="24"/>
          <w:highlight w:val="none"/>
        </w:rPr>
        <w:t>（注：符合条件的残疾人福利性单位请提供本函，不符合的不提供本函）</w:t>
      </w:r>
    </w:p>
    <w:p w14:paraId="72963C7F">
      <w:pPr>
        <w:rPr>
          <w:color w:val="auto"/>
          <w:sz w:val="24"/>
          <w:highlight w:val="none"/>
        </w:rPr>
      </w:pPr>
    </w:p>
    <w:p w14:paraId="077A4CA9">
      <w:pPr>
        <w:rPr>
          <w:color w:val="auto"/>
          <w:sz w:val="24"/>
          <w:highlight w:val="none"/>
        </w:rPr>
      </w:pPr>
    </w:p>
    <w:p w14:paraId="2BDBB5E7">
      <w:pPr>
        <w:spacing w:line="360" w:lineRule="auto"/>
        <w:ind w:firstLine="480" w:firstLineChars="200"/>
        <w:rPr>
          <w:rFonts w:hint="eastAsia"/>
          <w:color w:val="auto"/>
          <w:sz w:val="24"/>
          <w:highlight w:val="none"/>
        </w:rPr>
      </w:pPr>
      <w:r>
        <w:rPr>
          <w:rFonts w:hint="eastAsia"/>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9DFD3C8">
      <w:pPr>
        <w:spacing w:line="360" w:lineRule="auto"/>
        <w:ind w:firstLine="480" w:firstLineChars="200"/>
        <w:rPr>
          <w:rFonts w:hint="eastAsia"/>
          <w:color w:val="auto"/>
          <w:sz w:val="24"/>
          <w:highlight w:val="none"/>
        </w:rPr>
      </w:pPr>
    </w:p>
    <w:p w14:paraId="3B04836B">
      <w:pPr>
        <w:spacing w:line="360" w:lineRule="auto"/>
        <w:ind w:firstLine="480" w:firstLineChars="200"/>
        <w:rPr>
          <w:color w:val="auto"/>
          <w:sz w:val="24"/>
          <w:highlight w:val="none"/>
        </w:rPr>
      </w:pPr>
      <w:r>
        <w:rPr>
          <w:rFonts w:hint="eastAsia"/>
          <w:color w:val="auto"/>
          <w:sz w:val="24"/>
          <w:highlight w:val="none"/>
        </w:rPr>
        <w:t>本单位对上述声明的真实性负责。如有虚假，将依法承担相应责任。</w:t>
      </w:r>
    </w:p>
    <w:p w14:paraId="1981DE3E">
      <w:pPr>
        <w:spacing w:line="360" w:lineRule="auto"/>
        <w:ind w:firstLine="480" w:firstLineChars="200"/>
        <w:rPr>
          <w:color w:val="auto"/>
          <w:sz w:val="24"/>
          <w:highlight w:val="none"/>
        </w:rPr>
      </w:pPr>
    </w:p>
    <w:p w14:paraId="5418EB6D">
      <w:pPr>
        <w:spacing w:line="360" w:lineRule="auto"/>
        <w:ind w:firstLine="480" w:firstLineChars="200"/>
        <w:rPr>
          <w:color w:val="auto"/>
          <w:sz w:val="24"/>
          <w:highlight w:val="none"/>
        </w:rPr>
      </w:pPr>
      <w:r>
        <w:rPr>
          <w:color w:val="auto"/>
          <w:sz w:val="24"/>
          <w:highlight w:val="none"/>
        </w:rPr>
        <w:t xml:space="preserve"> </w:t>
      </w:r>
    </w:p>
    <w:p w14:paraId="1E007788">
      <w:pPr>
        <w:rPr>
          <w:color w:val="auto"/>
          <w:sz w:val="24"/>
          <w:highlight w:val="none"/>
        </w:rPr>
      </w:pPr>
    </w:p>
    <w:p w14:paraId="0131F230">
      <w:pPr>
        <w:rPr>
          <w:color w:val="auto"/>
          <w:sz w:val="24"/>
          <w:highlight w:val="none"/>
        </w:rPr>
      </w:pPr>
      <w:r>
        <w:rPr>
          <w:color w:val="auto"/>
          <w:sz w:val="24"/>
          <w:highlight w:val="none"/>
        </w:rPr>
        <w:t xml:space="preserve"> </w:t>
      </w:r>
    </w:p>
    <w:p w14:paraId="78BBA398">
      <w:pPr>
        <w:rPr>
          <w:color w:val="auto"/>
          <w:sz w:val="24"/>
          <w:highlight w:val="none"/>
        </w:rPr>
      </w:pPr>
    </w:p>
    <w:p w14:paraId="2700A503">
      <w:pPr>
        <w:ind w:firstLine="5040" w:firstLineChars="2100"/>
        <w:rPr>
          <w:color w:val="auto"/>
          <w:sz w:val="24"/>
          <w:highlight w:val="none"/>
        </w:rPr>
      </w:pPr>
      <w:r>
        <w:rPr>
          <w:rFonts w:hint="eastAsia"/>
          <w:color w:val="auto"/>
          <w:sz w:val="24"/>
          <w:highlight w:val="none"/>
        </w:rPr>
        <w:t>单位名称（加盖电子公章）：</w:t>
      </w:r>
    </w:p>
    <w:p w14:paraId="2FFA6521">
      <w:pPr>
        <w:rPr>
          <w:color w:val="auto"/>
          <w:sz w:val="24"/>
          <w:highlight w:val="none"/>
        </w:rPr>
      </w:pPr>
    </w:p>
    <w:p w14:paraId="4980B934">
      <w:pPr>
        <w:ind w:firstLine="5040" w:firstLineChars="2100"/>
        <w:rPr>
          <w:color w:val="auto"/>
          <w:sz w:val="24"/>
          <w:highlight w:val="none"/>
        </w:rPr>
      </w:pPr>
      <w:r>
        <w:rPr>
          <w:rFonts w:hint="eastAsia"/>
          <w:color w:val="auto"/>
          <w:sz w:val="24"/>
          <w:highlight w:val="none"/>
        </w:rPr>
        <w:t>日  期：</w:t>
      </w:r>
    </w:p>
    <w:p w14:paraId="13A98149">
      <w:pPr>
        <w:rPr>
          <w:color w:val="auto"/>
          <w:sz w:val="24"/>
          <w:highlight w:val="none"/>
        </w:rPr>
      </w:pPr>
    </w:p>
    <w:p w14:paraId="5956C2C6">
      <w:pPr>
        <w:pStyle w:val="87"/>
        <w:snapToGrid w:val="0"/>
        <w:spacing w:beforeLines="50"/>
        <w:jc w:val="center"/>
        <w:rPr>
          <w:rFonts w:ascii="仿宋_GB2312" w:hAnsi="宋体" w:eastAsia="仿宋_GB2312"/>
          <w:b/>
          <w:color w:val="auto"/>
          <w:sz w:val="24"/>
          <w:highlight w:val="none"/>
        </w:rPr>
      </w:pPr>
    </w:p>
    <w:p w14:paraId="714CF367">
      <w:pPr>
        <w:widowControl/>
        <w:jc w:val="left"/>
        <w:rPr>
          <w:rFonts w:ascii="宋体" w:hAnsi="宋体" w:cs="宋体"/>
          <w:color w:val="auto"/>
          <w:sz w:val="24"/>
          <w:highlight w:val="none"/>
        </w:rPr>
      </w:pPr>
      <w:r>
        <w:rPr>
          <w:rFonts w:ascii="宋体" w:hAnsi="宋体" w:cs="宋体"/>
          <w:color w:val="auto"/>
          <w:sz w:val="24"/>
          <w:highlight w:val="none"/>
        </w:rPr>
        <w:br w:type="page"/>
      </w:r>
    </w:p>
    <w:p w14:paraId="7EBB55A2">
      <w:pPr>
        <w:spacing w:line="360" w:lineRule="auto"/>
        <w:outlineLvl w:val="1"/>
        <w:rPr>
          <w:b/>
          <w:bCs/>
          <w:color w:val="auto"/>
          <w:sz w:val="24"/>
          <w:highlight w:val="none"/>
        </w:rPr>
      </w:pPr>
      <w:bookmarkStart w:id="320" w:name="_Toc21479"/>
      <w:bookmarkStart w:id="321" w:name="_Toc32222"/>
      <w:r>
        <w:rPr>
          <w:rFonts w:hint="eastAsia"/>
          <w:b/>
          <w:bCs/>
          <w:color w:val="auto"/>
          <w:sz w:val="24"/>
          <w:highlight w:val="none"/>
        </w:rPr>
        <w:t>附件</w:t>
      </w:r>
      <w:r>
        <w:rPr>
          <w:b/>
          <w:bCs/>
          <w:color w:val="auto"/>
          <w:sz w:val="24"/>
          <w:highlight w:val="none"/>
        </w:rPr>
        <w:t>1</w:t>
      </w:r>
      <w:r>
        <w:rPr>
          <w:rFonts w:hint="eastAsia"/>
          <w:b/>
          <w:bCs/>
          <w:color w:val="auto"/>
          <w:sz w:val="24"/>
          <w:highlight w:val="none"/>
          <w:lang w:val="en-US" w:eastAsia="zh-CN"/>
        </w:rPr>
        <w:t>1</w:t>
      </w:r>
      <w:r>
        <w:rPr>
          <w:b/>
          <w:bCs/>
          <w:color w:val="auto"/>
          <w:sz w:val="24"/>
          <w:highlight w:val="none"/>
        </w:rPr>
        <w:t xml:space="preserve">  投标承诺书</w:t>
      </w:r>
      <w:bookmarkEnd w:id="320"/>
      <w:bookmarkEnd w:id="321"/>
    </w:p>
    <w:p w14:paraId="7A0D4E02">
      <w:pPr>
        <w:rPr>
          <w:rFonts w:ascii="宋体" w:hAnsi="宋体"/>
          <w:color w:val="auto"/>
          <w:szCs w:val="21"/>
          <w:highlight w:val="none"/>
        </w:rPr>
      </w:pPr>
    </w:p>
    <w:p w14:paraId="4013758D">
      <w:pPr>
        <w:autoSpaceDE w:val="0"/>
        <w:autoSpaceDN w:val="0"/>
        <w:adjustRightInd w:val="0"/>
        <w:jc w:val="center"/>
        <w:rPr>
          <w:rFonts w:hint="eastAsia" w:ascii="黑体" w:hAnsi="黑体" w:eastAsia="黑体" w:cs="黑体"/>
          <w:color w:val="auto"/>
          <w:kern w:val="0"/>
          <w:sz w:val="40"/>
          <w:szCs w:val="40"/>
          <w:highlight w:val="none"/>
        </w:rPr>
      </w:pPr>
      <w:r>
        <w:rPr>
          <w:rFonts w:hint="eastAsia" w:ascii="黑体" w:hAnsi="黑体" w:eastAsia="黑体" w:cs="黑体"/>
          <w:color w:val="auto"/>
          <w:kern w:val="0"/>
          <w:sz w:val="40"/>
          <w:szCs w:val="40"/>
          <w:highlight w:val="none"/>
        </w:rPr>
        <w:t>投标承诺书</w:t>
      </w:r>
    </w:p>
    <w:p w14:paraId="57CD7015">
      <w:pPr>
        <w:spacing w:line="360" w:lineRule="auto"/>
        <w:rPr>
          <w:rFonts w:hint="eastAsia" w:ascii="宋体" w:hAnsi="宋体"/>
          <w:color w:val="auto"/>
          <w:sz w:val="24"/>
          <w:highlight w:val="none"/>
          <w:lang w:val="en-US" w:eastAsia="zh-CN"/>
        </w:rPr>
      </w:pPr>
    </w:p>
    <w:p w14:paraId="119F5998">
      <w:pPr>
        <w:spacing w:line="360" w:lineRule="auto"/>
        <w:rPr>
          <w:rFonts w:hint="eastAsia" w:ascii="宋体" w:hAnsi="宋体" w:eastAsia="宋体"/>
          <w:b/>
          <w:bCs/>
          <w:color w:val="auto"/>
          <w:sz w:val="24"/>
          <w:highlight w:val="none"/>
          <w:lang w:eastAsia="zh-CN"/>
        </w:rPr>
      </w:pPr>
      <w:r>
        <w:rPr>
          <w:rFonts w:ascii="宋体" w:hAnsi="宋体"/>
          <w:b/>
          <w:bCs/>
          <w:color w:val="auto"/>
          <w:sz w:val="24"/>
          <w:highlight w:val="none"/>
        </w:rPr>
        <w:t>致：</w:t>
      </w:r>
      <w:r>
        <w:rPr>
          <w:rFonts w:hint="eastAsia" w:ascii="宋体" w:hAnsi="宋体"/>
          <w:b/>
          <w:bCs/>
          <w:color w:val="auto"/>
          <w:sz w:val="24"/>
          <w:highlight w:val="none"/>
          <w:u w:val="single"/>
          <w:lang w:eastAsia="zh-CN"/>
        </w:rPr>
        <w:t>（</w:t>
      </w:r>
      <w:r>
        <w:rPr>
          <w:rFonts w:hint="eastAsia" w:ascii="宋体" w:hAnsi="宋体"/>
          <w:b/>
          <w:bCs/>
          <w:color w:val="auto"/>
          <w:sz w:val="24"/>
          <w:highlight w:val="none"/>
          <w:u w:val="single"/>
          <w:lang w:val="en-US" w:eastAsia="zh-CN"/>
        </w:rPr>
        <w:t>采购人</w:t>
      </w:r>
      <w:r>
        <w:rPr>
          <w:rFonts w:hint="eastAsia" w:ascii="宋体" w:hAnsi="宋体"/>
          <w:b/>
          <w:bCs/>
          <w:color w:val="auto"/>
          <w:sz w:val="24"/>
          <w:highlight w:val="none"/>
          <w:u w:val="single"/>
          <w:lang w:eastAsia="zh-CN"/>
        </w:rPr>
        <w:t>）</w:t>
      </w:r>
    </w:p>
    <w:p w14:paraId="77EF689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我方在此声明，我方以下事项进行承诺：</w:t>
      </w:r>
    </w:p>
    <w:p w14:paraId="0788FC3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（1）在本次投标中我公司无与其他投标人相互串通投标，或与采购人串通投标的行为；</w:t>
      </w:r>
    </w:p>
    <w:p w14:paraId="46369FC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（2）在本次投标中我公司无向采购人或评标委员会成员行贿的手段谋取中标的行为；</w:t>
      </w:r>
    </w:p>
    <w:p w14:paraId="39A2D15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（3）在本次投标中我公司无出借或借用资质行为、在投标文件中所附资料（业绩、项目负责人资料等）无弄虚作假；</w:t>
      </w:r>
    </w:p>
    <w:p w14:paraId="0D1B546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（4）我公司没有处于被责令停产、停业、投标资格被取消状态；</w:t>
      </w:r>
    </w:p>
    <w:p w14:paraId="3EEF227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（5）我公司不采用非法手段获取证据进行质疑、投诉，在质疑、投诉过程中不提供虚假情况或进行恶意质疑、投诉。</w:t>
      </w:r>
    </w:p>
    <w:p w14:paraId="14F0048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上述承诺内容如有不实，我公司愿意承担由此造成的一切法律责任，并承诺以投标保证金赔偿给采购人造成的损失。</w:t>
      </w:r>
    </w:p>
    <w:p w14:paraId="2954B68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特此承诺</w:t>
      </w:r>
    </w:p>
    <w:p w14:paraId="0E591CEA">
      <w:pPr>
        <w:spacing w:line="360" w:lineRule="auto"/>
        <w:ind w:firstLine="480" w:firstLineChars="200"/>
        <w:rPr>
          <w:rFonts w:ascii="宋体" w:hAnsi="宋体"/>
          <w:color w:val="auto"/>
          <w:sz w:val="24"/>
          <w:highlight w:val="none"/>
        </w:rPr>
      </w:pPr>
    </w:p>
    <w:p w14:paraId="73365876">
      <w:pPr>
        <w:spacing w:line="480" w:lineRule="auto"/>
        <w:ind w:left="178" w:leftChars="85"/>
        <w:rPr>
          <w:rFonts w:hint="eastAsia" w:ascii="宋体" w:hAnsi="宋体" w:cs="宋体"/>
          <w:color w:val="auto"/>
          <w:sz w:val="24"/>
          <w:highlight w:val="none"/>
          <w:u w:val="none"/>
        </w:rPr>
      </w:pPr>
    </w:p>
    <w:p w14:paraId="284B6811">
      <w:pPr>
        <w:spacing w:line="480" w:lineRule="auto"/>
        <w:ind w:left="178" w:leftChars="85"/>
        <w:rPr>
          <w:rFonts w:ascii="宋体" w:hAnsi="宋体" w:cs="宋体"/>
          <w:color w:val="auto"/>
          <w:sz w:val="24"/>
          <w:highlight w:val="none"/>
          <w:u w:val="none"/>
        </w:rPr>
      </w:pPr>
      <w:r>
        <w:rPr>
          <w:rFonts w:hint="eastAsia" w:ascii="宋体" w:hAnsi="宋体" w:cs="宋体"/>
          <w:color w:val="auto"/>
          <w:sz w:val="24"/>
          <w:highlight w:val="none"/>
          <w:u w:val="none"/>
        </w:rPr>
        <w:t>投标人</w:t>
      </w:r>
      <w:r>
        <w:rPr>
          <w:rFonts w:hint="eastAsia" w:hAnsi="宋体"/>
          <w:color w:val="auto"/>
          <w:sz w:val="24"/>
          <w:highlight w:val="none"/>
          <w:u w:val="none"/>
        </w:rPr>
        <w:t>（加盖电子公章）</w:t>
      </w:r>
      <w:r>
        <w:rPr>
          <w:rFonts w:hint="eastAsia" w:ascii="宋体" w:hAnsi="宋体" w:cs="宋体"/>
          <w:color w:val="auto"/>
          <w:sz w:val="24"/>
          <w:highlight w:val="none"/>
          <w:u w:val="none"/>
        </w:rPr>
        <w:t>：</w:t>
      </w:r>
    </w:p>
    <w:p w14:paraId="1CB6C016">
      <w:pPr>
        <w:spacing w:line="480" w:lineRule="auto"/>
        <w:ind w:left="178" w:leftChars="85"/>
        <w:rPr>
          <w:rFonts w:hint="eastAsia" w:ascii="宋体" w:hAnsi="宋体" w:cs="宋体"/>
          <w:color w:val="auto"/>
          <w:sz w:val="24"/>
          <w:highlight w:val="none"/>
          <w:u w:val="none"/>
        </w:rPr>
      </w:pPr>
      <w:r>
        <w:rPr>
          <w:rFonts w:hint="eastAsia" w:ascii="宋体" w:hAnsi="宋体" w:cs="宋体"/>
          <w:color w:val="auto"/>
          <w:sz w:val="24"/>
          <w:highlight w:val="none"/>
          <w:u w:val="none"/>
        </w:rPr>
        <w:t>法定代表人（公司负责人）或委托代理人（电子签章或签字）：</w:t>
      </w:r>
    </w:p>
    <w:p w14:paraId="0E125C43">
      <w:pPr>
        <w:spacing w:line="480" w:lineRule="auto"/>
        <w:ind w:left="178" w:leftChars="85"/>
        <w:rPr>
          <w:rFonts w:ascii="宋体" w:hAnsi="宋体"/>
          <w:color w:val="auto"/>
          <w:sz w:val="24"/>
          <w:highlight w:val="none"/>
        </w:rPr>
      </w:pPr>
      <w:r>
        <w:rPr>
          <w:rFonts w:hint="eastAsia" w:ascii="宋体" w:hAnsi="宋体" w:cs="宋体"/>
          <w:color w:val="auto"/>
          <w:sz w:val="24"/>
          <w:highlight w:val="none"/>
          <w:u w:val="none"/>
        </w:rPr>
        <w:t>日期：     年   月   日</w:t>
      </w:r>
    </w:p>
    <w:p w14:paraId="255174E1">
      <w:pPr>
        <w:widowControl/>
        <w:jc w:val="left"/>
        <w:rPr>
          <w:rFonts w:ascii="宋体" w:hAnsi="宋体" w:cs="宋体"/>
          <w:color w:val="auto"/>
          <w:sz w:val="24"/>
          <w:highlight w:val="none"/>
        </w:rPr>
      </w:pPr>
    </w:p>
    <w:p w14:paraId="5B2CD849">
      <w:pPr>
        <w:pStyle w:val="87"/>
        <w:snapToGrid w:val="0"/>
        <w:spacing w:beforeLines="50"/>
        <w:rPr>
          <w:rFonts w:hAnsi="宋体" w:cs="宋体"/>
          <w:color w:val="auto"/>
          <w:sz w:val="24"/>
          <w:szCs w:val="24"/>
          <w:highlight w:val="none"/>
        </w:rPr>
      </w:pPr>
    </w:p>
    <w:p w14:paraId="317346B3">
      <w:pPr>
        <w:widowControl/>
        <w:jc w:val="left"/>
        <w:rPr>
          <w:rFonts w:ascii="宋体" w:hAnsi="宋体"/>
          <w:color w:val="auto"/>
          <w:sz w:val="24"/>
          <w:highlight w:val="none"/>
        </w:rPr>
      </w:pPr>
    </w:p>
    <w:p w14:paraId="689AF365">
      <w:pPr>
        <w:adjustRightInd w:val="0"/>
        <w:spacing w:line="360" w:lineRule="atLeast"/>
        <w:jc w:val="left"/>
        <w:textAlignment w:val="baseline"/>
        <w:rPr>
          <w:b/>
          <w:color w:val="auto"/>
          <w:sz w:val="30"/>
          <w:szCs w:val="30"/>
          <w:highlight w:val="none"/>
        </w:rPr>
      </w:pPr>
      <w:r>
        <w:rPr>
          <w:b/>
          <w:color w:val="auto"/>
          <w:spacing w:val="20"/>
          <w:sz w:val="24"/>
          <w:highlight w:val="none"/>
        </w:rPr>
        <w:br w:type="page"/>
      </w:r>
    </w:p>
    <w:bookmarkEnd w:id="271"/>
    <w:p w14:paraId="010FC377">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0"/>
        <w:rPr>
          <w:rFonts w:hint="default" w:asciiTheme="minorEastAsia" w:hAnsiTheme="minorEastAsia" w:eastAsiaTheme="minorEastAsia" w:cstheme="minorEastAsia"/>
          <w:b/>
          <w:color w:val="auto"/>
          <w:sz w:val="24"/>
          <w:highlight w:val="none"/>
          <w:lang w:val="en-US" w:eastAsia="zh-CN"/>
        </w:rPr>
      </w:pPr>
      <w:bookmarkStart w:id="322" w:name="_Toc32630"/>
      <w:bookmarkStart w:id="323" w:name="_Toc26440"/>
      <w:bookmarkStart w:id="324" w:name="_Toc23761"/>
      <w:bookmarkStart w:id="325" w:name="_Toc30209"/>
      <w:bookmarkStart w:id="326" w:name="_Toc416103827"/>
      <w:r>
        <w:rPr>
          <w:rFonts w:hint="eastAsia" w:asciiTheme="minorEastAsia" w:hAnsiTheme="minorEastAsia" w:eastAsiaTheme="minorEastAsia" w:cstheme="minorEastAsia"/>
          <w:b/>
          <w:color w:val="auto"/>
          <w:sz w:val="24"/>
          <w:highlight w:val="none"/>
        </w:rPr>
        <w:t>附件1</w:t>
      </w:r>
      <w:r>
        <w:rPr>
          <w:rFonts w:hint="eastAsia" w:asciiTheme="minorEastAsia" w:hAnsiTheme="minorEastAsia" w:eastAsiaTheme="minorEastAsia" w:cstheme="minorEastAsia"/>
          <w:b/>
          <w:color w:val="auto"/>
          <w:sz w:val="24"/>
          <w:highlight w:val="none"/>
          <w:lang w:val="en-US" w:eastAsia="zh-CN"/>
        </w:rPr>
        <w:t>2</w:t>
      </w:r>
      <w:r>
        <w:rPr>
          <w:rFonts w:hint="eastAsia" w:asciiTheme="minorEastAsia" w:hAnsiTheme="minorEastAsia" w:eastAsiaTheme="minorEastAsia" w:cstheme="minorEastAsia"/>
          <w:b/>
          <w:color w:val="auto"/>
          <w:sz w:val="24"/>
          <w:highlight w:val="none"/>
        </w:rPr>
        <w:t xml:space="preserve">  </w:t>
      </w:r>
      <w:bookmarkEnd w:id="322"/>
      <w:bookmarkEnd w:id="323"/>
      <w:r>
        <w:rPr>
          <w:rFonts w:hint="eastAsia" w:asciiTheme="minorEastAsia" w:hAnsiTheme="minorEastAsia" w:eastAsiaTheme="minorEastAsia" w:cstheme="minorEastAsia"/>
          <w:b/>
          <w:color w:val="auto"/>
          <w:sz w:val="24"/>
          <w:highlight w:val="none"/>
          <w:lang w:val="en-US" w:eastAsia="zh-CN"/>
        </w:rPr>
        <w:t>技术及商务方案</w:t>
      </w:r>
      <w:bookmarkEnd w:id="324"/>
      <w:bookmarkEnd w:id="325"/>
    </w:p>
    <w:p w14:paraId="6D5CE2C9">
      <w:pPr>
        <w:keepNext w:val="0"/>
        <w:keepLines w:val="0"/>
        <w:pageBreakBefore w:val="0"/>
        <w:widowControl w:val="0"/>
        <w:kinsoku/>
        <w:wordWrap/>
        <w:overflowPunct/>
        <w:topLinePunct w:val="0"/>
        <w:autoSpaceDE/>
        <w:autoSpaceDN/>
        <w:bidi w:val="0"/>
        <w:adjustRightInd/>
        <w:snapToGrid/>
        <w:spacing w:before="76" w:line="360" w:lineRule="auto"/>
        <w:ind w:left="629"/>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包括（但不限于）以下内容：</w:t>
      </w:r>
    </w:p>
    <w:p w14:paraId="090B67A9">
      <w:pPr>
        <w:keepNext w:val="0"/>
        <w:keepLines w:val="0"/>
        <w:pageBreakBefore w:val="0"/>
        <w:widowControl w:val="0"/>
        <w:numPr>
          <w:ilvl w:val="0"/>
          <w:numId w:val="10"/>
        </w:numPr>
        <w:kinsoku/>
        <w:wordWrap/>
        <w:overflowPunct/>
        <w:topLinePunct w:val="0"/>
        <w:autoSpaceDE/>
        <w:autoSpaceDN/>
        <w:bidi w:val="0"/>
        <w:adjustRightInd/>
        <w:snapToGrid/>
        <w:spacing w:before="76" w:line="360" w:lineRule="auto"/>
        <w:ind w:left="629"/>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体检实施方案</w:t>
      </w:r>
    </w:p>
    <w:p w14:paraId="3EE6165B">
      <w:pPr>
        <w:keepNext w:val="0"/>
        <w:keepLines w:val="0"/>
        <w:pageBreakBefore w:val="0"/>
        <w:widowControl w:val="0"/>
        <w:numPr>
          <w:ilvl w:val="0"/>
          <w:numId w:val="10"/>
        </w:numPr>
        <w:kinsoku/>
        <w:wordWrap/>
        <w:overflowPunct/>
        <w:topLinePunct w:val="0"/>
        <w:autoSpaceDE/>
        <w:autoSpaceDN/>
        <w:bidi w:val="0"/>
        <w:adjustRightInd/>
        <w:snapToGrid/>
        <w:spacing w:before="76" w:line="360" w:lineRule="auto"/>
        <w:ind w:left="629"/>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体检安全、保密承诺及保障措施</w:t>
      </w:r>
    </w:p>
    <w:p w14:paraId="6AFC0AD7">
      <w:pPr>
        <w:keepNext w:val="0"/>
        <w:keepLines w:val="0"/>
        <w:pageBreakBefore w:val="0"/>
        <w:widowControl w:val="0"/>
        <w:numPr>
          <w:ilvl w:val="0"/>
          <w:numId w:val="10"/>
        </w:numPr>
        <w:kinsoku/>
        <w:wordWrap/>
        <w:overflowPunct/>
        <w:topLinePunct w:val="0"/>
        <w:autoSpaceDE/>
        <w:autoSpaceDN/>
        <w:bidi w:val="0"/>
        <w:adjustRightInd/>
        <w:snapToGrid/>
        <w:spacing w:before="76" w:line="360" w:lineRule="auto"/>
        <w:ind w:left="629"/>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体检仪器设备</w:t>
      </w:r>
    </w:p>
    <w:p w14:paraId="54027B86">
      <w:pPr>
        <w:keepNext w:val="0"/>
        <w:keepLines w:val="0"/>
        <w:pageBreakBefore w:val="0"/>
        <w:widowControl w:val="0"/>
        <w:numPr>
          <w:ilvl w:val="0"/>
          <w:numId w:val="10"/>
        </w:numPr>
        <w:kinsoku/>
        <w:wordWrap/>
        <w:overflowPunct/>
        <w:topLinePunct w:val="0"/>
        <w:autoSpaceDE/>
        <w:autoSpaceDN/>
        <w:bidi w:val="0"/>
        <w:adjustRightInd/>
        <w:snapToGrid/>
        <w:spacing w:before="76" w:line="360" w:lineRule="auto"/>
        <w:ind w:left="629"/>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拟派服务团队人员</w:t>
      </w:r>
    </w:p>
    <w:p w14:paraId="15A6562E">
      <w:pPr>
        <w:keepNext w:val="0"/>
        <w:keepLines w:val="0"/>
        <w:pageBreakBefore w:val="0"/>
        <w:widowControl w:val="0"/>
        <w:numPr>
          <w:ilvl w:val="0"/>
          <w:numId w:val="10"/>
        </w:numPr>
        <w:kinsoku/>
        <w:wordWrap/>
        <w:overflowPunct/>
        <w:topLinePunct w:val="0"/>
        <w:autoSpaceDE/>
        <w:autoSpaceDN/>
        <w:bidi w:val="0"/>
        <w:adjustRightInd/>
        <w:snapToGrid/>
        <w:spacing w:before="76" w:line="360" w:lineRule="auto"/>
        <w:ind w:left="629"/>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服务质量承诺及保证措施</w:t>
      </w:r>
    </w:p>
    <w:p w14:paraId="53BC9F25">
      <w:pPr>
        <w:keepNext w:val="0"/>
        <w:keepLines w:val="0"/>
        <w:pageBreakBefore w:val="0"/>
        <w:widowControl w:val="0"/>
        <w:numPr>
          <w:ilvl w:val="0"/>
          <w:numId w:val="10"/>
        </w:numPr>
        <w:kinsoku/>
        <w:wordWrap/>
        <w:overflowPunct/>
        <w:topLinePunct w:val="0"/>
        <w:autoSpaceDE/>
        <w:autoSpaceDN/>
        <w:bidi w:val="0"/>
        <w:adjustRightInd/>
        <w:snapToGrid/>
        <w:spacing w:before="76" w:line="360" w:lineRule="auto"/>
        <w:ind w:left="629"/>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应急处置方案</w:t>
      </w:r>
    </w:p>
    <w:p w14:paraId="4551F4CB">
      <w:pPr>
        <w:keepNext w:val="0"/>
        <w:keepLines w:val="0"/>
        <w:pageBreakBefore w:val="0"/>
        <w:widowControl w:val="0"/>
        <w:kinsoku/>
        <w:wordWrap/>
        <w:overflowPunct/>
        <w:topLinePunct w:val="0"/>
        <w:autoSpaceDE/>
        <w:autoSpaceDN/>
        <w:bidi w:val="0"/>
        <w:adjustRightInd/>
        <w:snapToGrid/>
        <w:spacing w:before="76" w:line="360" w:lineRule="auto"/>
        <w:ind w:left="629"/>
        <w:jc w:val="left"/>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w:t>
      </w:r>
    </w:p>
    <w:p w14:paraId="4DAE833B">
      <w:pPr>
        <w:spacing w:line="360" w:lineRule="auto"/>
        <w:rPr>
          <w:rFonts w:hint="default" w:hAnsi="宋体"/>
          <w:bCs/>
          <w:color w:val="auto"/>
          <w:szCs w:val="21"/>
          <w:highlight w:val="none"/>
          <w:lang w:val="en-US" w:eastAsia="zh-CN"/>
        </w:rPr>
      </w:pPr>
    </w:p>
    <w:p w14:paraId="7FBE06B0">
      <w:pPr>
        <w:spacing w:line="360" w:lineRule="auto"/>
        <w:jc w:val="center"/>
        <w:rPr>
          <w:rFonts w:hint="default" w:hAnsi="宋体"/>
          <w:b/>
          <w:bCs w:val="0"/>
          <w:color w:val="auto"/>
          <w:szCs w:val="21"/>
          <w:highlight w:val="none"/>
          <w:lang w:val="en-US" w:eastAsia="zh-CN"/>
        </w:rPr>
      </w:pPr>
      <w:r>
        <w:rPr>
          <w:rFonts w:hint="eastAsia" w:hAnsi="宋体"/>
          <w:b/>
          <w:bCs w:val="0"/>
          <w:color w:val="auto"/>
          <w:szCs w:val="21"/>
          <w:highlight w:val="none"/>
          <w:lang w:val="en-US" w:eastAsia="zh-CN"/>
        </w:rPr>
        <w:t>格式、内容自拟。</w:t>
      </w:r>
    </w:p>
    <w:p w14:paraId="29AF6143">
      <w:pPr>
        <w:rPr>
          <w:rFonts w:hint="eastAsia" w:asciiTheme="minorEastAsia" w:hAnsiTheme="minorEastAsia" w:eastAsiaTheme="minorEastAsia" w:cstheme="minorEastAsia"/>
          <w:b/>
          <w:bCs w:val="0"/>
          <w:color w:val="auto"/>
          <w:kern w:val="2"/>
          <w:sz w:val="24"/>
          <w:szCs w:val="24"/>
          <w:highlight w:val="none"/>
          <w:lang w:val="en-US" w:eastAsia="zh-CN" w:bidi="ar-SA"/>
        </w:rPr>
      </w:pPr>
      <w:r>
        <w:rPr>
          <w:rFonts w:hint="eastAsia" w:asciiTheme="minorEastAsia" w:hAnsiTheme="minorEastAsia" w:eastAsiaTheme="minorEastAsia" w:cstheme="minorEastAsia"/>
          <w:b/>
          <w:bCs w:val="0"/>
          <w:color w:val="auto"/>
          <w:kern w:val="2"/>
          <w:sz w:val="24"/>
          <w:szCs w:val="24"/>
          <w:highlight w:val="none"/>
          <w:lang w:val="en-US" w:eastAsia="zh-CN" w:bidi="ar-SA"/>
        </w:rPr>
        <w:br w:type="page"/>
      </w:r>
    </w:p>
    <w:bookmarkEnd w:id="326"/>
    <w:p w14:paraId="5C834E70">
      <w:pPr>
        <w:pStyle w:val="3"/>
        <w:numPr>
          <w:ilvl w:val="0"/>
          <w:numId w:val="0"/>
        </w:numPr>
        <w:spacing w:line="276" w:lineRule="auto"/>
        <w:ind w:leftChars="0"/>
        <w:jc w:val="both"/>
        <w:outlineLvl w:val="0"/>
        <w:rPr>
          <w:rFonts w:hint="eastAsia" w:asciiTheme="minorEastAsia" w:hAnsiTheme="minorEastAsia" w:eastAsiaTheme="minorEastAsia" w:cstheme="minorEastAsia"/>
          <w:b/>
          <w:bCs w:val="0"/>
          <w:color w:val="auto"/>
          <w:kern w:val="2"/>
          <w:sz w:val="24"/>
          <w:szCs w:val="24"/>
          <w:highlight w:val="none"/>
          <w:lang w:val="en-US" w:eastAsia="zh-CN" w:bidi="ar-SA"/>
        </w:rPr>
      </w:pPr>
      <w:bookmarkStart w:id="327" w:name="_Toc12057"/>
      <w:bookmarkStart w:id="328" w:name="_Toc32760"/>
      <w:bookmarkStart w:id="329" w:name="_Toc14749"/>
      <w:r>
        <w:rPr>
          <w:rFonts w:hint="eastAsia" w:asciiTheme="minorEastAsia" w:hAnsiTheme="minorEastAsia" w:eastAsiaTheme="minorEastAsia" w:cstheme="minorEastAsia"/>
          <w:b/>
          <w:bCs w:val="0"/>
          <w:color w:val="auto"/>
          <w:kern w:val="2"/>
          <w:sz w:val="24"/>
          <w:szCs w:val="24"/>
          <w:highlight w:val="none"/>
          <w:lang w:val="en-US" w:eastAsia="zh-CN" w:bidi="ar-SA"/>
        </w:rPr>
        <w:t>附件13  其他资料</w:t>
      </w:r>
      <w:bookmarkEnd w:id="327"/>
      <w:bookmarkEnd w:id="328"/>
    </w:p>
    <w:p w14:paraId="5D9828D2">
      <w:pPr>
        <w:jc w:val="center"/>
        <w:rPr>
          <w:rFonts w:hint="eastAsia" w:asciiTheme="minorEastAsia" w:hAnsiTheme="minorEastAsia" w:eastAsiaTheme="minorEastAsia" w:cstheme="minorEastAsia"/>
          <w:b w:val="0"/>
          <w:bCs/>
          <w:color w:val="auto"/>
          <w:kern w:val="2"/>
          <w:sz w:val="24"/>
          <w:szCs w:val="24"/>
          <w:highlight w:val="none"/>
          <w:lang w:val="en-US" w:eastAsia="zh-CN" w:bidi="ar-SA"/>
        </w:rPr>
      </w:pPr>
      <w:r>
        <w:rPr>
          <w:rFonts w:hint="eastAsia" w:asciiTheme="minorEastAsia" w:hAnsiTheme="minorEastAsia" w:eastAsiaTheme="minorEastAsia" w:cstheme="minorEastAsia"/>
          <w:b w:val="0"/>
          <w:bCs/>
          <w:color w:val="auto"/>
          <w:kern w:val="2"/>
          <w:sz w:val="24"/>
          <w:szCs w:val="24"/>
          <w:highlight w:val="none"/>
          <w:lang w:val="en-US" w:eastAsia="zh-CN" w:bidi="ar-SA"/>
        </w:rPr>
        <w:t>内容、格式自拟</w:t>
      </w:r>
    </w:p>
    <w:p w14:paraId="2F7EC1B7">
      <w:pPr>
        <w:pStyle w:val="56"/>
        <w:rPr>
          <w:rFonts w:hint="eastAsia" w:asciiTheme="minorEastAsia" w:hAnsiTheme="minorEastAsia" w:eastAsiaTheme="minorEastAsia" w:cstheme="minorEastAsia"/>
          <w:b w:val="0"/>
          <w:bCs/>
          <w:color w:val="auto"/>
          <w:kern w:val="2"/>
          <w:sz w:val="24"/>
          <w:szCs w:val="24"/>
          <w:highlight w:val="none"/>
          <w:lang w:val="en-US" w:eastAsia="zh-CN" w:bidi="ar-SA"/>
        </w:rPr>
      </w:pPr>
    </w:p>
    <w:p w14:paraId="6B685FCF">
      <w:pPr>
        <w:pStyle w:val="57"/>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包含但不限于以下资料：</w:t>
      </w:r>
    </w:p>
    <w:p w14:paraId="41F815AC">
      <w:pPr>
        <w:pStyle w:val="57"/>
        <w:numPr>
          <w:ilvl w:val="0"/>
          <w:numId w:val="11"/>
        </w:num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招标文件要求提供的其他资料；</w:t>
      </w:r>
    </w:p>
    <w:p w14:paraId="41CEC79E">
      <w:pPr>
        <w:pStyle w:val="57"/>
        <w:numPr>
          <w:ilvl w:val="0"/>
          <w:numId w:val="11"/>
        </w:num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投标人认为有必要提交的其他资料。</w:t>
      </w:r>
      <w:bookmarkEnd w:id="329"/>
    </w:p>
    <w:p w14:paraId="2C66C365">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2BC8066F">
      <w:pPr>
        <w:pStyle w:val="2"/>
        <w:spacing w:line="360" w:lineRule="auto"/>
        <w:ind w:left="0" w:firstLine="0"/>
        <w:jc w:val="center"/>
        <w:rPr>
          <w:rFonts w:ascii="黑体" w:hAnsi="黑体" w:eastAsia="黑体"/>
          <w:b/>
          <w:color w:val="000000" w:themeColor="text1"/>
          <w:sz w:val="36"/>
          <w:szCs w:val="36"/>
          <w:highlight w:val="none"/>
          <w14:textFill>
            <w14:solidFill>
              <w14:schemeClr w14:val="tx1"/>
            </w14:solidFill>
          </w14:textFill>
        </w:rPr>
      </w:pPr>
      <w:bookmarkStart w:id="330" w:name="_Toc30965"/>
      <w:bookmarkStart w:id="331" w:name="_Toc21813"/>
      <w:bookmarkStart w:id="332" w:name="_Toc7598"/>
      <w:bookmarkStart w:id="333" w:name="_Toc141382847"/>
      <w:r>
        <w:rPr>
          <w:rFonts w:hint="eastAsia" w:ascii="黑体" w:hAnsi="黑体" w:eastAsia="黑体"/>
          <w:b/>
          <w:color w:val="000000" w:themeColor="text1"/>
          <w:sz w:val="36"/>
          <w:szCs w:val="36"/>
          <w:highlight w:val="none"/>
          <w14:textFill>
            <w14:solidFill>
              <w14:schemeClr w14:val="tx1"/>
            </w14:solidFill>
          </w14:textFill>
        </w:rPr>
        <w:t>第七章 其它</w:t>
      </w:r>
      <w:bookmarkEnd w:id="330"/>
      <w:bookmarkEnd w:id="331"/>
      <w:bookmarkEnd w:id="332"/>
      <w:bookmarkEnd w:id="333"/>
    </w:p>
    <w:p w14:paraId="3E3575B0">
      <w:pPr>
        <w:snapToGrid w:val="0"/>
        <w:spacing w:after="120" w:afterLines="50"/>
        <w:rPr>
          <w:rFonts w:ascii="宋体" w:hAnsi="宋体" w:cs="宋体"/>
          <w:color w:val="000000" w:themeColor="text1"/>
          <w:highlight w:val="none"/>
          <w14:textFill>
            <w14:solidFill>
              <w14:schemeClr w14:val="tx1"/>
            </w14:solidFill>
          </w14:textFill>
        </w:rPr>
      </w:pPr>
    </w:p>
    <w:p w14:paraId="276A9C6B">
      <w:pPr>
        <w:autoSpaceDE w:val="0"/>
        <w:autoSpaceDN w:val="0"/>
        <w:adjustRightInd w:val="0"/>
        <w:jc w:val="center"/>
        <w:rPr>
          <w:rFonts w:ascii="宋体" w:hAnsi="宋体" w:cs="宋体"/>
          <w:b/>
          <w:bCs/>
          <w:color w:val="000000" w:themeColor="text1"/>
          <w:kern w:val="0"/>
          <w:sz w:val="36"/>
          <w:szCs w:val="36"/>
          <w:highlight w:val="none"/>
          <w14:textFill>
            <w14:solidFill>
              <w14:schemeClr w14:val="tx1"/>
            </w14:solidFill>
          </w14:textFill>
        </w:rPr>
      </w:pPr>
      <w:r>
        <w:rPr>
          <w:rFonts w:hint="eastAsia" w:ascii="宋体" w:hAnsi="宋体" w:cs="宋体"/>
          <w:b/>
          <w:bCs/>
          <w:color w:val="000000" w:themeColor="text1"/>
          <w:kern w:val="0"/>
          <w:sz w:val="36"/>
          <w:szCs w:val="36"/>
          <w:highlight w:val="none"/>
          <w14:textFill>
            <w14:solidFill>
              <w14:schemeClr w14:val="tx1"/>
            </w14:solidFill>
          </w14:textFill>
        </w:rPr>
        <w:t>质疑函范本</w:t>
      </w:r>
    </w:p>
    <w:p w14:paraId="7CDA8877">
      <w:pPr>
        <w:adjustRightInd w:val="0"/>
        <w:snapToGrid w:val="0"/>
        <w:spacing w:before="240" w:beforeLines="10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一、质疑供应商基本信息</w:t>
      </w:r>
    </w:p>
    <w:p w14:paraId="0706B4C3">
      <w:pPr>
        <w:adjustRightInd w:val="0"/>
        <w:snapToGrid w:val="0"/>
        <w:spacing w:line="360" w:lineRule="auto"/>
        <w:rPr>
          <w:rFonts w:ascii="宋体" w:hAnsi="宋体" w:cs="宋体"/>
          <w:color w:val="000000" w:themeColor="text1"/>
          <w:sz w:val="24"/>
          <w:highlight w:val="none"/>
          <w:u w:val="dotted"/>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质疑供应商：</w:t>
      </w:r>
      <w:r>
        <w:rPr>
          <w:rFonts w:hint="eastAsia" w:ascii="宋体" w:hAnsi="宋体" w:cs="宋体"/>
          <w:color w:val="000000" w:themeColor="text1"/>
          <w:sz w:val="24"/>
          <w:highlight w:val="none"/>
          <w:u w:val="dotted"/>
          <w14:textFill>
            <w14:solidFill>
              <w14:schemeClr w14:val="tx1"/>
            </w14:solidFill>
          </w14:textFill>
        </w:rPr>
        <w:t xml:space="preserve">                                        </w:t>
      </w:r>
    </w:p>
    <w:p w14:paraId="0AC32BFE">
      <w:pPr>
        <w:adjustRightInd w:val="0"/>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w:t>
      </w:r>
      <w:r>
        <w:rPr>
          <w:rFonts w:hint="eastAsia" w:ascii="宋体" w:hAnsi="宋体" w:cs="宋体"/>
          <w:color w:val="000000" w:themeColor="text1"/>
          <w:sz w:val="24"/>
          <w:highlight w:val="none"/>
          <w:u w:val="dotted"/>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邮编：</w:t>
      </w:r>
      <w:r>
        <w:rPr>
          <w:rFonts w:hint="eastAsia" w:ascii="宋体" w:hAnsi="宋体" w:cs="宋体"/>
          <w:color w:val="000000" w:themeColor="text1"/>
          <w:sz w:val="24"/>
          <w:highlight w:val="none"/>
          <w:u w:val="dotted"/>
          <w14:textFill>
            <w14:solidFill>
              <w14:schemeClr w14:val="tx1"/>
            </w14:solidFill>
          </w14:textFill>
        </w:rPr>
        <w:t xml:space="preserve">                                          </w:t>
      </w:r>
    </w:p>
    <w:p w14:paraId="2256227A">
      <w:pPr>
        <w:adjustRightInd w:val="0"/>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w:t>
      </w:r>
      <w:r>
        <w:rPr>
          <w:rFonts w:hint="eastAsia" w:ascii="宋体" w:hAnsi="宋体" w:cs="宋体"/>
          <w:color w:val="000000" w:themeColor="text1"/>
          <w:sz w:val="24"/>
          <w:highlight w:val="none"/>
          <w:u w:val="dotted"/>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联系电话：</w:t>
      </w:r>
      <w:r>
        <w:rPr>
          <w:rFonts w:hint="eastAsia" w:ascii="宋体" w:hAnsi="宋体" w:cs="宋体"/>
          <w:color w:val="000000" w:themeColor="text1"/>
          <w:sz w:val="24"/>
          <w:highlight w:val="none"/>
          <w:u w:val="dotted"/>
          <w14:textFill>
            <w14:solidFill>
              <w14:schemeClr w14:val="tx1"/>
            </w14:solidFill>
          </w14:textFill>
        </w:rPr>
        <w:t xml:space="preserve">                              </w:t>
      </w:r>
    </w:p>
    <w:p w14:paraId="33FE3E9B">
      <w:pPr>
        <w:adjustRightInd w:val="0"/>
        <w:snapToGrid w:val="0"/>
        <w:spacing w:line="360" w:lineRule="auto"/>
        <w:rPr>
          <w:rFonts w:ascii="宋体" w:hAnsi="宋体" w:cs="宋体"/>
          <w:color w:val="000000" w:themeColor="text1"/>
          <w:sz w:val="24"/>
          <w:highlight w:val="none"/>
          <w:u w:val="dotted"/>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授权代表：</w:t>
      </w:r>
      <w:r>
        <w:rPr>
          <w:rFonts w:hint="eastAsia" w:ascii="宋体" w:hAnsi="宋体" w:cs="宋体"/>
          <w:color w:val="000000" w:themeColor="text1"/>
          <w:sz w:val="24"/>
          <w:highlight w:val="none"/>
          <w:u w:val="dotted"/>
          <w14:textFill>
            <w14:solidFill>
              <w14:schemeClr w14:val="tx1"/>
            </w14:solidFill>
          </w14:textFill>
        </w:rPr>
        <w:t xml:space="preserve">                                          </w:t>
      </w:r>
    </w:p>
    <w:p w14:paraId="1A7826FD">
      <w:pPr>
        <w:adjustRightInd w:val="0"/>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w:t>
      </w:r>
      <w:r>
        <w:rPr>
          <w:rFonts w:hint="eastAsia" w:ascii="宋体" w:hAnsi="宋体" w:cs="宋体"/>
          <w:color w:val="000000" w:themeColor="text1"/>
          <w:sz w:val="24"/>
          <w:highlight w:val="none"/>
          <w:u w:val="dotted"/>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5A3BB608">
      <w:pPr>
        <w:adjustRightInd w:val="0"/>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w:t>
      </w:r>
      <w:r>
        <w:rPr>
          <w:rFonts w:hint="eastAsia" w:ascii="宋体" w:hAnsi="宋体" w:cs="宋体"/>
          <w:color w:val="000000" w:themeColor="text1"/>
          <w:sz w:val="24"/>
          <w:highlight w:val="none"/>
          <w:u w:val="dotted"/>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邮编：</w:t>
      </w:r>
      <w:r>
        <w:rPr>
          <w:rFonts w:hint="eastAsia" w:ascii="宋体" w:hAnsi="宋体" w:cs="宋体"/>
          <w:color w:val="000000" w:themeColor="text1"/>
          <w:sz w:val="24"/>
          <w:highlight w:val="none"/>
          <w:u w:val="dotted"/>
          <w14:textFill>
            <w14:solidFill>
              <w14:schemeClr w14:val="tx1"/>
            </w14:solidFill>
          </w14:textFill>
        </w:rPr>
        <w:t xml:space="preserve">                                          </w:t>
      </w:r>
    </w:p>
    <w:p w14:paraId="5162B193">
      <w:pPr>
        <w:adjustRightInd w:val="0"/>
        <w:snapToGrid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二、质疑项目基本情况</w:t>
      </w:r>
    </w:p>
    <w:p w14:paraId="1FA6431A">
      <w:pPr>
        <w:adjustRightInd w:val="0"/>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质疑项目的名称：</w:t>
      </w:r>
      <w:r>
        <w:rPr>
          <w:rFonts w:hint="eastAsia" w:ascii="宋体" w:hAnsi="宋体" w:cs="宋体"/>
          <w:color w:val="000000" w:themeColor="text1"/>
          <w:sz w:val="24"/>
          <w:highlight w:val="none"/>
          <w:u w:val="dotted"/>
          <w14:textFill>
            <w14:solidFill>
              <w14:schemeClr w14:val="tx1"/>
            </w14:solidFill>
          </w14:textFill>
        </w:rPr>
        <w:t xml:space="preserve">                                      </w:t>
      </w:r>
    </w:p>
    <w:p w14:paraId="43850405">
      <w:pPr>
        <w:adjustRightInd w:val="0"/>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质疑项目的编号：</w:t>
      </w:r>
      <w:r>
        <w:rPr>
          <w:rFonts w:hint="eastAsia" w:ascii="宋体" w:hAnsi="宋体" w:cs="宋体"/>
          <w:color w:val="000000" w:themeColor="text1"/>
          <w:sz w:val="24"/>
          <w:highlight w:val="none"/>
          <w:u w:val="dotted"/>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包号：</w:t>
      </w:r>
      <w:r>
        <w:rPr>
          <w:rFonts w:hint="eastAsia" w:ascii="宋体" w:hAnsi="宋体" w:cs="宋体"/>
          <w:color w:val="000000" w:themeColor="text1"/>
          <w:sz w:val="24"/>
          <w:highlight w:val="none"/>
          <w:u w:val="dotted"/>
          <w14:textFill>
            <w14:solidFill>
              <w14:schemeClr w14:val="tx1"/>
            </w14:solidFill>
          </w14:textFill>
        </w:rPr>
        <w:t xml:space="preserve">                 </w:t>
      </w:r>
    </w:p>
    <w:p w14:paraId="6EFEC564">
      <w:pPr>
        <w:adjustRightInd w:val="0"/>
        <w:snapToGrid w:val="0"/>
        <w:spacing w:line="360" w:lineRule="auto"/>
        <w:rPr>
          <w:rFonts w:ascii="宋体" w:hAnsi="宋体" w:cs="宋体"/>
          <w:color w:val="000000" w:themeColor="text1"/>
          <w:sz w:val="24"/>
          <w:highlight w:val="none"/>
          <w:u w:val="dotted"/>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采购人名称：</w:t>
      </w:r>
      <w:r>
        <w:rPr>
          <w:rFonts w:hint="eastAsia" w:ascii="宋体" w:hAnsi="宋体" w:cs="宋体"/>
          <w:color w:val="000000" w:themeColor="text1"/>
          <w:sz w:val="24"/>
          <w:highlight w:val="none"/>
          <w:u w:val="dotted"/>
          <w14:textFill>
            <w14:solidFill>
              <w14:schemeClr w14:val="tx1"/>
            </w14:solidFill>
          </w14:textFill>
        </w:rPr>
        <w:t xml:space="preserve">                                         </w:t>
      </w:r>
    </w:p>
    <w:p w14:paraId="61B7F0B8">
      <w:pPr>
        <w:adjustRightInd w:val="0"/>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采购文件获取日期：</w:t>
      </w:r>
      <w:r>
        <w:rPr>
          <w:rFonts w:hint="eastAsia" w:ascii="宋体" w:hAnsi="宋体" w:cs="宋体"/>
          <w:color w:val="000000" w:themeColor="text1"/>
          <w:sz w:val="24"/>
          <w:highlight w:val="none"/>
          <w:u w:val="dotted"/>
          <w14:textFill>
            <w14:solidFill>
              <w14:schemeClr w14:val="tx1"/>
            </w14:solidFill>
          </w14:textFill>
        </w:rPr>
        <w:t xml:space="preserve">                                           </w:t>
      </w:r>
    </w:p>
    <w:p w14:paraId="1B61E1D2">
      <w:pPr>
        <w:adjustRightInd w:val="0"/>
        <w:snapToGrid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三、质疑事项具体内容</w:t>
      </w:r>
    </w:p>
    <w:p w14:paraId="5B444812">
      <w:pPr>
        <w:adjustRightInd w:val="0"/>
        <w:snapToGrid w:val="0"/>
        <w:spacing w:line="360" w:lineRule="auto"/>
        <w:rPr>
          <w:rFonts w:ascii="宋体" w:hAnsi="宋体" w:cs="宋体"/>
          <w:color w:val="000000" w:themeColor="text1"/>
          <w:sz w:val="24"/>
          <w:highlight w:val="none"/>
          <w:u w:val="dotted"/>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质疑事项1：</w:t>
      </w:r>
      <w:r>
        <w:rPr>
          <w:rFonts w:hint="eastAsia" w:ascii="宋体" w:hAnsi="宋体" w:cs="宋体"/>
          <w:color w:val="000000" w:themeColor="text1"/>
          <w:sz w:val="24"/>
          <w:highlight w:val="none"/>
          <w:u w:val="dotted"/>
          <w14:textFill>
            <w14:solidFill>
              <w14:schemeClr w14:val="tx1"/>
            </w14:solidFill>
          </w14:textFill>
        </w:rPr>
        <w:t xml:space="preserve">                                         </w:t>
      </w:r>
    </w:p>
    <w:p w14:paraId="732833D2">
      <w:pPr>
        <w:adjustRightInd w:val="0"/>
        <w:snapToGrid w:val="0"/>
        <w:spacing w:line="360" w:lineRule="auto"/>
        <w:rPr>
          <w:rFonts w:ascii="宋体" w:hAnsi="宋体" w:cs="宋体"/>
          <w:color w:val="000000" w:themeColor="text1"/>
          <w:sz w:val="24"/>
          <w:highlight w:val="none"/>
          <w:u w:val="dotted"/>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事实依据：</w:t>
      </w:r>
      <w:r>
        <w:rPr>
          <w:rFonts w:hint="eastAsia" w:ascii="宋体" w:hAnsi="宋体" w:cs="宋体"/>
          <w:color w:val="000000" w:themeColor="text1"/>
          <w:sz w:val="24"/>
          <w:highlight w:val="none"/>
          <w:u w:val="dotted"/>
          <w14:textFill>
            <w14:solidFill>
              <w14:schemeClr w14:val="tx1"/>
            </w14:solidFill>
          </w14:textFill>
        </w:rPr>
        <w:t xml:space="preserve">                                          </w:t>
      </w:r>
    </w:p>
    <w:p w14:paraId="2FAB33B8">
      <w:pPr>
        <w:adjustRightInd w:val="0"/>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dotted"/>
          <w14:textFill>
            <w14:solidFill>
              <w14:schemeClr w14:val="tx1"/>
            </w14:solidFill>
          </w14:textFill>
        </w:rPr>
        <w:t xml:space="preserve">                                                       </w:t>
      </w:r>
    </w:p>
    <w:p w14:paraId="37789CBF">
      <w:pPr>
        <w:adjustRightInd w:val="0"/>
        <w:snapToGrid w:val="0"/>
        <w:spacing w:line="360" w:lineRule="auto"/>
        <w:rPr>
          <w:rFonts w:ascii="宋体" w:hAnsi="宋体" w:cs="宋体"/>
          <w:color w:val="000000" w:themeColor="text1"/>
          <w:sz w:val="24"/>
          <w:highlight w:val="none"/>
          <w:u w:val="dotted"/>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法律依据：</w:t>
      </w:r>
      <w:r>
        <w:rPr>
          <w:rFonts w:hint="eastAsia" w:ascii="宋体" w:hAnsi="宋体" w:cs="宋体"/>
          <w:color w:val="000000" w:themeColor="text1"/>
          <w:sz w:val="24"/>
          <w:highlight w:val="none"/>
          <w:u w:val="dotted"/>
          <w14:textFill>
            <w14:solidFill>
              <w14:schemeClr w14:val="tx1"/>
            </w14:solidFill>
          </w14:textFill>
        </w:rPr>
        <w:t xml:space="preserve">                                          </w:t>
      </w:r>
    </w:p>
    <w:p w14:paraId="7EB5026E">
      <w:pPr>
        <w:adjustRightInd w:val="0"/>
        <w:snapToGrid w:val="0"/>
        <w:spacing w:line="360" w:lineRule="auto"/>
        <w:rPr>
          <w:rFonts w:ascii="宋体" w:hAnsi="宋体" w:cs="宋体"/>
          <w:color w:val="000000" w:themeColor="text1"/>
          <w:sz w:val="24"/>
          <w:highlight w:val="none"/>
          <w:u w:val="dotted"/>
          <w14:textFill>
            <w14:solidFill>
              <w14:schemeClr w14:val="tx1"/>
            </w14:solidFill>
          </w14:textFill>
        </w:rPr>
      </w:pPr>
      <w:r>
        <w:rPr>
          <w:rFonts w:hint="eastAsia" w:ascii="宋体" w:hAnsi="宋体" w:cs="宋体"/>
          <w:color w:val="000000" w:themeColor="text1"/>
          <w:sz w:val="24"/>
          <w:highlight w:val="none"/>
          <w:u w:val="dotted"/>
          <w14:textFill>
            <w14:solidFill>
              <w14:schemeClr w14:val="tx1"/>
            </w14:solidFill>
          </w14:textFill>
        </w:rPr>
        <w:t xml:space="preserve">                                                     </w:t>
      </w:r>
    </w:p>
    <w:p w14:paraId="2AE53E24">
      <w:pPr>
        <w:adjustRightInd w:val="0"/>
        <w:snapToGrid w:val="0"/>
        <w:spacing w:line="360" w:lineRule="auto"/>
        <w:rPr>
          <w:rFonts w:ascii="宋体" w:hAnsi="宋体" w:cs="宋体"/>
          <w:color w:val="000000" w:themeColor="text1"/>
          <w:sz w:val="24"/>
          <w:highlight w:val="none"/>
          <w:u w:val="dotted"/>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质疑事项2</w:t>
      </w:r>
    </w:p>
    <w:p w14:paraId="39F90A9B">
      <w:pPr>
        <w:adjustRightInd w:val="0"/>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p w14:paraId="0128F75E">
      <w:pPr>
        <w:snapToGrid w:val="0"/>
        <w:spacing w:after="120" w:afterLines="5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四、与质疑事项相关的质疑请求</w:t>
      </w:r>
    </w:p>
    <w:p w14:paraId="51983B0E">
      <w:pPr>
        <w:adjustRightInd w:val="0"/>
        <w:snapToGrid w:val="0"/>
        <w:spacing w:line="360" w:lineRule="auto"/>
        <w:rPr>
          <w:rFonts w:ascii="宋体" w:hAnsi="宋体" w:cs="宋体"/>
          <w:color w:val="000000" w:themeColor="text1"/>
          <w:sz w:val="24"/>
          <w:highlight w:val="none"/>
          <w:u w:val="dotted"/>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请求：</w:t>
      </w:r>
      <w:r>
        <w:rPr>
          <w:rFonts w:hint="eastAsia" w:ascii="宋体" w:hAnsi="宋体" w:cs="宋体"/>
          <w:color w:val="000000" w:themeColor="text1"/>
          <w:sz w:val="24"/>
          <w:highlight w:val="none"/>
          <w:u w:val="dotted"/>
          <w14:textFill>
            <w14:solidFill>
              <w14:schemeClr w14:val="tx1"/>
            </w14:solidFill>
          </w14:textFill>
        </w:rPr>
        <w:t xml:space="preserve">                                               </w:t>
      </w:r>
    </w:p>
    <w:p w14:paraId="0E3CA10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签字(签章)：                   公章：                      </w:t>
      </w:r>
    </w:p>
    <w:p w14:paraId="29E9B5A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w:t>
      </w:r>
    </w:p>
    <w:p w14:paraId="54B4CA90">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r>
        <w:rPr>
          <w:rFonts w:hint="eastAsia" w:ascii="宋体" w:hAnsi="宋体" w:cs="宋体"/>
          <w:bCs/>
          <w:color w:val="000000" w:themeColor="text1"/>
          <w:sz w:val="24"/>
          <w:highlight w:val="none"/>
          <w14:textFill>
            <w14:solidFill>
              <w14:schemeClr w14:val="tx1"/>
            </w14:solidFill>
          </w14:textFill>
        </w:rPr>
        <w:t>质疑函制作说明：</w:t>
      </w:r>
    </w:p>
    <w:p w14:paraId="0A8F2E7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1.供应商提出质疑时，应提交质疑函和必要的证明材料。</w:t>
      </w:r>
    </w:p>
    <w:p w14:paraId="051C2C6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2.质疑供应商若委托代理人进行质疑的，质疑函应按要求列明“授权代表”的有关内容，并在附件中提交由质疑</w:t>
      </w:r>
      <w:r>
        <w:rPr>
          <w:rFonts w:hint="eastAsia" w:ascii="宋体" w:hAnsi="宋体" w:cs="宋体"/>
          <w:bCs/>
          <w:color w:val="000000" w:themeColor="text1"/>
          <w:kern w:val="0"/>
          <w:sz w:val="24"/>
          <w:highlight w:val="none"/>
          <w14:textFill>
            <w14:solidFill>
              <w14:schemeClr w14:val="tx1"/>
            </w14:solidFill>
          </w14:textFill>
        </w:rPr>
        <w:t>供应商签署的授权委托书。授权委托书应载明代理人的姓名或者名称、代理事项、具体权限、期限和相关事项。</w:t>
      </w:r>
    </w:p>
    <w:p w14:paraId="617C007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3.质疑供应商若对项目的某一分包进行质疑，质疑函中应列明具体分包号。</w:t>
      </w:r>
    </w:p>
    <w:p w14:paraId="3775F6B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4.质疑函的质疑事项应具体、明确，并有必要的事实依据和法律依据。</w:t>
      </w:r>
    </w:p>
    <w:p w14:paraId="63A208A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5.质疑函的质疑请求应与质疑事项相关。</w:t>
      </w:r>
    </w:p>
    <w:p w14:paraId="1B90E92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6858E95A">
      <w:pPr>
        <w:widowControl/>
        <w:ind w:firstLine="480" w:firstLineChars="200"/>
        <w:jc w:val="left"/>
        <w:rPr>
          <w:rFonts w:ascii="仿宋_GB2312" w:eastAsia="仿宋_GB2312"/>
          <w:color w:val="000000" w:themeColor="text1"/>
          <w:sz w:val="24"/>
          <w:highlight w:val="none"/>
          <w14:textFill>
            <w14:solidFill>
              <w14:schemeClr w14:val="tx1"/>
            </w14:solidFill>
          </w14:textFill>
        </w:rPr>
      </w:pPr>
    </w:p>
    <w:p w14:paraId="18B85D3F">
      <w:pPr>
        <w:snapToGrid w:val="0"/>
        <w:spacing w:after="120" w:afterLines="50"/>
        <w:rPr>
          <w:color w:val="000000" w:themeColor="text1"/>
          <w:sz w:val="24"/>
          <w:highlight w:val="none"/>
          <w14:textFill>
            <w14:solidFill>
              <w14:schemeClr w14:val="tx1"/>
            </w14:solidFill>
          </w14:textFill>
        </w:rPr>
      </w:pPr>
    </w:p>
    <w:p w14:paraId="262D63D5">
      <w:pPr>
        <w:snapToGrid w:val="0"/>
        <w:spacing w:after="120" w:afterLines="50"/>
        <w:rPr>
          <w:color w:val="000000" w:themeColor="text1"/>
          <w:highlight w:val="none"/>
          <w14:textFill>
            <w14:solidFill>
              <w14:schemeClr w14:val="tx1"/>
            </w14:solidFill>
          </w14:textFill>
        </w:rPr>
      </w:pPr>
    </w:p>
    <w:p w14:paraId="4445505B">
      <w:pPr>
        <w:pStyle w:val="56"/>
        <w:rPr>
          <w:rFonts w:hint="eastAsia"/>
          <w:lang w:val="en-US" w:eastAsia="zh-CN"/>
        </w:rPr>
      </w:pPr>
    </w:p>
    <w:sectPr>
      <w:footerReference r:id="rId11" w:type="default"/>
      <w:pgSz w:w="11906" w:h="16838"/>
      <w:pgMar w:top="1587" w:right="1417" w:bottom="1417" w:left="1587" w:header="1020"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modern"/>
    <w:pitch w:val="default"/>
    <w:sig w:usb0="E00002FF" w:usb1="400004FF" w:usb2="00000000" w:usb3="00000000" w:csb0="2000019F"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Univers">
    <w:panose1 w:val="020B060302020203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Tms Rmn">
    <w:altName w:val="Segoe Print"/>
    <w:panose1 w:val="02020603040505020304"/>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PMingLiU">
    <w:panose1 w:val="02020500000000000000"/>
    <w:charset w:val="88"/>
    <w:family w:val="auto"/>
    <w:pitch w:val="default"/>
    <w:sig w:usb0="A00002FF" w:usb1="28CFFCFA" w:usb2="00000016" w:usb3="00000000" w:csb0="00100001" w:csb1="00000000"/>
  </w:font>
  <w:font w:name="仿宋_GB2312">
    <w:panose1 w:val="02010609030101010101"/>
    <w:charset w:val="86"/>
    <w:family w:val="auto"/>
    <w:pitch w:val="default"/>
    <w:sig w:usb0="00000001" w:usb1="080E0000" w:usb2="00000000" w:usb3="00000000" w:csb0="00040000" w:csb1="00000000"/>
  </w:font>
  <w:font w:name="Verdana">
    <w:panose1 w:val="020B0604030504040204"/>
    <w:charset w:val="00"/>
    <w:family w:val="auto"/>
    <w:pitch w:val="default"/>
    <w:sig w:usb0="A10006FF" w:usb1="4000205B" w:usb2="00000010" w:usb3="00000000" w:csb0="2000019F" w:csb1="00000000"/>
  </w:font>
  <w:font w:name="MS Gothic">
    <w:panose1 w:val="020B0609070205080204"/>
    <w:charset w:val="80"/>
    <w:family w:val="auto"/>
    <w:pitch w:val="default"/>
    <w:sig w:usb0="E00002FF" w:usb1="6AC7FDFB" w:usb2="00000012" w:usb3="00000000" w:csb0="4002009F" w:csb1="DFD70000"/>
  </w:font>
  <w:font w:name="Century">
    <w:panose1 w:val="02040604050505020304"/>
    <w:charset w:val="00"/>
    <w:family w:val="auto"/>
    <w:pitch w:val="default"/>
    <w:sig w:usb0="00000287" w:usb1="00000000" w:usb2="00000000" w:usb3="00000000" w:csb0="2000009F" w:csb1="DFD70000"/>
  </w:font>
  <w:font w:name="微软雅黑">
    <w:panose1 w:val="020B0503020204020204"/>
    <w:charset w:val="86"/>
    <w:family w:val="auto"/>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 w:name="Malgun Gothic">
    <w:panose1 w:val="020B0503020000020004"/>
    <w:charset w:val="81"/>
    <w:family w:val="swiss"/>
    <w:pitch w:val="default"/>
    <w:sig w:usb0="900002AF" w:usb1="01D77CFB" w:usb2="00000012" w:usb3="00000000" w:csb0="00080001" w:csb1="00000000"/>
  </w:font>
  <w:font w:name="方正仿宋_GBK">
    <w:altName w:val="Arial Unicode MS"/>
    <w:panose1 w:val="03000509000000000000"/>
    <w:charset w:val="86"/>
    <w:family w:val="script"/>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imesNewRomanPSMT">
    <w:altName w:val="Times New Roman"/>
    <w:panose1 w:val="02020503050405090304"/>
    <w:charset w:val="00"/>
    <w:family w:val="auto"/>
    <w:pitch w:val="default"/>
    <w:sig w:usb0="00000000" w:usb1="00000000" w:usb2="00000001" w:usb3="00000000" w:csb0="400001BF" w:csb1="DFF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1D27E">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6F09B0">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86F09B0">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226E8">
    <w:pPr>
      <w:pStyle w:val="30"/>
      <w:ind w:firstLine="90" w:firstLineChars="5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B380E7">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7B380E7">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E5770">
    <w:pPr>
      <w:spacing w:line="176" w:lineRule="auto"/>
      <w:ind w:left="4742"/>
      <w:rPr>
        <w:rFonts w:eastAsia="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0C86E3">
                          <w:pPr>
                            <w:pStyle w:val="30"/>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E0C86E3">
                    <w:pPr>
                      <w:pStyle w:val="30"/>
                    </w:pPr>
                    <w:r>
                      <w:fldChar w:fldCharType="begin"/>
                    </w:r>
                    <w:r>
                      <w:instrText xml:space="preserve"> PAGE  \* MERGEFORMAT </w:instrText>
                    </w:r>
                    <w:r>
                      <w:fldChar w:fldCharType="separate"/>
                    </w:r>
                    <w:r>
                      <w:t>8</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6F7C23">
                          <w:pPr>
                            <w:pStyle w:val="3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416F7C23">
                    <w:pPr>
                      <w:pStyle w:val="30"/>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3C240">
    <w:pPr>
      <w:pStyle w:val="30"/>
      <w:ind w:right="360"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8047A">
                          <w:pPr>
                            <w:pStyle w:val="30"/>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BC8047A">
                    <w:pPr>
                      <w:pStyle w:val="30"/>
                    </w:pPr>
                    <w:r>
                      <w:fldChar w:fldCharType="begin"/>
                    </w:r>
                    <w:r>
                      <w:instrText xml:space="preserve"> PAGE  \* MERGEFORMAT </w:instrText>
                    </w:r>
                    <w:r>
                      <w:fldChar w:fldCharType="separate"/>
                    </w:r>
                    <w:r>
                      <w:t>40</w:t>
                    </w:r>
                    <w:r>
                      <w:fldChar w:fldCharType="end"/>
                    </w:r>
                  </w:p>
                </w:txbxContent>
              </v:textbox>
            </v:shape>
          </w:pict>
        </mc:Fallback>
      </mc:AlternateContent>
    </w:r>
  </w:p>
  <w:p w14:paraId="481C1E81">
    <w:pPr>
      <w:pStyle w:val="30"/>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E4DE4">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01200759">
    <w:pPr>
      <w:pStyle w:val="3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39EB9">
    <w:pPr>
      <w:pStyle w:val="30"/>
      <w:ind w:firstLine="90" w:firstLineChars="5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D68DF1">
                          <w:pPr>
                            <w:pStyle w:val="30"/>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FD68DF1">
                    <w:pPr>
                      <w:pStyle w:val="30"/>
                    </w:pPr>
                    <w:r>
                      <w:fldChar w:fldCharType="begin"/>
                    </w:r>
                    <w:r>
                      <w:instrText xml:space="preserve"> PAGE  \* MERGEFORMAT </w:instrText>
                    </w:r>
                    <w:r>
                      <w:fldChar w:fldCharType="separate"/>
                    </w:r>
                    <w:r>
                      <w:t>50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06AD9">
    <w:pPr>
      <w:pStyle w:val="31"/>
      <w:pBdr>
        <w:bottom w:val="none" w:color="auto" w:sz="0" w:space="1"/>
      </w:pBdr>
      <w:tabs>
        <w:tab w:val="left" w:pos="1407"/>
        <w:tab w:val="clear" w:pos="4153"/>
      </w:tabs>
      <w:jc w:val="left"/>
      <w:rPr>
        <w:rFonts w:hint="default" w:eastAsia="宋体"/>
        <w:sz w:val="18"/>
        <w:szCs w:val="18"/>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E9192">
    <w:pPr>
      <w:pStyle w:val="31"/>
      <w:pBdr>
        <w:bottom w:val="none" w:color="auto" w:sz="0" w:space="1"/>
      </w:pBdr>
      <w:jc w:val="left"/>
      <w:rPr>
        <w:rFonts w:hint="default" w:eastAsia="宋体"/>
        <w:sz w:val="18"/>
        <w:szCs w:val="18"/>
        <w:u w:val="single"/>
        <w:lang w:val="en-US" w:eastAsia="zh-CN"/>
      </w:rPr>
    </w:pPr>
    <w:r>
      <w:rPr>
        <w:rFonts w:hint="eastAsia"/>
        <w:sz w:val="18"/>
        <w:szCs w:val="18"/>
        <w:u w:val="single"/>
        <w:lang w:val="en-US" w:eastAsia="zh-CN"/>
      </w:rPr>
      <w:t>西南林业大学工会2025至2027年教职工健康体检服务（第一年）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8B44F">
    <w:pPr>
      <w:pStyle w:val="31"/>
      <w:pBdr>
        <w:bottom w:val="none" w:color="auto" w:sz="0" w:space="1"/>
      </w:pBdr>
      <w:jc w:val="left"/>
      <w:rPr>
        <w:rFonts w:hint="default" w:eastAsia="宋体"/>
        <w:sz w:val="18"/>
        <w:szCs w:val="18"/>
        <w:u w:val="single"/>
        <w:lang w:val="en-US" w:eastAsia="zh-CN"/>
      </w:rPr>
    </w:pPr>
    <w:r>
      <w:rPr>
        <w:rFonts w:hint="eastAsia"/>
        <w:sz w:val="18"/>
        <w:szCs w:val="18"/>
        <w:u w:val="single"/>
        <w:lang w:val="en-US" w:eastAsia="zh-CN"/>
      </w:rPr>
      <w:t>西南林业大学工会2025至2027年教职工健康体检服务（第一年）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F850A2"/>
    <w:multiLevelType w:val="singleLevel"/>
    <w:tmpl w:val="A3F850A2"/>
    <w:lvl w:ilvl="0" w:tentative="0">
      <w:start w:val="1"/>
      <w:numFmt w:val="chineseCounting"/>
      <w:suff w:val="nothing"/>
      <w:lvlText w:val="（%1）"/>
      <w:lvlJc w:val="left"/>
      <w:pPr>
        <w:ind w:left="0" w:firstLine="420"/>
      </w:pPr>
      <w:rPr>
        <w:rFonts w:hint="eastAsia"/>
      </w:rPr>
    </w:lvl>
  </w:abstractNum>
  <w:abstractNum w:abstractNumId="1">
    <w:nsid w:val="C6C3DFEB"/>
    <w:multiLevelType w:val="singleLevel"/>
    <w:tmpl w:val="C6C3DFEB"/>
    <w:lvl w:ilvl="0" w:tentative="0">
      <w:start w:val="1"/>
      <w:numFmt w:val="decimal"/>
      <w:suff w:val="nothing"/>
      <w:lvlText w:val="%1、"/>
      <w:lvlJc w:val="left"/>
    </w:lvl>
  </w:abstractNum>
  <w:abstractNum w:abstractNumId="2">
    <w:nsid w:val="0000000A"/>
    <w:multiLevelType w:val="multilevel"/>
    <w:tmpl w:val="0000000A"/>
    <w:lvl w:ilvl="0" w:tentative="0">
      <w:start w:val="1"/>
      <w:numFmt w:val="decimal"/>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3">
    <w:nsid w:val="0000000C"/>
    <w:multiLevelType w:val="multilevel"/>
    <w:tmpl w:val="0000000C"/>
    <w:lvl w:ilvl="0" w:tentative="0">
      <w:start w:val="1"/>
      <w:numFmt w:val="decimal"/>
      <w:lvlText w:val="%1"/>
      <w:lvlJc w:val="left"/>
      <w:pPr>
        <w:tabs>
          <w:tab w:val="left" w:pos="1134"/>
        </w:tabs>
        <w:ind w:left="1134" w:hanging="1134"/>
      </w:pPr>
      <w:rPr>
        <w:rFonts w:hint="eastAsia" w:ascii="宋体" w:eastAsia="宋体"/>
        <w:sz w:val="24"/>
        <w:szCs w:val="24"/>
      </w:rPr>
    </w:lvl>
    <w:lvl w:ilvl="1" w:tentative="0">
      <w:start w:val="1"/>
      <w:numFmt w:val="decimal"/>
      <w:lvlText w:val="%1.%2"/>
      <w:lvlJc w:val="left"/>
      <w:pPr>
        <w:tabs>
          <w:tab w:val="left" w:pos="1134"/>
        </w:tabs>
        <w:ind w:left="1134" w:hanging="1134"/>
      </w:pPr>
      <w:rPr>
        <w:rFonts w:hint="eastAsia" w:ascii="宋体" w:eastAsia="宋体"/>
        <w:color w:val="auto"/>
      </w:rPr>
    </w:lvl>
    <w:lvl w:ilvl="2" w:tentative="0">
      <w:start w:val="1"/>
      <w:numFmt w:val="decimal"/>
      <w:lvlText w:val="%1.%2.%3"/>
      <w:lvlJc w:val="left"/>
      <w:pPr>
        <w:tabs>
          <w:tab w:val="left" w:pos="1134"/>
        </w:tabs>
        <w:ind w:left="1134" w:hanging="1134"/>
      </w:pPr>
      <w:rPr>
        <w:rFonts w:hint="eastAsia" w:ascii="宋体" w:eastAsia="宋体"/>
      </w:rPr>
    </w:lvl>
    <w:lvl w:ilvl="3" w:tentative="0">
      <w:start w:val="1"/>
      <w:numFmt w:val="decimal"/>
      <w:lvlText w:val="%1.%2.%3.%4"/>
      <w:lvlJc w:val="left"/>
      <w:pPr>
        <w:tabs>
          <w:tab w:val="left" w:pos="1021"/>
        </w:tabs>
        <w:ind w:left="1134" w:hanging="1134"/>
      </w:pPr>
      <w:rPr>
        <w:rFonts w:hint="eastAsia"/>
      </w:rPr>
    </w:lvl>
    <w:lvl w:ilvl="4" w:tentative="0">
      <w:start w:val="1"/>
      <w:numFmt w:val="decimal"/>
      <w:lvlText w:val="%1.%2.%3.%4.%5"/>
      <w:lvlJc w:val="left"/>
      <w:pPr>
        <w:tabs>
          <w:tab w:val="left" w:pos="1021"/>
        </w:tabs>
        <w:ind w:left="1134" w:hanging="1134"/>
      </w:pPr>
      <w:rPr>
        <w:rFonts w:hint="eastAsia"/>
      </w:rPr>
    </w:lvl>
    <w:lvl w:ilvl="5" w:tentative="0">
      <w:start w:val="1"/>
      <w:numFmt w:val="decimal"/>
      <w:lvlText w:val="%1.%2.%3.%4.%5.%6."/>
      <w:lvlJc w:val="left"/>
      <w:pPr>
        <w:tabs>
          <w:tab w:val="left" w:pos="1021"/>
        </w:tabs>
        <w:ind w:left="1134" w:hanging="1134"/>
      </w:pPr>
      <w:rPr>
        <w:rFonts w:hint="eastAsia"/>
      </w:rPr>
    </w:lvl>
    <w:lvl w:ilvl="6" w:tentative="0">
      <w:start w:val="1"/>
      <w:numFmt w:val="decimal"/>
      <w:lvlText w:val="%1.%2.%3.%4.%5.%6.%7."/>
      <w:lvlJc w:val="left"/>
      <w:pPr>
        <w:tabs>
          <w:tab w:val="left" w:pos="1021"/>
        </w:tabs>
        <w:ind w:left="1134" w:hanging="1134"/>
      </w:pPr>
      <w:rPr>
        <w:rFonts w:hint="eastAsia"/>
      </w:rPr>
    </w:lvl>
    <w:lvl w:ilvl="7" w:tentative="0">
      <w:start w:val="1"/>
      <w:numFmt w:val="decimal"/>
      <w:lvlText w:val="%1.%2.%3.%4.%5.%6.%7.%8."/>
      <w:lvlJc w:val="left"/>
      <w:pPr>
        <w:tabs>
          <w:tab w:val="left" w:pos="1021"/>
        </w:tabs>
        <w:ind w:left="1134" w:hanging="1134"/>
      </w:pPr>
      <w:rPr>
        <w:rFonts w:hint="eastAsia"/>
      </w:rPr>
    </w:lvl>
    <w:lvl w:ilvl="8" w:tentative="0">
      <w:start w:val="1"/>
      <w:numFmt w:val="decimal"/>
      <w:lvlText w:val="%1.%2.%3.%4.%5.%6.%7.%8.%9."/>
      <w:lvlJc w:val="left"/>
      <w:pPr>
        <w:tabs>
          <w:tab w:val="left" w:pos="1021"/>
        </w:tabs>
        <w:ind w:left="1134" w:hanging="1134"/>
      </w:pPr>
      <w:rPr>
        <w:rFonts w:hint="eastAsia"/>
      </w:rPr>
    </w:lvl>
  </w:abstractNum>
  <w:abstractNum w:abstractNumId="4">
    <w:nsid w:val="00000012"/>
    <w:multiLevelType w:val="multilevel"/>
    <w:tmpl w:val="00000012"/>
    <w:lvl w:ilvl="0" w:tentative="0">
      <w:start w:val="1"/>
      <w:numFmt w:val="decimal"/>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780"/>
        </w:tabs>
        <w:ind w:left="780" w:hanging="360"/>
      </w:pPr>
      <w:rPr>
        <w:rFonts w:hint="default" w:hAnsi="宋体"/>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000001B"/>
    <w:multiLevelType w:val="multilevel"/>
    <w:tmpl w:val="0000001B"/>
    <w:lvl w:ilvl="0" w:tentative="0">
      <w:start w:val="1"/>
      <w:numFmt w:val="decimal"/>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7">
    <w:nsid w:val="0B356899"/>
    <w:multiLevelType w:val="singleLevel"/>
    <w:tmpl w:val="0B356899"/>
    <w:lvl w:ilvl="0" w:tentative="0">
      <w:start w:val="1"/>
      <w:numFmt w:val="decimal"/>
      <w:lvlText w:val="%1."/>
      <w:lvlJc w:val="left"/>
      <w:pPr>
        <w:tabs>
          <w:tab w:val="left" w:pos="312"/>
        </w:tabs>
      </w:pPr>
    </w:lvl>
  </w:abstractNum>
  <w:abstractNum w:abstractNumId="8">
    <w:nsid w:val="181C859C"/>
    <w:multiLevelType w:val="singleLevel"/>
    <w:tmpl w:val="181C859C"/>
    <w:lvl w:ilvl="0" w:tentative="0">
      <w:start w:val="1"/>
      <w:numFmt w:val="chineseCounting"/>
      <w:suff w:val="nothing"/>
      <w:lvlText w:val="%1、"/>
      <w:lvlJc w:val="left"/>
      <w:rPr>
        <w:rFonts w:hint="eastAsia"/>
      </w:rPr>
    </w:lvl>
  </w:abstractNum>
  <w:abstractNum w:abstractNumId="9">
    <w:nsid w:val="2CB7B9DF"/>
    <w:multiLevelType w:val="multilevel"/>
    <w:tmpl w:val="2CB7B9DF"/>
    <w:lvl w:ilvl="0" w:tentative="0">
      <w:start w:val="1"/>
      <w:numFmt w:val="decimal"/>
      <w:pStyle w:val="440"/>
      <w:lvlText w:val=""/>
      <w:lvlJc w:val="left"/>
      <w:pPr>
        <w:tabs>
          <w:tab w:val="left" w:pos="432"/>
        </w:tabs>
        <w:ind w:left="432" w:hanging="432"/>
        <w:textAlignment w:val="baseline"/>
      </w:pPr>
    </w:lvl>
    <w:lvl w:ilvl="1" w:tentative="0">
      <w:start w:val="1"/>
      <w:numFmt w:val="decimal"/>
      <w:lvlText w:val=" "/>
      <w:lvlJc w:val="left"/>
      <w:pPr>
        <w:tabs>
          <w:tab w:val="left" w:pos="576"/>
        </w:tabs>
        <w:ind w:left="576" w:hanging="576"/>
        <w:textAlignment w:val="baseline"/>
      </w:pPr>
    </w:lvl>
    <w:lvl w:ilvl="2" w:tentative="0">
      <w:start w:val="1"/>
      <w:numFmt w:val="decimal"/>
      <w:lvlText w:val=""/>
      <w:lvlJc w:val="left"/>
      <w:pPr>
        <w:tabs>
          <w:tab w:val="left" w:pos="720"/>
        </w:tabs>
        <w:ind w:left="720" w:hanging="720"/>
        <w:textAlignment w:val="baseline"/>
      </w:pPr>
    </w:lvl>
    <w:lvl w:ilvl="3" w:tentative="0">
      <w:start w:val="1"/>
      <w:numFmt w:val="decimal"/>
      <w:lvlText w:val="    "/>
      <w:lvlJc w:val="left"/>
      <w:pPr>
        <w:tabs>
          <w:tab w:val="left" w:pos="864"/>
        </w:tabs>
        <w:ind w:left="864" w:hanging="864"/>
        <w:textAlignment w:val="baseline"/>
      </w:pPr>
    </w:lvl>
    <w:lvl w:ilvl="4" w:tentative="0">
      <w:start w:val="1"/>
      <w:numFmt w:val="decimal"/>
      <w:lvlText w:val="      "/>
      <w:lvlJc w:val="left"/>
      <w:pPr>
        <w:tabs>
          <w:tab w:val="left" w:pos="1008"/>
        </w:tabs>
        <w:ind w:left="1008" w:hanging="1008"/>
        <w:textAlignment w:val="baseline"/>
      </w:pPr>
    </w:lvl>
    <w:lvl w:ilvl="5" w:tentative="0">
      <w:start w:val="1"/>
      <w:numFmt w:val="decimal"/>
      <w:lvlText w:val="           "/>
      <w:lvlJc w:val="left"/>
      <w:pPr>
        <w:tabs>
          <w:tab w:val="left" w:pos="1440"/>
        </w:tabs>
        <w:ind w:left="1152" w:hanging="1152"/>
        <w:textAlignment w:val="baseline"/>
      </w:pPr>
    </w:lvl>
    <w:lvl w:ilvl="6" w:tentative="0">
      <w:start w:val="1"/>
      <w:numFmt w:val="decimal"/>
      <w:lvlText w:val="%1.%2.%3.%4.%5.%6.%7"/>
      <w:lvlJc w:val="left"/>
      <w:pPr>
        <w:tabs>
          <w:tab w:val="left" w:pos="2520"/>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10">
    <w:nsid w:val="777B3455"/>
    <w:multiLevelType w:val="multilevel"/>
    <w:tmpl w:val="777B3455"/>
    <w:lvl w:ilvl="0" w:tentative="0">
      <w:start w:val="1"/>
      <w:numFmt w:val="chineseCountingThousand"/>
      <w:lvlText w:val="%1、"/>
      <w:lvlJc w:val="left"/>
      <w:pPr>
        <w:ind w:left="0" w:leftChars="0" w:firstLine="0" w:firstLineChars="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9"/>
  </w:num>
  <w:num w:numId="2">
    <w:abstractNumId w:val="10"/>
  </w:num>
  <w:num w:numId="3">
    <w:abstractNumId w:val="0"/>
  </w:num>
  <w:num w:numId="4">
    <w:abstractNumId w:val="3"/>
  </w:num>
  <w:num w:numId="5">
    <w:abstractNumId w:val="6"/>
  </w:num>
  <w:num w:numId="6">
    <w:abstractNumId w:val="2"/>
  </w:num>
  <w:num w:numId="7">
    <w:abstractNumId w:val="5"/>
  </w:num>
  <w:num w:numId="8">
    <w:abstractNumId w:val="8"/>
  </w:num>
  <w:num w:numId="9">
    <w:abstractNumId w:val="4"/>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0MzY2YjBmMTNmYmVmZmJhNjNhZjU3NmE1YThiOWUifQ=="/>
  </w:docVars>
  <w:rsids>
    <w:rsidRoot w:val="00000000"/>
    <w:rsid w:val="00055EC2"/>
    <w:rsid w:val="0005646B"/>
    <w:rsid w:val="000E7B1F"/>
    <w:rsid w:val="0025734D"/>
    <w:rsid w:val="00550F05"/>
    <w:rsid w:val="005A2848"/>
    <w:rsid w:val="005D4D40"/>
    <w:rsid w:val="008B1170"/>
    <w:rsid w:val="00A566D5"/>
    <w:rsid w:val="00BA42F9"/>
    <w:rsid w:val="00ED3BD8"/>
    <w:rsid w:val="00F76805"/>
    <w:rsid w:val="00F907CF"/>
    <w:rsid w:val="00FF56BA"/>
    <w:rsid w:val="01000EED"/>
    <w:rsid w:val="01107085"/>
    <w:rsid w:val="01175584"/>
    <w:rsid w:val="011C4AD1"/>
    <w:rsid w:val="01394E7C"/>
    <w:rsid w:val="014B6A51"/>
    <w:rsid w:val="014F6641"/>
    <w:rsid w:val="01655E65"/>
    <w:rsid w:val="016823AF"/>
    <w:rsid w:val="017F3C2D"/>
    <w:rsid w:val="018E0865"/>
    <w:rsid w:val="01A4698D"/>
    <w:rsid w:val="01BB5A85"/>
    <w:rsid w:val="01C43576"/>
    <w:rsid w:val="01C54B55"/>
    <w:rsid w:val="01E3710E"/>
    <w:rsid w:val="01EE0B37"/>
    <w:rsid w:val="01F114A6"/>
    <w:rsid w:val="020838D1"/>
    <w:rsid w:val="02083BFD"/>
    <w:rsid w:val="02111B48"/>
    <w:rsid w:val="02195803"/>
    <w:rsid w:val="022F0D4F"/>
    <w:rsid w:val="024B77FA"/>
    <w:rsid w:val="025657AD"/>
    <w:rsid w:val="02584241"/>
    <w:rsid w:val="02757B39"/>
    <w:rsid w:val="02777AD1"/>
    <w:rsid w:val="02853B5A"/>
    <w:rsid w:val="02881B88"/>
    <w:rsid w:val="028D5673"/>
    <w:rsid w:val="029A0418"/>
    <w:rsid w:val="02A55455"/>
    <w:rsid w:val="02A57D50"/>
    <w:rsid w:val="02A76009"/>
    <w:rsid w:val="02A91875"/>
    <w:rsid w:val="02AB3D4B"/>
    <w:rsid w:val="02AD71B3"/>
    <w:rsid w:val="02C77EEC"/>
    <w:rsid w:val="02C8111D"/>
    <w:rsid w:val="02CD5A6F"/>
    <w:rsid w:val="02D06F2C"/>
    <w:rsid w:val="02DA4630"/>
    <w:rsid w:val="02E1151B"/>
    <w:rsid w:val="02E856EB"/>
    <w:rsid w:val="02EF1E8A"/>
    <w:rsid w:val="02FA082F"/>
    <w:rsid w:val="03004097"/>
    <w:rsid w:val="03012D45"/>
    <w:rsid w:val="0302761A"/>
    <w:rsid w:val="032633D2"/>
    <w:rsid w:val="03483348"/>
    <w:rsid w:val="034D1D65"/>
    <w:rsid w:val="035D1E96"/>
    <w:rsid w:val="035E31CD"/>
    <w:rsid w:val="036363D4"/>
    <w:rsid w:val="0388408C"/>
    <w:rsid w:val="038B2842"/>
    <w:rsid w:val="039C28DE"/>
    <w:rsid w:val="03A75EC1"/>
    <w:rsid w:val="03CC5D27"/>
    <w:rsid w:val="03E868D9"/>
    <w:rsid w:val="03EE3EEF"/>
    <w:rsid w:val="04003C23"/>
    <w:rsid w:val="040D64B5"/>
    <w:rsid w:val="041F2073"/>
    <w:rsid w:val="04280A3D"/>
    <w:rsid w:val="044849D3"/>
    <w:rsid w:val="04626190"/>
    <w:rsid w:val="04652BB5"/>
    <w:rsid w:val="04694F7F"/>
    <w:rsid w:val="047F0FEB"/>
    <w:rsid w:val="04835D4F"/>
    <w:rsid w:val="048E56D2"/>
    <w:rsid w:val="049A484F"/>
    <w:rsid w:val="04B340AB"/>
    <w:rsid w:val="04D8491E"/>
    <w:rsid w:val="04E11EDC"/>
    <w:rsid w:val="04E51D75"/>
    <w:rsid w:val="04E62E18"/>
    <w:rsid w:val="04F41EFB"/>
    <w:rsid w:val="04F420E6"/>
    <w:rsid w:val="05045825"/>
    <w:rsid w:val="052F5FCA"/>
    <w:rsid w:val="05350ED4"/>
    <w:rsid w:val="05453FE3"/>
    <w:rsid w:val="0549616D"/>
    <w:rsid w:val="056A1C9B"/>
    <w:rsid w:val="056F2E0E"/>
    <w:rsid w:val="05704DD8"/>
    <w:rsid w:val="05B2719F"/>
    <w:rsid w:val="05BE78F1"/>
    <w:rsid w:val="05DD246D"/>
    <w:rsid w:val="05DF0254"/>
    <w:rsid w:val="05EF0F6F"/>
    <w:rsid w:val="061C7986"/>
    <w:rsid w:val="062416F2"/>
    <w:rsid w:val="06287461"/>
    <w:rsid w:val="063A5B78"/>
    <w:rsid w:val="06400020"/>
    <w:rsid w:val="06667380"/>
    <w:rsid w:val="066C1A43"/>
    <w:rsid w:val="067D371E"/>
    <w:rsid w:val="06856661"/>
    <w:rsid w:val="06913258"/>
    <w:rsid w:val="069D1BFD"/>
    <w:rsid w:val="069F5975"/>
    <w:rsid w:val="06C72773"/>
    <w:rsid w:val="06CC0606"/>
    <w:rsid w:val="06E710CA"/>
    <w:rsid w:val="06E83B0A"/>
    <w:rsid w:val="06EE4206"/>
    <w:rsid w:val="06F34359"/>
    <w:rsid w:val="06F86E33"/>
    <w:rsid w:val="07061550"/>
    <w:rsid w:val="07095017"/>
    <w:rsid w:val="0727265E"/>
    <w:rsid w:val="074353E3"/>
    <w:rsid w:val="07500A1D"/>
    <w:rsid w:val="075358C7"/>
    <w:rsid w:val="0759347C"/>
    <w:rsid w:val="075B197A"/>
    <w:rsid w:val="076843EE"/>
    <w:rsid w:val="07797F74"/>
    <w:rsid w:val="077C1812"/>
    <w:rsid w:val="079528D4"/>
    <w:rsid w:val="0797489E"/>
    <w:rsid w:val="07A5520D"/>
    <w:rsid w:val="07B23486"/>
    <w:rsid w:val="07B80F7B"/>
    <w:rsid w:val="07CA07CF"/>
    <w:rsid w:val="07CD02C0"/>
    <w:rsid w:val="07DC228F"/>
    <w:rsid w:val="07DC6755"/>
    <w:rsid w:val="07E55609"/>
    <w:rsid w:val="07EF51A1"/>
    <w:rsid w:val="07F801E9"/>
    <w:rsid w:val="08035F28"/>
    <w:rsid w:val="080C0DE8"/>
    <w:rsid w:val="080C703A"/>
    <w:rsid w:val="080E095B"/>
    <w:rsid w:val="08187B14"/>
    <w:rsid w:val="081D1247"/>
    <w:rsid w:val="08236BBF"/>
    <w:rsid w:val="08283748"/>
    <w:rsid w:val="082B2953"/>
    <w:rsid w:val="08343985"/>
    <w:rsid w:val="08444A26"/>
    <w:rsid w:val="085A6FBE"/>
    <w:rsid w:val="0869448C"/>
    <w:rsid w:val="088017D6"/>
    <w:rsid w:val="08922AD4"/>
    <w:rsid w:val="089F7EAE"/>
    <w:rsid w:val="08A13C26"/>
    <w:rsid w:val="08A52FEB"/>
    <w:rsid w:val="08A84849"/>
    <w:rsid w:val="08B71E98"/>
    <w:rsid w:val="08BE6B09"/>
    <w:rsid w:val="08C47915"/>
    <w:rsid w:val="08DB6A0C"/>
    <w:rsid w:val="08DE5E91"/>
    <w:rsid w:val="08E25A06"/>
    <w:rsid w:val="08E32BEA"/>
    <w:rsid w:val="08EE403A"/>
    <w:rsid w:val="09061EBF"/>
    <w:rsid w:val="090B4829"/>
    <w:rsid w:val="090D306A"/>
    <w:rsid w:val="09104908"/>
    <w:rsid w:val="092F0C6A"/>
    <w:rsid w:val="09321F8B"/>
    <w:rsid w:val="0934768A"/>
    <w:rsid w:val="0949606C"/>
    <w:rsid w:val="094D428D"/>
    <w:rsid w:val="09652171"/>
    <w:rsid w:val="096708E0"/>
    <w:rsid w:val="097E3F67"/>
    <w:rsid w:val="098032F7"/>
    <w:rsid w:val="098826F0"/>
    <w:rsid w:val="09AD4120"/>
    <w:rsid w:val="09B641AD"/>
    <w:rsid w:val="09B67D74"/>
    <w:rsid w:val="09C94199"/>
    <w:rsid w:val="09D05AAE"/>
    <w:rsid w:val="09D122E9"/>
    <w:rsid w:val="09D45935"/>
    <w:rsid w:val="09E0077E"/>
    <w:rsid w:val="09E162A4"/>
    <w:rsid w:val="09E35B78"/>
    <w:rsid w:val="09E71B0D"/>
    <w:rsid w:val="0A002DD4"/>
    <w:rsid w:val="0A051BCB"/>
    <w:rsid w:val="0A1B3564"/>
    <w:rsid w:val="0A3960E0"/>
    <w:rsid w:val="0A3B59B5"/>
    <w:rsid w:val="0A3D669F"/>
    <w:rsid w:val="0A3E2F81"/>
    <w:rsid w:val="0A5460DC"/>
    <w:rsid w:val="0A6A629A"/>
    <w:rsid w:val="0A6F35A8"/>
    <w:rsid w:val="0A7A4EA4"/>
    <w:rsid w:val="0A803B0B"/>
    <w:rsid w:val="0A99282A"/>
    <w:rsid w:val="0AEC3153"/>
    <w:rsid w:val="0AFE0C89"/>
    <w:rsid w:val="0B036EA1"/>
    <w:rsid w:val="0B0533BD"/>
    <w:rsid w:val="0B09160F"/>
    <w:rsid w:val="0B0F299D"/>
    <w:rsid w:val="0B114967"/>
    <w:rsid w:val="0B121081"/>
    <w:rsid w:val="0B1279C7"/>
    <w:rsid w:val="0B1A381C"/>
    <w:rsid w:val="0B352404"/>
    <w:rsid w:val="0B3568A8"/>
    <w:rsid w:val="0B3F3282"/>
    <w:rsid w:val="0B446AEB"/>
    <w:rsid w:val="0B4E34C6"/>
    <w:rsid w:val="0B5621CB"/>
    <w:rsid w:val="0B6D6042"/>
    <w:rsid w:val="0B6E3B68"/>
    <w:rsid w:val="0B934650"/>
    <w:rsid w:val="0BA17A99"/>
    <w:rsid w:val="0BAB4DBC"/>
    <w:rsid w:val="0BCF31BA"/>
    <w:rsid w:val="0BD46411"/>
    <w:rsid w:val="0BEF72E1"/>
    <w:rsid w:val="0BF73B5D"/>
    <w:rsid w:val="0C030754"/>
    <w:rsid w:val="0C063F25"/>
    <w:rsid w:val="0C13125D"/>
    <w:rsid w:val="0C201306"/>
    <w:rsid w:val="0C2801BA"/>
    <w:rsid w:val="0C34090D"/>
    <w:rsid w:val="0C4B3FB0"/>
    <w:rsid w:val="0C5517FF"/>
    <w:rsid w:val="0C5745FC"/>
    <w:rsid w:val="0C6140A8"/>
    <w:rsid w:val="0C6F1945"/>
    <w:rsid w:val="0C851169"/>
    <w:rsid w:val="0C9C0F8C"/>
    <w:rsid w:val="0CB16402"/>
    <w:rsid w:val="0CC02E08"/>
    <w:rsid w:val="0CC53C5B"/>
    <w:rsid w:val="0CC5766E"/>
    <w:rsid w:val="0CE5122B"/>
    <w:rsid w:val="0CE54E38"/>
    <w:rsid w:val="0CF54541"/>
    <w:rsid w:val="0D1F1C32"/>
    <w:rsid w:val="0D340C7B"/>
    <w:rsid w:val="0D7F74AD"/>
    <w:rsid w:val="0D8E4894"/>
    <w:rsid w:val="0D9D24E2"/>
    <w:rsid w:val="0DA47D15"/>
    <w:rsid w:val="0DA925F8"/>
    <w:rsid w:val="0DC1155C"/>
    <w:rsid w:val="0DC42165"/>
    <w:rsid w:val="0DDD6D83"/>
    <w:rsid w:val="0DDF2AFB"/>
    <w:rsid w:val="0E034A3B"/>
    <w:rsid w:val="0E06504F"/>
    <w:rsid w:val="0E1E7FD3"/>
    <w:rsid w:val="0E1F614A"/>
    <w:rsid w:val="0E32150D"/>
    <w:rsid w:val="0E327C69"/>
    <w:rsid w:val="0E611762"/>
    <w:rsid w:val="0E7E0566"/>
    <w:rsid w:val="0E8F2773"/>
    <w:rsid w:val="0E963B01"/>
    <w:rsid w:val="0E9D4E90"/>
    <w:rsid w:val="0EAF24CD"/>
    <w:rsid w:val="0EBD1BAF"/>
    <w:rsid w:val="0ED91C40"/>
    <w:rsid w:val="0ED9579C"/>
    <w:rsid w:val="0EDD528C"/>
    <w:rsid w:val="0EE54141"/>
    <w:rsid w:val="0F01062B"/>
    <w:rsid w:val="0F1A2E5D"/>
    <w:rsid w:val="0F20466E"/>
    <w:rsid w:val="0F2223DC"/>
    <w:rsid w:val="0F3A26DF"/>
    <w:rsid w:val="0F3F7C8F"/>
    <w:rsid w:val="0F5E63EF"/>
    <w:rsid w:val="0F5F2145"/>
    <w:rsid w:val="0F621C35"/>
    <w:rsid w:val="0F7450E6"/>
    <w:rsid w:val="0F751969"/>
    <w:rsid w:val="0F851480"/>
    <w:rsid w:val="0F856515"/>
    <w:rsid w:val="0F8C280E"/>
    <w:rsid w:val="0F9719DC"/>
    <w:rsid w:val="0FA51E3D"/>
    <w:rsid w:val="0FA85FB4"/>
    <w:rsid w:val="0FC24116"/>
    <w:rsid w:val="0FC93EF4"/>
    <w:rsid w:val="0FCC70AF"/>
    <w:rsid w:val="0FF860F6"/>
    <w:rsid w:val="10014FAA"/>
    <w:rsid w:val="10044A9B"/>
    <w:rsid w:val="10082B02"/>
    <w:rsid w:val="101356A0"/>
    <w:rsid w:val="10262F97"/>
    <w:rsid w:val="10334EBF"/>
    <w:rsid w:val="103A04BC"/>
    <w:rsid w:val="104176C7"/>
    <w:rsid w:val="106612B1"/>
    <w:rsid w:val="10750A53"/>
    <w:rsid w:val="10797237"/>
    <w:rsid w:val="10860438"/>
    <w:rsid w:val="108C5E19"/>
    <w:rsid w:val="10A73DA4"/>
    <w:rsid w:val="10B464C1"/>
    <w:rsid w:val="10C71031"/>
    <w:rsid w:val="10CA7A92"/>
    <w:rsid w:val="10CF32FA"/>
    <w:rsid w:val="10D90465"/>
    <w:rsid w:val="10E40346"/>
    <w:rsid w:val="111E1B8C"/>
    <w:rsid w:val="11203B56"/>
    <w:rsid w:val="113B7911"/>
    <w:rsid w:val="11412F61"/>
    <w:rsid w:val="11584401"/>
    <w:rsid w:val="115C7CD1"/>
    <w:rsid w:val="11603F53"/>
    <w:rsid w:val="11671785"/>
    <w:rsid w:val="116C0B49"/>
    <w:rsid w:val="116E041E"/>
    <w:rsid w:val="11895257"/>
    <w:rsid w:val="1192147C"/>
    <w:rsid w:val="11934328"/>
    <w:rsid w:val="11A16A45"/>
    <w:rsid w:val="11AE1162"/>
    <w:rsid w:val="11BB0C6D"/>
    <w:rsid w:val="11BB580F"/>
    <w:rsid w:val="11E8129F"/>
    <w:rsid w:val="11FE3E97"/>
    <w:rsid w:val="120711AA"/>
    <w:rsid w:val="12080923"/>
    <w:rsid w:val="12117C99"/>
    <w:rsid w:val="121F0F94"/>
    <w:rsid w:val="123E64AB"/>
    <w:rsid w:val="1241363F"/>
    <w:rsid w:val="12413D84"/>
    <w:rsid w:val="12445976"/>
    <w:rsid w:val="124600E7"/>
    <w:rsid w:val="125661BD"/>
    <w:rsid w:val="125F420A"/>
    <w:rsid w:val="12697D80"/>
    <w:rsid w:val="126A7F4F"/>
    <w:rsid w:val="1279351E"/>
    <w:rsid w:val="12AF6F40"/>
    <w:rsid w:val="12B609F2"/>
    <w:rsid w:val="12C10A21"/>
    <w:rsid w:val="12DA5B73"/>
    <w:rsid w:val="12EA7F78"/>
    <w:rsid w:val="13043AAE"/>
    <w:rsid w:val="130848A2"/>
    <w:rsid w:val="130A686C"/>
    <w:rsid w:val="131A48F3"/>
    <w:rsid w:val="131C2EE7"/>
    <w:rsid w:val="132C67E2"/>
    <w:rsid w:val="132F62D2"/>
    <w:rsid w:val="13446FA4"/>
    <w:rsid w:val="134F0723"/>
    <w:rsid w:val="135B0EF9"/>
    <w:rsid w:val="136521A4"/>
    <w:rsid w:val="13693592"/>
    <w:rsid w:val="13747E40"/>
    <w:rsid w:val="13797498"/>
    <w:rsid w:val="138112F4"/>
    <w:rsid w:val="13871C6A"/>
    <w:rsid w:val="139B3229"/>
    <w:rsid w:val="139C55DE"/>
    <w:rsid w:val="13AA7707"/>
    <w:rsid w:val="13AD4A7F"/>
    <w:rsid w:val="13B32A60"/>
    <w:rsid w:val="13C3373E"/>
    <w:rsid w:val="13C759C4"/>
    <w:rsid w:val="13E17B66"/>
    <w:rsid w:val="13EE708C"/>
    <w:rsid w:val="13F27A08"/>
    <w:rsid w:val="13F76DF0"/>
    <w:rsid w:val="140E413A"/>
    <w:rsid w:val="141A663B"/>
    <w:rsid w:val="14276FAA"/>
    <w:rsid w:val="142851FC"/>
    <w:rsid w:val="142C2B26"/>
    <w:rsid w:val="143A53BF"/>
    <w:rsid w:val="1441006B"/>
    <w:rsid w:val="14522A66"/>
    <w:rsid w:val="146B50E8"/>
    <w:rsid w:val="14743F1B"/>
    <w:rsid w:val="147F49DD"/>
    <w:rsid w:val="14824000"/>
    <w:rsid w:val="1485275A"/>
    <w:rsid w:val="148F1EE4"/>
    <w:rsid w:val="14904B4F"/>
    <w:rsid w:val="14961592"/>
    <w:rsid w:val="149A3852"/>
    <w:rsid w:val="149F3E82"/>
    <w:rsid w:val="149F4D92"/>
    <w:rsid w:val="14A625C4"/>
    <w:rsid w:val="14B00D4D"/>
    <w:rsid w:val="14D507B4"/>
    <w:rsid w:val="14ED01F3"/>
    <w:rsid w:val="14ED1FA1"/>
    <w:rsid w:val="14F52C04"/>
    <w:rsid w:val="151C1AE6"/>
    <w:rsid w:val="153D7C96"/>
    <w:rsid w:val="153E45AB"/>
    <w:rsid w:val="154F2B5A"/>
    <w:rsid w:val="15610299"/>
    <w:rsid w:val="15730AB5"/>
    <w:rsid w:val="15761F97"/>
    <w:rsid w:val="158C3786"/>
    <w:rsid w:val="159266A5"/>
    <w:rsid w:val="15962AE1"/>
    <w:rsid w:val="15973175"/>
    <w:rsid w:val="15A22D8C"/>
    <w:rsid w:val="15D13D24"/>
    <w:rsid w:val="15D22C36"/>
    <w:rsid w:val="15DC6CEA"/>
    <w:rsid w:val="15E83826"/>
    <w:rsid w:val="15EC04AB"/>
    <w:rsid w:val="15F230E6"/>
    <w:rsid w:val="15FB278A"/>
    <w:rsid w:val="161B48EC"/>
    <w:rsid w:val="161E6859"/>
    <w:rsid w:val="16247C45"/>
    <w:rsid w:val="163B1BD0"/>
    <w:rsid w:val="164150BC"/>
    <w:rsid w:val="164E5475"/>
    <w:rsid w:val="166167A3"/>
    <w:rsid w:val="16864176"/>
    <w:rsid w:val="169564C9"/>
    <w:rsid w:val="169A3A63"/>
    <w:rsid w:val="169B16A6"/>
    <w:rsid w:val="16A20B69"/>
    <w:rsid w:val="16A36DBB"/>
    <w:rsid w:val="16DA0303"/>
    <w:rsid w:val="16E11692"/>
    <w:rsid w:val="16E41182"/>
    <w:rsid w:val="16F5513D"/>
    <w:rsid w:val="170255C2"/>
    <w:rsid w:val="170E0549"/>
    <w:rsid w:val="17173305"/>
    <w:rsid w:val="17296BAE"/>
    <w:rsid w:val="172A128B"/>
    <w:rsid w:val="172F4AF3"/>
    <w:rsid w:val="173013BE"/>
    <w:rsid w:val="173069C1"/>
    <w:rsid w:val="175F57C0"/>
    <w:rsid w:val="17681DB3"/>
    <w:rsid w:val="176C79D9"/>
    <w:rsid w:val="17762E55"/>
    <w:rsid w:val="1797180F"/>
    <w:rsid w:val="17A70B2D"/>
    <w:rsid w:val="17A96653"/>
    <w:rsid w:val="17C76AD9"/>
    <w:rsid w:val="17C9687B"/>
    <w:rsid w:val="17DC41D0"/>
    <w:rsid w:val="17E27FC0"/>
    <w:rsid w:val="17EF58E9"/>
    <w:rsid w:val="17F92A0B"/>
    <w:rsid w:val="17FD1BAD"/>
    <w:rsid w:val="18027B12"/>
    <w:rsid w:val="18194E5B"/>
    <w:rsid w:val="181B60A0"/>
    <w:rsid w:val="183A3D6B"/>
    <w:rsid w:val="183A54FD"/>
    <w:rsid w:val="18414ADE"/>
    <w:rsid w:val="18455DC8"/>
    <w:rsid w:val="184D1875"/>
    <w:rsid w:val="186442C4"/>
    <w:rsid w:val="18786026"/>
    <w:rsid w:val="187E43DB"/>
    <w:rsid w:val="18837091"/>
    <w:rsid w:val="188D7D23"/>
    <w:rsid w:val="188F20C9"/>
    <w:rsid w:val="18954E2A"/>
    <w:rsid w:val="18980690"/>
    <w:rsid w:val="189866C8"/>
    <w:rsid w:val="18A747A4"/>
    <w:rsid w:val="18B9693B"/>
    <w:rsid w:val="18BA663E"/>
    <w:rsid w:val="18BE1AC0"/>
    <w:rsid w:val="18D86AC4"/>
    <w:rsid w:val="190847BC"/>
    <w:rsid w:val="19193E11"/>
    <w:rsid w:val="191E4E1F"/>
    <w:rsid w:val="192B12EA"/>
    <w:rsid w:val="192C06DB"/>
    <w:rsid w:val="19410B0E"/>
    <w:rsid w:val="194270CA"/>
    <w:rsid w:val="19461C80"/>
    <w:rsid w:val="194F4FD8"/>
    <w:rsid w:val="19630A84"/>
    <w:rsid w:val="196A01A7"/>
    <w:rsid w:val="197467ED"/>
    <w:rsid w:val="19846067"/>
    <w:rsid w:val="19965EDA"/>
    <w:rsid w:val="19B1726F"/>
    <w:rsid w:val="19C6759C"/>
    <w:rsid w:val="19E35721"/>
    <w:rsid w:val="19E73463"/>
    <w:rsid w:val="19FFF396"/>
    <w:rsid w:val="1A1104E0"/>
    <w:rsid w:val="1A20634D"/>
    <w:rsid w:val="1A3146DE"/>
    <w:rsid w:val="1A332204"/>
    <w:rsid w:val="1A5135CE"/>
    <w:rsid w:val="1A670100"/>
    <w:rsid w:val="1A6C5716"/>
    <w:rsid w:val="1A6E5932"/>
    <w:rsid w:val="1A703458"/>
    <w:rsid w:val="1A7B164B"/>
    <w:rsid w:val="1A8707A2"/>
    <w:rsid w:val="1A8A549E"/>
    <w:rsid w:val="1A9A08B1"/>
    <w:rsid w:val="1AB75BA5"/>
    <w:rsid w:val="1ABC7925"/>
    <w:rsid w:val="1AD02826"/>
    <w:rsid w:val="1AEF00B1"/>
    <w:rsid w:val="1B043BA1"/>
    <w:rsid w:val="1B2B55D1"/>
    <w:rsid w:val="1B2C318E"/>
    <w:rsid w:val="1B427DB5"/>
    <w:rsid w:val="1B5543FC"/>
    <w:rsid w:val="1B656757"/>
    <w:rsid w:val="1B882B4E"/>
    <w:rsid w:val="1B897462"/>
    <w:rsid w:val="1B99078D"/>
    <w:rsid w:val="1B9C6460"/>
    <w:rsid w:val="1BA02664"/>
    <w:rsid w:val="1BA535D6"/>
    <w:rsid w:val="1BA65262"/>
    <w:rsid w:val="1BAC6712"/>
    <w:rsid w:val="1BCE0DB3"/>
    <w:rsid w:val="1BCF489B"/>
    <w:rsid w:val="1BD73063"/>
    <w:rsid w:val="1BEC6B0F"/>
    <w:rsid w:val="1BF0493A"/>
    <w:rsid w:val="1BF97A03"/>
    <w:rsid w:val="1C091F78"/>
    <w:rsid w:val="1C136129"/>
    <w:rsid w:val="1C1F36B0"/>
    <w:rsid w:val="1C2178DB"/>
    <w:rsid w:val="1C261A25"/>
    <w:rsid w:val="1C270362"/>
    <w:rsid w:val="1C34118B"/>
    <w:rsid w:val="1C3C63BA"/>
    <w:rsid w:val="1C471391"/>
    <w:rsid w:val="1C4A1A87"/>
    <w:rsid w:val="1C5648D0"/>
    <w:rsid w:val="1C67088B"/>
    <w:rsid w:val="1C6B69C5"/>
    <w:rsid w:val="1C6E39C8"/>
    <w:rsid w:val="1C7254ED"/>
    <w:rsid w:val="1C746A00"/>
    <w:rsid w:val="1C7D00AF"/>
    <w:rsid w:val="1C821675"/>
    <w:rsid w:val="1C822D36"/>
    <w:rsid w:val="1C8C0794"/>
    <w:rsid w:val="1C915908"/>
    <w:rsid w:val="1C980A44"/>
    <w:rsid w:val="1C993BFA"/>
    <w:rsid w:val="1CB6536F"/>
    <w:rsid w:val="1CB94315"/>
    <w:rsid w:val="1CCA66E6"/>
    <w:rsid w:val="1CE002F4"/>
    <w:rsid w:val="1D052F29"/>
    <w:rsid w:val="1D091942"/>
    <w:rsid w:val="1D1735EF"/>
    <w:rsid w:val="1D464944"/>
    <w:rsid w:val="1D547EB4"/>
    <w:rsid w:val="1D591300"/>
    <w:rsid w:val="1D6E4ED7"/>
    <w:rsid w:val="1D7F1257"/>
    <w:rsid w:val="1D9B621A"/>
    <w:rsid w:val="1DA358F3"/>
    <w:rsid w:val="1DAA4ED3"/>
    <w:rsid w:val="1DBA11F5"/>
    <w:rsid w:val="1DC046F7"/>
    <w:rsid w:val="1DC72423"/>
    <w:rsid w:val="1DD5030A"/>
    <w:rsid w:val="1DDA031A"/>
    <w:rsid w:val="1DE67FA0"/>
    <w:rsid w:val="1DF63C75"/>
    <w:rsid w:val="1E2D15D1"/>
    <w:rsid w:val="1E340443"/>
    <w:rsid w:val="1E36109D"/>
    <w:rsid w:val="1E403142"/>
    <w:rsid w:val="1E46472C"/>
    <w:rsid w:val="1E491AE1"/>
    <w:rsid w:val="1E4F5A7B"/>
    <w:rsid w:val="1E510A9A"/>
    <w:rsid w:val="1E594203"/>
    <w:rsid w:val="1E5B7F7C"/>
    <w:rsid w:val="1E6432D4"/>
    <w:rsid w:val="1E6A48B7"/>
    <w:rsid w:val="1E6C1577"/>
    <w:rsid w:val="1E734D0E"/>
    <w:rsid w:val="1E7A2AF8"/>
    <w:rsid w:val="1E7B6870"/>
    <w:rsid w:val="1E7D7EF2"/>
    <w:rsid w:val="1EB61765"/>
    <w:rsid w:val="1EBB4EBE"/>
    <w:rsid w:val="1EBC77BD"/>
    <w:rsid w:val="1ED84F5E"/>
    <w:rsid w:val="1ED91BBF"/>
    <w:rsid w:val="1EE9332C"/>
    <w:rsid w:val="1EE93A34"/>
    <w:rsid w:val="1EED151B"/>
    <w:rsid w:val="1F016D75"/>
    <w:rsid w:val="1F046865"/>
    <w:rsid w:val="1F182311"/>
    <w:rsid w:val="1F240CB5"/>
    <w:rsid w:val="1F35026D"/>
    <w:rsid w:val="1F362B48"/>
    <w:rsid w:val="1F590E08"/>
    <w:rsid w:val="1F604F7D"/>
    <w:rsid w:val="1F682713"/>
    <w:rsid w:val="1F75506D"/>
    <w:rsid w:val="1FA85442"/>
    <w:rsid w:val="1FB931AC"/>
    <w:rsid w:val="1FC009DE"/>
    <w:rsid w:val="1FC62F37"/>
    <w:rsid w:val="1FC97167"/>
    <w:rsid w:val="1FD46237"/>
    <w:rsid w:val="1FDA1374"/>
    <w:rsid w:val="20121DA7"/>
    <w:rsid w:val="20156BC5"/>
    <w:rsid w:val="20226353"/>
    <w:rsid w:val="2040567B"/>
    <w:rsid w:val="204E63AA"/>
    <w:rsid w:val="20684BD2"/>
    <w:rsid w:val="207A3077"/>
    <w:rsid w:val="207C43F8"/>
    <w:rsid w:val="209F2E63"/>
    <w:rsid w:val="20A025BE"/>
    <w:rsid w:val="20BD6654"/>
    <w:rsid w:val="20F6042F"/>
    <w:rsid w:val="2117483A"/>
    <w:rsid w:val="212D20A3"/>
    <w:rsid w:val="21371285"/>
    <w:rsid w:val="213F1B87"/>
    <w:rsid w:val="2151000C"/>
    <w:rsid w:val="21556F04"/>
    <w:rsid w:val="215A6C10"/>
    <w:rsid w:val="215D233E"/>
    <w:rsid w:val="217A5957"/>
    <w:rsid w:val="21837F15"/>
    <w:rsid w:val="21B300CF"/>
    <w:rsid w:val="21B31E7D"/>
    <w:rsid w:val="21B75E11"/>
    <w:rsid w:val="21C4408A"/>
    <w:rsid w:val="21D342CD"/>
    <w:rsid w:val="21F25DF0"/>
    <w:rsid w:val="21FB64F4"/>
    <w:rsid w:val="2213118C"/>
    <w:rsid w:val="221B63A0"/>
    <w:rsid w:val="222F59A7"/>
    <w:rsid w:val="22325497"/>
    <w:rsid w:val="223A5532"/>
    <w:rsid w:val="227C4964"/>
    <w:rsid w:val="227D2BB6"/>
    <w:rsid w:val="227E4183"/>
    <w:rsid w:val="22824E3A"/>
    <w:rsid w:val="228A6FC6"/>
    <w:rsid w:val="22A96191"/>
    <w:rsid w:val="22AA53CE"/>
    <w:rsid w:val="22B660C8"/>
    <w:rsid w:val="22C02987"/>
    <w:rsid w:val="22E83DA8"/>
    <w:rsid w:val="2331704B"/>
    <w:rsid w:val="23503E27"/>
    <w:rsid w:val="23636F06"/>
    <w:rsid w:val="23662862"/>
    <w:rsid w:val="237D4B3E"/>
    <w:rsid w:val="238002CA"/>
    <w:rsid w:val="23A16740"/>
    <w:rsid w:val="23A861D2"/>
    <w:rsid w:val="23AC0BE2"/>
    <w:rsid w:val="23D031BA"/>
    <w:rsid w:val="23D314CE"/>
    <w:rsid w:val="23D762F6"/>
    <w:rsid w:val="23E427C1"/>
    <w:rsid w:val="23F36750"/>
    <w:rsid w:val="23F7700F"/>
    <w:rsid w:val="241A4435"/>
    <w:rsid w:val="242E1C8E"/>
    <w:rsid w:val="242F7EE0"/>
    <w:rsid w:val="24311EAA"/>
    <w:rsid w:val="243328FB"/>
    <w:rsid w:val="243948BB"/>
    <w:rsid w:val="24467E1B"/>
    <w:rsid w:val="24480FA2"/>
    <w:rsid w:val="245331CC"/>
    <w:rsid w:val="2455546D"/>
    <w:rsid w:val="245C4A4D"/>
    <w:rsid w:val="246300E9"/>
    <w:rsid w:val="24920DA8"/>
    <w:rsid w:val="24A02B8C"/>
    <w:rsid w:val="24AF4B7D"/>
    <w:rsid w:val="24D64800"/>
    <w:rsid w:val="24E45993"/>
    <w:rsid w:val="25113E0C"/>
    <w:rsid w:val="25120A61"/>
    <w:rsid w:val="256471D1"/>
    <w:rsid w:val="2568135F"/>
    <w:rsid w:val="256A4F48"/>
    <w:rsid w:val="256C2A6E"/>
    <w:rsid w:val="256F5577"/>
    <w:rsid w:val="257870FD"/>
    <w:rsid w:val="2593449F"/>
    <w:rsid w:val="259D061A"/>
    <w:rsid w:val="259D2BCF"/>
    <w:rsid w:val="259D3570"/>
    <w:rsid w:val="25A8619C"/>
    <w:rsid w:val="25B20DC9"/>
    <w:rsid w:val="25B7356E"/>
    <w:rsid w:val="25BD73D6"/>
    <w:rsid w:val="25C81602"/>
    <w:rsid w:val="25CE197B"/>
    <w:rsid w:val="25E21F77"/>
    <w:rsid w:val="25E8185F"/>
    <w:rsid w:val="25E847EB"/>
    <w:rsid w:val="2610765E"/>
    <w:rsid w:val="26300810"/>
    <w:rsid w:val="26444656"/>
    <w:rsid w:val="264A075D"/>
    <w:rsid w:val="2661459D"/>
    <w:rsid w:val="268771D7"/>
    <w:rsid w:val="268F4223"/>
    <w:rsid w:val="26910687"/>
    <w:rsid w:val="269821F5"/>
    <w:rsid w:val="26985D06"/>
    <w:rsid w:val="269E134D"/>
    <w:rsid w:val="26B66697"/>
    <w:rsid w:val="26BA1446"/>
    <w:rsid w:val="26CE2F65"/>
    <w:rsid w:val="26E32EDA"/>
    <w:rsid w:val="26EA00EF"/>
    <w:rsid w:val="26F14446"/>
    <w:rsid w:val="27196C26"/>
    <w:rsid w:val="271E4BFB"/>
    <w:rsid w:val="2765234A"/>
    <w:rsid w:val="277B39E0"/>
    <w:rsid w:val="278055B9"/>
    <w:rsid w:val="278D3DA9"/>
    <w:rsid w:val="27952A81"/>
    <w:rsid w:val="279D7857"/>
    <w:rsid w:val="27BB1A8B"/>
    <w:rsid w:val="27CB43C4"/>
    <w:rsid w:val="27E2526A"/>
    <w:rsid w:val="27E27C5C"/>
    <w:rsid w:val="27E80E30"/>
    <w:rsid w:val="27EA3135"/>
    <w:rsid w:val="280260F1"/>
    <w:rsid w:val="28081174"/>
    <w:rsid w:val="282D0BDB"/>
    <w:rsid w:val="283C56D0"/>
    <w:rsid w:val="283D6122"/>
    <w:rsid w:val="28421C1E"/>
    <w:rsid w:val="284657F9"/>
    <w:rsid w:val="2852419D"/>
    <w:rsid w:val="28581610"/>
    <w:rsid w:val="28650221"/>
    <w:rsid w:val="28862099"/>
    <w:rsid w:val="288A6C1C"/>
    <w:rsid w:val="288E2F16"/>
    <w:rsid w:val="2898365D"/>
    <w:rsid w:val="28A16ED3"/>
    <w:rsid w:val="28AD3952"/>
    <w:rsid w:val="28C055AB"/>
    <w:rsid w:val="28C36E49"/>
    <w:rsid w:val="28EA6ACC"/>
    <w:rsid w:val="28ED036A"/>
    <w:rsid w:val="28F434A6"/>
    <w:rsid w:val="28F54492"/>
    <w:rsid w:val="28F60FCD"/>
    <w:rsid w:val="28F951A2"/>
    <w:rsid w:val="28FB65E3"/>
    <w:rsid w:val="28FC07F9"/>
    <w:rsid w:val="290336EA"/>
    <w:rsid w:val="290D42B4"/>
    <w:rsid w:val="290D4568"/>
    <w:rsid w:val="290F2DB7"/>
    <w:rsid w:val="291A137F"/>
    <w:rsid w:val="291B4B92"/>
    <w:rsid w:val="292D0766"/>
    <w:rsid w:val="293B2E83"/>
    <w:rsid w:val="29453D02"/>
    <w:rsid w:val="296879F1"/>
    <w:rsid w:val="298A5BB9"/>
    <w:rsid w:val="29A547A1"/>
    <w:rsid w:val="29B03871"/>
    <w:rsid w:val="29B26A9F"/>
    <w:rsid w:val="29B64C00"/>
    <w:rsid w:val="29B80978"/>
    <w:rsid w:val="29C560EC"/>
    <w:rsid w:val="29C8521C"/>
    <w:rsid w:val="29CA2459"/>
    <w:rsid w:val="29DA1F65"/>
    <w:rsid w:val="29DB305B"/>
    <w:rsid w:val="29DB4666"/>
    <w:rsid w:val="29E21551"/>
    <w:rsid w:val="29F20F87"/>
    <w:rsid w:val="29F653AC"/>
    <w:rsid w:val="29F714A0"/>
    <w:rsid w:val="29FE1E73"/>
    <w:rsid w:val="2A270FF2"/>
    <w:rsid w:val="2A2C44B8"/>
    <w:rsid w:val="2A5F2BA2"/>
    <w:rsid w:val="2A663F79"/>
    <w:rsid w:val="2A697EC4"/>
    <w:rsid w:val="2A6A33C0"/>
    <w:rsid w:val="2A810D6A"/>
    <w:rsid w:val="2A900FAD"/>
    <w:rsid w:val="2A9C3DF6"/>
    <w:rsid w:val="2A9C4169"/>
    <w:rsid w:val="2AB628FE"/>
    <w:rsid w:val="2AE01F34"/>
    <w:rsid w:val="2AE15CAC"/>
    <w:rsid w:val="2B017CD6"/>
    <w:rsid w:val="2B073965"/>
    <w:rsid w:val="2B08765C"/>
    <w:rsid w:val="2B1246FD"/>
    <w:rsid w:val="2B253B3A"/>
    <w:rsid w:val="2B3524A1"/>
    <w:rsid w:val="2B3F2753"/>
    <w:rsid w:val="2B4F0E68"/>
    <w:rsid w:val="2B5640A9"/>
    <w:rsid w:val="2BB5781F"/>
    <w:rsid w:val="2BC47CD0"/>
    <w:rsid w:val="2BCE0FB0"/>
    <w:rsid w:val="2C150FAA"/>
    <w:rsid w:val="2C416A03"/>
    <w:rsid w:val="2C4446B7"/>
    <w:rsid w:val="2C4D4716"/>
    <w:rsid w:val="2C550700"/>
    <w:rsid w:val="2C6940D5"/>
    <w:rsid w:val="2C7640FC"/>
    <w:rsid w:val="2C7C270D"/>
    <w:rsid w:val="2CB25B52"/>
    <w:rsid w:val="2CB52F4D"/>
    <w:rsid w:val="2CB74F17"/>
    <w:rsid w:val="2CB904B4"/>
    <w:rsid w:val="2CC14886"/>
    <w:rsid w:val="2CC45D9E"/>
    <w:rsid w:val="2CDA6E57"/>
    <w:rsid w:val="2CDD586D"/>
    <w:rsid w:val="2CE3646A"/>
    <w:rsid w:val="2CF717B7"/>
    <w:rsid w:val="2D0619FA"/>
    <w:rsid w:val="2D151C3D"/>
    <w:rsid w:val="2D27132C"/>
    <w:rsid w:val="2D2B7558"/>
    <w:rsid w:val="2D34492A"/>
    <w:rsid w:val="2D4A5D8B"/>
    <w:rsid w:val="2D5F5F02"/>
    <w:rsid w:val="2D607001"/>
    <w:rsid w:val="2D856881"/>
    <w:rsid w:val="2D9867EA"/>
    <w:rsid w:val="2DAC25A2"/>
    <w:rsid w:val="2DB50D6C"/>
    <w:rsid w:val="2DBA5FF6"/>
    <w:rsid w:val="2E200F9F"/>
    <w:rsid w:val="2E2D6D03"/>
    <w:rsid w:val="2E2F42F9"/>
    <w:rsid w:val="2E304B47"/>
    <w:rsid w:val="2E385BE3"/>
    <w:rsid w:val="2E4317F2"/>
    <w:rsid w:val="2E6240A7"/>
    <w:rsid w:val="2E674E5B"/>
    <w:rsid w:val="2E725599"/>
    <w:rsid w:val="2E83442D"/>
    <w:rsid w:val="2E9A471C"/>
    <w:rsid w:val="2E9E6BC1"/>
    <w:rsid w:val="2ED27DE6"/>
    <w:rsid w:val="2ED91B0E"/>
    <w:rsid w:val="2EFE0BDB"/>
    <w:rsid w:val="2EFF4953"/>
    <w:rsid w:val="2F0B66DF"/>
    <w:rsid w:val="2F106B60"/>
    <w:rsid w:val="2F1E6A16"/>
    <w:rsid w:val="2F3A598B"/>
    <w:rsid w:val="2F6515AB"/>
    <w:rsid w:val="2F6B545A"/>
    <w:rsid w:val="2F7964B4"/>
    <w:rsid w:val="2F990904"/>
    <w:rsid w:val="2F9A3429"/>
    <w:rsid w:val="2F9C03F4"/>
    <w:rsid w:val="2FA80A0F"/>
    <w:rsid w:val="2FB362F6"/>
    <w:rsid w:val="2FBA7171"/>
    <w:rsid w:val="2FCC0CD9"/>
    <w:rsid w:val="2FCD1C02"/>
    <w:rsid w:val="2FD22068"/>
    <w:rsid w:val="2FD8767E"/>
    <w:rsid w:val="30000983"/>
    <w:rsid w:val="30336FAA"/>
    <w:rsid w:val="304F2672"/>
    <w:rsid w:val="305110E4"/>
    <w:rsid w:val="3062194C"/>
    <w:rsid w:val="30676708"/>
    <w:rsid w:val="306E7FE2"/>
    <w:rsid w:val="307355F9"/>
    <w:rsid w:val="30766328"/>
    <w:rsid w:val="307D5C1A"/>
    <w:rsid w:val="308A649E"/>
    <w:rsid w:val="308F3C80"/>
    <w:rsid w:val="309612E7"/>
    <w:rsid w:val="309E19D2"/>
    <w:rsid w:val="30B82E35"/>
    <w:rsid w:val="30B8300C"/>
    <w:rsid w:val="30BB76D4"/>
    <w:rsid w:val="30E14632"/>
    <w:rsid w:val="30EB624E"/>
    <w:rsid w:val="30EC548E"/>
    <w:rsid w:val="30FD0E4D"/>
    <w:rsid w:val="31102E48"/>
    <w:rsid w:val="31105FCD"/>
    <w:rsid w:val="31143C27"/>
    <w:rsid w:val="311D6053"/>
    <w:rsid w:val="312474E2"/>
    <w:rsid w:val="31310696"/>
    <w:rsid w:val="313515DB"/>
    <w:rsid w:val="313C405A"/>
    <w:rsid w:val="313E1763"/>
    <w:rsid w:val="31560C6E"/>
    <w:rsid w:val="315C608D"/>
    <w:rsid w:val="31853836"/>
    <w:rsid w:val="318D69F3"/>
    <w:rsid w:val="31AA504A"/>
    <w:rsid w:val="31B53F61"/>
    <w:rsid w:val="31C81974"/>
    <w:rsid w:val="31DD71CE"/>
    <w:rsid w:val="31E43A2D"/>
    <w:rsid w:val="31EB3049"/>
    <w:rsid w:val="32180206"/>
    <w:rsid w:val="32300750"/>
    <w:rsid w:val="323C02C9"/>
    <w:rsid w:val="32407191"/>
    <w:rsid w:val="324F79A0"/>
    <w:rsid w:val="3251196A"/>
    <w:rsid w:val="3260395B"/>
    <w:rsid w:val="32655DF4"/>
    <w:rsid w:val="326658C5"/>
    <w:rsid w:val="327EDF70"/>
    <w:rsid w:val="32827D75"/>
    <w:rsid w:val="32891103"/>
    <w:rsid w:val="329C5B8D"/>
    <w:rsid w:val="329F0927"/>
    <w:rsid w:val="32B10138"/>
    <w:rsid w:val="32B34264"/>
    <w:rsid w:val="32C4038E"/>
    <w:rsid w:val="32D22AAA"/>
    <w:rsid w:val="32E12CEE"/>
    <w:rsid w:val="32E93950"/>
    <w:rsid w:val="331E0100"/>
    <w:rsid w:val="333D579D"/>
    <w:rsid w:val="33552D94"/>
    <w:rsid w:val="338A5133"/>
    <w:rsid w:val="338C3782"/>
    <w:rsid w:val="33947D60"/>
    <w:rsid w:val="3397718F"/>
    <w:rsid w:val="33B2468A"/>
    <w:rsid w:val="33B50CBB"/>
    <w:rsid w:val="33B95A18"/>
    <w:rsid w:val="33BA63EC"/>
    <w:rsid w:val="33DA4F4F"/>
    <w:rsid w:val="33E162AB"/>
    <w:rsid w:val="33F61010"/>
    <w:rsid w:val="33FE167D"/>
    <w:rsid w:val="340C5DD9"/>
    <w:rsid w:val="34126ED7"/>
    <w:rsid w:val="342A4220"/>
    <w:rsid w:val="342B3056"/>
    <w:rsid w:val="342B555D"/>
    <w:rsid w:val="34311A53"/>
    <w:rsid w:val="34412A4B"/>
    <w:rsid w:val="34476B80"/>
    <w:rsid w:val="345E036E"/>
    <w:rsid w:val="349B6E9B"/>
    <w:rsid w:val="349F7FA3"/>
    <w:rsid w:val="34A246FE"/>
    <w:rsid w:val="34A3797E"/>
    <w:rsid w:val="34AA380B"/>
    <w:rsid w:val="34BD4837"/>
    <w:rsid w:val="34CA155F"/>
    <w:rsid w:val="34D10B40"/>
    <w:rsid w:val="34DB551B"/>
    <w:rsid w:val="34DF14AF"/>
    <w:rsid w:val="34EC3BCC"/>
    <w:rsid w:val="35170C48"/>
    <w:rsid w:val="35213875"/>
    <w:rsid w:val="354457B6"/>
    <w:rsid w:val="355824A8"/>
    <w:rsid w:val="356B4AF0"/>
    <w:rsid w:val="357E2A76"/>
    <w:rsid w:val="358B0CEF"/>
    <w:rsid w:val="359C74CB"/>
    <w:rsid w:val="35B46497"/>
    <w:rsid w:val="35C41EE5"/>
    <w:rsid w:val="35CD1307"/>
    <w:rsid w:val="35E03EBE"/>
    <w:rsid w:val="35F1149A"/>
    <w:rsid w:val="360438AB"/>
    <w:rsid w:val="362332C8"/>
    <w:rsid w:val="362A0508"/>
    <w:rsid w:val="36301896"/>
    <w:rsid w:val="363E2B15"/>
    <w:rsid w:val="364F6D06"/>
    <w:rsid w:val="3654123C"/>
    <w:rsid w:val="36627E78"/>
    <w:rsid w:val="36660192"/>
    <w:rsid w:val="3684230E"/>
    <w:rsid w:val="36A22794"/>
    <w:rsid w:val="36C80C21"/>
    <w:rsid w:val="36C97D20"/>
    <w:rsid w:val="36EA168C"/>
    <w:rsid w:val="36EA7C97"/>
    <w:rsid w:val="37294C63"/>
    <w:rsid w:val="372A303C"/>
    <w:rsid w:val="374D06DF"/>
    <w:rsid w:val="3776710C"/>
    <w:rsid w:val="377D2043"/>
    <w:rsid w:val="378325C5"/>
    <w:rsid w:val="3786679F"/>
    <w:rsid w:val="378A4AAD"/>
    <w:rsid w:val="379A16BD"/>
    <w:rsid w:val="37A34A15"/>
    <w:rsid w:val="37A461DA"/>
    <w:rsid w:val="37E4141D"/>
    <w:rsid w:val="37E82428"/>
    <w:rsid w:val="37EB1F18"/>
    <w:rsid w:val="37EC213A"/>
    <w:rsid w:val="37EF306A"/>
    <w:rsid w:val="37FB29C1"/>
    <w:rsid w:val="38033706"/>
    <w:rsid w:val="380D0A0A"/>
    <w:rsid w:val="380D1E8F"/>
    <w:rsid w:val="383C09C6"/>
    <w:rsid w:val="385A6E2C"/>
    <w:rsid w:val="385C4BC4"/>
    <w:rsid w:val="38613F89"/>
    <w:rsid w:val="386318FF"/>
    <w:rsid w:val="386F38FF"/>
    <w:rsid w:val="387B7DEB"/>
    <w:rsid w:val="389F4A04"/>
    <w:rsid w:val="38A33B36"/>
    <w:rsid w:val="38A540E0"/>
    <w:rsid w:val="38A5656B"/>
    <w:rsid w:val="38AF4F51"/>
    <w:rsid w:val="38B5603D"/>
    <w:rsid w:val="38B61F0F"/>
    <w:rsid w:val="38BA3386"/>
    <w:rsid w:val="38BB5D8F"/>
    <w:rsid w:val="38D64977"/>
    <w:rsid w:val="38DB3D3B"/>
    <w:rsid w:val="38F93A8E"/>
    <w:rsid w:val="390B4FA4"/>
    <w:rsid w:val="3914724D"/>
    <w:rsid w:val="393146A5"/>
    <w:rsid w:val="393802D6"/>
    <w:rsid w:val="394B445A"/>
    <w:rsid w:val="39537D75"/>
    <w:rsid w:val="39544296"/>
    <w:rsid w:val="395619C1"/>
    <w:rsid w:val="395A1104"/>
    <w:rsid w:val="39621D5E"/>
    <w:rsid w:val="39681641"/>
    <w:rsid w:val="39754190"/>
    <w:rsid w:val="397C2BEE"/>
    <w:rsid w:val="399D7242"/>
    <w:rsid w:val="39AB34BC"/>
    <w:rsid w:val="39B66533"/>
    <w:rsid w:val="39C9665C"/>
    <w:rsid w:val="39DA2245"/>
    <w:rsid w:val="39E135D3"/>
    <w:rsid w:val="39EE7A9E"/>
    <w:rsid w:val="39F23A32"/>
    <w:rsid w:val="39F65619"/>
    <w:rsid w:val="3A0177D1"/>
    <w:rsid w:val="3A064DE8"/>
    <w:rsid w:val="3A157721"/>
    <w:rsid w:val="3A1C460B"/>
    <w:rsid w:val="3A2F1EC9"/>
    <w:rsid w:val="3A461E30"/>
    <w:rsid w:val="3A567A87"/>
    <w:rsid w:val="3A5730C6"/>
    <w:rsid w:val="3A690EA7"/>
    <w:rsid w:val="3A6E28F0"/>
    <w:rsid w:val="3A6F19C4"/>
    <w:rsid w:val="3A7372C3"/>
    <w:rsid w:val="3A7566C4"/>
    <w:rsid w:val="3A800389"/>
    <w:rsid w:val="3A8B353F"/>
    <w:rsid w:val="3AA93B03"/>
    <w:rsid w:val="3AB26D1E"/>
    <w:rsid w:val="3AB64A60"/>
    <w:rsid w:val="3AB904B5"/>
    <w:rsid w:val="3ACD1791"/>
    <w:rsid w:val="3ACE0341"/>
    <w:rsid w:val="3AD81125"/>
    <w:rsid w:val="3AE710BD"/>
    <w:rsid w:val="3AE80991"/>
    <w:rsid w:val="3AF64E5C"/>
    <w:rsid w:val="3AFB2473"/>
    <w:rsid w:val="3B0F1BB5"/>
    <w:rsid w:val="3B3140E6"/>
    <w:rsid w:val="3B422155"/>
    <w:rsid w:val="3B612EFA"/>
    <w:rsid w:val="3B784FA0"/>
    <w:rsid w:val="3B81506E"/>
    <w:rsid w:val="3B8D4CB6"/>
    <w:rsid w:val="3B9B3980"/>
    <w:rsid w:val="3BBD597A"/>
    <w:rsid w:val="3BC108AE"/>
    <w:rsid w:val="3BCA3066"/>
    <w:rsid w:val="3BF819B2"/>
    <w:rsid w:val="3C005BAC"/>
    <w:rsid w:val="3C0D4B53"/>
    <w:rsid w:val="3C153A08"/>
    <w:rsid w:val="3C1F4887"/>
    <w:rsid w:val="3C372E66"/>
    <w:rsid w:val="3C5F6722"/>
    <w:rsid w:val="3C664263"/>
    <w:rsid w:val="3C6E4EC6"/>
    <w:rsid w:val="3C722C08"/>
    <w:rsid w:val="3C7B5B5E"/>
    <w:rsid w:val="3C9E39FD"/>
    <w:rsid w:val="3CB13731"/>
    <w:rsid w:val="3CBC5380"/>
    <w:rsid w:val="3CBD720B"/>
    <w:rsid w:val="3CC92A63"/>
    <w:rsid w:val="3CD823F4"/>
    <w:rsid w:val="3CE05DC4"/>
    <w:rsid w:val="3CE8715E"/>
    <w:rsid w:val="3CF67395"/>
    <w:rsid w:val="3D065FA5"/>
    <w:rsid w:val="3D1C4922"/>
    <w:rsid w:val="3D2A5291"/>
    <w:rsid w:val="3D700177"/>
    <w:rsid w:val="3D736C38"/>
    <w:rsid w:val="3D87623F"/>
    <w:rsid w:val="3D9646D4"/>
    <w:rsid w:val="3D98044D"/>
    <w:rsid w:val="3D991205"/>
    <w:rsid w:val="3D9A53B4"/>
    <w:rsid w:val="3DA77CAE"/>
    <w:rsid w:val="3DBF5429"/>
    <w:rsid w:val="3DD11BB1"/>
    <w:rsid w:val="3DE77327"/>
    <w:rsid w:val="3DE8ADA1"/>
    <w:rsid w:val="3DFB09DB"/>
    <w:rsid w:val="3E073F77"/>
    <w:rsid w:val="3E152524"/>
    <w:rsid w:val="3E157CEF"/>
    <w:rsid w:val="3E194DFA"/>
    <w:rsid w:val="3E35213F"/>
    <w:rsid w:val="3E38578C"/>
    <w:rsid w:val="3E497999"/>
    <w:rsid w:val="3E720C9E"/>
    <w:rsid w:val="3E740EBA"/>
    <w:rsid w:val="3E91621F"/>
    <w:rsid w:val="3E956FDC"/>
    <w:rsid w:val="3E994348"/>
    <w:rsid w:val="3EA6303D"/>
    <w:rsid w:val="3EB13EA7"/>
    <w:rsid w:val="3EB143BB"/>
    <w:rsid w:val="3EB50B70"/>
    <w:rsid w:val="3EBD6E70"/>
    <w:rsid w:val="3EBE3EE3"/>
    <w:rsid w:val="3EC139D3"/>
    <w:rsid w:val="3EC314F9"/>
    <w:rsid w:val="3EC77AB5"/>
    <w:rsid w:val="3EDC62BB"/>
    <w:rsid w:val="3F0264C5"/>
    <w:rsid w:val="3F0363F6"/>
    <w:rsid w:val="3F073C01"/>
    <w:rsid w:val="3F1E3215"/>
    <w:rsid w:val="3F2521B4"/>
    <w:rsid w:val="3F2A77CA"/>
    <w:rsid w:val="3F3E5024"/>
    <w:rsid w:val="3F4B7F0F"/>
    <w:rsid w:val="3F5321A8"/>
    <w:rsid w:val="3F553BE5"/>
    <w:rsid w:val="3F58294D"/>
    <w:rsid w:val="3F5860E5"/>
    <w:rsid w:val="3F5C0906"/>
    <w:rsid w:val="3F5D4753"/>
    <w:rsid w:val="3F617034"/>
    <w:rsid w:val="3F6F010B"/>
    <w:rsid w:val="3F734A0B"/>
    <w:rsid w:val="3FB96E43"/>
    <w:rsid w:val="3FC96FE3"/>
    <w:rsid w:val="3FCA7F6E"/>
    <w:rsid w:val="3FD20E97"/>
    <w:rsid w:val="3FD87226"/>
    <w:rsid w:val="3FDF3F17"/>
    <w:rsid w:val="3FE23C01"/>
    <w:rsid w:val="3FE91433"/>
    <w:rsid w:val="3FFF5DF8"/>
    <w:rsid w:val="40020685"/>
    <w:rsid w:val="40183AC7"/>
    <w:rsid w:val="401D10DD"/>
    <w:rsid w:val="4024545A"/>
    <w:rsid w:val="40363F4D"/>
    <w:rsid w:val="404C3770"/>
    <w:rsid w:val="405061FD"/>
    <w:rsid w:val="40520438"/>
    <w:rsid w:val="406C4F6A"/>
    <w:rsid w:val="40864ED4"/>
    <w:rsid w:val="409650C9"/>
    <w:rsid w:val="40A006F7"/>
    <w:rsid w:val="40C2223A"/>
    <w:rsid w:val="40CD665F"/>
    <w:rsid w:val="40D95004"/>
    <w:rsid w:val="40DF4137"/>
    <w:rsid w:val="40E83499"/>
    <w:rsid w:val="40E90FBF"/>
    <w:rsid w:val="40EA7211"/>
    <w:rsid w:val="40EB010D"/>
    <w:rsid w:val="40FB586C"/>
    <w:rsid w:val="41282827"/>
    <w:rsid w:val="41395AA3"/>
    <w:rsid w:val="41546D80"/>
    <w:rsid w:val="415B3FB7"/>
    <w:rsid w:val="41766CF7"/>
    <w:rsid w:val="41807B75"/>
    <w:rsid w:val="41866A9D"/>
    <w:rsid w:val="418C02C8"/>
    <w:rsid w:val="419B050B"/>
    <w:rsid w:val="419B675D"/>
    <w:rsid w:val="419E624E"/>
    <w:rsid w:val="41A67653"/>
    <w:rsid w:val="41A76EB0"/>
    <w:rsid w:val="41AA074E"/>
    <w:rsid w:val="41B45A71"/>
    <w:rsid w:val="41B64262"/>
    <w:rsid w:val="41CE3BF4"/>
    <w:rsid w:val="41E179CD"/>
    <w:rsid w:val="41E2613A"/>
    <w:rsid w:val="41EE4ADF"/>
    <w:rsid w:val="41F06AA9"/>
    <w:rsid w:val="41F67E38"/>
    <w:rsid w:val="41F97BB5"/>
    <w:rsid w:val="41FB36A0"/>
    <w:rsid w:val="41FF4F3E"/>
    <w:rsid w:val="420C765B"/>
    <w:rsid w:val="42133B1D"/>
    <w:rsid w:val="42134546"/>
    <w:rsid w:val="424B6350"/>
    <w:rsid w:val="42542F4E"/>
    <w:rsid w:val="42546AEC"/>
    <w:rsid w:val="42733236"/>
    <w:rsid w:val="427C421B"/>
    <w:rsid w:val="427D189A"/>
    <w:rsid w:val="429513FF"/>
    <w:rsid w:val="42A930FC"/>
    <w:rsid w:val="42AE6DE9"/>
    <w:rsid w:val="42C83C9E"/>
    <w:rsid w:val="42D9578F"/>
    <w:rsid w:val="42E163F2"/>
    <w:rsid w:val="42E3216A"/>
    <w:rsid w:val="42E61C5A"/>
    <w:rsid w:val="43120CA1"/>
    <w:rsid w:val="431A5DFB"/>
    <w:rsid w:val="432D3EC7"/>
    <w:rsid w:val="432E715D"/>
    <w:rsid w:val="435E67C4"/>
    <w:rsid w:val="4374600D"/>
    <w:rsid w:val="43855B50"/>
    <w:rsid w:val="438D20D6"/>
    <w:rsid w:val="43913DA4"/>
    <w:rsid w:val="439711A6"/>
    <w:rsid w:val="4399485B"/>
    <w:rsid w:val="43A538C3"/>
    <w:rsid w:val="43B34232"/>
    <w:rsid w:val="43B753A5"/>
    <w:rsid w:val="43F3462F"/>
    <w:rsid w:val="43F35DC9"/>
    <w:rsid w:val="441647C1"/>
    <w:rsid w:val="441E6890"/>
    <w:rsid w:val="44483D2C"/>
    <w:rsid w:val="445F1CC4"/>
    <w:rsid w:val="445F33CE"/>
    <w:rsid w:val="447A1390"/>
    <w:rsid w:val="447C21D5"/>
    <w:rsid w:val="447D5BC2"/>
    <w:rsid w:val="447E358A"/>
    <w:rsid w:val="44AA06C5"/>
    <w:rsid w:val="44AB0E90"/>
    <w:rsid w:val="44B444BD"/>
    <w:rsid w:val="44C35AA4"/>
    <w:rsid w:val="44C5795F"/>
    <w:rsid w:val="44D47547"/>
    <w:rsid w:val="44EC34BD"/>
    <w:rsid w:val="44F0702D"/>
    <w:rsid w:val="44FF0DB1"/>
    <w:rsid w:val="44FF34A7"/>
    <w:rsid w:val="44FF6697"/>
    <w:rsid w:val="450933E3"/>
    <w:rsid w:val="45161B2C"/>
    <w:rsid w:val="453C51A9"/>
    <w:rsid w:val="45800144"/>
    <w:rsid w:val="4586581D"/>
    <w:rsid w:val="45A053C5"/>
    <w:rsid w:val="45A2455E"/>
    <w:rsid w:val="45A57BAB"/>
    <w:rsid w:val="45AA3413"/>
    <w:rsid w:val="45B93025"/>
    <w:rsid w:val="45F83A10"/>
    <w:rsid w:val="45FF47CD"/>
    <w:rsid w:val="4603066A"/>
    <w:rsid w:val="460E39A2"/>
    <w:rsid w:val="461A0599"/>
    <w:rsid w:val="46203352"/>
    <w:rsid w:val="46361D63"/>
    <w:rsid w:val="46364CA7"/>
    <w:rsid w:val="464C520A"/>
    <w:rsid w:val="465810C1"/>
    <w:rsid w:val="465E2D85"/>
    <w:rsid w:val="466C14B8"/>
    <w:rsid w:val="4674757D"/>
    <w:rsid w:val="467579D7"/>
    <w:rsid w:val="469C2F73"/>
    <w:rsid w:val="46E91610"/>
    <w:rsid w:val="46F16636"/>
    <w:rsid w:val="46F34946"/>
    <w:rsid w:val="46FF5F48"/>
    <w:rsid w:val="470628CB"/>
    <w:rsid w:val="47072496"/>
    <w:rsid w:val="471F1BDF"/>
    <w:rsid w:val="473F2382"/>
    <w:rsid w:val="47415421"/>
    <w:rsid w:val="4760647F"/>
    <w:rsid w:val="477E06B3"/>
    <w:rsid w:val="47A85730"/>
    <w:rsid w:val="47AC3472"/>
    <w:rsid w:val="47E425EA"/>
    <w:rsid w:val="47E46DA5"/>
    <w:rsid w:val="47EF1591"/>
    <w:rsid w:val="47F0551D"/>
    <w:rsid w:val="47F46BC7"/>
    <w:rsid w:val="47FD4576"/>
    <w:rsid w:val="480842BC"/>
    <w:rsid w:val="480D3EEE"/>
    <w:rsid w:val="481132D5"/>
    <w:rsid w:val="481267E3"/>
    <w:rsid w:val="48142DC6"/>
    <w:rsid w:val="48145CB5"/>
    <w:rsid w:val="481B4154"/>
    <w:rsid w:val="481B6721"/>
    <w:rsid w:val="481F68A4"/>
    <w:rsid w:val="482024E1"/>
    <w:rsid w:val="484862AC"/>
    <w:rsid w:val="48647785"/>
    <w:rsid w:val="4873021F"/>
    <w:rsid w:val="488E7E21"/>
    <w:rsid w:val="48914416"/>
    <w:rsid w:val="489A091D"/>
    <w:rsid w:val="489F284C"/>
    <w:rsid w:val="48B07ED0"/>
    <w:rsid w:val="48B872A7"/>
    <w:rsid w:val="48EB1D78"/>
    <w:rsid w:val="48FF3A76"/>
    <w:rsid w:val="490C7F41"/>
    <w:rsid w:val="4922204C"/>
    <w:rsid w:val="492B6619"/>
    <w:rsid w:val="494E6498"/>
    <w:rsid w:val="49627B61"/>
    <w:rsid w:val="496316B9"/>
    <w:rsid w:val="49686565"/>
    <w:rsid w:val="49747FC0"/>
    <w:rsid w:val="49793478"/>
    <w:rsid w:val="497F0713"/>
    <w:rsid w:val="49911DA2"/>
    <w:rsid w:val="49971F00"/>
    <w:rsid w:val="49BF718C"/>
    <w:rsid w:val="49C16F62"/>
    <w:rsid w:val="49D2118A"/>
    <w:rsid w:val="49DE0771"/>
    <w:rsid w:val="49ED1B20"/>
    <w:rsid w:val="49F2415A"/>
    <w:rsid w:val="4A004267"/>
    <w:rsid w:val="4A112B40"/>
    <w:rsid w:val="4A166124"/>
    <w:rsid w:val="4A166616"/>
    <w:rsid w:val="4A4F6B22"/>
    <w:rsid w:val="4A511571"/>
    <w:rsid w:val="4A5A5944"/>
    <w:rsid w:val="4A8D0C0F"/>
    <w:rsid w:val="4A8F7B44"/>
    <w:rsid w:val="4AB63EA1"/>
    <w:rsid w:val="4AC565F9"/>
    <w:rsid w:val="4B103D18"/>
    <w:rsid w:val="4B1C5AA0"/>
    <w:rsid w:val="4B21417A"/>
    <w:rsid w:val="4B494ABD"/>
    <w:rsid w:val="4B521F30"/>
    <w:rsid w:val="4B652B55"/>
    <w:rsid w:val="4B871B00"/>
    <w:rsid w:val="4B897627"/>
    <w:rsid w:val="4B95421D"/>
    <w:rsid w:val="4B977F95"/>
    <w:rsid w:val="4BA454A4"/>
    <w:rsid w:val="4BB072A9"/>
    <w:rsid w:val="4BB24DCF"/>
    <w:rsid w:val="4BB723E6"/>
    <w:rsid w:val="4BBE1663"/>
    <w:rsid w:val="4BC44B03"/>
    <w:rsid w:val="4BCC6FDE"/>
    <w:rsid w:val="4BF54CBC"/>
    <w:rsid w:val="4C1007D3"/>
    <w:rsid w:val="4C117198"/>
    <w:rsid w:val="4C2054F7"/>
    <w:rsid w:val="4C2A2BB8"/>
    <w:rsid w:val="4C2C2DD4"/>
    <w:rsid w:val="4C365A00"/>
    <w:rsid w:val="4C373527"/>
    <w:rsid w:val="4C402FE4"/>
    <w:rsid w:val="4C46376A"/>
    <w:rsid w:val="4C542B91"/>
    <w:rsid w:val="4C5639AD"/>
    <w:rsid w:val="4C583BC9"/>
    <w:rsid w:val="4C6E193A"/>
    <w:rsid w:val="4C6E50DF"/>
    <w:rsid w:val="4C9E20D7"/>
    <w:rsid w:val="4CA23096"/>
    <w:rsid w:val="4CAA3CA4"/>
    <w:rsid w:val="4CAA6E2C"/>
    <w:rsid w:val="4CB0430E"/>
    <w:rsid w:val="4CD07C03"/>
    <w:rsid w:val="4CDE39A2"/>
    <w:rsid w:val="4CEF3B30"/>
    <w:rsid w:val="4CF87726"/>
    <w:rsid w:val="4D063625"/>
    <w:rsid w:val="4D07114B"/>
    <w:rsid w:val="4D144184"/>
    <w:rsid w:val="4D1675E0"/>
    <w:rsid w:val="4D1D271C"/>
    <w:rsid w:val="4D227D33"/>
    <w:rsid w:val="4D4B7289"/>
    <w:rsid w:val="4D693BB4"/>
    <w:rsid w:val="4D6F1CF6"/>
    <w:rsid w:val="4DA1334D"/>
    <w:rsid w:val="4DAB09FB"/>
    <w:rsid w:val="4DAD1CF2"/>
    <w:rsid w:val="4DB737CA"/>
    <w:rsid w:val="4DDB30D1"/>
    <w:rsid w:val="4DDE0767"/>
    <w:rsid w:val="4DE5055D"/>
    <w:rsid w:val="4DEF230B"/>
    <w:rsid w:val="4DFD6E80"/>
    <w:rsid w:val="4DFE3425"/>
    <w:rsid w:val="4E0062C6"/>
    <w:rsid w:val="4E030D7C"/>
    <w:rsid w:val="4E157D42"/>
    <w:rsid w:val="4E32570D"/>
    <w:rsid w:val="4E433CEC"/>
    <w:rsid w:val="4E4B048B"/>
    <w:rsid w:val="4E4E5C86"/>
    <w:rsid w:val="4E573A0C"/>
    <w:rsid w:val="4E612ADD"/>
    <w:rsid w:val="4E620EF0"/>
    <w:rsid w:val="4E6C754B"/>
    <w:rsid w:val="4EAA667E"/>
    <w:rsid w:val="4EBE7F2F"/>
    <w:rsid w:val="4EC512BE"/>
    <w:rsid w:val="4EE24E35"/>
    <w:rsid w:val="4EEE25C2"/>
    <w:rsid w:val="4EF37DDB"/>
    <w:rsid w:val="4EF57AD0"/>
    <w:rsid w:val="4EF57C42"/>
    <w:rsid w:val="4F0A3CD3"/>
    <w:rsid w:val="4F0A631D"/>
    <w:rsid w:val="4F165675"/>
    <w:rsid w:val="4F247D92"/>
    <w:rsid w:val="4F275768"/>
    <w:rsid w:val="4F2F60B9"/>
    <w:rsid w:val="4F466AFA"/>
    <w:rsid w:val="4F5341F9"/>
    <w:rsid w:val="4F552641"/>
    <w:rsid w:val="4F644AE1"/>
    <w:rsid w:val="4F766114"/>
    <w:rsid w:val="4F7F3DFA"/>
    <w:rsid w:val="4F8D217E"/>
    <w:rsid w:val="4F9C3DCC"/>
    <w:rsid w:val="4FAD5FDA"/>
    <w:rsid w:val="4FB67BC1"/>
    <w:rsid w:val="4FCB46B2"/>
    <w:rsid w:val="4FD05402"/>
    <w:rsid w:val="4FD73056"/>
    <w:rsid w:val="4FE52C74"/>
    <w:rsid w:val="4FEA4E3B"/>
    <w:rsid w:val="5004307C"/>
    <w:rsid w:val="50244212"/>
    <w:rsid w:val="50306C0B"/>
    <w:rsid w:val="503A5393"/>
    <w:rsid w:val="504273BB"/>
    <w:rsid w:val="504D3319"/>
    <w:rsid w:val="505E72D4"/>
    <w:rsid w:val="50847888"/>
    <w:rsid w:val="50974594"/>
    <w:rsid w:val="50992F99"/>
    <w:rsid w:val="50A849F3"/>
    <w:rsid w:val="50AC44E3"/>
    <w:rsid w:val="50B05365"/>
    <w:rsid w:val="50B9287D"/>
    <w:rsid w:val="50C224CA"/>
    <w:rsid w:val="50E35A2B"/>
    <w:rsid w:val="50FC7ED0"/>
    <w:rsid w:val="5107378E"/>
    <w:rsid w:val="51085492"/>
    <w:rsid w:val="510C31D4"/>
    <w:rsid w:val="512322CB"/>
    <w:rsid w:val="513209EE"/>
    <w:rsid w:val="513D3CF7"/>
    <w:rsid w:val="51477D68"/>
    <w:rsid w:val="515D6414"/>
    <w:rsid w:val="51601795"/>
    <w:rsid w:val="517C5E3E"/>
    <w:rsid w:val="519D32B6"/>
    <w:rsid w:val="51B0176A"/>
    <w:rsid w:val="51B8633F"/>
    <w:rsid w:val="51BE65D9"/>
    <w:rsid w:val="51C12C40"/>
    <w:rsid w:val="51C57DE7"/>
    <w:rsid w:val="51D05E57"/>
    <w:rsid w:val="51D410A1"/>
    <w:rsid w:val="51F577C4"/>
    <w:rsid w:val="51F727EB"/>
    <w:rsid w:val="52000507"/>
    <w:rsid w:val="52045C59"/>
    <w:rsid w:val="5215024A"/>
    <w:rsid w:val="521B01A5"/>
    <w:rsid w:val="521B7E56"/>
    <w:rsid w:val="5221680B"/>
    <w:rsid w:val="522269AF"/>
    <w:rsid w:val="52323441"/>
    <w:rsid w:val="525651B4"/>
    <w:rsid w:val="526819A1"/>
    <w:rsid w:val="52764235"/>
    <w:rsid w:val="52AB5231"/>
    <w:rsid w:val="52B279D6"/>
    <w:rsid w:val="52BC29D7"/>
    <w:rsid w:val="52BF286B"/>
    <w:rsid w:val="52C95A5B"/>
    <w:rsid w:val="52CB49C9"/>
    <w:rsid w:val="52D271ED"/>
    <w:rsid w:val="52D7511B"/>
    <w:rsid w:val="52D81DAF"/>
    <w:rsid w:val="52FC5529"/>
    <w:rsid w:val="53071EA5"/>
    <w:rsid w:val="530E3233"/>
    <w:rsid w:val="531445C2"/>
    <w:rsid w:val="531F0FF7"/>
    <w:rsid w:val="532142AA"/>
    <w:rsid w:val="532C36B9"/>
    <w:rsid w:val="5334256E"/>
    <w:rsid w:val="53346A12"/>
    <w:rsid w:val="534970BE"/>
    <w:rsid w:val="534A1D91"/>
    <w:rsid w:val="535147A8"/>
    <w:rsid w:val="535228B1"/>
    <w:rsid w:val="535300C1"/>
    <w:rsid w:val="53560B07"/>
    <w:rsid w:val="535E583D"/>
    <w:rsid w:val="53784B50"/>
    <w:rsid w:val="53887489"/>
    <w:rsid w:val="53946D5C"/>
    <w:rsid w:val="53B2304B"/>
    <w:rsid w:val="53C2343A"/>
    <w:rsid w:val="53C47CA2"/>
    <w:rsid w:val="53C55637"/>
    <w:rsid w:val="53CE29C2"/>
    <w:rsid w:val="53F32429"/>
    <w:rsid w:val="53FE1542"/>
    <w:rsid w:val="54077C82"/>
    <w:rsid w:val="54081C4D"/>
    <w:rsid w:val="541F4FCC"/>
    <w:rsid w:val="54273648"/>
    <w:rsid w:val="542A5C3B"/>
    <w:rsid w:val="54313774"/>
    <w:rsid w:val="54404206"/>
    <w:rsid w:val="54446A80"/>
    <w:rsid w:val="5458228C"/>
    <w:rsid w:val="54584E7E"/>
    <w:rsid w:val="545C40D5"/>
    <w:rsid w:val="545F361A"/>
    <w:rsid w:val="5463359B"/>
    <w:rsid w:val="548C679C"/>
    <w:rsid w:val="54A92144"/>
    <w:rsid w:val="54AF45A2"/>
    <w:rsid w:val="54BC0A6D"/>
    <w:rsid w:val="54D23DEC"/>
    <w:rsid w:val="54FC70BB"/>
    <w:rsid w:val="54FF36DD"/>
    <w:rsid w:val="54FF4999"/>
    <w:rsid w:val="55005735"/>
    <w:rsid w:val="550F5041"/>
    <w:rsid w:val="551E6CEE"/>
    <w:rsid w:val="552E4581"/>
    <w:rsid w:val="553E0B12"/>
    <w:rsid w:val="5555648E"/>
    <w:rsid w:val="555D2250"/>
    <w:rsid w:val="555F5D4F"/>
    <w:rsid w:val="556A4441"/>
    <w:rsid w:val="55782BE6"/>
    <w:rsid w:val="55794BB0"/>
    <w:rsid w:val="55867CE8"/>
    <w:rsid w:val="558964DD"/>
    <w:rsid w:val="55A27C63"/>
    <w:rsid w:val="55AA5C85"/>
    <w:rsid w:val="55BE088E"/>
    <w:rsid w:val="55C0458D"/>
    <w:rsid w:val="55D02A22"/>
    <w:rsid w:val="55E069DD"/>
    <w:rsid w:val="55EA2C70"/>
    <w:rsid w:val="56095D21"/>
    <w:rsid w:val="56187F25"/>
    <w:rsid w:val="56222B52"/>
    <w:rsid w:val="563665FD"/>
    <w:rsid w:val="564B20A8"/>
    <w:rsid w:val="565C2507"/>
    <w:rsid w:val="565D2C08"/>
    <w:rsid w:val="566521C3"/>
    <w:rsid w:val="568A7075"/>
    <w:rsid w:val="568D5399"/>
    <w:rsid w:val="56933A4F"/>
    <w:rsid w:val="56985C18"/>
    <w:rsid w:val="569A4429"/>
    <w:rsid w:val="569E7605"/>
    <w:rsid w:val="56A25A40"/>
    <w:rsid w:val="56B10353"/>
    <w:rsid w:val="56B934B6"/>
    <w:rsid w:val="56DA342C"/>
    <w:rsid w:val="56DB77F6"/>
    <w:rsid w:val="56E147BB"/>
    <w:rsid w:val="56E55706"/>
    <w:rsid w:val="56F77495"/>
    <w:rsid w:val="56F91B04"/>
    <w:rsid w:val="56FF0AB4"/>
    <w:rsid w:val="57014E5D"/>
    <w:rsid w:val="57122BC6"/>
    <w:rsid w:val="571F0F7D"/>
    <w:rsid w:val="57243F2A"/>
    <w:rsid w:val="572741A9"/>
    <w:rsid w:val="57363518"/>
    <w:rsid w:val="575206AE"/>
    <w:rsid w:val="576F0018"/>
    <w:rsid w:val="57757B5A"/>
    <w:rsid w:val="5798495E"/>
    <w:rsid w:val="57A44A53"/>
    <w:rsid w:val="57A61650"/>
    <w:rsid w:val="57A74FED"/>
    <w:rsid w:val="57C225EC"/>
    <w:rsid w:val="57C71C02"/>
    <w:rsid w:val="57EC5561"/>
    <w:rsid w:val="57F4510A"/>
    <w:rsid w:val="57FE470A"/>
    <w:rsid w:val="58080479"/>
    <w:rsid w:val="58164938"/>
    <w:rsid w:val="58171C7F"/>
    <w:rsid w:val="5818420C"/>
    <w:rsid w:val="582E75B9"/>
    <w:rsid w:val="58592F4A"/>
    <w:rsid w:val="58692CBA"/>
    <w:rsid w:val="58703188"/>
    <w:rsid w:val="58A4319B"/>
    <w:rsid w:val="58A97DEF"/>
    <w:rsid w:val="58BB518B"/>
    <w:rsid w:val="58E0166F"/>
    <w:rsid w:val="58E13609"/>
    <w:rsid w:val="59092B97"/>
    <w:rsid w:val="590E2965"/>
    <w:rsid w:val="591946E0"/>
    <w:rsid w:val="591B7FEB"/>
    <w:rsid w:val="59271E80"/>
    <w:rsid w:val="592875B7"/>
    <w:rsid w:val="592D018B"/>
    <w:rsid w:val="593D2BEE"/>
    <w:rsid w:val="59462FFB"/>
    <w:rsid w:val="596B0550"/>
    <w:rsid w:val="597459D0"/>
    <w:rsid w:val="597A7DA9"/>
    <w:rsid w:val="59943D66"/>
    <w:rsid w:val="59A246D5"/>
    <w:rsid w:val="59A8245D"/>
    <w:rsid w:val="59AC10B0"/>
    <w:rsid w:val="59C108F0"/>
    <w:rsid w:val="59D51D3C"/>
    <w:rsid w:val="59E051FD"/>
    <w:rsid w:val="59EF2CB9"/>
    <w:rsid w:val="59FB327B"/>
    <w:rsid w:val="5A0A2226"/>
    <w:rsid w:val="5A0F7891"/>
    <w:rsid w:val="5A181663"/>
    <w:rsid w:val="5A2D7B6F"/>
    <w:rsid w:val="5A2E0C74"/>
    <w:rsid w:val="5A386DE8"/>
    <w:rsid w:val="5A3B2502"/>
    <w:rsid w:val="5A3E219F"/>
    <w:rsid w:val="5A495602"/>
    <w:rsid w:val="5A4E03B9"/>
    <w:rsid w:val="5A5A5B18"/>
    <w:rsid w:val="5A5C0D28"/>
    <w:rsid w:val="5AB6659C"/>
    <w:rsid w:val="5AB94067"/>
    <w:rsid w:val="5ABD0F5F"/>
    <w:rsid w:val="5AC10B8B"/>
    <w:rsid w:val="5AD65B57"/>
    <w:rsid w:val="5AE605F2"/>
    <w:rsid w:val="5AF820D3"/>
    <w:rsid w:val="5B174C4F"/>
    <w:rsid w:val="5B196FF7"/>
    <w:rsid w:val="5B1F079D"/>
    <w:rsid w:val="5B417F1E"/>
    <w:rsid w:val="5B4B48F9"/>
    <w:rsid w:val="5B540F34"/>
    <w:rsid w:val="5B54555B"/>
    <w:rsid w:val="5B5F5F0E"/>
    <w:rsid w:val="5B6065F6"/>
    <w:rsid w:val="5B70435F"/>
    <w:rsid w:val="5B9656F6"/>
    <w:rsid w:val="5B9E711E"/>
    <w:rsid w:val="5BB56F08"/>
    <w:rsid w:val="5BB82054"/>
    <w:rsid w:val="5BB93C4A"/>
    <w:rsid w:val="5BE80399"/>
    <w:rsid w:val="5BEC7E8A"/>
    <w:rsid w:val="5BED2C8E"/>
    <w:rsid w:val="5BFE4D8D"/>
    <w:rsid w:val="5C036CDB"/>
    <w:rsid w:val="5C074CC3"/>
    <w:rsid w:val="5C0F3EC0"/>
    <w:rsid w:val="5C1271C4"/>
    <w:rsid w:val="5C195124"/>
    <w:rsid w:val="5C1B7DBB"/>
    <w:rsid w:val="5C3A0EAF"/>
    <w:rsid w:val="5C403D31"/>
    <w:rsid w:val="5C4429D9"/>
    <w:rsid w:val="5C4E644E"/>
    <w:rsid w:val="5C6F4617"/>
    <w:rsid w:val="5C7659A5"/>
    <w:rsid w:val="5C853E3A"/>
    <w:rsid w:val="5C8A141E"/>
    <w:rsid w:val="5C936557"/>
    <w:rsid w:val="5C961BA3"/>
    <w:rsid w:val="5C9A6154"/>
    <w:rsid w:val="5CA042D4"/>
    <w:rsid w:val="5CBB785C"/>
    <w:rsid w:val="5CE16643"/>
    <w:rsid w:val="5CE3584D"/>
    <w:rsid w:val="5CE45005"/>
    <w:rsid w:val="5CF90565"/>
    <w:rsid w:val="5CFA7B59"/>
    <w:rsid w:val="5CFC3A31"/>
    <w:rsid w:val="5CFF677C"/>
    <w:rsid w:val="5D027239"/>
    <w:rsid w:val="5D042FB1"/>
    <w:rsid w:val="5D135886"/>
    <w:rsid w:val="5D153EC6"/>
    <w:rsid w:val="5D391DF1"/>
    <w:rsid w:val="5D3C099D"/>
    <w:rsid w:val="5D4471AD"/>
    <w:rsid w:val="5D55380D"/>
    <w:rsid w:val="5D554F84"/>
    <w:rsid w:val="5D700646"/>
    <w:rsid w:val="5D761FF9"/>
    <w:rsid w:val="5D79399F"/>
    <w:rsid w:val="5D7F2423"/>
    <w:rsid w:val="5D911DAB"/>
    <w:rsid w:val="5D967E53"/>
    <w:rsid w:val="5D9967ED"/>
    <w:rsid w:val="5DA56542"/>
    <w:rsid w:val="5DA768D4"/>
    <w:rsid w:val="5DAA5C90"/>
    <w:rsid w:val="5DC13406"/>
    <w:rsid w:val="5DC32E6C"/>
    <w:rsid w:val="5DC7688B"/>
    <w:rsid w:val="5DD053B3"/>
    <w:rsid w:val="5DDE3B8B"/>
    <w:rsid w:val="5DE828D3"/>
    <w:rsid w:val="5DE94B31"/>
    <w:rsid w:val="5DEA21A7"/>
    <w:rsid w:val="5DFD637E"/>
    <w:rsid w:val="5E1216FE"/>
    <w:rsid w:val="5E123643"/>
    <w:rsid w:val="5E2F405E"/>
    <w:rsid w:val="5E405F61"/>
    <w:rsid w:val="5E4C1A7C"/>
    <w:rsid w:val="5E5B30A5"/>
    <w:rsid w:val="5E5BDAC7"/>
    <w:rsid w:val="5E8A63AB"/>
    <w:rsid w:val="5EB92650"/>
    <w:rsid w:val="5ECF3108"/>
    <w:rsid w:val="5EDB41E5"/>
    <w:rsid w:val="5EE31A16"/>
    <w:rsid w:val="5EE4309A"/>
    <w:rsid w:val="5EE73E66"/>
    <w:rsid w:val="5EF17565"/>
    <w:rsid w:val="5F1514A5"/>
    <w:rsid w:val="5F274BAB"/>
    <w:rsid w:val="5F351B48"/>
    <w:rsid w:val="5F3E50E7"/>
    <w:rsid w:val="5F3F6522"/>
    <w:rsid w:val="5F44309B"/>
    <w:rsid w:val="5F4955F3"/>
    <w:rsid w:val="5F4A27CC"/>
    <w:rsid w:val="5F4C5068"/>
    <w:rsid w:val="5F4E49B7"/>
    <w:rsid w:val="5F654F08"/>
    <w:rsid w:val="5F773F0E"/>
    <w:rsid w:val="5F7A57AC"/>
    <w:rsid w:val="5F9B0133"/>
    <w:rsid w:val="5FA445F4"/>
    <w:rsid w:val="5FB4304D"/>
    <w:rsid w:val="5FB70C17"/>
    <w:rsid w:val="5FC765D8"/>
    <w:rsid w:val="5FCB05D9"/>
    <w:rsid w:val="5FDE4B10"/>
    <w:rsid w:val="60076625"/>
    <w:rsid w:val="60172FFB"/>
    <w:rsid w:val="601856F1"/>
    <w:rsid w:val="601D4C8E"/>
    <w:rsid w:val="60377FA1"/>
    <w:rsid w:val="603C0EF0"/>
    <w:rsid w:val="6042276E"/>
    <w:rsid w:val="60547F8E"/>
    <w:rsid w:val="606606F6"/>
    <w:rsid w:val="606F1770"/>
    <w:rsid w:val="607313A1"/>
    <w:rsid w:val="60803296"/>
    <w:rsid w:val="60864E23"/>
    <w:rsid w:val="60883C55"/>
    <w:rsid w:val="60932FCA"/>
    <w:rsid w:val="609B59DA"/>
    <w:rsid w:val="60B94643"/>
    <w:rsid w:val="60BF0592"/>
    <w:rsid w:val="60C13AA3"/>
    <w:rsid w:val="60DC44B3"/>
    <w:rsid w:val="60E21325"/>
    <w:rsid w:val="60EA552D"/>
    <w:rsid w:val="60F63558"/>
    <w:rsid w:val="60F67B76"/>
    <w:rsid w:val="61045C75"/>
    <w:rsid w:val="61616C24"/>
    <w:rsid w:val="61642270"/>
    <w:rsid w:val="61652F93"/>
    <w:rsid w:val="617E77D6"/>
    <w:rsid w:val="61A570C7"/>
    <w:rsid w:val="61B84B09"/>
    <w:rsid w:val="61B9080E"/>
    <w:rsid w:val="61BF1B9C"/>
    <w:rsid w:val="61E41603"/>
    <w:rsid w:val="62031A89"/>
    <w:rsid w:val="62087B68"/>
    <w:rsid w:val="620F48D2"/>
    <w:rsid w:val="62233AB5"/>
    <w:rsid w:val="622E734C"/>
    <w:rsid w:val="623065F6"/>
    <w:rsid w:val="62361E5F"/>
    <w:rsid w:val="62367015"/>
    <w:rsid w:val="62450707"/>
    <w:rsid w:val="62456545"/>
    <w:rsid w:val="62516D0D"/>
    <w:rsid w:val="626015D7"/>
    <w:rsid w:val="626562A0"/>
    <w:rsid w:val="62BF206E"/>
    <w:rsid w:val="62CD5E23"/>
    <w:rsid w:val="62CF37DF"/>
    <w:rsid w:val="62DA7F2D"/>
    <w:rsid w:val="62F775D9"/>
    <w:rsid w:val="62F835B8"/>
    <w:rsid w:val="63260125"/>
    <w:rsid w:val="63267B6C"/>
    <w:rsid w:val="6327656B"/>
    <w:rsid w:val="633914DA"/>
    <w:rsid w:val="63400ABB"/>
    <w:rsid w:val="6344466B"/>
    <w:rsid w:val="63462647"/>
    <w:rsid w:val="63535B4C"/>
    <w:rsid w:val="635A680F"/>
    <w:rsid w:val="635C0B45"/>
    <w:rsid w:val="637F1A74"/>
    <w:rsid w:val="63862972"/>
    <w:rsid w:val="639F5F34"/>
    <w:rsid w:val="63A67167"/>
    <w:rsid w:val="63AB4186"/>
    <w:rsid w:val="63BE035D"/>
    <w:rsid w:val="63C45248"/>
    <w:rsid w:val="63D27965"/>
    <w:rsid w:val="63FF44D2"/>
    <w:rsid w:val="64063AB3"/>
    <w:rsid w:val="640B731B"/>
    <w:rsid w:val="6416019A"/>
    <w:rsid w:val="64216B3E"/>
    <w:rsid w:val="642A59F3"/>
    <w:rsid w:val="642D7291"/>
    <w:rsid w:val="64464622"/>
    <w:rsid w:val="644C15CE"/>
    <w:rsid w:val="64520AA6"/>
    <w:rsid w:val="64597B64"/>
    <w:rsid w:val="645C36D2"/>
    <w:rsid w:val="646042DE"/>
    <w:rsid w:val="64682077"/>
    <w:rsid w:val="646F1658"/>
    <w:rsid w:val="647508DA"/>
    <w:rsid w:val="647B7FFD"/>
    <w:rsid w:val="647E5D3F"/>
    <w:rsid w:val="649015CE"/>
    <w:rsid w:val="64A55079"/>
    <w:rsid w:val="64D67929"/>
    <w:rsid w:val="64D8544F"/>
    <w:rsid w:val="64D97995"/>
    <w:rsid w:val="64DF69A0"/>
    <w:rsid w:val="64E15034"/>
    <w:rsid w:val="64E53367"/>
    <w:rsid w:val="64F948B3"/>
    <w:rsid w:val="652B6A8A"/>
    <w:rsid w:val="653403C8"/>
    <w:rsid w:val="65363F24"/>
    <w:rsid w:val="65384140"/>
    <w:rsid w:val="65385EEE"/>
    <w:rsid w:val="6556016A"/>
    <w:rsid w:val="655B29E2"/>
    <w:rsid w:val="65684B7F"/>
    <w:rsid w:val="657038D9"/>
    <w:rsid w:val="657C32A9"/>
    <w:rsid w:val="658119B4"/>
    <w:rsid w:val="658252F3"/>
    <w:rsid w:val="65906F72"/>
    <w:rsid w:val="65B55790"/>
    <w:rsid w:val="65DB4BE8"/>
    <w:rsid w:val="65E816C2"/>
    <w:rsid w:val="660109D5"/>
    <w:rsid w:val="66014531"/>
    <w:rsid w:val="660D7AB6"/>
    <w:rsid w:val="66145C34"/>
    <w:rsid w:val="66252B0E"/>
    <w:rsid w:val="663A7A43"/>
    <w:rsid w:val="664450A6"/>
    <w:rsid w:val="66604D90"/>
    <w:rsid w:val="666F3B91"/>
    <w:rsid w:val="66884C53"/>
    <w:rsid w:val="6691121F"/>
    <w:rsid w:val="66A55805"/>
    <w:rsid w:val="66A60064"/>
    <w:rsid w:val="66A73A5E"/>
    <w:rsid w:val="66AE41E3"/>
    <w:rsid w:val="66C44CF7"/>
    <w:rsid w:val="66DC7875"/>
    <w:rsid w:val="66FB3677"/>
    <w:rsid w:val="66FF0F75"/>
    <w:rsid w:val="670E1A3D"/>
    <w:rsid w:val="672E57FA"/>
    <w:rsid w:val="673673D0"/>
    <w:rsid w:val="6759707D"/>
    <w:rsid w:val="67770DF7"/>
    <w:rsid w:val="678A0327"/>
    <w:rsid w:val="678A67A9"/>
    <w:rsid w:val="679923C9"/>
    <w:rsid w:val="67B0006F"/>
    <w:rsid w:val="67B0620F"/>
    <w:rsid w:val="67CA10FE"/>
    <w:rsid w:val="67CC285A"/>
    <w:rsid w:val="67DF5BD0"/>
    <w:rsid w:val="67F04FD0"/>
    <w:rsid w:val="68116383"/>
    <w:rsid w:val="6816444D"/>
    <w:rsid w:val="682119E6"/>
    <w:rsid w:val="684A53BF"/>
    <w:rsid w:val="685C6397"/>
    <w:rsid w:val="685E5C6B"/>
    <w:rsid w:val="6869138B"/>
    <w:rsid w:val="688A30CB"/>
    <w:rsid w:val="688D0104"/>
    <w:rsid w:val="68A12A5C"/>
    <w:rsid w:val="68B03FED"/>
    <w:rsid w:val="68B72869"/>
    <w:rsid w:val="68BC5088"/>
    <w:rsid w:val="68C301C4"/>
    <w:rsid w:val="68C958EA"/>
    <w:rsid w:val="68D511B8"/>
    <w:rsid w:val="68E5013A"/>
    <w:rsid w:val="68F17BA8"/>
    <w:rsid w:val="69047856"/>
    <w:rsid w:val="6905661E"/>
    <w:rsid w:val="69083E29"/>
    <w:rsid w:val="69167590"/>
    <w:rsid w:val="691B3F5A"/>
    <w:rsid w:val="692159A0"/>
    <w:rsid w:val="6922138F"/>
    <w:rsid w:val="69256789"/>
    <w:rsid w:val="69286279"/>
    <w:rsid w:val="69325074"/>
    <w:rsid w:val="694A0113"/>
    <w:rsid w:val="694A2693"/>
    <w:rsid w:val="696F5C56"/>
    <w:rsid w:val="697B284D"/>
    <w:rsid w:val="698931BC"/>
    <w:rsid w:val="69A45D50"/>
    <w:rsid w:val="69C45FA2"/>
    <w:rsid w:val="69C523DE"/>
    <w:rsid w:val="69CA7330"/>
    <w:rsid w:val="69E93C5A"/>
    <w:rsid w:val="69F71A14"/>
    <w:rsid w:val="6A0B3BD1"/>
    <w:rsid w:val="6A1707C7"/>
    <w:rsid w:val="6A211646"/>
    <w:rsid w:val="6A334ED5"/>
    <w:rsid w:val="6A484E25"/>
    <w:rsid w:val="6A5D6907"/>
    <w:rsid w:val="6A707ED8"/>
    <w:rsid w:val="6A87654E"/>
    <w:rsid w:val="6A9C1547"/>
    <w:rsid w:val="6AA33E09"/>
    <w:rsid w:val="6AAF13D0"/>
    <w:rsid w:val="6ABA1153"/>
    <w:rsid w:val="6AEA1A38"/>
    <w:rsid w:val="6AF503DD"/>
    <w:rsid w:val="6AF63CB2"/>
    <w:rsid w:val="6B0369FE"/>
    <w:rsid w:val="6B0A3E88"/>
    <w:rsid w:val="6B19231D"/>
    <w:rsid w:val="6B272C8C"/>
    <w:rsid w:val="6B28796F"/>
    <w:rsid w:val="6B413622"/>
    <w:rsid w:val="6B5415A7"/>
    <w:rsid w:val="6B911907"/>
    <w:rsid w:val="6B995FFE"/>
    <w:rsid w:val="6B9D4CFC"/>
    <w:rsid w:val="6BA54031"/>
    <w:rsid w:val="6BA8544F"/>
    <w:rsid w:val="6BB875C8"/>
    <w:rsid w:val="6BD155AE"/>
    <w:rsid w:val="6BD61FBC"/>
    <w:rsid w:val="6BDF3567"/>
    <w:rsid w:val="6BE97F42"/>
    <w:rsid w:val="6BEE5558"/>
    <w:rsid w:val="6BF07522"/>
    <w:rsid w:val="6BF56847"/>
    <w:rsid w:val="6C0C1E82"/>
    <w:rsid w:val="6C103720"/>
    <w:rsid w:val="6C111DB6"/>
    <w:rsid w:val="6C3311BD"/>
    <w:rsid w:val="6C3E7856"/>
    <w:rsid w:val="6C445178"/>
    <w:rsid w:val="6C465394"/>
    <w:rsid w:val="6C4E4249"/>
    <w:rsid w:val="6C64652B"/>
    <w:rsid w:val="6C690F9A"/>
    <w:rsid w:val="6C7516A0"/>
    <w:rsid w:val="6C7D63BA"/>
    <w:rsid w:val="6C8934D3"/>
    <w:rsid w:val="6C9C0EC0"/>
    <w:rsid w:val="6CAE0E46"/>
    <w:rsid w:val="6CB30550"/>
    <w:rsid w:val="6CB6151D"/>
    <w:rsid w:val="6CC5055B"/>
    <w:rsid w:val="6CCA3DC1"/>
    <w:rsid w:val="6CCE7137"/>
    <w:rsid w:val="6CD96208"/>
    <w:rsid w:val="6CFF2252"/>
    <w:rsid w:val="6D0669CA"/>
    <w:rsid w:val="6D1159A2"/>
    <w:rsid w:val="6D392803"/>
    <w:rsid w:val="6D3C0545"/>
    <w:rsid w:val="6D453549"/>
    <w:rsid w:val="6D57CA79"/>
    <w:rsid w:val="6D5B4E6F"/>
    <w:rsid w:val="6D6104D7"/>
    <w:rsid w:val="6D7405A4"/>
    <w:rsid w:val="6D8A5754"/>
    <w:rsid w:val="6D940381"/>
    <w:rsid w:val="6DAA3701"/>
    <w:rsid w:val="6DB3956E"/>
    <w:rsid w:val="6DCD6299"/>
    <w:rsid w:val="6DEA5FB9"/>
    <w:rsid w:val="6DFD23DD"/>
    <w:rsid w:val="6E086935"/>
    <w:rsid w:val="6E0B4071"/>
    <w:rsid w:val="6E0E25E1"/>
    <w:rsid w:val="6E123F24"/>
    <w:rsid w:val="6E2A4841"/>
    <w:rsid w:val="6E2F3C06"/>
    <w:rsid w:val="6E3000AA"/>
    <w:rsid w:val="6E375EAB"/>
    <w:rsid w:val="6E4C47B8"/>
    <w:rsid w:val="6E4E5E7C"/>
    <w:rsid w:val="6E67586D"/>
    <w:rsid w:val="6E6835FB"/>
    <w:rsid w:val="6E7066A6"/>
    <w:rsid w:val="6E854793"/>
    <w:rsid w:val="6E967845"/>
    <w:rsid w:val="6EB1631C"/>
    <w:rsid w:val="6EB650EC"/>
    <w:rsid w:val="6EC75ACC"/>
    <w:rsid w:val="6ECA086C"/>
    <w:rsid w:val="6EE64C0C"/>
    <w:rsid w:val="6EEF7934"/>
    <w:rsid w:val="6EFA1CD9"/>
    <w:rsid w:val="6F103520"/>
    <w:rsid w:val="6F1357CA"/>
    <w:rsid w:val="6F265009"/>
    <w:rsid w:val="6F370FC4"/>
    <w:rsid w:val="6F5B70A9"/>
    <w:rsid w:val="6F7C10CD"/>
    <w:rsid w:val="6F7D17E2"/>
    <w:rsid w:val="6F886FAF"/>
    <w:rsid w:val="6F9C48CC"/>
    <w:rsid w:val="6FA84A4C"/>
    <w:rsid w:val="6FAD74D8"/>
    <w:rsid w:val="6FCF783B"/>
    <w:rsid w:val="6FDC2950"/>
    <w:rsid w:val="6FF54EA6"/>
    <w:rsid w:val="6FFD692C"/>
    <w:rsid w:val="70076BE8"/>
    <w:rsid w:val="701B6B38"/>
    <w:rsid w:val="703379DD"/>
    <w:rsid w:val="704020FA"/>
    <w:rsid w:val="70425E72"/>
    <w:rsid w:val="7055204A"/>
    <w:rsid w:val="70585696"/>
    <w:rsid w:val="7060200C"/>
    <w:rsid w:val="70682DF5"/>
    <w:rsid w:val="706C1141"/>
    <w:rsid w:val="70716647"/>
    <w:rsid w:val="70747F81"/>
    <w:rsid w:val="70A02B99"/>
    <w:rsid w:val="70AA0016"/>
    <w:rsid w:val="70C47F11"/>
    <w:rsid w:val="70CB04E6"/>
    <w:rsid w:val="70CB40BA"/>
    <w:rsid w:val="70D34D1C"/>
    <w:rsid w:val="710059BC"/>
    <w:rsid w:val="71167F14"/>
    <w:rsid w:val="71193077"/>
    <w:rsid w:val="711B76E7"/>
    <w:rsid w:val="711C2B67"/>
    <w:rsid w:val="712437CA"/>
    <w:rsid w:val="712F63C0"/>
    <w:rsid w:val="71353C29"/>
    <w:rsid w:val="71386A31"/>
    <w:rsid w:val="71442AE2"/>
    <w:rsid w:val="716D62A6"/>
    <w:rsid w:val="71A53785"/>
    <w:rsid w:val="71A843FB"/>
    <w:rsid w:val="71B20DD6"/>
    <w:rsid w:val="71C50B09"/>
    <w:rsid w:val="71C74F63"/>
    <w:rsid w:val="71F164E0"/>
    <w:rsid w:val="71F23E48"/>
    <w:rsid w:val="71FE7A8B"/>
    <w:rsid w:val="720A29C0"/>
    <w:rsid w:val="7211394A"/>
    <w:rsid w:val="72113D4E"/>
    <w:rsid w:val="72161365"/>
    <w:rsid w:val="721970A7"/>
    <w:rsid w:val="722E5B12"/>
    <w:rsid w:val="7249798C"/>
    <w:rsid w:val="725F6BA5"/>
    <w:rsid w:val="72606A84"/>
    <w:rsid w:val="72705106"/>
    <w:rsid w:val="727B38BE"/>
    <w:rsid w:val="727F47EA"/>
    <w:rsid w:val="728278F9"/>
    <w:rsid w:val="72956AF9"/>
    <w:rsid w:val="72B33057"/>
    <w:rsid w:val="72C567BE"/>
    <w:rsid w:val="72C637E4"/>
    <w:rsid w:val="72C924D2"/>
    <w:rsid w:val="72D80D10"/>
    <w:rsid w:val="72E72D01"/>
    <w:rsid w:val="72EE742D"/>
    <w:rsid w:val="72F5541E"/>
    <w:rsid w:val="72F86E2E"/>
    <w:rsid w:val="72FD6284"/>
    <w:rsid w:val="72FD6403"/>
    <w:rsid w:val="730D75AC"/>
    <w:rsid w:val="73100DEB"/>
    <w:rsid w:val="731E7FAE"/>
    <w:rsid w:val="732830E4"/>
    <w:rsid w:val="733076B8"/>
    <w:rsid w:val="733E17AF"/>
    <w:rsid w:val="73456F57"/>
    <w:rsid w:val="734D1F34"/>
    <w:rsid w:val="7358775B"/>
    <w:rsid w:val="735E1215"/>
    <w:rsid w:val="736D76AA"/>
    <w:rsid w:val="73712FF0"/>
    <w:rsid w:val="737138B7"/>
    <w:rsid w:val="73722D36"/>
    <w:rsid w:val="7382189F"/>
    <w:rsid w:val="73822045"/>
    <w:rsid w:val="73842D8A"/>
    <w:rsid w:val="738549F4"/>
    <w:rsid w:val="739B6E1B"/>
    <w:rsid w:val="73A61FA4"/>
    <w:rsid w:val="73A642CD"/>
    <w:rsid w:val="73B452D9"/>
    <w:rsid w:val="73C1083E"/>
    <w:rsid w:val="73C60B68"/>
    <w:rsid w:val="73CE0416"/>
    <w:rsid w:val="73D56FFD"/>
    <w:rsid w:val="73ED07EB"/>
    <w:rsid w:val="740718AD"/>
    <w:rsid w:val="7425388F"/>
    <w:rsid w:val="74277859"/>
    <w:rsid w:val="742D0BE7"/>
    <w:rsid w:val="743B50B2"/>
    <w:rsid w:val="74424079"/>
    <w:rsid w:val="7443040B"/>
    <w:rsid w:val="744F3CE5"/>
    <w:rsid w:val="74573835"/>
    <w:rsid w:val="74597C2E"/>
    <w:rsid w:val="745E5245"/>
    <w:rsid w:val="745F6056"/>
    <w:rsid w:val="746D7236"/>
    <w:rsid w:val="748702F8"/>
    <w:rsid w:val="74942A15"/>
    <w:rsid w:val="74945DFE"/>
    <w:rsid w:val="74AA048A"/>
    <w:rsid w:val="74AE1682"/>
    <w:rsid w:val="74CD6D80"/>
    <w:rsid w:val="74D01C98"/>
    <w:rsid w:val="74D86DA5"/>
    <w:rsid w:val="74FF5D81"/>
    <w:rsid w:val="75083CED"/>
    <w:rsid w:val="752B3379"/>
    <w:rsid w:val="75362A8A"/>
    <w:rsid w:val="753D4E5A"/>
    <w:rsid w:val="75472D8D"/>
    <w:rsid w:val="755723C0"/>
    <w:rsid w:val="75576051"/>
    <w:rsid w:val="75587EE6"/>
    <w:rsid w:val="755F161D"/>
    <w:rsid w:val="75704B8B"/>
    <w:rsid w:val="759A5E6F"/>
    <w:rsid w:val="75BF1D13"/>
    <w:rsid w:val="75C15F39"/>
    <w:rsid w:val="75CA47E8"/>
    <w:rsid w:val="75F41B11"/>
    <w:rsid w:val="75FDAF1F"/>
    <w:rsid w:val="760342F6"/>
    <w:rsid w:val="76053BCA"/>
    <w:rsid w:val="762E0D51"/>
    <w:rsid w:val="76480BBC"/>
    <w:rsid w:val="765A05BC"/>
    <w:rsid w:val="765D62CC"/>
    <w:rsid w:val="7662726E"/>
    <w:rsid w:val="7671300D"/>
    <w:rsid w:val="76B46DAD"/>
    <w:rsid w:val="76B86E8E"/>
    <w:rsid w:val="76D4359C"/>
    <w:rsid w:val="76D96E05"/>
    <w:rsid w:val="76DAD466"/>
    <w:rsid w:val="76DB338B"/>
    <w:rsid w:val="76E10C6C"/>
    <w:rsid w:val="76E41A31"/>
    <w:rsid w:val="76F31C74"/>
    <w:rsid w:val="77020109"/>
    <w:rsid w:val="770B1C0F"/>
    <w:rsid w:val="77297D8C"/>
    <w:rsid w:val="774B7D02"/>
    <w:rsid w:val="775407D3"/>
    <w:rsid w:val="77593B2A"/>
    <w:rsid w:val="77690189"/>
    <w:rsid w:val="776963DA"/>
    <w:rsid w:val="77813724"/>
    <w:rsid w:val="77816DB4"/>
    <w:rsid w:val="7785279A"/>
    <w:rsid w:val="77903967"/>
    <w:rsid w:val="77AFE0D7"/>
    <w:rsid w:val="77D7763D"/>
    <w:rsid w:val="77DB7E15"/>
    <w:rsid w:val="77E25208"/>
    <w:rsid w:val="77E31CE9"/>
    <w:rsid w:val="77EE068E"/>
    <w:rsid w:val="783A3580"/>
    <w:rsid w:val="78727511"/>
    <w:rsid w:val="787E1A12"/>
    <w:rsid w:val="7883235B"/>
    <w:rsid w:val="78850D67"/>
    <w:rsid w:val="788A2AAC"/>
    <w:rsid w:val="788D60F9"/>
    <w:rsid w:val="789631FF"/>
    <w:rsid w:val="7897514B"/>
    <w:rsid w:val="78A000B5"/>
    <w:rsid w:val="78A70F68"/>
    <w:rsid w:val="78B57C13"/>
    <w:rsid w:val="78BD22C6"/>
    <w:rsid w:val="78C935D5"/>
    <w:rsid w:val="78EC3FDB"/>
    <w:rsid w:val="78F6AE3E"/>
    <w:rsid w:val="79044717"/>
    <w:rsid w:val="79093F68"/>
    <w:rsid w:val="7912BCC1"/>
    <w:rsid w:val="791A55BF"/>
    <w:rsid w:val="792151BF"/>
    <w:rsid w:val="79252C4D"/>
    <w:rsid w:val="79297BCF"/>
    <w:rsid w:val="792A003C"/>
    <w:rsid w:val="792B7DEB"/>
    <w:rsid w:val="792C5912"/>
    <w:rsid w:val="792F0F5E"/>
    <w:rsid w:val="79330A4E"/>
    <w:rsid w:val="79395815"/>
    <w:rsid w:val="794556D6"/>
    <w:rsid w:val="7947274B"/>
    <w:rsid w:val="794F33AE"/>
    <w:rsid w:val="79536ACE"/>
    <w:rsid w:val="79541200"/>
    <w:rsid w:val="795F64A0"/>
    <w:rsid w:val="796B01E8"/>
    <w:rsid w:val="79703A50"/>
    <w:rsid w:val="79767C72"/>
    <w:rsid w:val="797852BD"/>
    <w:rsid w:val="79891A1F"/>
    <w:rsid w:val="799139C7"/>
    <w:rsid w:val="79AD5582"/>
    <w:rsid w:val="79BA4465"/>
    <w:rsid w:val="79CE61CE"/>
    <w:rsid w:val="79D35D8D"/>
    <w:rsid w:val="79D93CE4"/>
    <w:rsid w:val="79DD6418"/>
    <w:rsid w:val="79EE27CA"/>
    <w:rsid w:val="79FE72AE"/>
    <w:rsid w:val="79FF6B82"/>
    <w:rsid w:val="7A0F7E86"/>
    <w:rsid w:val="7A100D8F"/>
    <w:rsid w:val="7A147D16"/>
    <w:rsid w:val="7A2B3E1B"/>
    <w:rsid w:val="7A3031E0"/>
    <w:rsid w:val="7A5E7D4D"/>
    <w:rsid w:val="7A6D1D3E"/>
    <w:rsid w:val="7A811C8D"/>
    <w:rsid w:val="7A911ED0"/>
    <w:rsid w:val="7AA240DD"/>
    <w:rsid w:val="7AA716F4"/>
    <w:rsid w:val="7ACF0C4A"/>
    <w:rsid w:val="7AD91944"/>
    <w:rsid w:val="7AD93877"/>
    <w:rsid w:val="7AE446F6"/>
    <w:rsid w:val="7AE910C2"/>
    <w:rsid w:val="7AF64429"/>
    <w:rsid w:val="7AF718B0"/>
    <w:rsid w:val="7AFB37ED"/>
    <w:rsid w:val="7B165BB8"/>
    <w:rsid w:val="7B1D7C08"/>
    <w:rsid w:val="7B1E2B43"/>
    <w:rsid w:val="7B2368A0"/>
    <w:rsid w:val="7B262A62"/>
    <w:rsid w:val="7B3424B1"/>
    <w:rsid w:val="7B3665D4"/>
    <w:rsid w:val="7B4927AB"/>
    <w:rsid w:val="7B4C4049"/>
    <w:rsid w:val="7B565E42"/>
    <w:rsid w:val="7B58479C"/>
    <w:rsid w:val="7B6059CA"/>
    <w:rsid w:val="7B6162D4"/>
    <w:rsid w:val="7B71585E"/>
    <w:rsid w:val="7B7B492E"/>
    <w:rsid w:val="7B840887"/>
    <w:rsid w:val="7B8437E3"/>
    <w:rsid w:val="7B892BA7"/>
    <w:rsid w:val="7B9932D3"/>
    <w:rsid w:val="7BA479E1"/>
    <w:rsid w:val="7BAB5214"/>
    <w:rsid w:val="7BB2079F"/>
    <w:rsid w:val="7BBDB0FB"/>
    <w:rsid w:val="7BD87083"/>
    <w:rsid w:val="7BEC3033"/>
    <w:rsid w:val="7BF344C5"/>
    <w:rsid w:val="7BF62A6B"/>
    <w:rsid w:val="7C285028"/>
    <w:rsid w:val="7C3E4EBC"/>
    <w:rsid w:val="7C3E7E36"/>
    <w:rsid w:val="7C4C6056"/>
    <w:rsid w:val="7C4D0079"/>
    <w:rsid w:val="7C5335DF"/>
    <w:rsid w:val="7C552897"/>
    <w:rsid w:val="7C5E4034"/>
    <w:rsid w:val="7C63164A"/>
    <w:rsid w:val="7C635AEE"/>
    <w:rsid w:val="7C653614"/>
    <w:rsid w:val="7C8B6DF3"/>
    <w:rsid w:val="7C941F01"/>
    <w:rsid w:val="7C9C2FD3"/>
    <w:rsid w:val="7C9C4B5C"/>
    <w:rsid w:val="7CAB4D9F"/>
    <w:rsid w:val="7CB43C54"/>
    <w:rsid w:val="7CB969EA"/>
    <w:rsid w:val="7CC77E2B"/>
    <w:rsid w:val="7CC83BA3"/>
    <w:rsid w:val="7CD7008C"/>
    <w:rsid w:val="7CEF7382"/>
    <w:rsid w:val="7D036989"/>
    <w:rsid w:val="7D0C1714"/>
    <w:rsid w:val="7D141BF1"/>
    <w:rsid w:val="7D29241D"/>
    <w:rsid w:val="7D3134F6"/>
    <w:rsid w:val="7D69294D"/>
    <w:rsid w:val="7D7B252F"/>
    <w:rsid w:val="7D821FA4"/>
    <w:rsid w:val="7D9462D1"/>
    <w:rsid w:val="7DA441CA"/>
    <w:rsid w:val="7DBC6AE1"/>
    <w:rsid w:val="7DDB3462"/>
    <w:rsid w:val="7DE62533"/>
    <w:rsid w:val="7DE854CC"/>
    <w:rsid w:val="7DED059E"/>
    <w:rsid w:val="7DF033B2"/>
    <w:rsid w:val="7DFE2F4F"/>
    <w:rsid w:val="7E016B84"/>
    <w:rsid w:val="7E160A0E"/>
    <w:rsid w:val="7E176B90"/>
    <w:rsid w:val="7E325778"/>
    <w:rsid w:val="7E33504C"/>
    <w:rsid w:val="7E424E3D"/>
    <w:rsid w:val="7E4B05E8"/>
    <w:rsid w:val="7E5A082B"/>
    <w:rsid w:val="7E630E69"/>
    <w:rsid w:val="7E7342FF"/>
    <w:rsid w:val="7E78063C"/>
    <w:rsid w:val="7E7C4475"/>
    <w:rsid w:val="7E83691D"/>
    <w:rsid w:val="7E8F2BCB"/>
    <w:rsid w:val="7EAB05AC"/>
    <w:rsid w:val="7EAF63A7"/>
    <w:rsid w:val="7EAF6879"/>
    <w:rsid w:val="7EB81375"/>
    <w:rsid w:val="7EBEDDFA"/>
    <w:rsid w:val="7EC10E84"/>
    <w:rsid w:val="7EC25D62"/>
    <w:rsid w:val="7EC34E28"/>
    <w:rsid w:val="7EE57E1D"/>
    <w:rsid w:val="7EF24F07"/>
    <w:rsid w:val="7F01339C"/>
    <w:rsid w:val="7F0F1615"/>
    <w:rsid w:val="7F17496E"/>
    <w:rsid w:val="7F313C82"/>
    <w:rsid w:val="7F346304"/>
    <w:rsid w:val="7F453732"/>
    <w:rsid w:val="7F70302A"/>
    <w:rsid w:val="7F7B314F"/>
    <w:rsid w:val="7F8148E9"/>
    <w:rsid w:val="7F9B10FB"/>
    <w:rsid w:val="7FA308A6"/>
    <w:rsid w:val="7FA6147B"/>
    <w:rsid w:val="7FAC155A"/>
    <w:rsid w:val="7FB16418"/>
    <w:rsid w:val="7FB83A5B"/>
    <w:rsid w:val="7FCC39AA"/>
    <w:rsid w:val="7FD8234F"/>
    <w:rsid w:val="7FD82F57"/>
    <w:rsid w:val="7FDA5235"/>
    <w:rsid w:val="7FDB1202"/>
    <w:rsid w:val="7FE75214"/>
    <w:rsid w:val="7FF79991"/>
    <w:rsid w:val="7FFB603E"/>
    <w:rsid w:val="7FFEB6C4"/>
    <w:rsid w:val="96D7E4C2"/>
    <w:rsid w:val="9E6CB28A"/>
    <w:rsid w:val="AEFE8F18"/>
    <w:rsid w:val="B3DE907B"/>
    <w:rsid w:val="BE7F74AB"/>
    <w:rsid w:val="C5DE9E7E"/>
    <w:rsid w:val="CFFB906C"/>
    <w:rsid w:val="D2B3DBE2"/>
    <w:rsid w:val="D77E52AC"/>
    <w:rsid w:val="D7EFD08F"/>
    <w:rsid w:val="DC3FBD67"/>
    <w:rsid w:val="DD2FB1DA"/>
    <w:rsid w:val="DF9F3E5B"/>
    <w:rsid w:val="DFFB340B"/>
    <w:rsid w:val="DFFFAB6A"/>
    <w:rsid w:val="E0F39AA1"/>
    <w:rsid w:val="E6DE6E27"/>
    <w:rsid w:val="E6E788BB"/>
    <w:rsid w:val="ECBE1F4C"/>
    <w:rsid w:val="ECFDFDBE"/>
    <w:rsid w:val="EF732409"/>
    <w:rsid w:val="EF7F9985"/>
    <w:rsid w:val="EFFCAE33"/>
    <w:rsid w:val="F654CC61"/>
    <w:rsid w:val="F6DDC7AA"/>
    <w:rsid w:val="F783D999"/>
    <w:rsid w:val="F9EF6A86"/>
    <w:rsid w:val="F9FF9FEA"/>
    <w:rsid w:val="FBEC342A"/>
    <w:rsid w:val="FFBA06B6"/>
    <w:rsid w:val="FFDB9FCB"/>
    <w:rsid w:val="FFFD480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99"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autoRedefine/>
    <w:qFormat/>
    <w:uiPriority w:val="0"/>
    <w:pPr>
      <w:keepNext/>
      <w:keepLines/>
      <w:tabs>
        <w:tab w:val="left" w:pos="1440"/>
      </w:tabs>
      <w:spacing w:before="340" w:after="330" w:line="576" w:lineRule="auto"/>
      <w:ind w:left="432" w:hanging="432"/>
      <w:outlineLvl w:val="0"/>
    </w:pPr>
    <w:rPr>
      <w:rFonts w:ascii="Times New Roman" w:hAnsi="Times New Roman"/>
      <w:bCs/>
      <w:kern w:val="44"/>
      <w:sz w:val="44"/>
      <w:szCs w:val="44"/>
    </w:rPr>
  </w:style>
  <w:style w:type="paragraph" w:styleId="3">
    <w:name w:val="heading 2"/>
    <w:basedOn w:val="1"/>
    <w:next w:val="1"/>
    <w:link w:val="59"/>
    <w:autoRedefine/>
    <w:qFormat/>
    <w:uiPriority w:val="0"/>
    <w:pPr>
      <w:keepNext/>
      <w:keepLines/>
      <w:spacing w:before="260" w:after="260" w:line="413" w:lineRule="auto"/>
      <w:outlineLvl w:val="1"/>
    </w:pPr>
    <w:rPr>
      <w:rFonts w:ascii="Arial" w:hAnsi="Arial" w:eastAsia="黑体"/>
      <w:b/>
      <w:bCs/>
      <w:kern w:val="2"/>
      <w:sz w:val="32"/>
      <w:szCs w:val="32"/>
    </w:rPr>
  </w:style>
  <w:style w:type="paragraph" w:styleId="4">
    <w:name w:val="heading 3"/>
    <w:basedOn w:val="1"/>
    <w:next w:val="1"/>
    <w:link w:val="60"/>
    <w:autoRedefine/>
    <w:qFormat/>
    <w:uiPriority w:val="0"/>
    <w:pPr>
      <w:keepNext/>
      <w:keepLines/>
      <w:spacing w:before="260" w:after="260" w:line="416" w:lineRule="auto"/>
      <w:outlineLvl w:val="2"/>
    </w:pPr>
    <w:rPr>
      <w:rFonts w:ascii="Times New Roman" w:hAnsi="Times New Roman"/>
      <w:b/>
      <w:bCs/>
      <w:kern w:val="2"/>
      <w:sz w:val="32"/>
      <w:szCs w:val="32"/>
    </w:rPr>
  </w:style>
  <w:style w:type="paragraph" w:styleId="5">
    <w:name w:val="heading 4"/>
    <w:basedOn w:val="1"/>
    <w:next w:val="1"/>
    <w:link w:val="61"/>
    <w:autoRedefine/>
    <w:qFormat/>
    <w:uiPriority w:val="0"/>
    <w:pPr>
      <w:keepNext/>
      <w:keepLines/>
      <w:spacing w:before="280" w:after="290" w:line="376" w:lineRule="auto"/>
      <w:outlineLvl w:val="3"/>
    </w:pPr>
    <w:rPr>
      <w:rFonts w:ascii="Cambria" w:hAnsi="Cambria" w:eastAsia="宋体" w:cs="Times New Roman"/>
      <w:b/>
      <w:bCs/>
      <w:kern w:val="2"/>
      <w:sz w:val="28"/>
      <w:szCs w:val="28"/>
    </w:rPr>
  </w:style>
  <w:style w:type="paragraph" w:styleId="6">
    <w:name w:val="heading 5"/>
    <w:basedOn w:val="1"/>
    <w:next w:val="1"/>
    <w:link w:val="376"/>
    <w:autoRedefine/>
    <w:qFormat/>
    <w:uiPriority w:val="0"/>
    <w:pPr>
      <w:keepNext/>
      <w:keepLines/>
      <w:tabs>
        <w:tab w:val="left" w:pos="1008"/>
      </w:tabs>
      <w:spacing w:before="280" w:after="290" w:line="372" w:lineRule="auto"/>
      <w:ind w:left="1008" w:hanging="1008"/>
      <w:outlineLvl w:val="4"/>
    </w:pPr>
    <w:rPr>
      <w:rFonts w:ascii="Times New Roman" w:hAnsi="Times New Roman"/>
      <w:b/>
      <w:bCs/>
      <w:kern w:val="2"/>
      <w:sz w:val="28"/>
      <w:szCs w:val="28"/>
    </w:rPr>
  </w:style>
  <w:style w:type="paragraph" w:styleId="7">
    <w:name w:val="heading 6"/>
    <w:basedOn w:val="1"/>
    <w:next w:val="1"/>
    <w:link w:val="63"/>
    <w:autoRedefine/>
    <w:qFormat/>
    <w:uiPriority w:val="0"/>
    <w:pPr>
      <w:keepNext/>
      <w:keepLines/>
      <w:tabs>
        <w:tab w:val="left" w:pos="1152"/>
      </w:tabs>
      <w:spacing w:before="240" w:after="64" w:line="317" w:lineRule="auto"/>
      <w:ind w:left="1152" w:hanging="1152"/>
      <w:outlineLvl w:val="5"/>
    </w:pPr>
    <w:rPr>
      <w:rFonts w:ascii="Arial" w:hAnsi="Arial" w:eastAsia="黑体"/>
      <w:b/>
      <w:kern w:val="2"/>
      <w:sz w:val="24"/>
    </w:rPr>
  </w:style>
  <w:style w:type="paragraph" w:styleId="8">
    <w:name w:val="heading 7"/>
    <w:basedOn w:val="1"/>
    <w:next w:val="1"/>
    <w:link w:val="64"/>
    <w:autoRedefine/>
    <w:qFormat/>
    <w:uiPriority w:val="0"/>
    <w:pPr>
      <w:keepNext/>
      <w:keepLines/>
      <w:tabs>
        <w:tab w:val="left" w:pos="1296"/>
      </w:tabs>
      <w:spacing w:before="240" w:after="64" w:line="317" w:lineRule="auto"/>
      <w:ind w:left="1296" w:hanging="1296"/>
      <w:outlineLvl w:val="6"/>
    </w:pPr>
    <w:rPr>
      <w:rFonts w:ascii="Times New Roman" w:hAnsi="Times New Roman"/>
      <w:b/>
      <w:kern w:val="2"/>
      <w:sz w:val="24"/>
    </w:rPr>
  </w:style>
  <w:style w:type="paragraph" w:styleId="9">
    <w:name w:val="heading 8"/>
    <w:basedOn w:val="1"/>
    <w:next w:val="1"/>
    <w:link w:val="65"/>
    <w:autoRedefine/>
    <w:qFormat/>
    <w:uiPriority w:val="0"/>
    <w:pPr>
      <w:keepNext/>
      <w:keepLines/>
      <w:tabs>
        <w:tab w:val="left" w:pos="1440"/>
      </w:tabs>
      <w:spacing w:before="240" w:after="64" w:line="317" w:lineRule="auto"/>
      <w:ind w:left="1440" w:hanging="1440"/>
      <w:outlineLvl w:val="7"/>
    </w:pPr>
    <w:rPr>
      <w:rFonts w:ascii="Arial" w:hAnsi="Arial" w:eastAsia="黑体"/>
      <w:kern w:val="2"/>
      <w:sz w:val="24"/>
    </w:rPr>
  </w:style>
  <w:style w:type="paragraph" w:styleId="10">
    <w:name w:val="heading 9"/>
    <w:basedOn w:val="1"/>
    <w:next w:val="1"/>
    <w:link w:val="66"/>
    <w:autoRedefine/>
    <w:qFormat/>
    <w:uiPriority w:val="0"/>
    <w:pPr>
      <w:keepNext/>
      <w:keepLines/>
      <w:tabs>
        <w:tab w:val="left" w:pos="1584"/>
      </w:tabs>
      <w:spacing w:before="240" w:after="64" w:line="317" w:lineRule="auto"/>
      <w:ind w:left="1584" w:hanging="1584"/>
      <w:outlineLvl w:val="8"/>
    </w:pPr>
    <w:rPr>
      <w:rFonts w:ascii="Arial" w:hAnsi="Arial" w:eastAsia="黑体"/>
      <w:kern w:val="2"/>
      <w:sz w:val="21"/>
    </w:rPr>
  </w:style>
  <w:style w:type="character" w:default="1" w:styleId="46">
    <w:name w:val="Default Paragraph Font"/>
    <w:autoRedefine/>
    <w:qFormat/>
    <w:uiPriority w:val="0"/>
  </w:style>
  <w:style w:type="table" w:default="1" w:styleId="44">
    <w:name w:val="Normal Table"/>
    <w:autoRedefine/>
    <w:semiHidden/>
    <w:qFormat/>
    <w:uiPriority w:val="0"/>
    <w:tblPr>
      <w:tblCellMar>
        <w:top w:w="0" w:type="dxa"/>
        <w:left w:w="108" w:type="dxa"/>
        <w:bottom w:w="0" w:type="dxa"/>
        <w:right w:w="108" w:type="dxa"/>
      </w:tblCellMar>
    </w:tblPr>
  </w:style>
  <w:style w:type="paragraph" w:styleId="11">
    <w:name w:val="toc 7"/>
    <w:basedOn w:val="1"/>
    <w:next w:val="1"/>
    <w:autoRedefine/>
    <w:qFormat/>
    <w:uiPriority w:val="0"/>
    <w:pPr>
      <w:ind w:left="1260"/>
      <w:jc w:val="left"/>
    </w:pPr>
    <w:rPr>
      <w:sz w:val="18"/>
      <w:szCs w:val="18"/>
    </w:rPr>
  </w:style>
  <w:style w:type="paragraph" w:styleId="12">
    <w:name w:val="List Bullet 4"/>
    <w:basedOn w:val="1"/>
    <w:autoRedefine/>
    <w:qFormat/>
    <w:uiPriority w:val="0"/>
    <w:pPr>
      <w:tabs>
        <w:tab w:val="left" w:pos="1620"/>
      </w:tabs>
      <w:spacing w:line="360" w:lineRule="auto"/>
      <w:ind w:left="1620" w:hanging="360"/>
      <w:jc w:val="left"/>
    </w:pPr>
    <w:rPr>
      <w:rFonts w:ascii="宋体" w:hAnsi="宋体"/>
      <w:color w:val="7030A0"/>
      <w:sz w:val="24"/>
      <w:szCs w:val="20"/>
    </w:rPr>
  </w:style>
  <w:style w:type="paragraph" w:styleId="13">
    <w:name w:val="List Number"/>
    <w:basedOn w:val="1"/>
    <w:autoRedefine/>
    <w:qFormat/>
    <w:uiPriority w:val="0"/>
    <w:pPr>
      <w:tabs>
        <w:tab w:val="left" w:pos="360"/>
      </w:tabs>
      <w:spacing w:line="360" w:lineRule="auto"/>
      <w:ind w:left="360" w:hanging="360"/>
      <w:jc w:val="left"/>
    </w:pPr>
    <w:rPr>
      <w:rFonts w:ascii="宋体" w:hAnsi="宋体"/>
      <w:color w:val="7030A0"/>
      <w:sz w:val="24"/>
      <w:szCs w:val="20"/>
    </w:rPr>
  </w:style>
  <w:style w:type="paragraph" w:styleId="14">
    <w:name w:val="Normal Indent"/>
    <w:basedOn w:val="1"/>
    <w:autoRedefine/>
    <w:semiHidden/>
    <w:unhideWhenUsed/>
    <w:qFormat/>
    <w:uiPriority w:val="99"/>
    <w:pPr>
      <w:ind w:firstLine="420" w:firstLineChars="200"/>
    </w:pPr>
  </w:style>
  <w:style w:type="paragraph" w:styleId="15">
    <w:name w:val="caption"/>
    <w:basedOn w:val="1"/>
    <w:next w:val="1"/>
    <w:link w:val="77"/>
    <w:autoRedefine/>
    <w:qFormat/>
    <w:uiPriority w:val="0"/>
    <w:pPr>
      <w:ind w:firstLine="6290" w:firstLineChars="2282"/>
    </w:pPr>
    <w:rPr>
      <w:rFonts w:ascii="Times New Roman" w:hAnsi="Times New Roman"/>
      <w:b/>
      <w:bCs/>
      <w:color w:val="000080"/>
      <w:kern w:val="2"/>
      <w:sz w:val="28"/>
      <w:szCs w:val="24"/>
    </w:rPr>
  </w:style>
  <w:style w:type="paragraph" w:styleId="16">
    <w:name w:val="List Bullet"/>
    <w:basedOn w:val="1"/>
    <w:autoRedefine/>
    <w:qFormat/>
    <w:uiPriority w:val="0"/>
    <w:pPr>
      <w:tabs>
        <w:tab w:val="left" w:pos="360"/>
      </w:tabs>
      <w:spacing w:line="360" w:lineRule="auto"/>
      <w:ind w:left="360" w:hanging="360"/>
      <w:jc w:val="left"/>
    </w:pPr>
    <w:rPr>
      <w:rFonts w:ascii="宋体" w:hAnsi="宋体"/>
      <w:color w:val="7030A0"/>
      <w:sz w:val="24"/>
      <w:szCs w:val="20"/>
    </w:rPr>
  </w:style>
  <w:style w:type="paragraph" w:styleId="17">
    <w:name w:val="Document Map"/>
    <w:basedOn w:val="1"/>
    <w:autoRedefine/>
    <w:qFormat/>
    <w:uiPriority w:val="0"/>
    <w:pPr>
      <w:shd w:val="clear" w:color="auto" w:fill="000080"/>
    </w:pPr>
  </w:style>
  <w:style w:type="paragraph" w:styleId="18">
    <w:name w:val="annotation text"/>
    <w:basedOn w:val="1"/>
    <w:link w:val="68"/>
    <w:autoRedefine/>
    <w:qFormat/>
    <w:uiPriority w:val="0"/>
    <w:pPr>
      <w:jc w:val="left"/>
    </w:pPr>
    <w:rPr>
      <w:rFonts w:ascii="Times New Roman" w:hAnsi="Times New Roman" w:eastAsia="宋体" w:cs="Times New Roman"/>
      <w:szCs w:val="24"/>
    </w:rPr>
  </w:style>
  <w:style w:type="paragraph" w:styleId="19">
    <w:name w:val="List Bullet 3"/>
    <w:basedOn w:val="1"/>
    <w:autoRedefine/>
    <w:qFormat/>
    <w:uiPriority w:val="0"/>
    <w:pPr>
      <w:tabs>
        <w:tab w:val="left" w:pos="775"/>
      </w:tabs>
      <w:spacing w:line="360" w:lineRule="auto"/>
      <w:ind w:left="775" w:hanging="360"/>
    </w:pPr>
    <w:rPr>
      <w:kern w:val="0"/>
    </w:rPr>
  </w:style>
  <w:style w:type="paragraph" w:styleId="20">
    <w:name w:val="Body Text"/>
    <w:basedOn w:val="1"/>
    <w:next w:val="1"/>
    <w:link w:val="71"/>
    <w:autoRedefine/>
    <w:qFormat/>
    <w:uiPriority w:val="0"/>
    <w:pPr>
      <w:spacing w:line="360" w:lineRule="auto"/>
    </w:pPr>
    <w:rPr>
      <w:rFonts w:ascii="Times New Roman" w:hAnsi="Times New Roman"/>
      <w:kern w:val="2"/>
      <w:sz w:val="21"/>
      <w:szCs w:val="24"/>
    </w:rPr>
  </w:style>
  <w:style w:type="paragraph" w:styleId="21">
    <w:name w:val="Body Text Indent"/>
    <w:basedOn w:val="1"/>
    <w:qFormat/>
    <w:uiPriority w:val="0"/>
    <w:pPr>
      <w:spacing w:after="120" w:afterLines="0"/>
      <w:ind w:left="420" w:leftChars="200"/>
    </w:pPr>
    <w:rPr>
      <w:kern w:val="0"/>
      <w:sz w:val="20"/>
    </w:rPr>
  </w:style>
  <w:style w:type="paragraph" w:styleId="22">
    <w:name w:val="List Bullet 2"/>
    <w:basedOn w:val="1"/>
    <w:autoRedefine/>
    <w:qFormat/>
    <w:uiPriority w:val="0"/>
    <w:pPr>
      <w:tabs>
        <w:tab w:val="left" w:pos="780"/>
      </w:tabs>
      <w:spacing w:line="360" w:lineRule="auto"/>
      <w:ind w:left="780" w:hanging="360"/>
      <w:jc w:val="left"/>
    </w:pPr>
    <w:rPr>
      <w:rFonts w:ascii="宋体" w:hAnsi="宋体"/>
      <w:color w:val="7030A0"/>
      <w:sz w:val="24"/>
      <w:szCs w:val="20"/>
    </w:rPr>
  </w:style>
  <w:style w:type="paragraph" w:styleId="23">
    <w:name w:val="toc 5"/>
    <w:basedOn w:val="1"/>
    <w:next w:val="1"/>
    <w:autoRedefine/>
    <w:qFormat/>
    <w:uiPriority w:val="0"/>
    <w:pPr>
      <w:ind w:left="840"/>
      <w:jc w:val="left"/>
    </w:pPr>
    <w:rPr>
      <w:sz w:val="18"/>
      <w:szCs w:val="18"/>
    </w:rPr>
  </w:style>
  <w:style w:type="paragraph" w:styleId="24">
    <w:name w:val="toc 3"/>
    <w:basedOn w:val="1"/>
    <w:next w:val="1"/>
    <w:autoRedefine/>
    <w:qFormat/>
    <w:uiPriority w:val="0"/>
    <w:pPr>
      <w:tabs>
        <w:tab w:val="left" w:pos="400"/>
        <w:tab w:val="left" w:pos="576"/>
        <w:tab w:val="right" w:leader="dot" w:pos="8778"/>
      </w:tabs>
      <w:ind w:left="10"/>
      <w:jc w:val="center"/>
    </w:pPr>
    <w:rPr>
      <w:rFonts w:ascii="宋体" w:hAnsi="宋体"/>
      <w:b/>
      <w:iCs/>
      <w:sz w:val="24"/>
    </w:rPr>
  </w:style>
  <w:style w:type="paragraph" w:styleId="25">
    <w:name w:val="Plain Text"/>
    <w:basedOn w:val="1"/>
    <w:next w:val="1"/>
    <w:autoRedefine/>
    <w:qFormat/>
    <w:uiPriority w:val="0"/>
    <w:rPr>
      <w:rFonts w:ascii="宋体" w:hAnsi="Courier New" w:cs="Courier New"/>
      <w:szCs w:val="21"/>
    </w:rPr>
  </w:style>
  <w:style w:type="paragraph" w:styleId="26">
    <w:name w:val="List Bullet 5"/>
    <w:basedOn w:val="1"/>
    <w:autoRedefine/>
    <w:qFormat/>
    <w:uiPriority w:val="0"/>
    <w:pPr>
      <w:tabs>
        <w:tab w:val="left" w:pos="2040"/>
      </w:tabs>
      <w:spacing w:line="360" w:lineRule="auto"/>
      <w:ind w:left="2040" w:hanging="360"/>
      <w:jc w:val="left"/>
    </w:pPr>
    <w:rPr>
      <w:rFonts w:ascii="宋体" w:hAnsi="宋体"/>
      <w:color w:val="7030A0"/>
      <w:sz w:val="24"/>
      <w:szCs w:val="20"/>
    </w:rPr>
  </w:style>
  <w:style w:type="paragraph" w:styleId="27">
    <w:name w:val="toc 8"/>
    <w:basedOn w:val="1"/>
    <w:next w:val="1"/>
    <w:autoRedefine/>
    <w:qFormat/>
    <w:uiPriority w:val="0"/>
    <w:pPr>
      <w:ind w:left="1470"/>
      <w:jc w:val="left"/>
    </w:pPr>
    <w:rPr>
      <w:sz w:val="18"/>
      <w:szCs w:val="18"/>
    </w:rPr>
  </w:style>
  <w:style w:type="paragraph" w:styleId="28">
    <w:name w:val="Body Text Indent 2"/>
    <w:basedOn w:val="1"/>
    <w:next w:val="20"/>
    <w:autoRedefine/>
    <w:unhideWhenUsed/>
    <w:qFormat/>
    <w:uiPriority w:val="99"/>
    <w:pPr>
      <w:spacing w:after="120" w:line="480" w:lineRule="auto"/>
      <w:ind w:left="420" w:leftChars="200"/>
    </w:pPr>
  </w:style>
  <w:style w:type="paragraph" w:styleId="29">
    <w:name w:val="endnote text"/>
    <w:basedOn w:val="1"/>
    <w:link w:val="92"/>
    <w:autoRedefine/>
    <w:qFormat/>
    <w:uiPriority w:val="0"/>
    <w:pPr>
      <w:snapToGrid w:val="0"/>
      <w:spacing w:line="500" w:lineRule="exact"/>
      <w:jc w:val="left"/>
    </w:pPr>
    <w:rPr>
      <w:rFonts w:ascii="Times New Roman" w:hAnsi="Times New Roman"/>
      <w:sz w:val="21"/>
      <w:szCs w:val="24"/>
    </w:rPr>
  </w:style>
  <w:style w:type="paragraph" w:styleId="30">
    <w:name w:val="footer"/>
    <w:basedOn w:val="1"/>
    <w:link w:val="93"/>
    <w:autoRedefine/>
    <w:qFormat/>
    <w:uiPriority w:val="0"/>
    <w:pPr>
      <w:tabs>
        <w:tab w:val="center" w:pos="4153"/>
        <w:tab w:val="right" w:pos="8306"/>
      </w:tabs>
      <w:snapToGrid w:val="0"/>
      <w:jc w:val="left"/>
    </w:pPr>
    <w:rPr>
      <w:rFonts w:ascii="Times New Roman" w:hAnsi="Times New Roman"/>
      <w:kern w:val="2"/>
      <w:sz w:val="18"/>
      <w:szCs w:val="18"/>
    </w:rPr>
  </w:style>
  <w:style w:type="paragraph" w:styleId="31">
    <w:name w:val="header"/>
    <w:basedOn w:val="1"/>
    <w:link w:val="96"/>
    <w:autoRedefine/>
    <w:qFormat/>
    <w:uiPriority w:val="0"/>
    <w:pPr>
      <w:pBdr>
        <w:bottom w:val="single" w:color="auto" w:sz="6" w:space="1"/>
      </w:pBdr>
      <w:tabs>
        <w:tab w:val="center" w:pos="4153"/>
        <w:tab w:val="right" w:pos="8306"/>
      </w:tabs>
      <w:snapToGrid w:val="0"/>
      <w:jc w:val="center"/>
    </w:pPr>
    <w:rPr>
      <w:rFonts w:ascii="Times New Roman" w:hAnsi="Times New Roman"/>
      <w:kern w:val="2"/>
      <w:sz w:val="18"/>
      <w:szCs w:val="18"/>
    </w:rPr>
  </w:style>
  <w:style w:type="paragraph" w:styleId="32">
    <w:name w:val="toc 1"/>
    <w:basedOn w:val="1"/>
    <w:next w:val="1"/>
    <w:autoRedefine/>
    <w:qFormat/>
    <w:uiPriority w:val="0"/>
    <w:pPr>
      <w:tabs>
        <w:tab w:val="right" w:leader="dot" w:pos="8778"/>
      </w:tabs>
      <w:snapToGrid w:val="0"/>
      <w:spacing w:line="360" w:lineRule="auto"/>
      <w:jc w:val="center"/>
    </w:pPr>
    <w:rPr>
      <w:b/>
      <w:bCs/>
      <w:iCs/>
      <w:caps/>
      <w:kern w:val="0"/>
      <w:sz w:val="36"/>
      <w:szCs w:val="36"/>
    </w:rPr>
  </w:style>
  <w:style w:type="paragraph" w:styleId="33">
    <w:name w:val="toc 4"/>
    <w:basedOn w:val="1"/>
    <w:next w:val="1"/>
    <w:autoRedefine/>
    <w:qFormat/>
    <w:uiPriority w:val="0"/>
    <w:pPr>
      <w:ind w:left="630"/>
      <w:jc w:val="left"/>
    </w:pPr>
    <w:rPr>
      <w:sz w:val="18"/>
      <w:szCs w:val="18"/>
    </w:rPr>
  </w:style>
  <w:style w:type="paragraph" w:styleId="34">
    <w:name w:val="footnote text"/>
    <w:basedOn w:val="1"/>
    <w:link w:val="97"/>
    <w:autoRedefine/>
    <w:qFormat/>
    <w:uiPriority w:val="0"/>
    <w:pPr>
      <w:adjustRightInd w:val="0"/>
      <w:spacing w:line="312" w:lineRule="atLeast"/>
      <w:jc w:val="left"/>
      <w:textAlignment w:val="baseline"/>
    </w:pPr>
    <w:rPr>
      <w:rFonts w:ascii="Times New Roman" w:hAnsi="Times New Roman"/>
      <w:sz w:val="18"/>
    </w:rPr>
  </w:style>
  <w:style w:type="paragraph" w:styleId="35">
    <w:name w:val="toc 6"/>
    <w:basedOn w:val="1"/>
    <w:next w:val="1"/>
    <w:autoRedefine/>
    <w:qFormat/>
    <w:uiPriority w:val="0"/>
    <w:pPr>
      <w:ind w:left="1050"/>
      <w:jc w:val="left"/>
    </w:pPr>
    <w:rPr>
      <w:sz w:val="18"/>
      <w:szCs w:val="18"/>
    </w:rPr>
  </w:style>
  <w:style w:type="paragraph" w:styleId="36">
    <w:name w:val="toc 2"/>
    <w:basedOn w:val="1"/>
    <w:next w:val="1"/>
    <w:autoRedefine/>
    <w:qFormat/>
    <w:uiPriority w:val="0"/>
    <w:pPr>
      <w:tabs>
        <w:tab w:val="right" w:leader="dot" w:pos="8778"/>
      </w:tabs>
      <w:ind w:left="23" w:leftChars="9" w:hanging="4" w:hangingChars="2"/>
      <w:jc w:val="left"/>
    </w:pPr>
    <w:rPr>
      <w:smallCaps/>
      <w:sz w:val="20"/>
      <w:szCs w:val="20"/>
    </w:rPr>
  </w:style>
  <w:style w:type="paragraph" w:styleId="37">
    <w:name w:val="toc 9"/>
    <w:basedOn w:val="1"/>
    <w:next w:val="1"/>
    <w:autoRedefine/>
    <w:qFormat/>
    <w:uiPriority w:val="0"/>
    <w:pPr>
      <w:ind w:left="1680"/>
      <w:jc w:val="left"/>
    </w:pPr>
    <w:rPr>
      <w:sz w:val="18"/>
      <w:szCs w:val="18"/>
    </w:rPr>
  </w:style>
  <w:style w:type="paragraph" w:styleId="38">
    <w:name w:val="Body Text 2"/>
    <w:basedOn w:val="1"/>
    <w:autoRedefine/>
    <w:qFormat/>
    <w:uiPriority w:val="0"/>
    <w:pPr>
      <w:spacing w:after="120" w:line="480" w:lineRule="auto"/>
    </w:pPr>
  </w:style>
  <w:style w:type="paragraph" w:styleId="39">
    <w:name w:val="Normal (Web)"/>
    <w:basedOn w:val="1"/>
    <w:autoRedefine/>
    <w:qFormat/>
    <w:uiPriority w:val="0"/>
    <w:pPr>
      <w:spacing w:beforeAutospacing="1" w:afterAutospacing="1"/>
      <w:jc w:val="left"/>
    </w:pPr>
    <w:rPr>
      <w:rFonts w:cs="Times New Roman"/>
      <w:kern w:val="0"/>
      <w:sz w:val="24"/>
      <w:szCs w:val="24"/>
    </w:rPr>
  </w:style>
  <w:style w:type="paragraph" w:styleId="40">
    <w:name w:val="index 1"/>
    <w:basedOn w:val="1"/>
    <w:next w:val="1"/>
    <w:autoRedefine/>
    <w:qFormat/>
    <w:uiPriority w:val="0"/>
    <w:pPr>
      <w:ind w:firstLine="480" w:firstLineChars="200"/>
      <w:jc w:val="center"/>
    </w:pPr>
    <w:rPr>
      <w:sz w:val="24"/>
    </w:rPr>
  </w:style>
  <w:style w:type="paragraph" w:styleId="41">
    <w:name w:val="Title"/>
    <w:basedOn w:val="1"/>
    <w:next w:val="1"/>
    <w:link w:val="106"/>
    <w:autoRedefine/>
    <w:qFormat/>
    <w:uiPriority w:val="0"/>
    <w:pPr>
      <w:widowControl/>
      <w:spacing w:before="240" w:after="60"/>
      <w:jc w:val="center"/>
      <w:outlineLvl w:val="0"/>
    </w:pPr>
    <w:rPr>
      <w:rFonts w:ascii="Arial" w:hAnsi="Arial" w:eastAsia="楷体_GB2312"/>
      <w:b/>
      <w:sz w:val="32"/>
    </w:rPr>
  </w:style>
  <w:style w:type="paragraph" w:styleId="42">
    <w:name w:val="Body Text First Indent"/>
    <w:basedOn w:val="20"/>
    <w:next w:val="1"/>
    <w:qFormat/>
    <w:uiPriority w:val="0"/>
    <w:pPr>
      <w:tabs>
        <w:tab w:val="center" w:pos="2185"/>
      </w:tabs>
      <w:spacing w:before="156" w:beforeLines="50" w:line="300" w:lineRule="auto"/>
      <w:ind w:firstLine="200" w:firstLineChars="200"/>
    </w:pPr>
    <w:rPr>
      <w:rFonts w:ascii="楷体_GB2312" w:eastAsia="楷体_GB2312"/>
      <w:spacing w:val="4"/>
    </w:rPr>
  </w:style>
  <w:style w:type="paragraph" w:styleId="43">
    <w:name w:val="Body Text First Indent 2"/>
    <w:basedOn w:val="21"/>
    <w:qFormat/>
    <w:uiPriority w:val="0"/>
    <w:pPr>
      <w:ind w:firstLine="420" w:firstLineChars="200"/>
    </w:pPr>
    <w:rPr>
      <w:kern w:val="2"/>
      <w:sz w:val="21"/>
    </w:rPr>
  </w:style>
  <w:style w:type="table" w:styleId="45">
    <w:name w:val="Table Grid"/>
    <w:basedOn w:val="44"/>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autoRedefine/>
    <w:qFormat/>
    <w:uiPriority w:val="0"/>
    <w:rPr>
      <w:b/>
      <w:bCs/>
    </w:rPr>
  </w:style>
  <w:style w:type="character" w:styleId="48">
    <w:name w:val="endnote reference"/>
    <w:autoRedefine/>
    <w:qFormat/>
    <w:uiPriority w:val="0"/>
    <w:rPr>
      <w:vertAlign w:val="superscript"/>
    </w:rPr>
  </w:style>
  <w:style w:type="character" w:styleId="49">
    <w:name w:val="page number"/>
    <w:basedOn w:val="46"/>
    <w:autoRedefine/>
    <w:qFormat/>
    <w:uiPriority w:val="0"/>
  </w:style>
  <w:style w:type="character" w:styleId="50">
    <w:name w:val="FollowedHyperlink"/>
    <w:basedOn w:val="46"/>
    <w:autoRedefine/>
    <w:qFormat/>
    <w:uiPriority w:val="0"/>
    <w:rPr>
      <w:color w:val="800080"/>
      <w:u w:val="single"/>
    </w:rPr>
  </w:style>
  <w:style w:type="character" w:styleId="51">
    <w:name w:val="Emphasis"/>
    <w:basedOn w:val="46"/>
    <w:autoRedefine/>
    <w:qFormat/>
    <w:uiPriority w:val="0"/>
    <w:rPr>
      <w:i/>
    </w:rPr>
  </w:style>
  <w:style w:type="character" w:styleId="52">
    <w:name w:val="Hyperlink"/>
    <w:basedOn w:val="46"/>
    <w:autoRedefine/>
    <w:qFormat/>
    <w:uiPriority w:val="0"/>
    <w:rPr>
      <w:color w:val="0000FF"/>
      <w:u w:val="single"/>
    </w:rPr>
  </w:style>
  <w:style w:type="character" w:styleId="53">
    <w:name w:val="HTML Code"/>
    <w:basedOn w:val="46"/>
    <w:qFormat/>
    <w:uiPriority w:val="0"/>
    <w:rPr>
      <w:rFonts w:ascii="Courier New" w:hAnsi="Courier New"/>
      <w:sz w:val="20"/>
    </w:rPr>
  </w:style>
  <w:style w:type="character" w:styleId="54">
    <w:name w:val="annotation reference"/>
    <w:autoRedefine/>
    <w:unhideWhenUsed/>
    <w:qFormat/>
    <w:uiPriority w:val="99"/>
    <w:rPr>
      <w:sz w:val="21"/>
      <w:szCs w:val="21"/>
    </w:rPr>
  </w:style>
  <w:style w:type="character" w:styleId="55">
    <w:name w:val="footnote reference"/>
    <w:autoRedefine/>
    <w:qFormat/>
    <w:uiPriority w:val="0"/>
    <w:rPr>
      <w:vertAlign w:val="superscript"/>
    </w:rPr>
  </w:style>
  <w:style w:type="paragraph" w:customStyle="1" w:styleId="56">
    <w:name w:val="图表目录1"/>
    <w:basedOn w:val="57"/>
    <w:next w:val="57"/>
    <w:autoRedefine/>
    <w:qFormat/>
    <w:uiPriority w:val="0"/>
    <w:pPr>
      <w:spacing w:line="480" w:lineRule="exact"/>
      <w:ind w:left="200" w:leftChars="200" w:hanging="200" w:hangingChars="200"/>
      <w:jc w:val="left"/>
    </w:pPr>
    <w:rPr>
      <w:color w:val="7030A0"/>
      <w:sz w:val="24"/>
    </w:rPr>
  </w:style>
  <w:style w:type="paragraph" w:customStyle="1" w:styleId="57">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56"/>
    <w:autoRedefine/>
    <w:qFormat/>
    <w:uiPriority w:val="0"/>
    <w:rPr>
      <w:rFonts w:ascii="Calibri" w:hAnsi="Calibri" w:cs="宋体"/>
    </w:rPr>
  </w:style>
  <w:style w:type="character" w:customStyle="1" w:styleId="58">
    <w:name w:val="标题 1 Char"/>
    <w:basedOn w:val="46"/>
    <w:link w:val="2"/>
    <w:autoRedefine/>
    <w:semiHidden/>
    <w:qFormat/>
    <w:uiPriority w:val="0"/>
    <w:rPr>
      <w:rFonts w:ascii="Times New Roman" w:hAnsi="Times New Roman"/>
      <w:b/>
      <w:bCs/>
      <w:kern w:val="44"/>
      <w:sz w:val="44"/>
      <w:szCs w:val="44"/>
    </w:rPr>
  </w:style>
  <w:style w:type="character" w:customStyle="1" w:styleId="59">
    <w:name w:val="标题 2 Char"/>
    <w:basedOn w:val="46"/>
    <w:link w:val="3"/>
    <w:autoRedefine/>
    <w:semiHidden/>
    <w:qFormat/>
    <w:uiPriority w:val="0"/>
    <w:rPr>
      <w:rFonts w:ascii="Arial" w:hAnsi="Arial" w:eastAsia="黑体"/>
      <w:b/>
      <w:bCs/>
      <w:kern w:val="2"/>
      <w:sz w:val="32"/>
      <w:szCs w:val="32"/>
    </w:rPr>
  </w:style>
  <w:style w:type="character" w:customStyle="1" w:styleId="60">
    <w:name w:val="标题 3 Char"/>
    <w:basedOn w:val="46"/>
    <w:link w:val="4"/>
    <w:autoRedefine/>
    <w:semiHidden/>
    <w:qFormat/>
    <w:uiPriority w:val="0"/>
    <w:rPr>
      <w:rFonts w:ascii="Times New Roman" w:hAnsi="Times New Roman"/>
      <w:b/>
      <w:bCs/>
      <w:kern w:val="2"/>
      <w:sz w:val="32"/>
      <w:szCs w:val="32"/>
    </w:rPr>
  </w:style>
  <w:style w:type="character" w:customStyle="1" w:styleId="61">
    <w:name w:val="标题 4 Char"/>
    <w:basedOn w:val="46"/>
    <w:link w:val="5"/>
    <w:autoRedefine/>
    <w:semiHidden/>
    <w:qFormat/>
    <w:uiPriority w:val="0"/>
    <w:rPr>
      <w:rFonts w:ascii="Cambria" w:hAnsi="Cambria" w:eastAsia="宋体" w:cs="Times New Roman"/>
      <w:b/>
      <w:bCs/>
      <w:kern w:val="2"/>
      <w:sz w:val="28"/>
      <w:szCs w:val="28"/>
    </w:rPr>
  </w:style>
  <w:style w:type="character" w:customStyle="1" w:styleId="62">
    <w:name w:val="标题 5 Char"/>
    <w:basedOn w:val="46"/>
    <w:link w:val="6"/>
    <w:autoRedefine/>
    <w:semiHidden/>
    <w:qFormat/>
    <w:uiPriority w:val="0"/>
    <w:rPr>
      <w:rFonts w:ascii="Times New Roman" w:hAnsi="Times New Roman"/>
      <w:b/>
      <w:bCs/>
      <w:kern w:val="2"/>
      <w:sz w:val="28"/>
      <w:szCs w:val="28"/>
    </w:rPr>
  </w:style>
  <w:style w:type="character" w:customStyle="1" w:styleId="63">
    <w:name w:val="标题 6 Char"/>
    <w:basedOn w:val="46"/>
    <w:link w:val="7"/>
    <w:autoRedefine/>
    <w:semiHidden/>
    <w:qFormat/>
    <w:uiPriority w:val="0"/>
    <w:rPr>
      <w:rFonts w:ascii="Arial" w:hAnsi="Arial" w:eastAsia="黑体"/>
      <w:b/>
      <w:kern w:val="2"/>
      <w:sz w:val="24"/>
    </w:rPr>
  </w:style>
  <w:style w:type="character" w:customStyle="1" w:styleId="64">
    <w:name w:val="标题 7 Char"/>
    <w:basedOn w:val="46"/>
    <w:link w:val="8"/>
    <w:autoRedefine/>
    <w:semiHidden/>
    <w:qFormat/>
    <w:uiPriority w:val="0"/>
    <w:rPr>
      <w:rFonts w:ascii="Times New Roman" w:hAnsi="Times New Roman"/>
      <w:b/>
      <w:kern w:val="2"/>
      <w:sz w:val="24"/>
    </w:rPr>
  </w:style>
  <w:style w:type="character" w:customStyle="1" w:styleId="65">
    <w:name w:val="标题 8 Char"/>
    <w:basedOn w:val="46"/>
    <w:link w:val="9"/>
    <w:autoRedefine/>
    <w:semiHidden/>
    <w:qFormat/>
    <w:uiPriority w:val="0"/>
    <w:rPr>
      <w:rFonts w:ascii="Arial" w:hAnsi="Arial" w:eastAsia="黑体"/>
      <w:kern w:val="2"/>
      <w:sz w:val="24"/>
    </w:rPr>
  </w:style>
  <w:style w:type="character" w:customStyle="1" w:styleId="66">
    <w:name w:val="标题 9 Char"/>
    <w:basedOn w:val="46"/>
    <w:link w:val="10"/>
    <w:autoRedefine/>
    <w:semiHidden/>
    <w:qFormat/>
    <w:uiPriority w:val="0"/>
    <w:rPr>
      <w:rFonts w:ascii="Arial" w:hAnsi="Arial" w:eastAsia="黑体"/>
      <w:kern w:val="2"/>
      <w:sz w:val="21"/>
    </w:rPr>
  </w:style>
  <w:style w:type="character" w:customStyle="1" w:styleId="67">
    <w:name w:val="批注主题 Char"/>
    <w:basedOn w:val="68"/>
    <w:link w:val="69"/>
    <w:autoRedefine/>
    <w:semiHidden/>
    <w:qFormat/>
    <w:uiPriority w:val="0"/>
    <w:rPr>
      <w:b/>
      <w:bCs/>
      <w:kern w:val="2"/>
      <w:sz w:val="21"/>
    </w:rPr>
  </w:style>
  <w:style w:type="character" w:customStyle="1" w:styleId="68">
    <w:name w:val="批注文字 Char"/>
    <w:basedOn w:val="46"/>
    <w:link w:val="18"/>
    <w:autoRedefine/>
    <w:semiHidden/>
    <w:qFormat/>
    <w:uiPriority w:val="0"/>
    <w:rPr>
      <w:rFonts w:ascii="Times New Roman" w:hAnsi="Times New Roman" w:eastAsia="宋体" w:cs="Times New Roman"/>
      <w:szCs w:val="24"/>
    </w:rPr>
  </w:style>
  <w:style w:type="paragraph" w:customStyle="1" w:styleId="69">
    <w:name w:val="annotation subject"/>
    <w:basedOn w:val="18"/>
    <w:next w:val="18"/>
    <w:link w:val="67"/>
    <w:autoRedefine/>
    <w:qFormat/>
    <w:uiPriority w:val="0"/>
    <w:rPr>
      <w:b/>
      <w:bCs/>
      <w:kern w:val="2"/>
      <w:sz w:val="21"/>
    </w:rPr>
  </w:style>
  <w:style w:type="character" w:customStyle="1" w:styleId="70">
    <w:name w:val="正文首行缩进 Char"/>
    <w:basedOn w:val="71"/>
    <w:link w:val="72"/>
    <w:autoRedefine/>
    <w:semiHidden/>
    <w:qFormat/>
    <w:uiPriority w:val="0"/>
    <w:rPr>
      <w:color w:val="7030A0"/>
    </w:rPr>
  </w:style>
  <w:style w:type="character" w:customStyle="1" w:styleId="71">
    <w:name w:val="正文文本 Char"/>
    <w:basedOn w:val="46"/>
    <w:link w:val="20"/>
    <w:autoRedefine/>
    <w:semiHidden/>
    <w:qFormat/>
    <w:uiPriority w:val="0"/>
    <w:rPr>
      <w:rFonts w:ascii="Times New Roman" w:hAnsi="Times New Roman"/>
      <w:kern w:val="2"/>
      <w:sz w:val="21"/>
      <w:szCs w:val="24"/>
    </w:rPr>
  </w:style>
  <w:style w:type="paragraph" w:customStyle="1" w:styleId="72">
    <w:name w:val="Body Text First Indent"/>
    <w:basedOn w:val="1"/>
    <w:link w:val="70"/>
    <w:autoRedefine/>
    <w:qFormat/>
    <w:uiPriority w:val="0"/>
    <w:pPr>
      <w:tabs>
        <w:tab w:val="left" w:pos="360"/>
      </w:tabs>
      <w:spacing w:line="220" w:lineRule="exact"/>
      <w:ind w:left="360" w:hanging="360" w:firstLineChars="200"/>
      <w:jc w:val="left"/>
    </w:pPr>
    <w:rPr>
      <w:color w:val="7030A0"/>
    </w:rPr>
  </w:style>
  <w:style w:type="character" w:customStyle="1" w:styleId="73">
    <w:name w:val="宏文本 Char"/>
    <w:basedOn w:val="46"/>
    <w:link w:val="74"/>
    <w:autoRedefine/>
    <w:semiHidden/>
    <w:qFormat/>
    <w:uiPriority w:val="0"/>
    <w:rPr>
      <w:rFonts w:ascii="Courier New" w:hAnsi="Courier New" w:cs="Courier New"/>
      <w:kern w:val="2"/>
      <w:sz w:val="24"/>
      <w:szCs w:val="24"/>
      <w:lang w:val="en-US" w:eastAsia="zh-CN" w:bidi="ar-SA"/>
    </w:rPr>
  </w:style>
  <w:style w:type="paragraph" w:customStyle="1" w:styleId="74">
    <w:name w:val="macro"/>
    <w:link w:val="73"/>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character" w:customStyle="1" w:styleId="75">
    <w:name w:val="正文缩进 Char"/>
    <w:link w:val="76"/>
    <w:autoRedefine/>
    <w:semiHidden/>
    <w:qFormat/>
    <w:uiPriority w:val="0"/>
    <w:rPr>
      <w:rFonts w:ascii="宋体" w:hAnsi="Times New Roman"/>
      <w:sz w:val="24"/>
    </w:rPr>
  </w:style>
  <w:style w:type="paragraph" w:customStyle="1" w:styleId="76">
    <w:name w:val="Normal Indent"/>
    <w:basedOn w:val="1"/>
    <w:link w:val="75"/>
    <w:autoRedefine/>
    <w:qFormat/>
    <w:uiPriority w:val="0"/>
    <w:pPr>
      <w:autoSpaceDE w:val="0"/>
      <w:autoSpaceDN w:val="0"/>
      <w:adjustRightInd w:val="0"/>
      <w:spacing w:line="360" w:lineRule="atLeast"/>
      <w:ind w:firstLine="420"/>
      <w:textAlignment w:val="baseline"/>
    </w:pPr>
    <w:rPr>
      <w:rFonts w:ascii="宋体" w:hAnsi="Times New Roman"/>
      <w:sz w:val="24"/>
    </w:rPr>
  </w:style>
  <w:style w:type="character" w:customStyle="1" w:styleId="77">
    <w:name w:val="题注 Char"/>
    <w:link w:val="15"/>
    <w:autoRedefine/>
    <w:semiHidden/>
    <w:qFormat/>
    <w:uiPriority w:val="0"/>
    <w:rPr>
      <w:rFonts w:ascii="Times New Roman" w:hAnsi="Times New Roman"/>
      <w:b/>
      <w:bCs/>
      <w:color w:val="000080"/>
      <w:kern w:val="2"/>
      <w:sz w:val="28"/>
      <w:szCs w:val="24"/>
    </w:rPr>
  </w:style>
  <w:style w:type="character" w:customStyle="1" w:styleId="78">
    <w:name w:val="文档结构图 Char"/>
    <w:basedOn w:val="46"/>
    <w:link w:val="79"/>
    <w:autoRedefine/>
    <w:semiHidden/>
    <w:qFormat/>
    <w:uiPriority w:val="0"/>
    <w:rPr>
      <w:rFonts w:ascii="宋体" w:hAnsi="Times New Roman" w:eastAsia="宋体" w:cs="Times New Roman"/>
      <w:sz w:val="18"/>
      <w:szCs w:val="18"/>
    </w:rPr>
  </w:style>
  <w:style w:type="paragraph" w:customStyle="1" w:styleId="79">
    <w:name w:val="Document Map"/>
    <w:basedOn w:val="1"/>
    <w:link w:val="78"/>
    <w:autoRedefine/>
    <w:qFormat/>
    <w:uiPriority w:val="0"/>
    <w:rPr>
      <w:rFonts w:ascii="宋体" w:hAnsi="Times New Roman" w:eastAsia="宋体" w:cs="Times New Roman"/>
      <w:sz w:val="18"/>
      <w:szCs w:val="18"/>
    </w:rPr>
  </w:style>
  <w:style w:type="character" w:customStyle="1" w:styleId="80">
    <w:name w:val="称呼 Char"/>
    <w:basedOn w:val="46"/>
    <w:link w:val="81"/>
    <w:autoRedefine/>
    <w:semiHidden/>
    <w:qFormat/>
    <w:uiPriority w:val="0"/>
    <w:rPr>
      <w:rFonts w:ascii="Times New Roman" w:hAnsi="Times New Roman"/>
      <w:kern w:val="2"/>
      <w:sz w:val="24"/>
    </w:rPr>
  </w:style>
  <w:style w:type="paragraph" w:customStyle="1" w:styleId="81">
    <w:name w:val="Salutation"/>
    <w:basedOn w:val="1"/>
    <w:next w:val="1"/>
    <w:link w:val="80"/>
    <w:autoRedefine/>
    <w:qFormat/>
    <w:uiPriority w:val="0"/>
    <w:rPr>
      <w:rFonts w:ascii="Times New Roman" w:hAnsi="Times New Roman"/>
      <w:kern w:val="2"/>
      <w:sz w:val="24"/>
    </w:rPr>
  </w:style>
  <w:style w:type="character" w:customStyle="1" w:styleId="82">
    <w:name w:val="正文文本 3 Char"/>
    <w:basedOn w:val="46"/>
    <w:link w:val="83"/>
    <w:autoRedefine/>
    <w:semiHidden/>
    <w:qFormat/>
    <w:uiPriority w:val="0"/>
    <w:rPr>
      <w:rFonts w:ascii="Times New Roman" w:hAnsi="Times New Roman"/>
      <w:kern w:val="2"/>
      <w:sz w:val="16"/>
      <w:szCs w:val="16"/>
    </w:rPr>
  </w:style>
  <w:style w:type="paragraph" w:customStyle="1" w:styleId="83">
    <w:name w:val="Body Text 3"/>
    <w:basedOn w:val="1"/>
    <w:link w:val="82"/>
    <w:autoRedefine/>
    <w:qFormat/>
    <w:uiPriority w:val="0"/>
    <w:pPr>
      <w:spacing w:after="120"/>
    </w:pPr>
    <w:rPr>
      <w:rFonts w:ascii="Times New Roman" w:hAnsi="Times New Roman"/>
      <w:kern w:val="2"/>
      <w:sz w:val="16"/>
      <w:szCs w:val="16"/>
    </w:rPr>
  </w:style>
  <w:style w:type="character" w:customStyle="1" w:styleId="84">
    <w:name w:val="正文文本缩进 Char"/>
    <w:basedOn w:val="46"/>
    <w:autoRedefine/>
    <w:semiHidden/>
    <w:qFormat/>
    <w:uiPriority w:val="0"/>
    <w:rPr>
      <w:rFonts w:ascii="Times New Roman" w:hAnsi="Times New Roman"/>
      <w:kern w:val="2"/>
      <w:sz w:val="21"/>
      <w:szCs w:val="24"/>
    </w:rPr>
  </w:style>
  <w:style w:type="paragraph" w:customStyle="1" w:styleId="85">
    <w:name w:val="Body Text Indent"/>
    <w:basedOn w:val="1"/>
    <w:link w:val="420"/>
    <w:autoRedefine/>
    <w:qFormat/>
    <w:uiPriority w:val="0"/>
    <w:pPr>
      <w:spacing w:line="360" w:lineRule="auto"/>
    </w:pPr>
    <w:rPr>
      <w:rFonts w:ascii="宋体" w:hAnsi="Times New Roman"/>
      <w:kern w:val="2"/>
      <w:sz w:val="21"/>
    </w:rPr>
  </w:style>
  <w:style w:type="character" w:customStyle="1" w:styleId="86">
    <w:name w:val="纯文本 Char"/>
    <w:basedOn w:val="46"/>
    <w:link w:val="87"/>
    <w:autoRedefine/>
    <w:semiHidden/>
    <w:qFormat/>
    <w:uiPriority w:val="0"/>
    <w:rPr>
      <w:rFonts w:ascii="宋体" w:hAnsi="Courier New" w:cs="Courier New"/>
      <w:kern w:val="2"/>
      <w:sz w:val="21"/>
      <w:szCs w:val="21"/>
    </w:rPr>
  </w:style>
  <w:style w:type="paragraph" w:customStyle="1" w:styleId="87">
    <w:name w:val="Plain Text"/>
    <w:basedOn w:val="1"/>
    <w:link w:val="86"/>
    <w:autoRedefine/>
    <w:qFormat/>
    <w:uiPriority w:val="0"/>
    <w:rPr>
      <w:rFonts w:ascii="宋体" w:hAnsi="Courier New" w:cs="Courier New"/>
      <w:kern w:val="2"/>
      <w:sz w:val="21"/>
      <w:szCs w:val="21"/>
    </w:rPr>
  </w:style>
  <w:style w:type="character" w:customStyle="1" w:styleId="88">
    <w:name w:val="日期 Char"/>
    <w:link w:val="89"/>
    <w:autoRedefine/>
    <w:semiHidden/>
    <w:qFormat/>
    <w:uiPriority w:val="0"/>
    <w:rPr>
      <w:rFonts w:eastAsia="楷体_GB2312"/>
      <w:kern w:val="2"/>
      <w:sz w:val="30"/>
    </w:rPr>
  </w:style>
  <w:style w:type="paragraph" w:customStyle="1" w:styleId="89">
    <w:name w:val="Date"/>
    <w:basedOn w:val="1"/>
    <w:next w:val="1"/>
    <w:link w:val="88"/>
    <w:autoRedefine/>
    <w:qFormat/>
    <w:uiPriority w:val="0"/>
    <w:pPr>
      <w:autoSpaceDE w:val="0"/>
      <w:autoSpaceDN w:val="0"/>
      <w:adjustRightInd w:val="0"/>
      <w:textAlignment w:val="baseline"/>
    </w:pPr>
    <w:rPr>
      <w:rFonts w:eastAsia="楷体_GB2312"/>
      <w:kern w:val="2"/>
      <w:sz w:val="30"/>
    </w:rPr>
  </w:style>
  <w:style w:type="character" w:customStyle="1" w:styleId="90">
    <w:name w:val="正文文本缩进 2 Char"/>
    <w:basedOn w:val="46"/>
    <w:link w:val="91"/>
    <w:autoRedefine/>
    <w:semiHidden/>
    <w:qFormat/>
    <w:uiPriority w:val="0"/>
    <w:rPr>
      <w:rFonts w:ascii="Times New Roman" w:hAnsi="Times New Roman"/>
      <w:kern w:val="2"/>
      <w:sz w:val="21"/>
    </w:rPr>
  </w:style>
  <w:style w:type="paragraph" w:customStyle="1" w:styleId="91">
    <w:name w:val="Body Text Indent 2"/>
    <w:basedOn w:val="1"/>
    <w:link w:val="90"/>
    <w:autoRedefine/>
    <w:qFormat/>
    <w:uiPriority w:val="0"/>
    <w:pPr>
      <w:spacing w:after="120" w:line="480" w:lineRule="auto"/>
      <w:ind w:left="420" w:leftChars="200"/>
    </w:pPr>
    <w:rPr>
      <w:rFonts w:ascii="Times New Roman" w:hAnsi="Times New Roman"/>
      <w:kern w:val="2"/>
      <w:sz w:val="21"/>
    </w:rPr>
  </w:style>
  <w:style w:type="character" w:customStyle="1" w:styleId="92">
    <w:name w:val="尾注文本 Char"/>
    <w:basedOn w:val="46"/>
    <w:link w:val="29"/>
    <w:autoRedefine/>
    <w:semiHidden/>
    <w:qFormat/>
    <w:uiPriority w:val="0"/>
    <w:rPr>
      <w:rFonts w:ascii="Times New Roman" w:hAnsi="Times New Roman"/>
      <w:sz w:val="21"/>
      <w:szCs w:val="24"/>
    </w:rPr>
  </w:style>
  <w:style w:type="character" w:customStyle="1" w:styleId="93">
    <w:name w:val="页脚 Char"/>
    <w:basedOn w:val="46"/>
    <w:link w:val="30"/>
    <w:autoRedefine/>
    <w:semiHidden/>
    <w:qFormat/>
    <w:uiPriority w:val="0"/>
    <w:rPr>
      <w:rFonts w:ascii="Times New Roman" w:hAnsi="Times New Roman"/>
      <w:kern w:val="2"/>
      <w:sz w:val="18"/>
      <w:szCs w:val="18"/>
    </w:rPr>
  </w:style>
  <w:style w:type="character" w:customStyle="1" w:styleId="94">
    <w:name w:val="正文首行缩进 2 Char"/>
    <w:basedOn w:val="84"/>
    <w:link w:val="95"/>
    <w:autoRedefine/>
    <w:semiHidden/>
    <w:qFormat/>
    <w:uiPriority w:val="0"/>
    <w:rPr>
      <w:rFonts w:ascii="宋体" w:hAnsi="宋体"/>
    </w:rPr>
  </w:style>
  <w:style w:type="paragraph" w:customStyle="1" w:styleId="95">
    <w:name w:val="Body Text First Indent 2"/>
    <w:basedOn w:val="85"/>
    <w:link w:val="94"/>
    <w:autoRedefine/>
    <w:qFormat/>
    <w:uiPriority w:val="0"/>
    <w:pPr>
      <w:spacing w:after="120" w:line="240" w:lineRule="auto"/>
      <w:ind w:left="420" w:leftChars="200" w:firstLine="200" w:firstLineChars="200"/>
      <w:jc w:val="left"/>
    </w:pPr>
    <w:rPr>
      <w:rFonts w:ascii="宋体" w:hAnsi="宋体"/>
    </w:rPr>
  </w:style>
  <w:style w:type="character" w:customStyle="1" w:styleId="96">
    <w:name w:val="页眉 Char"/>
    <w:basedOn w:val="46"/>
    <w:link w:val="31"/>
    <w:autoRedefine/>
    <w:semiHidden/>
    <w:qFormat/>
    <w:uiPriority w:val="0"/>
    <w:rPr>
      <w:rFonts w:ascii="Times New Roman" w:hAnsi="Times New Roman"/>
      <w:kern w:val="2"/>
      <w:sz w:val="18"/>
      <w:szCs w:val="18"/>
    </w:rPr>
  </w:style>
  <w:style w:type="character" w:customStyle="1" w:styleId="97">
    <w:name w:val="脚注文本 Char"/>
    <w:basedOn w:val="46"/>
    <w:link w:val="34"/>
    <w:autoRedefine/>
    <w:semiHidden/>
    <w:qFormat/>
    <w:uiPriority w:val="0"/>
    <w:rPr>
      <w:rFonts w:ascii="Times New Roman" w:hAnsi="Times New Roman"/>
      <w:sz w:val="18"/>
    </w:rPr>
  </w:style>
  <w:style w:type="character" w:customStyle="1" w:styleId="98">
    <w:name w:val="正文文本缩进 3 Char"/>
    <w:basedOn w:val="46"/>
    <w:link w:val="99"/>
    <w:autoRedefine/>
    <w:semiHidden/>
    <w:qFormat/>
    <w:uiPriority w:val="0"/>
    <w:rPr>
      <w:rFonts w:ascii="Times New Roman" w:hAnsi="Times New Roman"/>
      <w:kern w:val="2"/>
      <w:sz w:val="21"/>
    </w:rPr>
  </w:style>
  <w:style w:type="paragraph" w:customStyle="1" w:styleId="99">
    <w:name w:val="Body Text Indent 3"/>
    <w:basedOn w:val="1"/>
    <w:link w:val="98"/>
    <w:autoRedefine/>
    <w:qFormat/>
    <w:uiPriority w:val="0"/>
    <w:pPr>
      <w:ind w:left="1260" w:leftChars="600"/>
    </w:pPr>
    <w:rPr>
      <w:rFonts w:ascii="Times New Roman" w:hAnsi="Times New Roman"/>
      <w:kern w:val="2"/>
      <w:sz w:val="21"/>
    </w:rPr>
  </w:style>
  <w:style w:type="character" w:customStyle="1" w:styleId="100">
    <w:name w:val="正文文本 2 Char"/>
    <w:basedOn w:val="46"/>
    <w:link w:val="101"/>
    <w:autoRedefine/>
    <w:semiHidden/>
    <w:qFormat/>
    <w:uiPriority w:val="0"/>
    <w:rPr>
      <w:rFonts w:ascii="Times New Roman" w:hAnsi="Times New Roman"/>
      <w:kern w:val="2"/>
      <w:sz w:val="21"/>
    </w:rPr>
  </w:style>
  <w:style w:type="paragraph" w:customStyle="1" w:styleId="101">
    <w:name w:val="Body Text 2"/>
    <w:basedOn w:val="1"/>
    <w:link w:val="100"/>
    <w:autoRedefine/>
    <w:qFormat/>
    <w:uiPriority w:val="0"/>
    <w:pPr>
      <w:spacing w:after="120" w:line="480" w:lineRule="auto"/>
    </w:pPr>
    <w:rPr>
      <w:rFonts w:ascii="Times New Roman" w:hAnsi="Times New Roman"/>
      <w:kern w:val="2"/>
      <w:sz w:val="21"/>
    </w:rPr>
  </w:style>
  <w:style w:type="character" w:customStyle="1" w:styleId="102">
    <w:name w:val="信息标题 Char"/>
    <w:basedOn w:val="46"/>
    <w:link w:val="103"/>
    <w:autoRedefine/>
    <w:semiHidden/>
    <w:qFormat/>
    <w:uiPriority w:val="0"/>
    <w:rPr>
      <w:rFonts w:ascii="Arial" w:hAnsi="Arial" w:cs="Arial"/>
      <w:color w:val="7030A0"/>
      <w:kern w:val="2"/>
      <w:sz w:val="24"/>
      <w:szCs w:val="24"/>
      <w:shd w:val="pct20" w:color="auto" w:fill="auto"/>
    </w:rPr>
  </w:style>
  <w:style w:type="paragraph" w:customStyle="1" w:styleId="103">
    <w:name w:val="Message Header"/>
    <w:basedOn w:val="1"/>
    <w:link w:val="102"/>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jc w:val="left"/>
    </w:pPr>
    <w:rPr>
      <w:rFonts w:ascii="Arial" w:hAnsi="Arial" w:cs="Arial"/>
      <w:color w:val="7030A0"/>
      <w:kern w:val="2"/>
      <w:sz w:val="24"/>
      <w:szCs w:val="24"/>
      <w:shd w:val="pct20" w:color="auto" w:fill="auto"/>
    </w:rPr>
  </w:style>
  <w:style w:type="character" w:customStyle="1" w:styleId="104">
    <w:name w:val="HTML 预设格式 Char"/>
    <w:basedOn w:val="46"/>
    <w:link w:val="105"/>
    <w:autoRedefine/>
    <w:semiHidden/>
    <w:qFormat/>
    <w:uiPriority w:val="0"/>
    <w:rPr>
      <w:rFonts w:ascii="Arial" w:hAnsi="Arial"/>
      <w:sz w:val="21"/>
      <w:szCs w:val="21"/>
    </w:rPr>
  </w:style>
  <w:style w:type="paragraph" w:customStyle="1" w:styleId="105">
    <w:name w:val="HTML Preformatted"/>
    <w:basedOn w:val="1"/>
    <w:link w:val="10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200" w:firstLineChars="200"/>
      <w:jc w:val="left"/>
    </w:pPr>
    <w:rPr>
      <w:rFonts w:ascii="Arial" w:hAnsi="Arial"/>
      <w:sz w:val="21"/>
      <w:szCs w:val="21"/>
    </w:rPr>
  </w:style>
  <w:style w:type="character" w:customStyle="1" w:styleId="106">
    <w:name w:val="标题 Char"/>
    <w:basedOn w:val="46"/>
    <w:link w:val="41"/>
    <w:autoRedefine/>
    <w:semiHidden/>
    <w:qFormat/>
    <w:uiPriority w:val="0"/>
    <w:rPr>
      <w:rFonts w:ascii="Arial" w:hAnsi="Arial" w:eastAsia="楷体_GB2312"/>
      <w:b/>
      <w:sz w:val="32"/>
    </w:rPr>
  </w:style>
  <w:style w:type="paragraph" w:customStyle="1" w:styleId="107">
    <w:name w:val="批注框文本 Char Char"/>
    <w:basedOn w:val="1"/>
    <w:link w:val="372"/>
    <w:autoRedefine/>
    <w:qFormat/>
    <w:uiPriority w:val="0"/>
    <w:rPr>
      <w:rFonts w:ascii="Times New Roman" w:hAnsi="Times New Roman" w:eastAsia="宋体" w:cs="Times New Roman"/>
      <w:sz w:val="18"/>
      <w:szCs w:val="18"/>
    </w:rPr>
  </w:style>
  <w:style w:type="paragraph" w:customStyle="1" w:styleId="108">
    <w:name w:val="List Number 2"/>
    <w:basedOn w:val="1"/>
    <w:autoRedefine/>
    <w:qFormat/>
    <w:uiPriority w:val="0"/>
    <w:pPr>
      <w:tabs>
        <w:tab w:val="left" w:pos="780"/>
      </w:tabs>
      <w:spacing w:line="360" w:lineRule="auto"/>
      <w:ind w:left="780" w:hanging="360"/>
      <w:jc w:val="left"/>
    </w:pPr>
    <w:rPr>
      <w:rFonts w:ascii="宋体" w:hAnsi="宋体"/>
      <w:color w:val="7030A0"/>
      <w:sz w:val="24"/>
      <w:szCs w:val="20"/>
    </w:rPr>
  </w:style>
  <w:style w:type="paragraph" w:customStyle="1" w:styleId="109">
    <w:name w:val="table of authorities"/>
    <w:basedOn w:val="1"/>
    <w:next w:val="1"/>
    <w:autoRedefine/>
    <w:qFormat/>
    <w:uiPriority w:val="0"/>
    <w:pPr>
      <w:spacing w:line="480" w:lineRule="exact"/>
      <w:ind w:left="420" w:leftChars="200" w:firstLine="200" w:firstLineChars="200"/>
      <w:jc w:val="left"/>
    </w:pPr>
    <w:rPr>
      <w:color w:val="7030A0"/>
      <w:sz w:val="24"/>
    </w:rPr>
  </w:style>
  <w:style w:type="paragraph" w:customStyle="1" w:styleId="110">
    <w:name w:val="index 8"/>
    <w:basedOn w:val="1"/>
    <w:next w:val="1"/>
    <w:autoRedefine/>
    <w:qFormat/>
    <w:uiPriority w:val="0"/>
    <w:pPr>
      <w:spacing w:line="480" w:lineRule="exact"/>
      <w:ind w:left="1400" w:leftChars="1400" w:firstLine="200" w:firstLineChars="200"/>
      <w:jc w:val="left"/>
    </w:pPr>
    <w:rPr>
      <w:color w:val="7030A0"/>
      <w:sz w:val="24"/>
    </w:rPr>
  </w:style>
  <w:style w:type="paragraph" w:customStyle="1" w:styleId="111">
    <w:name w:val="index 5"/>
    <w:basedOn w:val="1"/>
    <w:next w:val="1"/>
    <w:autoRedefine/>
    <w:qFormat/>
    <w:uiPriority w:val="0"/>
    <w:pPr>
      <w:spacing w:line="480" w:lineRule="exact"/>
      <w:ind w:left="800" w:leftChars="800" w:firstLine="200" w:firstLineChars="200"/>
      <w:jc w:val="left"/>
    </w:pPr>
    <w:rPr>
      <w:color w:val="7030A0"/>
      <w:sz w:val="24"/>
    </w:rPr>
  </w:style>
  <w:style w:type="paragraph" w:customStyle="1" w:styleId="112">
    <w:name w:val="toa heading"/>
    <w:basedOn w:val="1"/>
    <w:next w:val="1"/>
    <w:autoRedefine/>
    <w:qFormat/>
    <w:uiPriority w:val="0"/>
    <w:pPr>
      <w:spacing w:before="120"/>
    </w:pPr>
    <w:rPr>
      <w:rFonts w:ascii="Arial" w:hAnsi="Arial" w:cs="Arial"/>
      <w:sz w:val="24"/>
    </w:rPr>
  </w:style>
  <w:style w:type="paragraph" w:customStyle="1" w:styleId="113">
    <w:name w:val="index 6"/>
    <w:basedOn w:val="1"/>
    <w:next w:val="1"/>
    <w:autoRedefine/>
    <w:qFormat/>
    <w:uiPriority w:val="0"/>
    <w:pPr>
      <w:spacing w:line="480" w:lineRule="exact"/>
      <w:ind w:left="1000" w:leftChars="1000" w:firstLine="200" w:firstLineChars="200"/>
      <w:jc w:val="left"/>
    </w:pPr>
    <w:rPr>
      <w:color w:val="7030A0"/>
      <w:sz w:val="24"/>
    </w:rPr>
  </w:style>
  <w:style w:type="paragraph" w:customStyle="1" w:styleId="114">
    <w:name w:val="List Number 3"/>
    <w:basedOn w:val="1"/>
    <w:autoRedefine/>
    <w:qFormat/>
    <w:uiPriority w:val="0"/>
    <w:pPr>
      <w:tabs>
        <w:tab w:val="left" w:pos="1200"/>
      </w:tabs>
      <w:spacing w:line="360" w:lineRule="auto"/>
      <w:ind w:left="1200" w:hanging="360"/>
      <w:jc w:val="left"/>
    </w:pPr>
    <w:rPr>
      <w:rFonts w:ascii="宋体" w:hAnsi="宋体"/>
      <w:color w:val="7030A0"/>
      <w:sz w:val="24"/>
      <w:szCs w:val="20"/>
    </w:rPr>
  </w:style>
  <w:style w:type="paragraph" w:customStyle="1" w:styleId="115">
    <w:name w:val="List 2"/>
    <w:basedOn w:val="1"/>
    <w:autoRedefine/>
    <w:qFormat/>
    <w:uiPriority w:val="0"/>
    <w:pPr>
      <w:widowControl/>
      <w:ind w:left="840" w:hanging="420"/>
      <w:jc w:val="left"/>
    </w:pPr>
    <w:rPr>
      <w:rFonts w:ascii="宋体"/>
      <w:kern w:val="0"/>
      <w:sz w:val="22"/>
      <w:szCs w:val="20"/>
    </w:rPr>
  </w:style>
  <w:style w:type="paragraph" w:customStyle="1" w:styleId="116">
    <w:name w:val="List Continue"/>
    <w:basedOn w:val="1"/>
    <w:autoRedefine/>
    <w:qFormat/>
    <w:uiPriority w:val="0"/>
    <w:pPr>
      <w:widowControl/>
      <w:spacing w:after="120"/>
      <w:ind w:left="420"/>
      <w:jc w:val="left"/>
    </w:pPr>
    <w:rPr>
      <w:rFonts w:ascii="宋体"/>
      <w:kern w:val="0"/>
      <w:sz w:val="22"/>
      <w:szCs w:val="20"/>
    </w:rPr>
  </w:style>
  <w:style w:type="paragraph" w:customStyle="1" w:styleId="117">
    <w:name w:val="Block Text"/>
    <w:basedOn w:val="1"/>
    <w:autoRedefine/>
    <w:qFormat/>
    <w:uiPriority w:val="0"/>
    <w:pPr>
      <w:tabs>
        <w:tab w:val="left" w:pos="8364"/>
      </w:tabs>
      <w:ind w:left="840" w:right="-57" w:hanging="300"/>
    </w:pPr>
    <w:rPr>
      <w:rFonts w:ascii="宋体"/>
      <w:szCs w:val="20"/>
    </w:rPr>
  </w:style>
  <w:style w:type="paragraph" w:customStyle="1" w:styleId="118">
    <w:name w:val="index 4"/>
    <w:basedOn w:val="1"/>
    <w:next w:val="1"/>
    <w:autoRedefine/>
    <w:qFormat/>
    <w:uiPriority w:val="0"/>
    <w:pPr>
      <w:spacing w:line="480" w:lineRule="exact"/>
      <w:ind w:left="600" w:leftChars="600" w:firstLine="200" w:firstLineChars="200"/>
      <w:jc w:val="left"/>
    </w:pPr>
    <w:rPr>
      <w:color w:val="7030A0"/>
      <w:sz w:val="24"/>
    </w:rPr>
  </w:style>
  <w:style w:type="paragraph" w:customStyle="1" w:styleId="119">
    <w:name w:val="List Number 4"/>
    <w:basedOn w:val="1"/>
    <w:autoRedefine/>
    <w:qFormat/>
    <w:uiPriority w:val="0"/>
    <w:pPr>
      <w:tabs>
        <w:tab w:val="left" w:pos="1620"/>
      </w:tabs>
      <w:spacing w:line="360" w:lineRule="auto"/>
      <w:ind w:left="1620" w:hanging="360"/>
    </w:pPr>
    <w:rPr>
      <w:rFonts w:ascii="宋体" w:hAnsi="宋体"/>
      <w:sz w:val="24"/>
      <w:szCs w:val="20"/>
    </w:rPr>
  </w:style>
  <w:style w:type="paragraph" w:customStyle="1" w:styleId="120">
    <w:name w:val="index 3"/>
    <w:basedOn w:val="1"/>
    <w:next w:val="1"/>
    <w:autoRedefine/>
    <w:qFormat/>
    <w:uiPriority w:val="0"/>
    <w:pPr>
      <w:spacing w:line="480" w:lineRule="exact"/>
      <w:ind w:left="400" w:leftChars="400" w:firstLine="200" w:firstLineChars="200"/>
      <w:jc w:val="left"/>
    </w:pPr>
    <w:rPr>
      <w:color w:val="7030A0"/>
      <w:sz w:val="24"/>
    </w:rPr>
  </w:style>
  <w:style w:type="paragraph" w:customStyle="1" w:styleId="121">
    <w:name w:val="index heading"/>
    <w:basedOn w:val="1"/>
    <w:next w:val="122"/>
    <w:autoRedefine/>
    <w:qFormat/>
    <w:uiPriority w:val="0"/>
  </w:style>
  <w:style w:type="paragraph" w:customStyle="1" w:styleId="122">
    <w:name w:val="index 1"/>
    <w:basedOn w:val="1"/>
    <w:next w:val="1"/>
    <w:autoRedefine/>
    <w:qFormat/>
    <w:uiPriority w:val="0"/>
    <w:pPr>
      <w:spacing w:line="360" w:lineRule="auto"/>
      <w:ind w:left="1149" w:leftChars="547"/>
    </w:pPr>
    <w:rPr>
      <w:szCs w:val="20"/>
    </w:rPr>
  </w:style>
  <w:style w:type="paragraph" w:customStyle="1" w:styleId="123">
    <w:name w:val="List Number 5"/>
    <w:basedOn w:val="1"/>
    <w:autoRedefine/>
    <w:qFormat/>
    <w:uiPriority w:val="0"/>
    <w:pPr>
      <w:tabs>
        <w:tab w:val="left" w:pos="2040"/>
      </w:tabs>
      <w:spacing w:line="360" w:lineRule="auto"/>
      <w:ind w:left="2040" w:hanging="360"/>
      <w:jc w:val="left"/>
    </w:pPr>
    <w:rPr>
      <w:rFonts w:ascii="宋体" w:hAnsi="宋体"/>
      <w:color w:val="7030A0"/>
      <w:sz w:val="24"/>
      <w:szCs w:val="20"/>
    </w:rPr>
  </w:style>
  <w:style w:type="paragraph" w:customStyle="1" w:styleId="124">
    <w:name w:val="List"/>
    <w:basedOn w:val="1"/>
    <w:autoRedefine/>
    <w:qFormat/>
    <w:uiPriority w:val="0"/>
    <w:pPr>
      <w:ind w:left="200" w:hanging="200" w:hangingChars="200"/>
    </w:pPr>
    <w:rPr>
      <w:szCs w:val="20"/>
    </w:rPr>
  </w:style>
  <w:style w:type="paragraph" w:customStyle="1" w:styleId="125">
    <w:name w:val="index 7"/>
    <w:basedOn w:val="1"/>
    <w:next w:val="1"/>
    <w:autoRedefine/>
    <w:qFormat/>
    <w:uiPriority w:val="0"/>
    <w:pPr>
      <w:spacing w:line="480" w:lineRule="exact"/>
      <w:ind w:left="1200" w:leftChars="1200" w:firstLine="200" w:firstLineChars="200"/>
      <w:jc w:val="left"/>
    </w:pPr>
    <w:rPr>
      <w:color w:val="7030A0"/>
      <w:sz w:val="24"/>
    </w:rPr>
  </w:style>
  <w:style w:type="paragraph" w:customStyle="1" w:styleId="126">
    <w:name w:val="index 9"/>
    <w:basedOn w:val="1"/>
    <w:next w:val="1"/>
    <w:autoRedefine/>
    <w:qFormat/>
    <w:uiPriority w:val="0"/>
    <w:pPr>
      <w:spacing w:line="480" w:lineRule="exact"/>
      <w:ind w:left="1600" w:leftChars="1600" w:firstLine="200" w:firstLineChars="200"/>
      <w:jc w:val="left"/>
    </w:pPr>
    <w:rPr>
      <w:color w:val="7030A0"/>
      <w:sz w:val="24"/>
    </w:rPr>
  </w:style>
  <w:style w:type="paragraph" w:customStyle="1" w:styleId="127">
    <w:name w:val="table of figures"/>
    <w:basedOn w:val="1"/>
    <w:next w:val="1"/>
    <w:autoRedefine/>
    <w:qFormat/>
    <w:uiPriority w:val="0"/>
    <w:pPr>
      <w:spacing w:line="480" w:lineRule="exact"/>
      <w:ind w:left="200" w:leftChars="200" w:hanging="200" w:hangingChars="200"/>
      <w:jc w:val="left"/>
    </w:pPr>
    <w:rPr>
      <w:color w:val="7030A0"/>
      <w:sz w:val="24"/>
    </w:rPr>
  </w:style>
  <w:style w:type="paragraph" w:customStyle="1" w:styleId="128">
    <w:name w:val="Normal (Web)"/>
    <w:basedOn w:val="1"/>
    <w:autoRedefine/>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129">
    <w:name w:val="index 2"/>
    <w:basedOn w:val="1"/>
    <w:next w:val="1"/>
    <w:autoRedefine/>
    <w:qFormat/>
    <w:uiPriority w:val="0"/>
    <w:pPr>
      <w:spacing w:line="480" w:lineRule="exact"/>
      <w:ind w:left="200" w:leftChars="200" w:firstLine="200" w:firstLineChars="200"/>
      <w:jc w:val="left"/>
    </w:pPr>
    <w:rPr>
      <w:color w:val="7030A0"/>
      <w:sz w:val="24"/>
    </w:rPr>
  </w:style>
  <w:style w:type="paragraph" w:customStyle="1" w:styleId="130">
    <w:name w:val="标题4"/>
    <w:basedOn w:val="1"/>
    <w:next w:val="1"/>
    <w:autoRedefine/>
    <w:qFormat/>
    <w:uiPriority w:val="0"/>
    <w:pPr>
      <w:keepNext/>
      <w:spacing w:line="360" w:lineRule="auto"/>
      <w:ind w:firstLine="200" w:firstLineChars="200"/>
      <w:jc w:val="left"/>
      <w:outlineLvl w:val="3"/>
    </w:pPr>
    <w:rPr>
      <w:b/>
      <w:kern w:val="0"/>
      <w:sz w:val="30"/>
    </w:rPr>
  </w:style>
  <w:style w:type="paragraph" w:customStyle="1" w:styleId="131">
    <w:name w:val="四级标题格式"/>
    <w:basedOn w:val="5"/>
    <w:link w:val="375"/>
    <w:autoRedefine/>
    <w:qFormat/>
    <w:uiPriority w:val="0"/>
    <w:pPr>
      <w:spacing w:before="0" w:afterLines="100" w:line="240" w:lineRule="auto"/>
      <w:jc w:val="left"/>
    </w:pPr>
    <w:rPr>
      <w:rFonts w:ascii="Times New Roman" w:hAnsi="Times New Roman" w:eastAsia="黑体"/>
      <w:kern w:val="2"/>
      <w:sz w:val="28"/>
      <w:szCs w:val="28"/>
    </w:rPr>
  </w:style>
  <w:style w:type="paragraph" w:customStyle="1" w:styleId="132">
    <w:name w:val="标题3"/>
    <w:basedOn w:val="4"/>
    <w:link w:val="378"/>
    <w:autoRedefine/>
    <w:qFormat/>
    <w:uiPriority w:val="0"/>
    <w:pPr>
      <w:tabs>
        <w:tab w:val="left" w:pos="360"/>
        <w:tab w:val="left" w:pos="840"/>
        <w:tab w:val="left" w:pos="2160"/>
      </w:tabs>
      <w:adjustRightInd w:val="0"/>
      <w:spacing w:before="0" w:after="0" w:line="360" w:lineRule="auto"/>
      <w:textAlignment w:val="baseline"/>
    </w:pPr>
    <w:rPr>
      <w:rFonts w:ascii="宋体" w:hAnsi="宋体"/>
      <w:color w:val="92D050"/>
      <w:kern w:val="44"/>
      <w:sz w:val="24"/>
      <w:szCs w:val="21"/>
    </w:rPr>
  </w:style>
  <w:style w:type="paragraph" w:customStyle="1" w:styleId="133">
    <w:name w:val="样式 宋体 行距: 固定值 24 磅"/>
    <w:basedOn w:val="1"/>
    <w:link w:val="380"/>
    <w:autoRedefine/>
    <w:qFormat/>
    <w:uiPriority w:val="0"/>
    <w:pPr>
      <w:spacing w:line="480" w:lineRule="exact"/>
      <w:ind w:firstLine="585" w:firstLineChars="200"/>
      <w:jc w:val="left"/>
    </w:pPr>
    <w:rPr>
      <w:rFonts w:ascii="宋体" w:cs="宋体"/>
      <w:color w:val="7030A0"/>
      <w:kern w:val="2"/>
      <w:sz w:val="28"/>
    </w:rPr>
  </w:style>
  <w:style w:type="paragraph" w:customStyle="1" w:styleId="134">
    <w:name w:val="样式 首行缩进:  2 字符"/>
    <w:basedOn w:val="1"/>
    <w:link w:val="381"/>
    <w:autoRedefine/>
    <w:qFormat/>
    <w:uiPriority w:val="0"/>
    <w:pPr>
      <w:spacing w:line="480" w:lineRule="exact"/>
      <w:ind w:firstLine="480" w:firstLineChars="200"/>
      <w:jc w:val="left"/>
    </w:pPr>
    <w:rPr>
      <w:rFonts w:ascii="Times New Roman" w:hAnsi="Times New Roman"/>
      <w:color w:val="7030A0"/>
      <w:kern w:val="2"/>
      <w:sz w:val="24"/>
    </w:rPr>
  </w:style>
  <w:style w:type="paragraph" w:customStyle="1" w:styleId="135">
    <w:name w:val="正文－wjnew"/>
    <w:basedOn w:val="1"/>
    <w:link w:val="383"/>
    <w:autoRedefine/>
    <w:qFormat/>
    <w:uiPriority w:val="0"/>
    <w:pPr>
      <w:adjustRightInd w:val="0"/>
      <w:snapToGrid w:val="0"/>
      <w:spacing w:line="360" w:lineRule="auto"/>
      <w:ind w:firstLine="420"/>
    </w:pPr>
    <w:rPr>
      <w:rFonts w:ascii="宋体" w:cs="宋体"/>
      <w:kern w:val="2"/>
      <w:sz w:val="21"/>
      <w:szCs w:val="21"/>
    </w:rPr>
  </w:style>
  <w:style w:type="paragraph" w:customStyle="1" w:styleId="136">
    <w:name w:val="(1)"/>
    <w:basedOn w:val="1"/>
    <w:next w:val="1"/>
    <w:link w:val="385"/>
    <w:autoRedefine/>
    <w:qFormat/>
    <w:uiPriority w:val="0"/>
    <w:pPr>
      <w:tabs>
        <w:tab w:val="left" w:pos="813"/>
      </w:tabs>
      <w:spacing w:line="360" w:lineRule="auto"/>
      <w:ind w:left="813" w:hanging="567"/>
    </w:pPr>
    <w:rPr>
      <w:rFonts w:ascii="宋体" w:hAnsi="宋体"/>
      <w:kern w:val="2"/>
      <w:sz w:val="24"/>
      <w:szCs w:val="24"/>
    </w:rPr>
  </w:style>
  <w:style w:type="paragraph" w:customStyle="1" w:styleId="137">
    <w:name w:val="正文 BJ15"/>
    <w:basedOn w:val="1"/>
    <w:link w:val="388"/>
    <w:autoRedefine/>
    <w:qFormat/>
    <w:uiPriority w:val="0"/>
    <w:pPr>
      <w:adjustRightInd w:val="0"/>
      <w:snapToGrid w:val="0"/>
      <w:spacing w:line="360" w:lineRule="auto"/>
      <w:ind w:firstLine="200" w:firstLineChars="200"/>
      <w:jc w:val="left"/>
    </w:pPr>
    <w:rPr>
      <w:rFonts w:ascii="Times New Roman" w:hAnsi="Times New Roman"/>
      <w:kern w:val="2"/>
      <w:sz w:val="24"/>
      <w:szCs w:val="24"/>
    </w:rPr>
  </w:style>
  <w:style w:type="paragraph" w:customStyle="1" w:styleId="138">
    <w:name w:val="正文－zlb"/>
    <w:basedOn w:val="1"/>
    <w:link w:val="396"/>
    <w:autoRedefine/>
    <w:qFormat/>
    <w:uiPriority w:val="0"/>
    <w:pPr>
      <w:adjustRightInd w:val="0"/>
      <w:snapToGrid w:val="0"/>
      <w:spacing w:line="360" w:lineRule="auto"/>
      <w:ind w:firstLine="420"/>
    </w:pPr>
    <w:rPr>
      <w:rFonts w:ascii="宋体" w:cs="宋体"/>
      <w:kern w:val="2"/>
      <w:sz w:val="24"/>
      <w:szCs w:val="24"/>
    </w:rPr>
  </w:style>
  <w:style w:type="paragraph" w:customStyle="1" w:styleId="139">
    <w:name w:val="图表标题 BJ8"/>
    <w:basedOn w:val="1"/>
    <w:link w:val="401"/>
    <w:autoRedefine/>
    <w:qFormat/>
    <w:uiPriority w:val="0"/>
    <w:pPr>
      <w:adjustRightInd w:val="0"/>
      <w:snapToGrid w:val="0"/>
      <w:ind w:firstLine="200" w:firstLineChars="200"/>
      <w:jc w:val="center"/>
    </w:pPr>
    <w:rPr>
      <w:rFonts w:ascii="Times New Roman" w:hAnsi="Times New Roman" w:eastAsia="黑体"/>
      <w:kern w:val="2"/>
      <w:sz w:val="24"/>
    </w:rPr>
  </w:style>
  <w:style w:type="paragraph" w:customStyle="1" w:styleId="140">
    <w:name w:val="列表框2"/>
    <w:basedOn w:val="1"/>
    <w:link w:val="403"/>
    <w:autoRedefine/>
    <w:qFormat/>
    <w:uiPriority w:val="0"/>
    <w:pPr>
      <w:tabs>
        <w:tab w:val="left" w:pos="360"/>
        <w:tab w:val="left" w:pos="1628"/>
        <w:tab w:val="left" w:pos="2086"/>
      </w:tabs>
      <w:adjustRightInd w:val="0"/>
      <w:snapToGrid w:val="0"/>
      <w:ind w:left="1748" w:right="210" w:rightChars="100" w:hanging="434" w:firstLineChars="200"/>
      <w:jc w:val="left"/>
    </w:pPr>
    <w:rPr>
      <w:color w:val="7030A0"/>
      <w:spacing w:val="10"/>
      <w:sz w:val="24"/>
      <w:szCs w:val="24"/>
    </w:rPr>
  </w:style>
  <w:style w:type="paragraph" w:customStyle="1" w:styleId="141">
    <w:name w:val="五级标题格式"/>
    <w:basedOn w:val="6"/>
    <w:link w:val="405"/>
    <w:autoRedefine/>
    <w:qFormat/>
    <w:uiPriority w:val="0"/>
    <w:pPr>
      <w:tabs>
        <w:tab w:val="clear" w:pos="1008"/>
      </w:tabs>
      <w:spacing w:before="0" w:afterLines="50" w:line="240" w:lineRule="auto"/>
      <w:ind w:left="0" w:firstLine="0"/>
      <w:jc w:val="left"/>
    </w:pPr>
    <w:rPr>
      <w:rFonts w:ascii="Times New Roman" w:hAnsi="Times New Roman"/>
      <w:kern w:val="2"/>
      <w:sz w:val="24"/>
      <w:szCs w:val="28"/>
    </w:rPr>
  </w:style>
  <w:style w:type="paragraph" w:customStyle="1" w:styleId="142">
    <w:name w:val="正文段落格式"/>
    <w:basedOn w:val="134"/>
    <w:link w:val="409"/>
    <w:autoRedefine/>
    <w:qFormat/>
    <w:uiPriority w:val="0"/>
    <w:pPr>
      <w:spacing w:afterLines="50" w:line="336" w:lineRule="auto"/>
    </w:pPr>
    <w:rPr>
      <w:rFonts w:ascii="Times New Roman" w:hAnsi="Times New Roman"/>
      <w:color w:val="7030A0"/>
      <w:kern w:val="2"/>
      <w:sz w:val="24"/>
    </w:rPr>
  </w:style>
  <w:style w:type="paragraph" w:customStyle="1" w:styleId="143">
    <w:name w:val="表格文字 BJ8"/>
    <w:basedOn w:val="1"/>
    <w:link w:val="410"/>
    <w:autoRedefine/>
    <w:qFormat/>
    <w:uiPriority w:val="0"/>
    <w:pPr>
      <w:adjustRightInd w:val="0"/>
      <w:snapToGrid w:val="0"/>
      <w:spacing w:line="400" w:lineRule="exact"/>
      <w:ind w:firstLine="200" w:firstLineChars="200"/>
      <w:jc w:val="center"/>
    </w:pPr>
    <w:rPr>
      <w:rFonts w:ascii="Times New Roman" w:hAnsi="Times New Roman"/>
      <w:kern w:val="2"/>
      <w:sz w:val="21"/>
      <w:szCs w:val="21"/>
    </w:rPr>
  </w:style>
  <w:style w:type="paragraph" w:customStyle="1" w:styleId="144">
    <w:name w:val="样式 标题 31.1条标题1.1.1二级节名h3Heading 3 - oldheading 3H3H31H3..."/>
    <w:basedOn w:val="4"/>
    <w:link w:val="412"/>
    <w:autoRedefine/>
    <w:qFormat/>
    <w:uiPriority w:val="0"/>
    <w:pPr>
      <w:spacing w:before="240" w:after="120" w:line="480" w:lineRule="exact"/>
      <w:jc w:val="left"/>
    </w:pPr>
    <w:rPr>
      <w:rFonts w:ascii="宋体" w:hAnsi="宋体" w:eastAsia="黑体"/>
      <w:kern w:val="2"/>
      <w:sz w:val="24"/>
      <w:szCs w:val="21"/>
    </w:rPr>
  </w:style>
  <w:style w:type="paragraph" w:customStyle="1" w:styleId="145">
    <w:name w:val="标题2"/>
    <w:basedOn w:val="2"/>
    <w:link w:val="413"/>
    <w:autoRedefine/>
    <w:qFormat/>
    <w:uiPriority w:val="0"/>
    <w:pPr>
      <w:spacing w:before="0" w:after="0" w:line="312" w:lineRule="auto"/>
      <w:ind w:left="0" w:firstLine="0"/>
      <w:jc w:val="center"/>
    </w:pPr>
    <w:rPr>
      <w:rFonts w:ascii="宋体" w:hAnsi="Times New Roman"/>
      <w:color w:val="92D050"/>
      <w:kern w:val="44"/>
      <w:sz w:val="30"/>
    </w:rPr>
  </w:style>
  <w:style w:type="paragraph" w:customStyle="1" w:styleId="146">
    <w:name w:val="正文 QD3"/>
    <w:basedOn w:val="1"/>
    <w:link w:val="416"/>
    <w:autoRedefine/>
    <w:qFormat/>
    <w:uiPriority w:val="0"/>
    <w:pPr>
      <w:adjustRightInd w:val="0"/>
      <w:snapToGrid w:val="0"/>
      <w:spacing w:line="360" w:lineRule="auto"/>
      <w:ind w:firstLine="200" w:firstLineChars="200"/>
      <w:jc w:val="left"/>
    </w:pPr>
    <w:rPr>
      <w:rFonts w:ascii="Times New Roman" w:hAnsi="Times New Roman"/>
      <w:kern w:val="2"/>
      <w:sz w:val="24"/>
      <w:szCs w:val="24"/>
    </w:rPr>
  </w:style>
  <w:style w:type="paragraph" w:customStyle="1" w:styleId="147">
    <w:name w:val="正文 BJ8"/>
    <w:basedOn w:val="1"/>
    <w:link w:val="417"/>
    <w:autoRedefine/>
    <w:qFormat/>
    <w:uiPriority w:val="0"/>
    <w:pPr>
      <w:adjustRightInd w:val="0"/>
      <w:snapToGrid w:val="0"/>
      <w:spacing w:line="360" w:lineRule="auto"/>
      <w:ind w:firstLine="200" w:firstLineChars="200"/>
      <w:jc w:val="left"/>
    </w:pPr>
    <w:rPr>
      <w:rFonts w:ascii="Times New Roman" w:hAnsi="Times New Roman"/>
      <w:color w:val="7030A0"/>
      <w:kern w:val="2"/>
      <w:sz w:val="24"/>
      <w:szCs w:val="24"/>
    </w:rPr>
  </w:style>
  <w:style w:type="paragraph" w:customStyle="1" w:styleId="148">
    <w:name w:val="正文1"/>
    <w:basedOn w:val="1"/>
    <w:link w:val="421"/>
    <w:autoRedefine/>
    <w:qFormat/>
    <w:uiPriority w:val="0"/>
    <w:pPr>
      <w:tabs>
        <w:tab w:val="left" w:pos="720"/>
        <w:tab w:val="right" w:pos="1191"/>
      </w:tabs>
      <w:spacing w:line="360" w:lineRule="auto"/>
      <w:ind w:left="720" w:hanging="360"/>
    </w:pPr>
    <w:rPr>
      <w:rFonts w:ascii="宋体" w:hAnsi="宋体"/>
      <w:kern w:val="10"/>
      <w:sz w:val="21"/>
      <w:szCs w:val="24"/>
    </w:rPr>
  </w:style>
  <w:style w:type="paragraph" w:customStyle="1" w:styleId="149">
    <w:name w:val="样式"/>
    <w:link w:val="422"/>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50">
    <w:name w:val="无编号正文"/>
    <w:basedOn w:val="20"/>
    <w:next w:val="1"/>
    <w:link w:val="423"/>
    <w:autoRedefine/>
    <w:qFormat/>
    <w:uiPriority w:val="0"/>
    <w:pPr>
      <w:ind w:left="200" w:leftChars="200" w:firstLine="200" w:firstLineChars="200"/>
    </w:pPr>
    <w:rPr>
      <w:rFonts w:ascii="宋体" w:hAnsi="宋体"/>
      <w:sz w:val="24"/>
      <w:szCs w:val="24"/>
    </w:rPr>
  </w:style>
  <w:style w:type="paragraph" w:customStyle="1" w:styleId="151">
    <w:name w:val="表图名称"/>
    <w:link w:val="424"/>
    <w:autoRedefine/>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paragraph" w:customStyle="1" w:styleId="152">
    <w:name w:val="表格文字图表文字"/>
    <w:basedOn w:val="1"/>
    <w:link w:val="426"/>
    <w:autoRedefine/>
    <w:qFormat/>
    <w:uiPriority w:val="0"/>
    <w:pPr>
      <w:snapToGrid w:val="0"/>
      <w:ind w:firstLine="200" w:firstLineChars="200"/>
      <w:jc w:val="center"/>
    </w:pPr>
    <w:rPr>
      <w:rFonts w:ascii="Times New Roman" w:hAnsi="Times New Roman"/>
      <w:color w:val="7030A0"/>
      <w:kern w:val="2"/>
      <w:sz w:val="21"/>
    </w:rPr>
  </w:style>
  <w:style w:type="paragraph" w:customStyle="1" w:styleId="153">
    <w:name w:val="xl51"/>
    <w:basedOn w:val="1"/>
    <w:autoRedefine/>
    <w:qFormat/>
    <w:uiPriority w:val="0"/>
    <w:pPr>
      <w:widowControl/>
      <w:pBdr>
        <w:top w:val="single" w:color="auto" w:sz="4" w:space="0"/>
        <w:bottom w:val="single" w:color="auto" w:sz="4" w:space="0"/>
        <w:right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154">
    <w:name w:val="通用"/>
    <w:basedOn w:val="1"/>
    <w:autoRedefine/>
    <w:qFormat/>
    <w:uiPriority w:val="0"/>
    <w:pPr>
      <w:spacing w:line="360" w:lineRule="auto"/>
      <w:ind w:left="840" w:leftChars="400"/>
    </w:pPr>
    <w:rPr>
      <w:rFonts w:ascii="宋体" w:hAnsi="宋体"/>
      <w:szCs w:val="20"/>
    </w:rPr>
  </w:style>
  <w:style w:type="paragraph" w:customStyle="1" w:styleId="155">
    <w:name w:val="样式 目录 1 + 首行缩进:  2 字符"/>
    <w:basedOn w:val="1"/>
    <w:autoRedefine/>
    <w:qFormat/>
    <w:uiPriority w:val="0"/>
    <w:pPr>
      <w:adjustRightInd w:val="0"/>
      <w:snapToGrid w:val="0"/>
      <w:spacing w:line="360" w:lineRule="auto"/>
      <w:ind w:firstLine="200" w:firstLineChars="200"/>
      <w:jc w:val="center"/>
    </w:pPr>
    <w:rPr>
      <w:rFonts w:cs="宋体"/>
      <w:b/>
      <w:bCs/>
      <w:caps/>
      <w:color w:val="7030A0"/>
      <w:sz w:val="30"/>
      <w:szCs w:val="28"/>
    </w:rPr>
  </w:style>
  <w:style w:type="paragraph" w:customStyle="1" w:styleId="156">
    <w:name w:val="1"/>
    <w:basedOn w:val="1"/>
    <w:next w:val="101"/>
    <w:autoRedefine/>
    <w:qFormat/>
    <w:uiPriority w:val="0"/>
    <w:pPr>
      <w:spacing w:after="120" w:line="480" w:lineRule="auto"/>
      <w:ind w:firstLine="200" w:firstLineChars="200"/>
      <w:jc w:val="left"/>
    </w:pPr>
    <w:rPr>
      <w:color w:val="7030A0"/>
    </w:rPr>
  </w:style>
  <w:style w:type="paragraph" w:customStyle="1" w:styleId="157">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kern w:val="0"/>
      <w:sz w:val="20"/>
      <w:szCs w:val="20"/>
    </w:rPr>
  </w:style>
  <w:style w:type="paragraph" w:customStyle="1" w:styleId="158">
    <w:name w:val="Footer First"/>
    <w:basedOn w:val="30"/>
    <w:autoRedefine/>
    <w:qFormat/>
    <w:uiPriority w:val="0"/>
    <w:pPr>
      <w:keepLines/>
      <w:widowControl/>
      <w:tabs>
        <w:tab w:val="left" w:pos="1080"/>
        <w:tab w:val="left" w:pos="1627"/>
        <w:tab w:val="left" w:pos="2160"/>
        <w:tab w:val="left" w:pos="2880"/>
        <w:tab w:val="center" w:pos="4320"/>
        <w:tab w:val="clear" w:pos="4153"/>
        <w:tab w:val="clear" w:pos="8306"/>
      </w:tabs>
      <w:snapToGrid/>
      <w:spacing w:line="300" w:lineRule="exact"/>
      <w:jc w:val="center"/>
    </w:pPr>
    <w:rPr>
      <w:rFonts w:ascii="Univers" w:hAnsi="Univers"/>
      <w:kern w:val="0"/>
      <w:sz w:val="22"/>
      <w:szCs w:val="20"/>
    </w:rPr>
  </w:style>
  <w:style w:type="paragraph" w:customStyle="1" w:styleId="159">
    <w:name w:val="zhengwen"/>
    <w:basedOn w:val="1"/>
    <w:autoRedefine/>
    <w:qFormat/>
    <w:uiPriority w:val="0"/>
    <w:pPr>
      <w:tabs>
        <w:tab w:val="left" w:pos="1077"/>
      </w:tabs>
      <w:adjustRightInd w:val="0"/>
      <w:snapToGrid w:val="0"/>
      <w:spacing w:line="520" w:lineRule="exact"/>
      <w:ind w:left="1077" w:firstLine="200" w:firstLineChars="200"/>
      <w:jc w:val="left"/>
    </w:pPr>
    <w:rPr>
      <w:bCs/>
      <w:color w:val="7030A0"/>
      <w:sz w:val="28"/>
    </w:rPr>
  </w:style>
  <w:style w:type="paragraph" w:customStyle="1" w:styleId="160">
    <w:name w:val="样式 宋体 行距: 1.5 倍行距"/>
    <w:basedOn w:val="1"/>
    <w:autoRedefine/>
    <w:qFormat/>
    <w:uiPriority w:val="0"/>
    <w:pPr>
      <w:ind w:firstLine="200" w:firstLineChars="200"/>
      <w:jc w:val="left"/>
    </w:pPr>
    <w:rPr>
      <w:rFonts w:ascii="宋体" w:hAnsi="宋体"/>
      <w:color w:val="7030A0"/>
      <w:szCs w:val="20"/>
    </w:rPr>
  </w:style>
  <w:style w:type="paragraph" w:customStyle="1" w:styleId="161">
    <w:name w:val="样式 左侧:  2 字符 段前: 0.5 行"/>
    <w:basedOn w:val="1"/>
    <w:autoRedefine/>
    <w:qFormat/>
    <w:uiPriority w:val="0"/>
    <w:pPr>
      <w:spacing w:beforeLines="50"/>
      <w:ind w:firstLine="200" w:firstLineChars="200"/>
    </w:pPr>
    <w:rPr>
      <w:rFonts w:ascii="宋体" w:cs="宋体"/>
      <w:sz w:val="24"/>
      <w:szCs w:val="20"/>
    </w:rPr>
  </w:style>
  <w:style w:type="paragraph" w:customStyle="1" w:styleId="162">
    <w:name w:val="八级正文格式"/>
    <w:basedOn w:val="142"/>
    <w:autoRedefine/>
    <w:qFormat/>
    <w:uiPriority w:val="0"/>
    <w:pPr>
      <w:spacing w:after="120"/>
      <w:ind w:firstLine="0" w:firstLineChars="0"/>
    </w:pPr>
  </w:style>
  <w:style w:type="paragraph" w:customStyle="1" w:styleId="163">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kern w:val="0"/>
      <w:szCs w:val="21"/>
    </w:rPr>
  </w:style>
  <w:style w:type="paragraph" w:customStyle="1" w:styleId="164">
    <w:name w:val="样式 样式 列表框 Char Char Char Char Char + 段后: 0.5 行 + 左侧:  6 字符 首行缩进..."/>
    <w:basedOn w:val="165"/>
    <w:autoRedefine/>
    <w:qFormat/>
    <w:uiPriority w:val="0"/>
    <w:pPr>
      <w:tabs>
        <w:tab w:val="left" w:pos="420"/>
        <w:tab w:val="left" w:pos="2297"/>
      </w:tabs>
      <w:ind w:left="2297" w:leftChars="0" w:hanging="420" w:firstLineChars="0"/>
    </w:pPr>
  </w:style>
  <w:style w:type="paragraph" w:customStyle="1" w:styleId="165">
    <w:name w:val="样式 列表框 Char Char Char Char Char + 段后: 0.5 行"/>
    <w:basedOn w:val="166"/>
    <w:autoRedefine/>
    <w:qFormat/>
    <w:uiPriority w:val="0"/>
    <w:pPr>
      <w:tabs>
        <w:tab w:val="left" w:pos="420"/>
      </w:tabs>
      <w:spacing w:after="156"/>
    </w:pPr>
    <w:rPr>
      <w:szCs w:val="20"/>
    </w:rPr>
  </w:style>
  <w:style w:type="paragraph" w:customStyle="1" w:styleId="166">
    <w:name w:val="正常文本 Char Char Char Char Char Char Char Char Char Char Char Char Char Char"/>
    <w:basedOn w:val="1"/>
    <w:autoRedefine/>
    <w:qFormat/>
    <w:uiPriority w:val="0"/>
    <w:pPr>
      <w:spacing w:afterLines="50" w:line="320" w:lineRule="exact"/>
      <w:ind w:left="600" w:leftChars="600" w:firstLine="208" w:firstLineChars="208"/>
      <w:jc w:val="left"/>
    </w:pPr>
    <w:rPr>
      <w:rFonts w:ascii="宋体" w:hAnsi="宋体" w:eastAsia="楷体_GB2312"/>
      <w:color w:val="7030A0"/>
      <w:szCs w:val="18"/>
    </w:rPr>
  </w:style>
  <w:style w:type="paragraph" w:customStyle="1" w:styleId="167">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68">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169">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kern w:val="0"/>
      <w:sz w:val="24"/>
    </w:rPr>
  </w:style>
  <w:style w:type="paragraph" w:customStyle="1" w:styleId="170">
    <w:name w:val="xl7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71">
    <w:name w:val="正文111"/>
    <w:basedOn w:val="1"/>
    <w:autoRedefine/>
    <w:qFormat/>
    <w:uiPriority w:val="0"/>
    <w:pPr>
      <w:tabs>
        <w:tab w:val="left" w:pos="840"/>
      </w:tabs>
      <w:snapToGrid w:val="0"/>
      <w:spacing w:line="500" w:lineRule="exact"/>
      <w:ind w:left="840" w:hanging="420"/>
    </w:pPr>
    <w:rPr>
      <w:rFonts w:ascii="宋体" w:hAnsi="宋体"/>
      <w:sz w:val="24"/>
      <w:szCs w:val="20"/>
    </w:rPr>
  </w:style>
  <w:style w:type="paragraph" w:customStyle="1" w:styleId="172">
    <w:name w:val="正文文本缩进 21"/>
    <w:basedOn w:val="1"/>
    <w:autoRedefine/>
    <w:qFormat/>
    <w:uiPriority w:val="0"/>
    <w:pPr>
      <w:autoSpaceDE w:val="0"/>
      <w:autoSpaceDN w:val="0"/>
      <w:adjustRightInd w:val="0"/>
      <w:spacing w:line="360" w:lineRule="auto"/>
      <w:ind w:firstLine="360" w:firstLineChars="200"/>
      <w:jc w:val="left"/>
      <w:textAlignment w:val="baseline"/>
    </w:pPr>
    <w:rPr>
      <w:rFonts w:ascii="宋体"/>
      <w:color w:val="7030A0"/>
      <w:sz w:val="24"/>
      <w:szCs w:val="20"/>
    </w:rPr>
  </w:style>
  <w:style w:type="paragraph" w:customStyle="1" w:styleId="173">
    <w:name w:val="批注框文本1"/>
    <w:basedOn w:val="1"/>
    <w:autoRedefine/>
    <w:qFormat/>
    <w:uiPriority w:val="0"/>
    <w:rPr>
      <w:sz w:val="16"/>
      <w:szCs w:val="16"/>
    </w:rPr>
  </w:style>
  <w:style w:type="paragraph" w:customStyle="1" w:styleId="174">
    <w:name w:val="*"/>
    <w:basedOn w:val="1"/>
    <w:autoRedefine/>
    <w:qFormat/>
    <w:uiPriority w:val="0"/>
    <w:pPr>
      <w:spacing w:line="360" w:lineRule="auto"/>
    </w:pPr>
    <w:rPr>
      <w:rFonts w:ascii="宋体" w:hAnsi="宋体"/>
      <w:kern w:val="0"/>
      <w:sz w:val="24"/>
    </w:rPr>
  </w:style>
  <w:style w:type="paragraph" w:customStyle="1" w:styleId="175">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176">
    <w:name w:val="表格标题"/>
    <w:basedOn w:val="6"/>
    <w:autoRedefine/>
    <w:qFormat/>
    <w:uiPriority w:val="0"/>
    <w:pPr>
      <w:tabs>
        <w:tab w:val="clear" w:pos="1008"/>
      </w:tabs>
      <w:spacing w:before="0" w:after="0" w:line="240" w:lineRule="auto"/>
      <w:ind w:left="0" w:firstLine="0"/>
      <w:jc w:val="center"/>
      <w:outlineLvl w:val="8"/>
    </w:pPr>
    <w:rPr>
      <w:b w:val="0"/>
      <w:sz w:val="21"/>
      <w:szCs w:val="28"/>
      <w:lang w:val="zh-CN"/>
    </w:rPr>
  </w:style>
  <w:style w:type="paragraph" w:customStyle="1" w:styleId="177">
    <w:name w:val="七级标题格式"/>
    <w:basedOn w:val="1"/>
    <w:autoRedefine/>
    <w:qFormat/>
    <w:uiPriority w:val="0"/>
    <w:pPr>
      <w:spacing w:afterLines="50" w:line="336" w:lineRule="auto"/>
      <w:ind w:firstLine="200" w:firstLineChars="200"/>
      <w:jc w:val="left"/>
      <w:outlineLvl w:val="6"/>
    </w:pPr>
    <w:rPr>
      <w:color w:val="7030A0"/>
      <w:sz w:val="24"/>
    </w:rPr>
  </w:style>
  <w:style w:type="paragraph" w:customStyle="1" w:styleId="178">
    <w:name w:val="Part Title"/>
    <w:basedOn w:val="1"/>
    <w:next w:val="1"/>
    <w:autoRedefine/>
    <w:qFormat/>
    <w:uiPriority w:val="0"/>
    <w:pPr>
      <w:keepNext/>
      <w:keepLines/>
      <w:widowControl/>
      <w:tabs>
        <w:tab w:val="left" w:pos="720"/>
        <w:tab w:val="left" w:pos="1080"/>
        <w:tab w:val="left" w:pos="1627"/>
      </w:tabs>
      <w:spacing w:before="600" w:after="120" w:line="300" w:lineRule="exact"/>
      <w:jc w:val="center"/>
    </w:pPr>
    <w:rPr>
      <w:rFonts w:ascii="Arial" w:hAnsi="Arial"/>
      <w:b/>
      <w:kern w:val="28"/>
      <w:sz w:val="36"/>
      <w:szCs w:val="20"/>
    </w:rPr>
  </w:style>
  <w:style w:type="paragraph" w:customStyle="1" w:styleId="179">
    <w:name w:val="表格文字"/>
    <w:basedOn w:val="152"/>
    <w:autoRedefine/>
    <w:qFormat/>
    <w:uiPriority w:val="0"/>
  </w:style>
  <w:style w:type="paragraph" w:customStyle="1" w:styleId="180">
    <w:name w:val="二级标题格式"/>
    <w:basedOn w:val="3"/>
    <w:autoRedefine/>
    <w:qFormat/>
    <w:uiPriority w:val="0"/>
    <w:pPr>
      <w:spacing w:before="0" w:afterLines="100" w:line="240" w:lineRule="auto"/>
      <w:jc w:val="left"/>
    </w:pPr>
    <w:rPr>
      <w:rFonts w:ascii="Times New Roman" w:hAnsi="Times New Roman"/>
      <w:b w:val="0"/>
      <w:color w:val="C00000"/>
      <w:sz w:val="28"/>
      <w:szCs w:val="28"/>
    </w:rPr>
  </w:style>
  <w:style w:type="paragraph" w:customStyle="1" w:styleId="181">
    <w:name w:val="样式 标题 1标题 1 1编号标题1标题1 + 宋体 加粗"/>
    <w:basedOn w:val="2"/>
    <w:autoRedefine/>
    <w:qFormat/>
    <w:uiPriority w:val="0"/>
    <w:pPr>
      <w:tabs>
        <w:tab w:val="left" w:pos="2340"/>
        <w:tab w:val="clear" w:pos="1440"/>
      </w:tabs>
      <w:spacing w:before="240" w:afterLines="50" w:line="360" w:lineRule="exact"/>
      <w:ind w:left="1304" w:hanging="1304"/>
      <w:jc w:val="left"/>
    </w:pPr>
    <w:rPr>
      <w:rFonts w:ascii="宋体" w:hAnsi="宋体" w:cs="Arial"/>
      <w:sz w:val="28"/>
      <w:szCs w:val="28"/>
    </w:rPr>
  </w:style>
  <w:style w:type="paragraph" w:customStyle="1" w:styleId="182">
    <w:name w:val="xl3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3">
    <w:name w:val="列表框 Char Char Char Char Char"/>
    <w:basedOn w:val="166"/>
    <w:next w:val="166"/>
    <w:autoRedefine/>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184">
    <w:name w:val="Subhead 1"/>
    <w:basedOn w:val="1"/>
    <w:autoRedefine/>
    <w:qFormat/>
    <w:uiPriority w:val="0"/>
    <w:pPr>
      <w:keepNext/>
      <w:pageBreakBefore/>
      <w:widowControl/>
      <w:tabs>
        <w:tab w:val="left" w:pos="1134"/>
        <w:tab w:val="left" w:pos="2552"/>
      </w:tabs>
      <w:autoSpaceDE w:val="0"/>
      <w:autoSpaceDN w:val="0"/>
      <w:adjustRightInd w:val="0"/>
      <w:spacing w:before="510" w:after="400" w:line="420" w:lineRule="atLeast"/>
      <w:ind w:left="1134" w:hanging="1134"/>
      <w:jc w:val="left"/>
    </w:pPr>
    <w:rPr>
      <w:rFonts w:ascii="Arial" w:hAnsi="Arial" w:eastAsia="黑体"/>
      <w:b/>
      <w:kern w:val="0"/>
      <w:sz w:val="32"/>
      <w:szCs w:val="20"/>
    </w:rPr>
  </w:style>
  <w:style w:type="paragraph" w:customStyle="1" w:styleId="185">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86">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7">
    <w:name w:val="Sprechblasentext"/>
    <w:basedOn w:val="1"/>
    <w:autoRedefine/>
    <w:qFormat/>
    <w:uiPriority w:val="0"/>
    <w:pPr>
      <w:spacing w:line="300" w:lineRule="atLeast"/>
      <w:ind w:firstLine="709"/>
    </w:pPr>
    <w:rPr>
      <w:rFonts w:ascii="Tahoma" w:hAnsi="Tahoma" w:cs="Tahoma"/>
      <w:sz w:val="16"/>
      <w:szCs w:val="16"/>
    </w:rPr>
  </w:style>
  <w:style w:type="paragraph" w:customStyle="1" w:styleId="188">
    <w:name w:val="p0"/>
    <w:basedOn w:val="1"/>
    <w:autoRedefine/>
    <w:qFormat/>
    <w:uiPriority w:val="0"/>
    <w:pPr>
      <w:widowControl/>
    </w:pPr>
    <w:rPr>
      <w:kern w:val="0"/>
      <w:szCs w:val="21"/>
    </w:rPr>
  </w:style>
  <w:style w:type="paragraph" w:customStyle="1" w:styleId="189">
    <w:name w:val="样式 样式 标题 3 + 段前: 1 行 段后: 0.5 行 + 段前: 1 行 段后: 0.5 行"/>
    <w:basedOn w:val="1"/>
    <w:autoRedefine/>
    <w:qFormat/>
    <w:uiPriority w:val="0"/>
    <w:pPr>
      <w:keepNext/>
      <w:keepLines/>
      <w:spacing w:beforeLines="100" w:afterLines="50"/>
      <w:ind w:firstLine="200" w:firstLineChars="200"/>
      <w:jc w:val="left"/>
      <w:outlineLvl w:val="2"/>
    </w:pPr>
    <w:rPr>
      <w:rFonts w:eastAsia="黑体" w:cs="宋体"/>
      <w:bCs/>
      <w:color w:val="7030A0"/>
      <w:sz w:val="22"/>
      <w:szCs w:val="22"/>
    </w:rPr>
  </w:style>
  <w:style w:type="paragraph" w:customStyle="1" w:styleId="190">
    <w:name w:val="表格正文"/>
    <w:basedOn w:val="1"/>
    <w:next w:val="1"/>
    <w:autoRedefine/>
    <w:qFormat/>
    <w:uiPriority w:val="0"/>
    <w:pPr>
      <w:adjustRightInd w:val="0"/>
      <w:snapToGrid w:val="0"/>
      <w:jc w:val="center"/>
    </w:pPr>
    <w:rPr>
      <w:color w:val="548DD4"/>
    </w:rPr>
  </w:style>
  <w:style w:type="paragraph" w:customStyle="1" w:styleId="191">
    <w:name w:val="样式1"/>
    <w:basedOn w:val="31"/>
    <w:next w:val="1"/>
    <w:autoRedefine/>
    <w:qFormat/>
    <w:uiPriority w:val="0"/>
    <w:pPr>
      <w:jc w:val="left"/>
    </w:pPr>
  </w:style>
  <w:style w:type="paragraph" w:customStyle="1" w:styleId="192">
    <w:name w:val="_Style 19"/>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94">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195">
    <w:name w:val="Body text 1"/>
    <w:basedOn w:val="1"/>
    <w:autoRedefine/>
    <w:qFormat/>
    <w:uiPriority w:val="0"/>
    <w:pPr>
      <w:tabs>
        <w:tab w:val="left" w:pos="1134"/>
      </w:tabs>
      <w:autoSpaceDE w:val="0"/>
      <w:autoSpaceDN w:val="0"/>
      <w:adjustRightInd w:val="0"/>
      <w:spacing w:before="170" w:line="300" w:lineRule="atLeast"/>
      <w:ind w:left="1134" w:hanging="1134"/>
    </w:pPr>
    <w:rPr>
      <w:color w:val="000000"/>
      <w:kern w:val="0"/>
      <w:sz w:val="24"/>
      <w:szCs w:val="20"/>
    </w:rPr>
  </w:style>
  <w:style w:type="paragraph" w:customStyle="1" w:styleId="196">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97">
    <w:name w:val="一级标题"/>
    <w:autoRedefine/>
    <w:qFormat/>
    <w:uiPriority w:val="0"/>
    <w:pPr>
      <w:spacing w:before="480" w:after="120"/>
    </w:pPr>
    <w:rPr>
      <w:rFonts w:ascii="Times New Roman" w:hAnsi="Times New Roman" w:eastAsia="黑体" w:cs="Times New Roman"/>
      <w:b/>
      <w:kern w:val="2"/>
      <w:sz w:val="28"/>
      <w:lang w:val="en-US" w:eastAsia="zh-CN" w:bidi="ar-SA"/>
    </w:rPr>
  </w:style>
  <w:style w:type="paragraph" w:customStyle="1" w:styleId="198">
    <w:name w:val="xl74"/>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黑体" w:hAnsi="宋体" w:eastAsia="黑体" w:cs="宋体"/>
      <w:kern w:val="0"/>
      <w:szCs w:val="21"/>
    </w:rPr>
  </w:style>
  <w:style w:type="paragraph" w:customStyle="1" w:styleId="199">
    <w:name w:val="默认段落字体 Para Char Char Char Char Char Char Char"/>
    <w:basedOn w:val="1"/>
    <w:autoRedefine/>
    <w:qFormat/>
    <w:uiPriority w:val="0"/>
    <w:pPr>
      <w:tabs>
        <w:tab w:val="left" w:pos="4665"/>
        <w:tab w:val="left" w:pos="8970"/>
      </w:tabs>
      <w:ind w:firstLine="400"/>
    </w:pPr>
    <w:rPr>
      <w:szCs w:val="20"/>
    </w:rPr>
  </w:style>
  <w:style w:type="paragraph" w:customStyle="1" w:styleId="200">
    <w:name w:val="mjd"/>
    <w:basedOn w:val="1"/>
    <w:autoRedefine/>
    <w:qFormat/>
    <w:uiPriority w:val="0"/>
    <w:pPr>
      <w:tabs>
        <w:tab w:val="left" w:pos="1080"/>
        <w:tab w:val="left" w:pos="6960"/>
      </w:tabs>
      <w:autoSpaceDE w:val="0"/>
      <w:autoSpaceDN w:val="0"/>
      <w:adjustRightInd w:val="0"/>
      <w:spacing w:line="312" w:lineRule="atLeast"/>
      <w:ind w:left="1080" w:hanging="1080"/>
      <w:jc w:val="left"/>
    </w:pPr>
    <w:rPr>
      <w:rFonts w:hint="eastAsia" w:ascii="宋体" w:hAnsi="Tms Rmn"/>
      <w:kern w:val="0"/>
      <w:szCs w:val="20"/>
    </w:rPr>
  </w:style>
  <w:style w:type="paragraph" w:customStyle="1" w:styleId="201">
    <w:name w:val="xl40"/>
    <w:basedOn w:val="1"/>
    <w:autoRedefine/>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202">
    <w:name w:val="招标文件》"/>
    <w:basedOn w:val="203"/>
    <w:autoRedefine/>
    <w:qFormat/>
    <w:uiPriority w:val="0"/>
    <w:pPr>
      <w:tabs>
        <w:tab w:val="left" w:pos="560"/>
      </w:tabs>
      <w:ind w:left="200" w:firstLine="0" w:firstLineChars="0"/>
    </w:pPr>
  </w:style>
  <w:style w:type="paragraph" w:customStyle="1" w:styleId="203">
    <w:name w:val="招标文件正文"/>
    <w:autoRedefine/>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paragraph" w:customStyle="1" w:styleId="204">
    <w:name w:val="Numbered List"/>
    <w:basedOn w:val="31"/>
    <w:autoRedefine/>
    <w:qFormat/>
    <w:uiPriority w:val="0"/>
    <w:pPr>
      <w:widowControl/>
      <w:pBdr>
        <w:bottom w:val="none" w:color="auto" w:sz="0" w:space="0"/>
      </w:pBdr>
      <w:tabs>
        <w:tab w:val="left" w:pos="360"/>
        <w:tab w:val="clear" w:pos="4153"/>
        <w:tab w:val="clear" w:pos="8306"/>
      </w:tabs>
      <w:snapToGrid/>
      <w:ind w:left="360" w:hanging="360"/>
      <w:jc w:val="left"/>
    </w:pPr>
    <w:rPr>
      <w:rFonts w:ascii="Univers" w:hAnsi="Univers"/>
      <w:kern w:val="0"/>
      <w:sz w:val="22"/>
      <w:szCs w:val="20"/>
    </w:rPr>
  </w:style>
  <w:style w:type="paragraph" w:customStyle="1" w:styleId="205">
    <w:name w:val="列出段落1"/>
    <w:basedOn w:val="1"/>
    <w:autoRedefine/>
    <w:qFormat/>
    <w:uiPriority w:val="0"/>
    <w:pPr>
      <w:ind w:firstLine="420" w:firstLineChars="200"/>
    </w:pPr>
    <w:rPr>
      <w:szCs w:val="20"/>
    </w:rPr>
  </w:style>
  <w:style w:type="paragraph" w:customStyle="1" w:styleId="206">
    <w:name w:val="font6"/>
    <w:basedOn w:val="1"/>
    <w:autoRedefine/>
    <w:qFormat/>
    <w:uiPriority w:val="0"/>
    <w:pPr>
      <w:widowControl/>
      <w:spacing w:before="100" w:beforeAutospacing="1" w:after="100" w:afterAutospacing="1"/>
      <w:jc w:val="left"/>
    </w:pPr>
    <w:rPr>
      <w:rFonts w:hint="eastAsia" w:ascii="宋体" w:hAnsi="宋体"/>
      <w:kern w:val="0"/>
      <w:sz w:val="20"/>
      <w:szCs w:val="20"/>
    </w:rPr>
  </w:style>
  <w:style w:type="paragraph" w:customStyle="1" w:styleId="207">
    <w:name w:val="font7"/>
    <w:basedOn w:val="1"/>
    <w:autoRedefine/>
    <w:qFormat/>
    <w:uiPriority w:val="0"/>
    <w:pPr>
      <w:widowControl/>
      <w:spacing w:before="100" w:beforeAutospacing="1" w:after="100" w:afterAutospacing="1"/>
      <w:jc w:val="left"/>
    </w:pPr>
    <w:rPr>
      <w:rFonts w:ascii="宋体" w:hAnsi="宋体" w:cs="宋体"/>
      <w:kern w:val="0"/>
      <w:szCs w:val="21"/>
    </w:rPr>
  </w:style>
  <w:style w:type="paragraph" w:customStyle="1" w:styleId="208">
    <w:name w:val="xl52"/>
    <w:basedOn w:val="1"/>
    <w:autoRedefine/>
    <w:qFormat/>
    <w:uiPriority w:val="0"/>
    <w:pPr>
      <w:widowControl/>
      <w:pBdr>
        <w:top w:val="single" w:color="auto" w:sz="4" w:space="0"/>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09">
    <w:name w:val="正文3"/>
    <w:autoRedefine/>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210">
    <w:name w:val="Char1 Char Char1 Char Char Char Char Char Char"/>
    <w:basedOn w:val="1"/>
    <w:autoRedefine/>
    <w:qFormat/>
    <w:uiPriority w:val="0"/>
  </w:style>
  <w:style w:type="paragraph" w:customStyle="1" w:styleId="211">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12">
    <w:name w:val="样式 标题 5 + 右侧:  -0.18 字符"/>
    <w:basedOn w:val="1"/>
    <w:autoRedefine/>
    <w:qFormat/>
    <w:uiPriority w:val="0"/>
    <w:pPr>
      <w:tabs>
        <w:tab w:val="left" w:pos="1008"/>
      </w:tabs>
      <w:ind w:left="1134" w:hanging="1134"/>
    </w:pPr>
  </w:style>
  <w:style w:type="paragraph" w:customStyle="1" w:styleId="213">
    <w:name w:val="xl24"/>
    <w:basedOn w:val="1"/>
    <w:autoRedefine/>
    <w:qFormat/>
    <w:uiPriority w:val="0"/>
    <w:pPr>
      <w:widowControl/>
      <w:spacing w:before="100" w:beforeAutospacing="1" w:after="100" w:afterAutospacing="1"/>
      <w:jc w:val="left"/>
    </w:pPr>
    <w:rPr>
      <w:kern w:val="0"/>
      <w:sz w:val="24"/>
    </w:rPr>
  </w:style>
  <w:style w:type="paragraph" w:customStyle="1" w:styleId="214">
    <w:name w:val="xl28"/>
    <w:basedOn w:val="1"/>
    <w:autoRedefine/>
    <w:qFormat/>
    <w:uiPriority w:val="0"/>
    <w:pPr>
      <w:widowControl/>
      <w:spacing w:before="100" w:beforeAutospacing="1" w:after="100" w:afterAutospacing="1"/>
      <w:jc w:val="center"/>
    </w:pPr>
    <w:rPr>
      <w:kern w:val="0"/>
      <w:sz w:val="24"/>
    </w:rPr>
  </w:style>
  <w:style w:type="paragraph" w:customStyle="1" w:styleId="215">
    <w:name w:val="默认段落字体 Para Char Char Char Char"/>
    <w:basedOn w:val="1"/>
    <w:autoRedefine/>
    <w:qFormat/>
    <w:uiPriority w:val="0"/>
    <w:rPr>
      <w:szCs w:val="20"/>
    </w:rPr>
  </w:style>
  <w:style w:type="paragraph" w:customStyle="1" w:styleId="216">
    <w:name w:val="註解方塊文字"/>
    <w:basedOn w:val="1"/>
    <w:autoRedefine/>
    <w:qFormat/>
    <w:uiPriority w:val="0"/>
    <w:pPr>
      <w:widowControl/>
      <w:jc w:val="left"/>
    </w:pPr>
    <w:rPr>
      <w:rFonts w:ascii="Arial" w:hAnsi="Arial" w:eastAsia="PMingLiU"/>
      <w:kern w:val="0"/>
      <w:sz w:val="18"/>
      <w:szCs w:val="18"/>
    </w:rPr>
  </w:style>
  <w:style w:type="paragraph" w:customStyle="1" w:styleId="217">
    <w:name w:val="标题四"/>
    <w:basedOn w:val="218"/>
    <w:autoRedefine/>
    <w:qFormat/>
    <w:uiPriority w:val="0"/>
    <w:pPr>
      <w:tabs>
        <w:tab w:val="left" w:pos="0"/>
      </w:tabs>
      <w:spacing w:line="360" w:lineRule="auto"/>
      <w:ind w:left="0"/>
    </w:pPr>
    <w:rPr>
      <w:rFonts w:ascii="Tahoma" w:hAnsi="Tahoma"/>
      <w:sz w:val="24"/>
      <w:szCs w:val="24"/>
    </w:rPr>
  </w:style>
  <w:style w:type="paragraph" w:customStyle="1" w:styleId="218">
    <w:name w:val="招标文件1.1.1"/>
    <w:autoRedefine/>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paragraph" w:customStyle="1" w:styleId="219">
    <w:name w:val="font5"/>
    <w:basedOn w:val="1"/>
    <w:autoRedefine/>
    <w:qFormat/>
    <w:uiPriority w:val="0"/>
    <w:pPr>
      <w:widowControl/>
      <w:spacing w:before="100" w:beforeAutospacing="1" w:after="100" w:afterAutospacing="1"/>
      <w:jc w:val="left"/>
    </w:pPr>
    <w:rPr>
      <w:b/>
      <w:bCs/>
      <w:kern w:val="0"/>
      <w:sz w:val="22"/>
      <w:szCs w:val="22"/>
    </w:rPr>
  </w:style>
  <w:style w:type="paragraph" w:customStyle="1" w:styleId="220">
    <w:name w:val="Char Char Char Char Char"/>
    <w:basedOn w:val="1"/>
    <w:autoRedefine/>
    <w:qFormat/>
    <w:uiPriority w:val="0"/>
    <w:pPr>
      <w:ind w:firstLine="200" w:firstLineChars="200"/>
      <w:jc w:val="left"/>
    </w:pPr>
    <w:rPr>
      <w:rFonts w:ascii="Tahoma" w:hAnsi="Tahoma"/>
      <w:color w:val="7030A0"/>
      <w:sz w:val="24"/>
      <w:szCs w:val="20"/>
    </w:rPr>
  </w:style>
  <w:style w:type="paragraph" w:customStyle="1" w:styleId="221">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222">
    <w:name w:val="样式 标题 4 + 段前: 自动"/>
    <w:basedOn w:val="5"/>
    <w:autoRedefine/>
    <w:qFormat/>
    <w:uiPriority w:val="0"/>
    <w:pPr>
      <w:tabs>
        <w:tab w:val="left" w:pos="1062"/>
      </w:tabs>
      <w:spacing w:beforeLines="50" w:after="0" w:line="400" w:lineRule="exact"/>
      <w:ind w:left="1062" w:hanging="864"/>
    </w:pPr>
    <w:rPr>
      <w:rFonts w:ascii="宋体" w:hAnsi="Arial" w:cs="宋体"/>
      <w:sz w:val="24"/>
      <w:szCs w:val="24"/>
    </w:rPr>
  </w:style>
  <w:style w:type="paragraph" w:customStyle="1" w:styleId="223">
    <w:name w:val="顺序编号-zlb"/>
    <w:basedOn w:val="224"/>
    <w:autoRedefine/>
    <w:qFormat/>
    <w:uiPriority w:val="0"/>
    <w:pPr>
      <w:tabs>
        <w:tab w:val="left" w:pos="0"/>
      </w:tabs>
      <w:ind w:firstLine="425"/>
      <w:outlineLvl w:val="8"/>
    </w:pPr>
  </w:style>
  <w:style w:type="paragraph" w:customStyle="1" w:styleId="224">
    <w:name w:val="级别4"/>
    <w:basedOn w:val="225"/>
    <w:autoRedefine/>
    <w:qFormat/>
    <w:uiPriority w:val="0"/>
    <w:pPr>
      <w:tabs>
        <w:tab w:val="left" w:pos="0"/>
      </w:tabs>
      <w:outlineLvl w:val="3"/>
    </w:pPr>
    <w:rPr>
      <w:kern w:val="0"/>
    </w:rPr>
  </w:style>
  <w:style w:type="paragraph" w:customStyle="1" w:styleId="225">
    <w:name w:val="级别2"/>
    <w:basedOn w:val="2"/>
    <w:autoRedefine/>
    <w:qFormat/>
    <w:uiPriority w:val="0"/>
    <w:pPr>
      <w:tabs>
        <w:tab w:val="left" w:pos="0"/>
        <w:tab w:val="clear" w:pos="1440"/>
      </w:tabs>
      <w:adjustRightInd w:val="0"/>
      <w:snapToGrid w:val="0"/>
      <w:spacing w:before="0" w:after="0" w:line="360" w:lineRule="auto"/>
      <w:ind w:left="0" w:firstLine="0"/>
      <w:outlineLvl w:val="1"/>
    </w:pPr>
    <w:rPr>
      <w:rFonts w:ascii="宋体" w:hAnsi="宋体"/>
      <w:bCs w:val="0"/>
      <w:sz w:val="24"/>
      <w:szCs w:val="24"/>
    </w:rPr>
  </w:style>
  <w:style w:type="paragraph" w:customStyle="1" w:styleId="226">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7">
    <w:name w:val="专用"/>
    <w:basedOn w:val="1"/>
    <w:autoRedefine/>
    <w:qFormat/>
    <w:uiPriority w:val="0"/>
    <w:pPr>
      <w:spacing w:afterLines="100"/>
      <w:ind w:left="838" w:hanging="838" w:hangingChars="262"/>
    </w:pPr>
    <w:rPr>
      <w:rFonts w:ascii="宋体"/>
      <w:b/>
      <w:color w:val="000000"/>
      <w:sz w:val="32"/>
      <w:szCs w:val="20"/>
    </w:rPr>
  </w:style>
  <w:style w:type="paragraph" w:customStyle="1" w:styleId="228">
    <w:name w:val="二级标题"/>
    <w:autoRedefine/>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229">
    <w:name w:val="xl56"/>
    <w:basedOn w:val="1"/>
    <w:autoRedefine/>
    <w:qFormat/>
    <w:uiPriority w:val="0"/>
    <w:pPr>
      <w:widowControl/>
      <w:pBdr>
        <w:top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30">
    <w:name w:val="llp2"/>
    <w:basedOn w:val="1"/>
    <w:autoRedefine/>
    <w:qFormat/>
    <w:uiPriority w:val="0"/>
    <w:pPr>
      <w:spacing w:beforeLines="100" w:afterLines="100" w:line="240" w:lineRule="atLeast"/>
      <w:ind w:firstLine="200" w:firstLineChars="200"/>
      <w:jc w:val="left"/>
      <w:outlineLvl w:val="1"/>
    </w:pPr>
    <w:rPr>
      <w:rFonts w:eastAsia="黑体"/>
      <w:color w:val="7030A0"/>
      <w:sz w:val="32"/>
      <w:szCs w:val="32"/>
    </w:rPr>
  </w:style>
  <w:style w:type="paragraph" w:customStyle="1" w:styleId="231">
    <w:name w:val="Sub title 1"/>
    <w:basedOn w:val="211"/>
    <w:autoRedefine/>
    <w:qFormat/>
    <w:uiPriority w:val="0"/>
    <w:pPr>
      <w:tabs>
        <w:tab w:val="left" w:pos="1304"/>
      </w:tabs>
      <w:ind w:left="1304" w:hanging="170"/>
    </w:pPr>
    <w:rPr>
      <w:color w:val="auto"/>
    </w:rPr>
  </w:style>
  <w:style w:type="paragraph" w:customStyle="1" w:styleId="232">
    <w:name w:val="xl47"/>
    <w:basedOn w:val="1"/>
    <w:autoRedefine/>
    <w:qFormat/>
    <w:uiPriority w:val="0"/>
    <w:pPr>
      <w:widowControl/>
      <w:pBdr>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33">
    <w:name w:val="样式 样式 首行缩进:  2 字符 + 首行缩进:  2 字符"/>
    <w:basedOn w:val="1"/>
    <w:autoRedefine/>
    <w:qFormat/>
    <w:uiPriority w:val="0"/>
    <w:pPr>
      <w:spacing w:line="360" w:lineRule="auto"/>
      <w:ind w:firstLine="200" w:firstLineChars="200"/>
      <w:jc w:val="left"/>
    </w:pPr>
    <w:rPr>
      <w:rFonts w:cs="宋体"/>
      <w:color w:val="7030A0"/>
      <w:szCs w:val="20"/>
    </w:rPr>
  </w:style>
  <w:style w:type="paragraph" w:customStyle="1" w:styleId="234">
    <w:name w:val="正缩2字符"/>
    <w:basedOn w:val="1"/>
    <w:autoRedefine/>
    <w:qFormat/>
    <w:uiPriority w:val="0"/>
    <w:pPr>
      <w:spacing w:line="480" w:lineRule="exact"/>
      <w:ind w:firstLine="200" w:firstLineChars="200"/>
    </w:pPr>
    <w:rPr>
      <w:sz w:val="24"/>
    </w:rPr>
  </w:style>
  <w:style w:type="paragraph" w:customStyle="1" w:styleId="235">
    <w:name w:val="招标文件1.1.1.1"/>
    <w:basedOn w:val="1"/>
    <w:autoRedefine/>
    <w:qFormat/>
    <w:uiPriority w:val="0"/>
    <w:pPr>
      <w:spacing w:before="120" w:after="120" w:line="480" w:lineRule="exact"/>
      <w:ind w:left="200" w:firstLine="200" w:firstLineChars="200"/>
      <w:jc w:val="left"/>
      <w:outlineLvl w:val="4"/>
    </w:pPr>
    <w:rPr>
      <w:rFonts w:ascii="宋体"/>
      <w:b/>
      <w:color w:val="7030A0"/>
      <w:spacing w:val="10"/>
      <w:w w:val="95"/>
    </w:rPr>
  </w:style>
  <w:style w:type="paragraph" w:customStyle="1" w:styleId="236">
    <w:name w:val="样式 样式 宋体 小四 左侧:  1.85 厘米 段前: 11.15 磅 段后: 11.15 磅 + 图案: 清除 (白色)"/>
    <w:basedOn w:val="1"/>
    <w:autoRedefine/>
    <w:qFormat/>
    <w:uiPriority w:val="0"/>
    <w:pPr>
      <w:snapToGrid w:val="0"/>
      <w:ind w:left="1049" w:firstLine="200" w:firstLineChars="200"/>
      <w:jc w:val="left"/>
    </w:pPr>
    <w:rPr>
      <w:color w:val="7030A0"/>
      <w:sz w:val="24"/>
      <w:shd w:val="clear" w:color="auto" w:fill="FFFFFF"/>
    </w:rPr>
  </w:style>
  <w:style w:type="paragraph" w:customStyle="1" w:styleId="237">
    <w:name w:val="标书正文1"/>
    <w:basedOn w:val="1"/>
    <w:autoRedefine/>
    <w:qFormat/>
    <w:uiPriority w:val="0"/>
    <w:pPr>
      <w:tabs>
        <w:tab w:val="left" w:pos="1438"/>
      </w:tabs>
      <w:spacing w:before="100" w:after="100" w:line="360" w:lineRule="auto"/>
      <w:ind w:left="1438" w:hanging="720"/>
    </w:pPr>
    <w:rPr>
      <w:rFonts w:ascii="宋体" w:hAnsi="宋体"/>
    </w:rPr>
  </w:style>
  <w:style w:type="paragraph" w:customStyle="1" w:styleId="238">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9">
    <w:name w:val="级别3"/>
    <w:basedOn w:val="225"/>
    <w:autoRedefine/>
    <w:qFormat/>
    <w:uiPriority w:val="0"/>
    <w:pPr>
      <w:ind w:firstLine="425"/>
      <w:outlineLvl w:val="2"/>
    </w:pPr>
  </w:style>
  <w:style w:type="paragraph" w:customStyle="1" w:styleId="240">
    <w:name w:val="招标文件1）"/>
    <w:autoRedefine/>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241">
    <w:name w:val="样式 标题 3列表编号33 bulletb23 bullet1b1213 bullet2b2223 bul...2"/>
    <w:basedOn w:val="1"/>
    <w:autoRedefine/>
    <w:qFormat/>
    <w:uiPriority w:val="0"/>
    <w:pPr>
      <w:ind w:left="1320" w:hanging="420" w:firstLineChars="200"/>
      <w:jc w:val="left"/>
    </w:pPr>
    <w:rPr>
      <w:color w:val="7030A0"/>
    </w:rPr>
  </w:style>
  <w:style w:type="paragraph" w:customStyle="1" w:styleId="242">
    <w:name w:val="xl53"/>
    <w:basedOn w:val="1"/>
    <w:autoRedefine/>
    <w:qFormat/>
    <w:uiPriority w:val="0"/>
    <w:pPr>
      <w:widowControl/>
      <w:pBdr>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43">
    <w:name w:val="附图 BJ8"/>
    <w:basedOn w:val="1"/>
    <w:autoRedefine/>
    <w:qFormat/>
    <w:uiPriority w:val="0"/>
    <w:pPr>
      <w:adjustRightInd w:val="0"/>
      <w:snapToGrid w:val="0"/>
      <w:ind w:firstLine="200" w:firstLineChars="200"/>
      <w:jc w:val="center"/>
    </w:pPr>
    <w:rPr>
      <w:rFonts w:hAnsi="Arial"/>
      <w:color w:val="7030A0"/>
      <w:kern w:val="0"/>
    </w:rPr>
  </w:style>
  <w:style w:type="paragraph" w:customStyle="1" w:styleId="244">
    <w:name w:val="xl54"/>
    <w:basedOn w:val="1"/>
    <w:autoRedefine/>
    <w:qFormat/>
    <w:uiPriority w:val="0"/>
    <w:pPr>
      <w:widowControl/>
      <w:pBdr>
        <w:left w:val="single" w:color="auto" w:sz="4" w:space="0"/>
        <w:bottom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45">
    <w:name w:val="招标文件1"/>
    <w:basedOn w:val="1"/>
    <w:autoRedefine/>
    <w:qFormat/>
    <w:uiPriority w:val="0"/>
    <w:pPr>
      <w:tabs>
        <w:tab w:val="left" w:pos="420"/>
      </w:tabs>
      <w:spacing w:before="120" w:after="120" w:line="480" w:lineRule="exact"/>
      <w:ind w:left="200" w:firstLine="200" w:firstLineChars="200"/>
      <w:jc w:val="left"/>
      <w:outlineLvl w:val="1"/>
    </w:pPr>
    <w:rPr>
      <w:rFonts w:ascii="宋体"/>
      <w:b/>
      <w:color w:val="7030A0"/>
      <w:spacing w:val="10"/>
      <w:w w:val="95"/>
      <w:kern w:val="0"/>
      <w:sz w:val="28"/>
    </w:rPr>
  </w:style>
  <w:style w:type="paragraph" w:customStyle="1" w:styleId="246">
    <w:name w:val="Report Level 1"/>
    <w:basedOn w:val="1"/>
    <w:next w:val="247"/>
    <w:autoRedefine/>
    <w:qFormat/>
    <w:uiPriority w:val="0"/>
    <w:pPr>
      <w:keepNext/>
      <w:widowControl/>
      <w:tabs>
        <w:tab w:val="left" w:pos="1080"/>
      </w:tabs>
      <w:spacing w:before="240" w:after="240" w:line="360" w:lineRule="auto"/>
      <w:ind w:left="1080" w:hanging="1080" w:firstLineChars="200"/>
      <w:jc w:val="left"/>
      <w:outlineLvl w:val="0"/>
    </w:pPr>
    <w:rPr>
      <w:rFonts w:ascii="Arial" w:hAnsi="Arial"/>
      <w:b/>
      <w:caps/>
      <w:color w:val="7030A0"/>
      <w:kern w:val="0"/>
      <w:sz w:val="24"/>
      <w:szCs w:val="21"/>
    </w:rPr>
  </w:style>
  <w:style w:type="paragraph" w:customStyle="1" w:styleId="247">
    <w:name w:val="Report Text"/>
    <w:basedOn w:val="1"/>
    <w:autoRedefine/>
    <w:qFormat/>
    <w:uiPriority w:val="0"/>
    <w:pPr>
      <w:widowControl/>
      <w:spacing w:after="138"/>
      <w:ind w:left="1080" w:firstLine="200" w:firstLineChars="200"/>
      <w:jc w:val="left"/>
    </w:pPr>
    <w:rPr>
      <w:color w:val="7030A0"/>
      <w:kern w:val="0"/>
      <w:sz w:val="22"/>
      <w:szCs w:val="20"/>
      <w:lang w:eastAsia="en-US"/>
    </w:rPr>
  </w:style>
  <w:style w:type="paragraph" w:customStyle="1" w:styleId="248">
    <w:name w:val="xl59"/>
    <w:basedOn w:val="1"/>
    <w:autoRedefine/>
    <w:qFormat/>
    <w:uiPriority w:val="0"/>
    <w:pPr>
      <w:widowControl/>
      <w:pBdr>
        <w:bottom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49">
    <w:name w:val="xl45"/>
    <w:basedOn w:val="1"/>
    <w:autoRedefine/>
    <w:qFormat/>
    <w:uiPriority w:val="0"/>
    <w:pPr>
      <w:widowControl/>
      <w:pBdr>
        <w:bottom w:val="single" w:color="auto" w:sz="4" w:space="0"/>
        <w:right w:val="single" w:color="auto" w:sz="4" w:space="0"/>
      </w:pBdr>
      <w:spacing w:before="100" w:after="100"/>
      <w:ind w:firstLine="200" w:firstLineChars="200"/>
      <w:jc w:val="center"/>
      <w:textAlignment w:val="center"/>
    </w:pPr>
    <w:rPr>
      <w:rFonts w:eastAsia="Arial Unicode MS"/>
      <w:color w:val="7030A0"/>
      <w:kern w:val="0"/>
      <w:sz w:val="22"/>
      <w:szCs w:val="20"/>
    </w:rPr>
  </w:style>
  <w:style w:type="paragraph" w:customStyle="1" w:styleId="250">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251">
    <w:name w:val="xl58"/>
    <w:basedOn w:val="1"/>
    <w:autoRedefine/>
    <w:qFormat/>
    <w:uiPriority w:val="0"/>
    <w:pPr>
      <w:widowControl/>
      <w:pBdr>
        <w:left w:val="single" w:color="auto" w:sz="4" w:space="0"/>
        <w:bottom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252">
    <w:name w:val="级别5"/>
    <w:basedOn w:val="224"/>
    <w:autoRedefine/>
    <w:qFormat/>
    <w:uiPriority w:val="0"/>
    <w:pPr>
      <w:outlineLvl w:val="4"/>
    </w:pPr>
  </w:style>
  <w:style w:type="paragraph" w:customStyle="1" w:styleId="253">
    <w:name w:val="xl43"/>
    <w:basedOn w:val="1"/>
    <w:autoRedefine/>
    <w:qFormat/>
    <w:uiPriority w:val="0"/>
    <w:pPr>
      <w:widowControl/>
      <w:pBdr>
        <w:top w:val="single" w:color="auto" w:sz="4" w:space="0"/>
        <w:left w:val="single" w:color="auto" w:sz="4" w:space="0"/>
        <w:bottom w:val="single" w:color="auto" w:sz="4" w:space="0"/>
        <w:right w:val="single" w:color="auto" w:sz="4" w:space="0"/>
      </w:pBdr>
      <w:spacing w:before="100" w:after="100"/>
      <w:ind w:firstLine="200" w:firstLineChars="200"/>
      <w:jc w:val="center"/>
    </w:pPr>
    <w:rPr>
      <w:rFonts w:eastAsia="Arial Unicode MS"/>
      <w:color w:val="7030A0"/>
      <w:kern w:val="0"/>
      <w:szCs w:val="20"/>
    </w:rPr>
  </w:style>
  <w:style w:type="paragraph" w:customStyle="1" w:styleId="254">
    <w:name w:val="级别1"/>
    <w:basedOn w:val="2"/>
    <w:autoRedefine/>
    <w:qFormat/>
    <w:uiPriority w:val="0"/>
    <w:pPr>
      <w:tabs>
        <w:tab w:val="left" w:pos="-1620"/>
        <w:tab w:val="clear" w:pos="1440"/>
      </w:tabs>
      <w:adjustRightInd w:val="0"/>
      <w:snapToGrid w:val="0"/>
      <w:spacing w:before="0" w:after="0" w:line="360" w:lineRule="auto"/>
      <w:ind w:left="2098" w:hanging="2098"/>
    </w:pPr>
    <w:rPr>
      <w:rFonts w:ascii="宋体" w:hAnsi="宋体"/>
      <w:bCs w:val="0"/>
      <w:sz w:val="28"/>
      <w:szCs w:val="28"/>
    </w:rPr>
  </w:style>
  <w:style w:type="paragraph" w:customStyle="1" w:styleId="255">
    <w:name w:val="纯文本1"/>
    <w:basedOn w:val="1"/>
    <w:autoRedefine/>
    <w:qFormat/>
    <w:uiPriority w:val="0"/>
    <w:pPr>
      <w:adjustRightInd w:val="0"/>
      <w:spacing w:line="312" w:lineRule="atLeast"/>
      <w:ind w:firstLine="567" w:firstLineChars="200"/>
      <w:jc w:val="left"/>
      <w:textAlignment w:val="baseline"/>
    </w:pPr>
    <w:rPr>
      <w:rFonts w:ascii="宋体" w:hAnsi="Courier New"/>
      <w:color w:val="7030A0"/>
      <w:kern w:val="0"/>
      <w:sz w:val="28"/>
    </w:rPr>
  </w:style>
  <w:style w:type="paragraph" w:customStyle="1" w:styleId="256">
    <w:name w:val="应答文本"/>
    <w:basedOn w:val="1"/>
    <w:autoRedefine/>
    <w:qFormat/>
    <w:uiPriority w:val="0"/>
    <w:pPr>
      <w:adjustRightInd w:val="0"/>
      <w:spacing w:afterLines="50" w:line="320" w:lineRule="exact"/>
      <w:ind w:left="480" w:leftChars="200" w:firstLine="460" w:firstLineChars="200"/>
      <w:jc w:val="left"/>
    </w:pPr>
    <w:rPr>
      <w:rFonts w:ascii="Arial" w:hAnsi="Arial" w:eastAsia="楷体_GB2312" w:cs="宋体"/>
      <w:color w:val="7030A0"/>
      <w:spacing w:val="10"/>
      <w:kern w:val="0"/>
      <w:szCs w:val="20"/>
    </w:rPr>
  </w:style>
  <w:style w:type="paragraph" w:customStyle="1" w:styleId="257">
    <w:name w:val="标准"/>
    <w:basedOn w:val="1"/>
    <w:autoRedefine/>
    <w:qFormat/>
    <w:uiPriority w:val="0"/>
    <w:pPr>
      <w:adjustRightInd w:val="0"/>
      <w:spacing w:line="312" w:lineRule="atLeast"/>
      <w:jc w:val="center"/>
      <w:textAlignment w:val="baseline"/>
    </w:pPr>
    <w:rPr>
      <w:kern w:val="24"/>
      <w:sz w:val="24"/>
    </w:rPr>
  </w:style>
  <w:style w:type="paragraph" w:customStyle="1" w:styleId="258">
    <w:name w:val="1.1"/>
    <w:basedOn w:val="3"/>
    <w:autoRedefine/>
    <w:qFormat/>
    <w:uiPriority w:val="0"/>
    <w:pPr>
      <w:tabs>
        <w:tab w:val="left" w:pos="180"/>
      </w:tabs>
      <w:autoSpaceDE w:val="0"/>
      <w:autoSpaceDN w:val="0"/>
      <w:adjustRightInd w:val="0"/>
      <w:spacing w:before="0" w:after="0" w:line="360" w:lineRule="auto"/>
      <w:jc w:val="left"/>
      <w:outlineLvl w:val="2"/>
    </w:pPr>
    <w:rPr>
      <w:rFonts w:ascii="宋体" w:hAnsi="宋体"/>
      <w:bCs w:val="0"/>
      <w:kern w:val="0"/>
      <w:sz w:val="21"/>
      <w:szCs w:val="20"/>
    </w:rPr>
  </w:style>
  <w:style w:type="paragraph" w:customStyle="1" w:styleId="259">
    <w:name w:val="Char Char Char Char"/>
    <w:basedOn w:val="79"/>
    <w:autoRedefine/>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260">
    <w:name w:val="样式 标题2 + 字距调整8 磅"/>
    <w:autoRedefine/>
    <w:qFormat/>
    <w:uiPriority w:val="0"/>
    <w:rPr>
      <w:rFonts w:ascii="Times New Roman" w:hAnsi="Times New Roman" w:eastAsia="宋体" w:cs="Times New Roman"/>
      <w:kern w:val="16"/>
      <w:lang w:val="en-US" w:eastAsia="zh-CN" w:bidi="ar-SA"/>
    </w:rPr>
  </w:style>
  <w:style w:type="paragraph" w:customStyle="1" w:styleId="261">
    <w:name w:val="Char Char Char Char Char Char1 Char Char Char Char"/>
    <w:basedOn w:val="1"/>
    <w:autoRedefine/>
    <w:qFormat/>
    <w:uiPriority w:val="0"/>
    <w:rPr>
      <w:rFonts w:ascii="仿宋_GB2312" w:eastAsia="仿宋_GB2312"/>
      <w:b/>
      <w:sz w:val="32"/>
      <w:szCs w:val="32"/>
    </w:rPr>
  </w:style>
  <w:style w:type="paragraph" w:customStyle="1" w:styleId="262">
    <w:name w:val="xl32"/>
    <w:basedOn w:val="1"/>
    <w:autoRedefine/>
    <w:qFormat/>
    <w:uiPriority w:val="0"/>
    <w:pPr>
      <w:widowControl/>
      <w:spacing w:before="100" w:beforeAutospacing="1" w:after="100" w:afterAutospacing="1"/>
      <w:jc w:val="center"/>
    </w:pPr>
    <w:rPr>
      <w:b/>
      <w:bCs/>
      <w:kern w:val="0"/>
      <w:sz w:val="24"/>
      <w:u w:val="single"/>
    </w:rPr>
  </w:style>
  <w:style w:type="paragraph" w:customStyle="1" w:styleId="263">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64">
    <w:name w:val="图1"/>
    <w:basedOn w:val="1"/>
    <w:next w:val="1"/>
    <w:autoRedefine/>
    <w:qFormat/>
    <w:uiPriority w:val="0"/>
    <w:pPr>
      <w:tabs>
        <w:tab w:val="left" w:pos="1440"/>
      </w:tabs>
      <w:spacing w:beforeLines="50" w:afterLines="100" w:line="360" w:lineRule="auto"/>
      <w:ind w:left="1105" w:hanging="748"/>
      <w:jc w:val="center"/>
    </w:pPr>
    <w:rPr>
      <w:kern w:val="0"/>
    </w:rPr>
  </w:style>
  <w:style w:type="paragraph" w:customStyle="1" w:styleId="265">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66">
    <w:name w:val="级别6"/>
    <w:basedOn w:val="252"/>
    <w:autoRedefine/>
    <w:qFormat/>
    <w:uiPriority w:val="0"/>
    <w:pPr>
      <w:tabs>
        <w:tab w:val="left" w:pos="405"/>
      </w:tabs>
      <w:ind w:left="409" w:hanging="23"/>
      <w:outlineLvl w:val="5"/>
    </w:pPr>
  </w:style>
  <w:style w:type="paragraph" w:customStyle="1" w:styleId="267">
    <w:name w:val="tll"/>
    <w:basedOn w:val="1"/>
    <w:autoRedefine/>
    <w:qFormat/>
    <w:uiPriority w:val="0"/>
    <w:pPr>
      <w:autoSpaceDE w:val="0"/>
      <w:autoSpaceDN w:val="0"/>
      <w:adjustRightInd w:val="0"/>
      <w:spacing w:line="300" w:lineRule="atLeast"/>
      <w:ind w:firstLine="709"/>
      <w:jc w:val="left"/>
      <w:textAlignment w:val="baseline"/>
    </w:pPr>
    <w:rPr>
      <w:rFonts w:ascii="仿宋_GB2312" w:hAnsi="Arial" w:eastAsia="仿宋_GB2312"/>
      <w:kern w:val="0"/>
      <w:szCs w:val="20"/>
    </w:rPr>
  </w:style>
  <w:style w:type="paragraph" w:customStyle="1" w:styleId="268">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69">
    <w:name w:val="样式 标题 2标题 1.1head:2#2 headlinehheadlineS&amp;R2ERMH2Head 2 +..."/>
    <w:basedOn w:val="3"/>
    <w:autoRedefine/>
    <w:qFormat/>
    <w:uiPriority w:val="0"/>
    <w:pPr>
      <w:tabs>
        <w:tab w:val="left" w:pos="907"/>
      </w:tabs>
      <w:autoSpaceDE w:val="0"/>
      <w:autoSpaceDN w:val="0"/>
      <w:adjustRightInd w:val="0"/>
      <w:spacing w:before="120" w:after="120" w:line="360" w:lineRule="auto"/>
      <w:ind w:left="907" w:hanging="907"/>
      <w:jc w:val="center"/>
      <w:textAlignment w:val="baseline"/>
    </w:pPr>
    <w:rPr>
      <w:rFonts w:eastAsia="宋体"/>
      <w:kern w:val="0"/>
      <w:sz w:val="24"/>
      <w:szCs w:val="20"/>
    </w:rPr>
  </w:style>
  <w:style w:type="paragraph" w:customStyle="1" w:styleId="270">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71">
    <w:name w:val="样式4"/>
    <w:basedOn w:val="1"/>
    <w:next w:val="3"/>
    <w:autoRedefine/>
    <w:qFormat/>
    <w:uiPriority w:val="0"/>
    <w:pPr>
      <w:tabs>
        <w:tab w:val="left" w:pos="360"/>
      </w:tabs>
      <w:spacing w:line="360" w:lineRule="auto"/>
      <w:ind w:left="360" w:hanging="360"/>
    </w:pPr>
    <w:rPr>
      <w:rFonts w:ascii="宋体" w:hAnsi="宋体"/>
      <w:b/>
      <w:sz w:val="28"/>
      <w:szCs w:val="20"/>
    </w:rPr>
  </w:style>
  <w:style w:type="paragraph" w:customStyle="1" w:styleId="272">
    <w:name w:val="一"/>
    <w:basedOn w:val="2"/>
    <w:autoRedefine/>
    <w:qFormat/>
    <w:uiPriority w:val="0"/>
    <w:pPr>
      <w:autoSpaceDE w:val="0"/>
      <w:autoSpaceDN w:val="0"/>
      <w:adjustRightInd w:val="0"/>
      <w:spacing w:before="0" w:after="0" w:line="360" w:lineRule="auto"/>
      <w:jc w:val="left"/>
    </w:pPr>
    <w:rPr>
      <w:rFonts w:ascii="宋体" w:hAnsi="宋体"/>
      <w:kern w:val="0"/>
      <w:sz w:val="28"/>
      <w:szCs w:val="20"/>
    </w:rPr>
  </w:style>
  <w:style w:type="paragraph" w:customStyle="1" w:styleId="273">
    <w:name w:val="样式 样式 正文段落 + 段前: 0.2 行 + 段前: 0.5 行"/>
    <w:basedOn w:val="1"/>
    <w:autoRedefine/>
    <w:qFormat/>
    <w:uiPriority w:val="0"/>
    <w:pPr>
      <w:autoSpaceDE w:val="0"/>
      <w:autoSpaceDN w:val="0"/>
      <w:adjustRightInd w:val="0"/>
      <w:snapToGrid w:val="0"/>
      <w:spacing w:beforeLines="20" w:line="540" w:lineRule="exact"/>
      <w:ind w:firstLine="567"/>
      <w:textAlignment w:val="baseline"/>
    </w:pPr>
    <w:rPr>
      <w:rFonts w:ascii="宋体" w:hAnsi="Tms Rmn" w:cs="宋体"/>
      <w:kern w:val="0"/>
      <w:sz w:val="26"/>
      <w:szCs w:val="20"/>
    </w:rPr>
  </w:style>
  <w:style w:type="paragraph" w:customStyle="1" w:styleId="274">
    <w:name w:val="xl50"/>
    <w:basedOn w:val="1"/>
    <w:autoRedefine/>
    <w:qFormat/>
    <w:uiPriority w:val="0"/>
    <w:pPr>
      <w:widowControl/>
      <w:pBdr>
        <w:top w:val="single" w:color="auto" w:sz="4" w:space="0"/>
        <w:bottom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275">
    <w:name w:val="font0"/>
    <w:basedOn w:val="1"/>
    <w:autoRedefine/>
    <w:qFormat/>
    <w:uiPriority w:val="0"/>
    <w:pPr>
      <w:widowControl/>
      <w:spacing w:before="100" w:beforeAutospacing="1" w:after="100" w:afterAutospacing="1"/>
      <w:jc w:val="left"/>
    </w:pPr>
    <w:rPr>
      <w:rFonts w:ascii="Arial" w:hAnsi="Arial" w:cs="Arial"/>
      <w:kern w:val="0"/>
      <w:sz w:val="20"/>
      <w:szCs w:val="20"/>
    </w:rPr>
  </w:style>
  <w:style w:type="paragraph" w:customStyle="1" w:styleId="276">
    <w:name w:val="xl49"/>
    <w:basedOn w:val="1"/>
    <w:autoRedefine/>
    <w:qFormat/>
    <w:uiPriority w:val="0"/>
    <w:pPr>
      <w:widowControl/>
      <w:pBdr>
        <w:top w:val="single" w:color="auto" w:sz="4" w:space="0"/>
        <w:left w:val="single" w:color="auto" w:sz="4" w:space="0"/>
        <w:bottom w:val="single" w:color="auto" w:sz="4" w:space="0"/>
      </w:pBdr>
      <w:spacing w:before="100" w:after="100"/>
      <w:ind w:firstLine="200" w:firstLineChars="200"/>
      <w:jc w:val="center"/>
    </w:pPr>
    <w:rPr>
      <w:rFonts w:ascii="Arial Unicode MS" w:hAnsi="Arial Unicode MS" w:eastAsia="Arial Unicode MS"/>
      <w:color w:val="7030A0"/>
      <w:kern w:val="0"/>
      <w:szCs w:val="20"/>
    </w:rPr>
  </w:style>
  <w:style w:type="paragraph" w:customStyle="1" w:styleId="277">
    <w:name w:val="三点段 Char"/>
    <w:basedOn w:val="1"/>
    <w:autoRedefine/>
    <w:qFormat/>
    <w:uiPriority w:val="0"/>
    <w:pPr>
      <w:spacing w:line="360" w:lineRule="auto"/>
      <w:ind w:left="1200" w:hanging="1200" w:hangingChars="500"/>
    </w:pPr>
    <w:rPr>
      <w:rFonts w:hint="eastAsia" w:ascii="宋体"/>
      <w:sz w:val="24"/>
    </w:rPr>
  </w:style>
  <w:style w:type="paragraph" w:customStyle="1" w:styleId="278">
    <w:name w:val="样式2"/>
    <w:basedOn w:val="1"/>
    <w:autoRedefine/>
    <w:qFormat/>
    <w:uiPriority w:val="0"/>
    <w:pPr>
      <w:adjustRightInd w:val="0"/>
      <w:spacing w:before="120" w:after="120" w:line="312" w:lineRule="atLeast"/>
      <w:jc w:val="center"/>
      <w:textAlignment w:val="baseline"/>
    </w:pPr>
    <w:rPr>
      <w:kern w:val="0"/>
      <w:sz w:val="24"/>
      <w:szCs w:val="20"/>
    </w:rPr>
  </w:style>
  <w:style w:type="paragraph" w:customStyle="1" w:styleId="279">
    <w:name w:val="小标题一"/>
    <w:basedOn w:val="1"/>
    <w:next w:val="1"/>
    <w:autoRedefine/>
    <w:qFormat/>
    <w:uiPriority w:val="0"/>
    <w:pPr>
      <w:tabs>
        <w:tab w:val="left" w:pos="1080"/>
      </w:tabs>
      <w:spacing w:line="500" w:lineRule="exact"/>
      <w:ind w:left="1080" w:hanging="1080"/>
    </w:pPr>
    <w:rPr>
      <w:sz w:val="28"/>
      <w:szCs w:val="20"/>
    </w:rPr>
  </w:style>
  <w:style w:type="paragraph" w:customStyle="1" w:styleId="280">
    <w:name w:val="Char"/>
    <w:basedOn w:val="1"/>
    <w:autoRedefine/>
    <w:qFormat/>
    <w:uiPriority w:val="0"/>
    <w:rPr>
      <w:rFonts w:ascii="仿宋_GB2312" w:eastAsia="仿宋_GB2312"/>
      <w:b/>
      <w:sz w:val="32"/>
      <w:szCs w:val="32"/>
    </w:rPr>
  </w:style>
  <w:style w:type="paragraph" w:customStyle="1" w:styleId="281">
    <w:name w:val="文档正文"/>
    <w:basedOn w:val="1"/>
    <w:autoRedefine/>
    <w:qFormat/>
    <w:uiPriority w:val="0"/>
    <w:pPr>
      <w:spacing w:line="360" w:lineRule="auto"/>
      <w:ind w:firstLine="200" w:firstLineChars="200"/>
    </w:pPr>
    <w:rPr>
      <w:rFonts w:ascii="宋体" w:hAnsi="宋体"/>
      <w:sz w:val="24"/>
    </w:rPr>
  </w:style>
  <w:style w:type="paragraph" w:customStyle="1" w:styleId="282">
    <w:name w:val="标题1"/>
    <w:basedOn w:val="2"/>
    <w:autoRedefine/>
    <w:qFormat/>
    <w:uiPriority w:val="0"/>
    <w:pPr>
      <w:tabs>
        <w:tab w:val="left" w:pos="450"/>
        <w:tab w:val="left" w:pos="709"/>
        <w:tab w:val="left" w:pos="907"/>
        <w:tab w:val="clear" w:pos="1440"/>
      </w:tabs>
      <w:adjustRightInd w:val="0"/>
      <w:spacing w:before="120" w:after="0" w:line="360" w:lineRule="auto"/>
      <w:ind w:left="450" w:hanging="450"/>
      <w:textAlignment w:val="baseline"/>
    </w:pPr>
    <w:rPr>
      <w:rFonts w:ascii="宋体" w:hAnsi="宋体"/>
      <w:bCs w:val="0"/>
      <w:sz w:val="28"/>
      <w:szCs w:val="20"/>
    </w:rPr>
  </w:style>
  <w:style w:type="paragraph" w:customStyle="1" w:styleId="283">
    <w:name w:val="合同书"/>
    <w:basedOn w:val="1"/>
    <w:autoRedefine/>
    <w:qFormat/>
    <w:uiPriority w:val="0"/>
    <w:pPr>
      <w:spacing w:afterLines="100"/>
      <w:jc w:val="center"/>
    </w:pPr>
    <w:rPr>
      <w:rFonts w:hAnsi="宋体"/>
      <w:b/>
      <w:color w:val="000000"/>
      <w:sz w:val="44"/>
      <w:szCs w:val="44"/>
    </w:rPr>
  </w:style>
  <w:style w:type="paragraph" w:customStyle="1" w:styleId="284">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285">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86">
    <w:name w:val="图名图序"/>
    <w:autoRedefine/>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287">
    <w:name w:val="条文 3"/>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88">
    <w:name w:val="样式 目录 1 + 左侧:  3 字符"/>
    <w:basedOn w:val="32"/>
    <w:autoRedefine/>
    <w:qFormat/>
    <w:uiPriority w:val="0"/>
    <w:pPr>
      <w:tabs>
        <w:tab w:val="left" w:pos="425"/>
        <w:tab w:val="left" w:pos="1680"/>
        <w:tab w:val="right" w:leader="dot" w:pos="8495"/>
        <w:tab w:val="right" w:pos="9060"/>
        <w:tab w:val="clear" w:pos="8778"/>
      </w:tabs>
      <w:snapToGrid/>
      <w:spacing w:line="240" w:lineRule="auto"/>
      <w:ind w:left="425" w:hanging="425"/>
    </w:pPr>
    <w:rPr>
      <w:bCs w:val="0"/>
      <w:iCs w:val="0"/>
      <w:caps w:val="0"/>
      <w:color w:val="7030A0"/>
      <w:kern w:val="2"/>
      <w:sz w:val="21"/>
      <w:szCs w:val="20"/>
    </w:rPr>
  </w:style>
  <w:style w:type="paragraph" w:customStyle="1" w:styleId="289">
    <w:name w:val="章节标题 BJ8"/>
    <w:basedOn w:val="147"/>
    <w:next w:val="147"/>
    <w:autoRedefine/>
    <w:qFormat/>
    <w:uiPriority w:val="0"/>
    <w:pPr>
      <w:ind w:firstLine="0" w:firstLineChars="0"/>
      <w:jc w:val="center"/>
    </w:pPr>
    <w:rPr>
      <w:rFonts w:eastAsia="黑体"/>
      <w:b/>
      <w:sz w:val="44"/>
      <w:szCs w:val="84"/>
    </w:rPr>
  </w:style>
  <w:style w:type="paragraph" w:customStyle="1" w:styleId="290">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91">
    <w:name w:val="表格"/>
    <w:basedOn w:val="1"/>
    <w:autoRedefine/>
    <w:qFormat/>
    <w:uiPriority w:val="0"/>
    <w:pPr>
      <w:widowControl/>
      <w:snapToGrid w:val="0"/>
      <w:spacing w:before="60" w:after="60"/>
      <w:jc w:val="left"/>
    </w:pPr>
    <w:rPr>
      <w:rFonts w:ascii="宋体"/>
      <w:sz w:val="20"/>
      <w:szCs w:val="20"/>
    </w:rPr>
  </w:style>
  <w:style w:type="paragraph" w:customStyle="1" w:styleId="292">
    <w:name w:val="xl2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93">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4">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95">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296">
    <w:name w:val="大标题"/>
    <w:autoRedefine/>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297">
    <w:name w:val="重点"/>
    <w:basedOn w:val="1"/>
    <w:autoRedefine/>
    <w:qFormat/>
    <w:uiPriority w:val="0"/>
    <w:pPr>
      <w:tabs>
        <w:tab w:val="left" w:pos="0"/>
        <w:tab w:val="left" w:pos="814"/>
      </w:tabs>
      <w:adjustRightInd w:val="0"/>
      <w:snapToGrid w:val="0"/>
      <w:spacing w:line="560" w:lineRule="atLeast"/>
      <w:ind w:left="737" w:hanging="283" w:firstLineChars="200"/>
      <w:jc w:val="left"/>
    </w:pPr>
    <w:rPr>
      <w:color w:val="7030A0"/>
      <w:kern w:val="24"/>
      <w:sz w:val="30"/>
      <w:szCs w:val="20"/>
    </w:rPr>
  </w:style>
  <w:style w:type="paragraph" w:customStyle="1" w:styleId="298">
    <w:name w:val="青岛正文"/>
    <w:basedOn w:val="1"/>
    <w:autoRedefine/>
    <w:qFormat/>
    <w:uiPriority w:val="0"/>
    <w:pPr>
      <w:spacing w:line="360" w:lineRule="auto"/>
    </w:pPr>
    <w:rPr>
      <w:sz w:val="28"/>
    </w:rPr>
  </w:style>
  <w:style w:type="paragraph" w:customStyle="1" w:styleId="299">
    <w:name w:val="样式 样式 列表框 Char Char Char Char Char + 右侧:  -0.05 字符 段后: 0.5 行 + 右..."/>
    <w:basedOn w:val="300"/>
    <w:autoRedefine/>
    <w:qFormat/>
    <w:uiPriority w:val="0"/>
    <w:pPr>
      <w:tabs>
        <w:tab w:val="left" w:pos="375"/>
        <w:tab w:val="left" w:pos="630"/>
      </w:tabs>
    </w:pPr>
  </w:style>
  <w:style w:type="paragraph" w:customStyle="1" w:styleId="300">
    <w:name w:val="样式 列表框 Char Char Char Char Char + 右侧:  -0.05 字符 段后: 0.5 行"/>
    <w:basedOn w:val="183"/>
    <w:autoRedefine/>
    <w:qFormat/>
    <w:uiPriority w:val="0"/>
    <w:pPr>
      <w:tabs>
        <w:tab w:val="left" w:pos="375"/>
        <w:tab w:val="clear" w:pos="450"/>
        <w:tab w:val="clear" w:pos="874"/>
      </w:tabs>
      <w:ind w:left="0" w:firstLine="0"/>
    </w:pPr>
    <w:rPr>
      <w:szCs w:val="20"/>
    </w:rPr>
  </w:style>
  <w:style w:type="paragraph" w:customStyle="1" w:styleId="301">
    <w:name w:val="xl39"/>
    <w:basedOn w:val="1"/>
    <w:autoRedefine/>
    <w:qFormat/>
    <w:uiPriority w:val="0"/>
    <w:pPr>
      <w:widowControl/>
      <w:pBdr>
        <w:top w:val="single" w:color="auto" w:sz="4" w:space="0"/>
        <w:bottom w:val="single" w:color="auto" w:sz="4" w:space="0"/>
      </w:pBdr>
      <w:spacing w:before="100" w:beforeAutospacing="1" w:after="100" w:afterAutospacing="1"/>
      <w:jc w:val="left"/>
    </w:pPr>
    <w:rPr>
      <w:kern w:val="0"/>
      <w:sz w:val="24"/>
    </w:rPr>
  </w:style>
  <w:style w:type="paragraph" w:customStyle="1" w:styleId="302">
    <w:name w:val="正文文本 21"/>
    <w:basedOn w:val="1"/>
    <w:autoRedefine/>
    <w:qFormat/>
    <w:uiPriority w:val="0"/>
    <w:pPr>
      <w:autoSpaceDE w:val="0"/>
      <w:autoSpaceDN w:val="0"/>
      <w:adjustRightInd w:val="0"/>
      <w:ind w:left="525" w:firstLine="525" w:firstLineChars="200"/>
      <w:jc w:val="left"/>
      <w:textAlignment w:val="baseline"/>
    </w:pPr>
    <w:rPr>
      <w:color w:val="7030A0"/>
      <w:szCs w:val="20"/>
    </w:rPr>
  </w:style>
  <w:style w:type="paragraph" w:customStyle="1" w:styleId="303">
    <w:name w:val="Report Heading"/>
    <w:basedOn w:val="1"/>
    <w:next w:val="1"/>
    <w:autoRedefine/>
    <w:qFormat/>
    <w:uiPriority w:val="0"/>
    <w:pPr>
      <w:keepNext/>
      <w:widowControl/>
      <w:spacing w:before="120" w:after="138"/>
      <w:ind w:left="1080" w:firstLine="200" w:firstLineChars="200"/>
      <w:jc w:val="left"/>
    </w:pPr>
    <w:rPr>
      <w:rFonts w:ascii="Arial" w:hAnsi="Arial"/>
      <w:b/>
      <w:color w:val="7030A0"/>
      <w:kern w:val="0"/>
      <w:sz w:val="22"/>
      <w:szCs w:val="20"/>
    </w:rPr>
  </w:style>
  <w:style w:type="paragraph" w:customStyle="1" w:styleId="304">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305">
    <w:name w:val="修订1"/>
    <w:autoRedefine/>
    <w:qFormat/>
    <w:uiPriority w:val="0"/>
    <w:rPr>
      <w:rFonts w:ascii="Times New Roman" w:hAnsi="Times New Roman" w:eastAsia="宋体" w:cs="Times New Roman"/>
      <w:kern w:val="2"/>
      <w:sz w:val="21"/>
      <w:lang w:val="en-US" w:eastAsia="zh-CN" w:bidi="ar-SA"/>
    </w:rPr>
  </w:style>
  <w:style w:type="paragraph" w:customStyle="1" w:styleId="306">
    <w:name w:val="正文C"/>
    <w:autoRedefine/>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307">
    <w:name w:val="文档结构图2"/>
    <w:basedOn w:val="1"/>
    <w:autoRedefine/>
    <w:qFormat/>
    <w:uiPriority w:val="0"/>
    <w:pPr>
      <w:shd w:val="clear" w:color="auto" w:fill="000080"/>
      <w:autoSpaceDE w:val="0"/>
      <w:autoSpaceDN w:val="0"/>
      <w:adjustRightInd w:val="0"/>
      <w:ind w:firstLine="200" w:firstLineChars="200"/>
      <w:jc w:val="left"/>
      <w:textAlignment w:val="baseline"/>
    </w:pPr>
    <w:rPr>
      <w:color w:val="7030A0"/>
      <w:szCs w:val="20"/>
    </w:rPr>
  </w:style>
  <w:style w:type="paragraph" w:customStyle="1" w:styleId="308">
    <w:name w:val="Char Char Char Char11"/>
    <w:basedOn w:val="1"/>
    <w:autoRedefine/>
    <w:qFormat/>
    <w:uiPriority w:val="0"/>
    <w:pPr>
      <w:ind w:firstLine="200" w:firstLineChars="200"/>
      <w:jc w:val="left"/>
    </w:pPr>
    <w:rPr>
      <w:rFonts w:ascii="仿宋_GB2312" w:eastAsia="仿宋_GB2312"/>
      <w:b/>
      <w:color w:val="7030A0"/>
      <w:sz w:val="32"/>
      <w:szCs w:val="32"/>
    </w:rPr>
  </w:style>
  <w:style w:type="paragraph" w:customStyle="1" w:styleId="309">
    <w:name w:val="样式 标题 2标题 1.1编号标题2head:2#2 headlinehheadlineS&amp;R2ERMH2He..."/>
    <w:basedOn w:val="3"/>
    <w:autoRedefine/>
    <w:qFormat/>
    <w:uiPriority w:val="0"/>
    <w:pPr>
      <w:spacing w:before="120" w:after="120" w:line="500" w:lineRule="exact"/>
      <w:jc w:val="left"/>
    </w:pPr>
    <w:rPr>
      <w:rFonts w:cs="宋体"/>
      <w:color w:val="C00000"/>
      <w:kern w:val="44"/>
      <w:sz w:val="28"/>
      <w:szCs w:val="20"/>
    </w:rPr>
  </w:style>
  <w:style w:type="paragraph" w:customStyle="1" w:styleId="310">
    <w:name w:val="章节标题 QD3"/>
    <w:basedOn w:val="146"/>
    <w:next w:val="146"/>
    <w:autoRedefine/>
    <w:qFormat/>
    <w:uiPriority w:val="0"/>
    <w:pPr>
      <w:ind w:firstLine="0" w:firstLineChars="0"/>
      <w:jc w:val="center"/>
    </w:pPr>
    <w:rPr>
      <w:rFonts w:eastAsia="黑体"/>
      <w:b/>
      <w:sz w:val="44"/>
      <w:szCs w:val="84"/>
    </w:rPr>
  </w:style>
  <w:style w:type="paragraph" w:customStyle="1" w:styleId="311">
    <w:name w:val="Char2"/>
    <w:basedOn w:val="1"/>
    <w:autoRedefine/>
    <w:qFormat/>
    <w:uiPriority w:val="0"/>
    <w:pPr>
      <w:widowControl/>
      <w:spacing w:after="160" w:line="240" w:lineRule="exact"/>
      <w:ind w:firstLine="200" w:firstLineChars="200"/>
      <w:jc w:val="left"/>
    </w:pPr>
    <w:rPr>
      <w:rFonts w:ascii="Verdana" w:hAnsi="Verdana" w:eastAsia="仿宋_GB2312"/>
      <w:color w:val="7030A0"/>
      <w:kern w:val="0"/>
      <w:sz w:val="24"/>
      <w:szCs w:val="20"/>
      <w:lang w:eastAsia="en-US"/>
    </w:rPr>
  </w:style>
  <w:style w:type="paragraph" w:customStyle="1" w:styleId="312">
    <w:name w:val="xiao b"/>
    <w:basedOn w:val="1"/>
    <w:autoRedefine/>
    <w:qFormat/>
    <w:uiPriority w:val="0"/>
    <w:pPr>
      <w:ind w:firstLine="200" w:firstLineChars="200"/>
      <w:jc w:val="center"/>
    </w:pPr>
    <w:rPr>
      <w:rFonts w:eastAsia="黑体"/>
      <w:color w:val="7030A0"/>
      <w:sz w:val="24"/>
      <w:szCs w:val="20"/>
    </w:rPr>
  </w:style>
  <w:style w:type="paragraph" w:customStyle="1" w:styleId="313">
    <w:name w:val="样式 标题 4 + 加粗"/>
    <w:basedOn w:val="5"/>
    <w:autoRedefine/>
    <w:qFormat/>
    <w:uiPriority w:val="0"/>
    <w:pPr>
      <w:spacing w:before="120" w:after="0" w:line="240" w:lineRule="auto"/>
      <w:jc w:val="left"/>
    </w:pPr>
    <w:rPr>
      <w:rFonts w:ascii="Times New Roman" w:hAnsi="Times New Roman"/>
      <w:b w:val="0"/>
      <w:color w:val="00B050"/>
      <w:sz w:val="24"/>
    </w:rPr>
  </w:style>
  <w:style w:type="paragraph" w:customStyle="1" w:styleId="314">
    <w:name w:val="Plain Text1"/>
    <w:basedOn w:val="1"/>
    <w:autoRedefine/>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15">
    <w:name w:val="Char Char Char Char1"/>
    <w:basedOn w:val="1"/>
    <w:autoRedefine/>
    <w:qFormat/>
    <w:uiPriority w:val="0"/>
    <w:pPr>
      <w:ind w:firstLine="200" w:firstLineChars="200"/>
      <w:jc w:val="left"/>
    </w:pPr>
    <w:rPr>
      <w:rFonts w:ascii="仿宋_GB2312" w:eastAsia="仿宋_GB2312"/>
      <w:b/>
      <w:color w:val="7030A0"/>
      <w:sz w:val="32"/>
      <w:szCs w:val="32"/>
    </w:rPr>
  </w:style>
  <w:style w:type="paragraph" w:customStyle="1" w:styleId="316">
    <w:name w:val="Plain Text2"/>
    <w:basedOn w:val="1"/>
    <w:autoRedefine/>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17">
    <w:name w:val="正文2"/>
    <w:basedOn w:val="20"/>
    <w:autoRedefine/>
    <w:qFormat/>
    <w:uiPriority w:val="0"/>
    <w:pPr>
      <w:ind w:firstLine="480" w:firstLineChars="200"/>
      <w:jc w:val="left"/>
    </w:pPr>
    <w:rPr>
      <w:rFonts w:ascii="宋体"/>
      <w:color w:val="7030A0"/>
      <w:szCs w:val="24"/>
    </w:rPr>
  </w:style>
  <w:style w:type="paragraph" w:customStyle="1" w:styleId="318">
    <w:name w:val="列表框1"/>
    <w:basedOn w:val="256"/>
    <w:next w:val="256"/>
    <w:autoRedefine/>
    <w:qFormat/>
    <w:uiPriority w:val="0"/>
    <w:pPr>
      <w:tabs>
        <w:tab w:val="left" w:pos="960"/>
        <w:tab w:val="left" w:pos="1314"/>
      </w:tabs>
      <w:snapToGrid w:val="0"/>
      <w:ind w:left="1328" w:leftChars="397" w:hanging="375" w:hangingChars="163"/>
    </w:pPr>
    <w:rPr>
      <w:rFonts w:cs="Arial"/>
    </w:rPr>
  </w:style>
  <w:style w:type="paragraph" w:customStyle="1" w:styleId="319">
    <w:name w:val="Body text"/>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20">
    <w:name w:val="五级"/>
    <w:basedOn w:val="3"/>
    <w:autoRedefine/>
    <w:qFormat/>
    <w:uiPriority w:val="0"/>
    <w:pPr>
      <w:tabs>
        <w:tab w:val="left" w:pos="851"/>
      </w:tabs>
      <w:spacing w:before="0" w:after="0" w:line="360" w:lineRule="auto"/>
      <w:ind w:left="851" w:hanging="851"/>
      <w:jc w:val="left"/>
    </w:pPr>
    <w:rPr>
      <w:rFonts w:ascii="宋体" w:hAnsi="宋体" w:eastAsia="宋体"/>
      <w:b w:val="0"/>
      <w:color w:val="C00000"/>
      <w:sz w:val="24"/>
    </w:rPr>
  </w:style>
  <w:style w:type="paragraph" w:customStyle="1" w:styleId="321">
    <w:name w:val="1."/>
    <w:basedOn w:val="1"/>
    <w:autoRedefine/>
    <w:qFormat/>
    <w:uiPriority w:val="0"/>
    <w:pPr>
      <w:tabs>
        <w:tab w:val="left" w:pos="0"/>
        <w:tab w:val="left" w:pos="426"/>
      </w:tabs>
      <w:adjustRightInd w:val="0"/>
      <w:spacing w:before="60" w:after="60" w:line="360" w:lineRule="atLeast"/>
      <w:ind w:left="426" w:hanging="426" w:firstLineChars="200"/>
      <w:jc w:val="left"/>
      <w:textAlignment w:val="baseline"/>
    </w:pPr>
    <w:rPr>
      <w:rFonts w:ascii="Arial" w:hAnsi="Arial"/>
      <w:color w:val="7030A0"/>
      <w:kern w:val="0"/>
      <w:szCs w:val="20"/>
    </w:rPr>
  </w:style>
  <w:style w:type="paragraph" w:customStyle="1" w:styleId="322">
    <w:name w:val="xl57"/>
    <w:basedOn w:val="1"/>
    <w:autoRedefine/>
    <w:qFormat/>
    <w:uiPriority w:val="0"/>
    <w:pPr>
      <w:widowControl/>
      <w:pBdr>
        <w:top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23">
    <w:name w:val="正文点缩进"/>
    <w:basedOn w:val="1"/>
    <w:autoRedefine/>
    <w:qFormat/>
    <w:uiPriority w:val="0"/>
    <w:pPr>
      <w:widowControl/>
      <w:tabs>
        <w:tab w:val="left" w:pos="1758"/>
      </w:tabs>
      <w:snapToGrid w:val="0"/>
      <w:spacing w:after="60" w:line="288" w:lineRule="auto"/>
      <w:ind w:firstLine="200" w:firstLineChars="200"/>
      <w:jc w:val="left"/>
    </w:pPr>
    <w:rPr>
      <w:rFonts w:ascii="宋体"/>
      <w:color w:val="7030A0"/>
      <w:sz w:val="22"/>
      <w:szCs w:val="20"/>
      <w:shd w:val="clear" w:color="auto" w:fill="FFFFFF"/>
    </w:rPr>
  </w:style>
  <w:style w:type="paragraph" w:customStyle="1" w:styleId="324">
    <w:name w:val="xl41"/>
    <w:basedOn w:val="1"/>
    <w:autoRedefine/>
    <w:qFormat/>
    <w:uiPriority w:val="0"/>
    <w:pPr>
      <w:widowControl/>
      <w:spacing w:before="100" w:beforeAutospacing="1" w:after="100" w:afterAutospacing="1"/>
      <w:ind w:firstLine="200" w:firstLineChars="200"/>
      <w:jc w:val="center"/>
      <w:textAlignment w:val="center"/>
    </w:pPr>
    <w:rPr>
      <w:rFonts w:ascii="宋体" w:hAnsi="宋体"/>
      <w:color w:val="7030A0"/>
      <w:kern w:val="0"/>
      <w:szCs w:val="21"/>
    </w:rPr>
  </w:style>
  <w:style w:type="paragraph" w:customStyle="1" w:styleId="325">
    <w:name w:val="样式 左侧:  2 字符 首行缩进:  0.85 厘米"/>
    <w:basedOn w:val="1"/>
    <w:autoRedefine/>
    <w:qFormat/>
    <w:uiPriority w:val="0"/>
    <w:pPr>
      <w:adjustRightInd w:val="0"/>
      <w:snapToGrid w:val="0"/>
      <w:spacing w:line="360" w:lineRule="auto"/>
      <w:ind w:firstLine="425" w:firstLineChars="200"/>
      <w:jc w:val="left"/>
    </w:pPr>
    <w:rPr>
      <w:rFonts w:ascii="宋体" w:hAnsi="宋体" w:cs="宋体"/>
      <w:color w:val="7030A0"/>
      <w:szCs w:val="20"/>
    </w:rPr>
  </w:style>
  <w:style w:type="paragraph" w:customStyle="1" w:styleId="326">
    <w:name w:val="xl55"/>
    <w:basedOn w:val="1"/>
    <w:autoRedefine/>
    <w:qFormat/>
    <w:uiPriority w:val="0"/>
    <w:pPr>
      <w:widowControl/>
      <w:pBdr>
        <w:top w:val="single" w:color="auto" w:sz="4" w:space="0"/>
        <w:lef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27">
    <w:name w:val="Char Char Char Char Char Char Char Char"/>
    <w:basedOn w:val="1"/>
    <w:autoRedefine/>
    <w:qFormat/>
    <w:uiPriority w:val="0"/>
    <w:pPr>
      <w:ind w:firstLine="200" w:firstLineChars="200"/>
      <w:jc w:val="left"/>
    </w:pPr>
    <w:rPr>
      <w:rFonts w:ascii="Tahoma" w:hAnsi="Tahoma"/>
      <w:color w:val="7030A0"/>
      <w:sz w:val="24"/>
      <w:szCs w:val="20"/>
    </w:rPr>
  </w:style>
  <w:style w:type="paragraph" w:customStyle="1" w:styleId="328">
    <w:name w:val="StandardOhneEinzug"/>
    <w:basedOn w:val="1"/>
    <w:autoRedefine/>
    <w:qFormat/>
    <w:uiPriority w:val="0"/>
    <w:pPr>
      <w:widowControl/>
      <w:tabs>
        <w:tab w:val="left" w:pos="560"/>
      </w:tabs>
      <w:spacing w:after="240" w:line="288" w:lineRule="auto"/>
      <w:ind w:left="200" w:firstLine="200" w:firstLineChars="200"/>
      <w:jc w:val="left"/>
    </w:pPr>
    <w:rPr>
      <w:rFonts w:ascii="Arial" w:hAnsi="Arial"/>
      <w:color w:val="7030A0"/>
      <w:kern w:val="0"/>
      <w:sz w:val="22"/>
      <w:szCs w:val="20"/>
    </w:rPr>
  </w:style>
  <w:style w:type="paragraph" w:customStyle="1" w:styleId="329">
    <w:name w:val="投标正文"/>
    <w:basedOn w:val="1"/>
    <w:autoRedefine/>
    <w:qFormat/>
    <w:uiPriority w:val="0"/>
    <w:pPr>
      <w:spacing w:line="360" w:lineRule="auto"/>
      <w:ind w:firstLine="200" w:firstLineChars="200"/>
      <w:jc w:val="left"/>
    </w:pPr>
    <w:rPr>
      <w:rFonts w:eastAsia="黑体"/>
      <w:color w:val="7030A0"/>
      <w:spacing w:val="20"/>
      <w:sz w:val="32"/>
      <w:szCs w:val="32"/>
    </w:rPr>
  </w:style>
  <w:style w:type="paragraph" w:customStyle="1" w:styleId="330">
    <w:name w:val="招标文件A）"/>
    <w:autoRedefine/>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331">
    <w:name w:val="标书正文"/>
    <w:basedOn w:val="1"/>
    <w:autoRedefine/>
    <w:qFormat/>
    <w:uiPriority w:val="0"/>
    <w:pPr>
      <w:spacing w:before="100" w:after="100" w:line="440" w:lineRule="atLeast"/>
      <w:ind w:left="176" w:firstLine="200" w:firstLineChars="200"/>
      <w:jc w:val="left"/>
    </w:pPr>
    <w:rPr>
      <w:rFonts w:ascii="宋体" w:hAnsi="宋体"/>
      <w:color w:val="7030A0"/>
      <w:spacing w:val="20"/>
      <w:sz w:val="24"/>
    </w:rPr>
  </w:style>
  <w:style w:type="paragraph" w:customStyle="1" w:styleId="332">
    <w:name w:val="xl44"/>
    <w:basedOn w:val="1"/>
    <w:autoRedefine/>
    <w:qFormat/>
    <w:uiPriority w:val="0"/>
    <w:pPr>
      <w:widowControl/>
      <w:pBdr>
        <w:right w:val="single" w:color="auto" w:sz="4" w:space="0"/>
      </w:pBdr>
      <w:spacing w:before="100" w:after="100"/>
      <w:ind w:firstLine="200" w:firstLineChars="200"/>
      <w:jc w:val="center"/>
    </w:pPr>
    <w:rPr>
      <w:rFonts w:ascii="宋体" w:hAnsi="宋体"/>
      <w:color w:val="7030A0"/>
      <w:kern w:val="0"/>
      <w:sz w:val="24"/>
      <w:szCs w:val="20"/>
    </w:rPr>
  </w:style>
  <w:style w:type="paragraph" w:customStyle="1" w:styleId="333">
    <w:name w:val="招标文件1.1"/>
    <w:autoRedefine/>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334">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after="100"/>
      <w:ind w:firstLine="200" w:firstLineChars="200"/>
      <w:jc w:val="center"/>
      <w:textAlignment w:val="center"/>
    </w:pPr>
    <w:rPr>
      <w:rFonts w:eastAsia="Arial Unicode MS"/>
      <w:color w:val="7030A0"/>
      <w:kern w:val="0"/>
      <w:szCs w:val="20"/>
    </w:rPr>
  </w:style>
  <w:style w:type="paragraph" w:customStyle="1" w:styleId="335">
    <w:name w:val="xl46"/>
    <w:basedOn w:val="1"/>
    <w:autoRedefine/>
    <w:qFormat/>
    <w:uiPriority w:val="0"/>
    <w:pPr>
      <w:widowControl/>
      <w:pBdr>
        <w:top w:val="single" w:color="auto" w:sz="4" w:space="0"/>
        <w:left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36">
    <w:name w:val="xl48"/>
    <w:basedOn w:val="1"/>
    <w:autoRedefine/>
    <w:qFormat/>
    <w:uiPriority w:val="0"/>
    <w:pPr>
      <w:widowControl/>
      <w:pBdr>
        <w:left w:val="single" w:color="auto" w:sz="4" w:space="0"/>
        <w:bottom w:val="single" w:color="auto" w:sz="4" w:space="0"/>
        <w:right w:val="single" w:color="auto" w:sz="4" w:space="0"/>
      </w:pBdr>
      <w:spacing w:before="100" w:after="100"/>
      <w:ind w:firstLine="200" w:firstLineChars="200"/>
      <w:jc w:val="center"/>
      <w:textAlignment w:val="center"/>
    </w:pPr>
    <w:rPr>
      <w:rFonts w:ascii="Arial Unicode MS" w:hAnsi="Arial Unicode MS" w:eastAsia="Arial Unicode MS"/>
      <w:color w:val="7030A0"/>
      <w:kern w:val="0"/>
      <w:szCs w:val="20"/>
    </w:rPr>
  </w:style>
  <w:style w:type="paragraph" w:customStyle="1" w:styleId="337">
    <w:name w:val="xl60"/>
    <w:basedOn w:val="1"/>
    <w:autoRedefine/>
    <w:qFormat/>
    <w:uiPriority w:val="0"/>
    <w:pPr>
      <w:widowControl/>
      <w:pBdr>
        <w:top w:val="single" w:color="auto" w:sz="4" w:space="0"/>
        <w:left w:val="single" w:color="auto" w:sz="4" w:space="0"/>
        <w:bottom w:val="single" w:color="auto" w:sz="4" w:space="0"/>
      </w:pBdr>
      <w:spacing w:before="100" w:after="100"/>
      <w:ind w:firstLine="200" w:firstLineChars="200"/>
      <w:jc w:val="center"/>
      <w:textAlignment w:val="center"/>
    </w:pPr>
    <w:rPr>
      <w:rFonts w:eastAsia="Arial Unicode MS"/>
      <w:color w:val="7030A0"/>
      <w:kern w:val="0"/>
      <w:szCs w:val="20"/>
    </w:rPr>
  </w:style>
  <w:style w:type="paragraph" w:customStyle="1" w:styleId="338">
    <w:name w:val="样式 目录 1"/>
    <w:basedOn w:val="32"/>
    <w:autoRedefine/>
    <w:qFormat/>
    <w:uiPriority w:val="0"/>
    <w:pPr>
      <w:tabs>
        <w:tab w:val="left" w:pos="420"/>
        <w:tab w:val="left" w:pos="525"/>
        <w:tab w:val="left" w:pos="1680"/>
        <w:tab w:val="right" w:leader="dot" w:pos="8495"/>
        <w:tab w:val="right" w:pos="9060"/>
        <w:tab w:val="clear" w:pos="8778"/>
      </w:tabs>
      <w:snapToGrid/>
      <w:spacing w:line="240" w:lineRule="auto"/>
      <w:ind w:left="525" w:hanging="425"/>
    </w:pPr>
    <w:rPr>
      <w:bCs w:val="0"/>
      <w:iCs w:val="0"/>
      <w:caps w:val="0"/>
      <w:color w:val="7030A0"/>
      <w:kern w:val="2"/>
      <w:sz w:val="21"/>
      <w:szCs w:val="20"/>
    </w:rPr>
  </w:style>
  <w:style w:type="paragraph" w:customStyle="1" w:styleId="339">
    <w:name w:val="A-12"/>
    <w:basedOn w:val="1"/>
    <w:autoRedefine/>
    <w:qFormat/>
    <w:uiPriority w:val="0"/>
    <w:pPr>
      <w:widowControl/>
      <w:ind w:firstLine="200" w:firstLineChars="200"/>
      <w:jc w:val="left"/>
    </w:pPr>
    <w:rPr>
      <w:rFonts w:ascii="Arial" w:hAnsi="Arial"/>
      <w:color w:val="7030A0"/>
      <w:kern w:val="0"/>
      <w:sz w:val="24"/>
      <w:szCs w:val="20"/>
    </w:rPr>
  </w:style>
  <w:style w:type="paragraph" w:customStyle="1" w:styleId="340">
    <w:name w:val="样式 样式 样式 宋体 小四 左侧:  1.85 厘米 段前: 11.15 磅 段后: 11.15 磅 + 图案: 清除 (白色..."/>
    <w:basedOn w:val="236"/>
    <w:autoRedefine/>
    <w:qFormat/>
    <w:uiPriority w:val="0"/>
    <w:pPr>
      <w:spacing w:beforeLines="50" w:afterLines="50"/>
      <w:ind w:left="318"/>
    </w:pPr>
    <w:rPr>
      <w:szCs w:val="20"/>
    </w:rPr>
  </w:style>
  <w:style w:type="paragraph" w:customStyle="1" w:styleId="341">
    <w:name w:val="无间隔1"/>
    <w:autoRedefine/>
    <w:qFormat/>
    <w:uiPriority w:val="0"/>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342">
    <w:name w:val="正文文本缩进 32"/>
    <w:basedOn w:val="1"/>
    <w:autoRedefine/>
    <w:qFormat/>
    <w:uiPriority w:val="0"/>
    <w:pPr>
      <w:autoSpaceDE w:val="0"/>
      <w:autoSpaceDN w:val="0"/>
      <w:adjustRightInd w:val="0"/>
      <w:ind w:firstLine="525" w:firstLineChars="200"/>
      <w:jc w:val="left"/>
      <w:textAlignment w:val="baseline"/>
    </w:pPr>
    <w:rPr>
      <w:color w:val="7030A0"/>
      <w:sz w:val="24"/>
      <w:szCs w:val="20"/>
    </w:rPr>
  </w:style>
  <w:style w:type="paragraph" w:customStyle="1" w:styleId="343">
    <w:name w:val="一级条标题"/>
    <w:basedOn w:val="1"/>
    <w:next w:val="1"/>
    <w:autoRedefine/>
    <w:qFormat/>
    <w:uiPriority w:val="0"/>
    <w:pPr>
      <w:widowControl/>
      <w:tabs>
        <w:tab w:val="left" w:pos="425"/>
        <w:tab w:val="left" w:pos="525"/>
      </w:tabs>
      <w:ind w:left="425" w:hanging="425" w:firstLineChars="200"/>
      <w:jc w:val="left"/>
      <w:outlineLvl w:val="2"/>
    </w:pPr>
    <w:rPr>
      <w:rFonts w:ascii="黑体" w:eastAsia="黑体"/>
      <w:color w:val="7030A0"/>
      <w:kern w:val="0"/>
      <w:szCs w:val="20"/>
    </w:rPr>
  </w:style>
  <w:style w:type="paragraph" w:customStyle="1" w:styleId="344">
    <w:name w:val="样式 样式 正文（首行缩进两字） + 宋体 小四 首行缩进:  0 厘米 段前: 11.15 磅 段后: 11.15 磅 + 左...1"/>
    <w:basedOn w:val="1"/>
    <w:autoRedefine/>
    <w:qFormat/>
    <w:uiPriority w:val="0"/>
    <w:pPr>
      <w:tabs>
        <w:tab w:val="left" w:pos="425"/>
        <w:tab w:val="left" w:pos="720"/>
      </w:tabs>
      <w:snapToGrid w:val="0"/>
      <w:spacing w:before="223" w:after="223"/>
      <w:ind w:left="200" w:leftChars="200" w:firstLine="200" w:firstLineChars="200"/>
      <w:jc w:val="left"/>
    </w:pPr>
    <w:rPr>
      <w:rFonts w:ascii="宋体" w:hAnsi="宋体"/>
      <w:color w:val="7030A0"/>
      <w:sz w:val="24"/>
      <w:szCs w:val="20"/>
    </w:rPr>
  </w:style>
  <w:style w:type="paragraph" w:customStyle="1" w:styleId="345">
    <w:name w:val="Char Char Char Char Char Char Char Char1"/>
    <w:basedOn w:val="1"/>
    <w:autoRedefine/>
    <w:qFormat/>
    <w:uiPriority w:val="0"/>
    <w:pPr>
      <w:ind w:firstLine="200" w:firstLineChars="200"/>
      <w:jc w:val="left"/>
    </w:pPr>
    <w:rPr>
      <w:rFonts w:ascii="Tahoma" w:hAnsi="Tahoma"/>
      <w:color w:val="7030A0"/>
      <w:sz w:val="24"/>
      <w:szCs w:val="20"/>
    </w:rPr>
  </w:style>
  <w:style w:type="paragraph" w:customStyle="1" w:styleId="346">
    <w:name w:val="三级条标题"/>
    <w:basedOn w:val="347"/>
    <w:next w:val="1"/>
    <w:autoRedefine/>
    <w:qFormat/>
    <w:uiPriority w:val="0"/>
    <w:pPr>
      <w:tabs>
        <w:tab w:val="left" w:pos="425"/>
      </w:tabs>
      <w:outlineLvl w:val="4"/>
    </w:pPr>
  </w:style>
  <w:style w:type="paragraph" w:customStyle="1" w:styleId="347">
    <w:name w:val="二级条标题"/>
    <w:basedOn w:val="343"/>
    <w:next w:val="1"/>
    <w:autoRedefine/>
    <w:qFormat/>
    <w:uiPriority w:val="0"/>
    <w:pPr>
      <w:tabs>
        <w:tab w:val="clear" w:pos="525"/>
      </w:tabs>
      <w:ind w:firstLine="0" w:firstLineChars="0"/>
      <w:outlineLvl w:val="3"/>
    </w:pPr>
  </w:style>
  <w:style w:type="paragraph" w:customStyle="1" w:styleId="348">
    <w:name w:val="样式 宋体 小四 左 图案: 清除 (白色) 行距: 1.5 倍行距"/>
    <w:basedOn w:val="1"/>
    <w:autoRedefine/>
    <w:qFormat/>
    <w:uiPriority w:val="0"/>
    <w:pPr>
      <w:tabs>
        <w:tab w:val="left" w:pos="840"/>
      </w:tabs>
      <w:spacing w:beforeLines="50" w:afterLines="50"/>
      <w:ind w:firstLine="200" w:firstLineChars="200"/>
      <w:jc w:val="left"/>
    </w:pPr>
    <w:rPr>
      <w:rFonts w:ascii="宋体" w:hAnsi="宋体"/>
      <w:color w:val="7030A0"/>
      <w:sz w:val="24"/>
      <w:szCs w:val="20"/>
      <w:shd w:val="clear" w:color="auto" w:fill="FFFFFF"/>
    </w:rPr>
  </w:style>
  <w:style w:type="paragraph" w:customStyle="1" w:styleId="349">
    <w:name w:val="四级条标题"/>
    <w:basedOn w:val="346"/>
    <w:next w:val="1"/>
    <w:autoRedefine/>
    <w:qFormat/>
    <w:uiPriority w:val="0"/>
    <w:pPr>
      <w:outlineLvl w:val="5"/>
    </w:pPr>
  </w:style>
  <w:style w:type="paragraph" w:customStyle="1" w:styleId="350">
    <w:name w:val="六级标题格式"/>
    <w:basedOn w:val="1"/>
    <w:autoRedefine/>
    <w:qFormat/>
    <w:uiPriority w:val="0"/>
    <w:pPr>
      <w:spacing w:afterLines="50" w:line="336" w:lineRule="auto"/>
      <w:ind w:firstLine="200" w:firstLineChars="200"/>
      <w:jc w:val="left"/>
      <w:outlineLvl w:val="5"/>
    </w:pPr>
    <w:rPr>
      <w:color w:val="7030A0"/>
      <w:sz w:val="24"/>
    </w:rPr>
  </w:style>
  <w:style w:type="paragraph" w:customStyle="1" w:styleId="351">
    <w:name w:val="附图 BJ15"/>
    <w:basedOn w:val="1"/>
    <w:autoRedefine/>
    <w:qFormat/>
    <w:uiPriority w:val="0"/>
    <w:pPr>
      <w:adjustRightInd w:val="0"/>
      <w:snapToGrid w:val="0"/>
      <w:ind w:firstLine="200" w:firstLineChars="200"/>
      <w:jc w:val="center"/>
    </w:pPr>
    <w:rPr>
      <w:rFonts w:hAnsi="Arial"/>
      <w:color w:val="7030A0"/>
      <w:kern w:val="0"/>
    </w:rPr>
  </w:style>
  <w:style w:type="paragraph" w:customStyle="1" w:styleId="352">
    <w:name w:val="正文文本缩进 31"/>
    <w:basedOn w:val="1"/>
    <w:autoRedefine/>
    <w:qFormat/>
    <w:uiPriority w:val="0"/>
    <w:pPr>
      <w:autoSpaceDE w:val="0"/>
      <w:autoSpaceDN w:val="0"/>
      <w:adjustRightInd w:val="0"/>
      <w:ind w:firstLine="525" w:firstLineChars="200"/>
      <w:jc w:val="left"/>
      <w:textAlignment w:val="baseline"/>
    </w:pPr>
    <w:rPr>
      <w:color w:val="7030A0"/>
      <w:sz w:val="24"/>
      <w:szCs w:val="20"/>
    </w:rPr>
  </w:style>
  <w:style w:type="paragraph" w:customStyle="1" w:styleId="353">
    <w:name w:val="TOC 标题1"/>
    <w:basedOn w:val="2"/>
    <w:next w:val="1"/>
    <w:autoRedefine/>
    <w:qFormat/>
    <w:uiPriority w:val="0"/>
    <w:pPr>
      <w:widowControl/>
      <w:spacing w:before="480" w:after="0" w:line="276" w:lineRule="auto"/>
      <w:ind w:left="0" w:firstLine="0"/>
      <w:jc w:val="left"/>
      <w:outlineLvl w:val="9"/>
    </w:pPr>
    <w:rPr>
      <w:rFonts w:ascii="Cambria" w:hAnsi="Cambria"/>
      <w:color w:val="365F91"/>
      <w:kern w:val="0"/>
      <w:sz w:val="30"/>
      <w:szCs w:val="28"/>
    </w:rPr>
  </w:style>
  <w:style w:type="paragraph" w:customStyle="1" w:styleId="354">
    <w:name w:val="Report Level 2"/>
    <w:basedOn w:val="246"/>
    <w:next w:val="247"/>
    <w:autoRedefine/>
    <w:qFormat/>
    <w:uiPriority w:val="0"/>
    <w:pPr>
      <w:tabs>
        <w:tab w:val="left" w:pos="1500"/>
        <w:tab w:val="clear" w:pos="1080"/>
      </w:tabs>
      <w:ind w:left="1500"/>
      <w:outlineLvl w:val="1"/>
    </w:pPr>
    <w:rPr>
      <w:caps w:val="0"/>
    </w:rPr>
  </w:style>
  <w:style w:type="paragraph" w:customStyle="1" w:styleId="355">
    <w:name w:val="Report Level 3"/>
    <w:basedOn w:val="246"/>
    <w:next w:val="247"/>
    <w:autoRedefine/>
    <w:qFormat/>
    <w:uiPriority w:val="0"/>
    <w:pPr>
      <w:tabs>
        <w:tab w:val="left" w:pos="1889"/>
        <w:tab w:val="clear" w:pos="1080"/>
      </w:tabs>
      <w:spacing w:before="120"/>
      <w:ind w:left="1889" w:hanging="420"/>
      <w:outlineLvl w:val="2"/>
    </w:pPr>
    <w:rPr>
      <w:caps w:val="0"/>
      <w:sz w:val="20"/>
    </w:rPr>
  </w:style>
  <w:style w:type="paragraph" w:customStyle="1" w:styleId="356">
    <w:name w:val="Report Level 4"/>
    <w:basedOn w:val="355"/>
    <w:next w:val="247"/>
    <w:autoRedefine/>
    <w:qFormat/>
    <w:uiPriority w:val="0"/>
    <w:pPr>
      <w:tabs>
        <w:tab w:val="left" w:pos="720"/>
        <w:tab w:val="left" w:pos="2309"/>
        <w:tab w:val="clear" w:pos="1889"/>
      </w:tabs>
      <w:ind w:left="720" w:hanging="720"/>
      <w:outlineLvl w:val="3"/>
    </w:pPr>
    <w:rPr>
      <w:rFonts w:ascii="Times New Roman" w:hAnsi="Times New Roman"/>
    </w:rPr>
  </w:style>
  <w:style w:type="paragraph" w:customStyle="1" w:styleId="357">
    <w:name w:val="样式3"/>
    <w:basedOn w:val="4"/>
    <w:next w:val="1"/>
    <w:autoRedefine/>
    <w:qFormat/>
    <w:uiPriority w:val="0"/>
    <w:pPr>
      <w:tabs>
        <w:tab w:val="left" w:pos="709"/>
      </w:tabs>
      <w:spacing w:before="0" w:after="0" w:line="240" w:lineRule="auto"/>
      <w:ind w:left="709" w:hanging="709"/>
      <w:jc w:val="left"/>
    </w:pPr>
    <w:rPr>
      <w:rFonts w:ascii="Tahoma" w:hAnsi="Tahoma"/>
      <w:b w:val="0"/>
      <w:bCs w:val="0"/>
      <w:sz w:val="28"/>
      <w:szCs w:val="20"/>
    </w:rPr>
  </w:style>
  <w:style w:type="paragraph" w:customStyle="1" w:styleId="358">
    <w:name w:val="小标4"/>
    <w:basedOn w:val="1"/>
    <w:next w:val="1"/>
    <w:autoRedefine/>
    <w:qFormat/>
    <w:uiPriority w:val="0"/>
    <w:pPr>
      <w:tabs>
        <w:tab w:val="left" w:pos="900"/>
      </w:tabs>
      <w:spacing w:line="400" w:lineRule="exact"/>
      <w:ind w:left="900" w:firstLine="200" w:firstLineChars="200"/>
      <w:jc w:val="left"/>
    </w:pPr>
    <w:rPr>
      <w:rFonts w:ascii="宋体"/>
      <w:color w:val="7030A0"/>
      <w:sz w:val="24"/>
    </w:rPr>
  </w:style>
  <w:style w:type="paragraph" w:customStyle="1" w:styleId="359">
    <w:name w:val="样式 标题2 1.1 + 段前: 0 磅 段后: 0 磅"/>
    <w:basedOn w:val="1"/>
    <w:autoRedefine/>
    <w:qFormat/>
    <w:uiPriority w:val="0"/>
    <w:pPr>
      <w:keepNext/>
      <w:tabs>
        <w:tab w:val="left" w:pos="567"/>
      </w:tabs>
      <w:spacing w:line="480" w:lineRule="atLeast"/>
      <w:ind w:left="567" w:hanging="567" w:firstLineChars="200"/>
      <w:jc w:val="left"/>
      <w:outlineLvl w:val="1"/>
    </w:pPr>
    <w:rPr>
      <w:color w:val="7030A0"/>
      <w:sz w:val="28"/>
      <w:szCs w:val="20"/>
    </w:rPr>
  </w:style>
  <w:style w:type="paragraph" w:customStyle="1" w:styleId="360">
    <w:name w:val="表格文字格式"/>
    <w:basedOn w:val="1"/>
    <w:autoRedefine/>
    <w:qFormat/>
    <w:uiPriority w:val="0"/>
    <w:pPr>
      <w:snapToGrid w:val="0"/>
      <w:jc w:val="center"/>
    </w:pPr>
    <w:rPr>
      <w:rFonts w:cs="宋体"/>
      <w:szCs w:val="20"/>
    </w:rPr>
  </w:style>
  <w:style w:type="paragraph" w:customStyle="1" w:styleId="361">
    <w:name w:val="正文文本 22"/>
    <w:basedOn w:val="1"/>
    <w:autoRedefine/>
    <w:qFormat/>
    <w:uiPriority w:val="0"/>
    <w:pPr>
      <w:autoSpaceDE w:val="0"/>
      <w:autoSpaceDN w:val="0"/>
      <w:adjustRightInd w:val="0"/>
      <w:ind w:left="525" w:firstLine="525" w:firstLineChars="200"/>
      <w:jc w:val="left"/>
      <w:textAlignment w:val="baseline"/>
    </w:pPr>
    <w:rPr>
      <w:color w:val="7030A0"/>
      <w:szCs w:val="20"/>
    </w:rPr>
  </w:style>
  <w:style w:type="paragraph" w:customStyle="1" w:styleId="362">
    <w:name w:val="样式 宋体 小四 首行缩进:  0.93 厘米 段前: 11.15 磅 段后: 11.15 磅1 Char"/>
    <w:basedOn w:val="1"/>
    <w:autoRedefine/>
    <w:qFormat/>
    <w:uiPriority w:val="0"/>
    <w:pPr>
      <w:adjustRightInd w:val="0"/>
      <w:snapToGrid w:val="0"/>
      <w:ind w:left="200" w:leftChars="200" w:firstLine="200" w:firstLineChars="200"/>
      <w:jc w:val="left"/>
    </w:pPr>
    <w:rPr>
      <w:rFonts w:ascii="宋体"/>
      <w:color w:val="7030A0"/>
      <w:sz w:val="24"/>
      <w:szCs w:val="20"/>
    </w:rPr>
  </w:style>
  <w:style w:type="paragraph" w:customStyle="1" w:styleId="363">
    <w:name w:val="五级条标题"/>
    <w:basedOn w:val="349"/>
    <w:next w:val="1"/>
    <w:autoRedefine/>
    <w:qFormat/>
    <w:uiPriority w:val="0"/>
    <w:pPr>
      <w:outlineLvl w:val="6"/>
    </w:pPr>
  </w:style>
  <w:style w:type="paragraph" w:customStyle="1" w:styleId="364">
    <w:name w:val="文档结构图1"/>
    <w:basedOn w:val="1"/>
    <w:autoRedefine/>
    <w:qFormat/>
    <w:uiPriority w:val="0"/>
    <w:pPr>
      <w:shd w:val="clear" w:color="auto" w:fill="000080"/>
      <w:autoSpaceDE w:val="0"/>
      <w:autoSpaceDN w:val="0"/>
      <w:adjustRightInd w:val="0"/>
      <w:ind w:firstLine="200" w:firstLineChars="200"/>
      <w:jc w:val="left"/>
      <w:textAlignment w:val="baseline"/>
    </w:pPr>
    <w:rPr>
      <w:color w:val="7030A0"/>
      <w:szCs w:val="20"/>
    </w:rPr>
  </w:style>
  <w:style w:type="paragraph" w:customStyle="1" w:styleId="365">
    <w:name w:val="註解方塊文字2"/>
    <w:basedOn w:val="1"/>
    <w:autoRedefine/>
    <w:qFormat/>
    <w:uiPriority w:val="0"/>
    <w:rPr>
      <w:rFonts w:ascii="Arial" w:hAnsi="Arial" w:eastAsia="PMingLiU"/>
      <w:color w:val="7030A0"/>
      <w:sz w:val="18"/>
      <w:szCs w:val="18"/>
    </w:rPr>
  </w:style>
  <w:style w:type="paragraph" w:customStyle="1" w:styleId="366">
    <w:name w:val="正文文本缩进 22"/>
    <w:basedOn w:val="1"/>
    <w:autoRedefine/>
    <w:qFormat/>
    <w:uiPriority w:val="0"/>
    <w:pPr>
      <w:autoSpaceDE w:val="0"/>
      <w:autoSpaceDN w:val="0"/>
      <w:adjustRightInd w:val="0"/>
      <w:ind w:firstLine="420" w:firstLineChars="200"/>
      <w:jc w:val="left"/>
      <w:textAlignment w:val="baseline"/>
    </w:pPr>
    <w:rPr>
      <w:color w:val="7030A0"/>
      <w:szCs w:val="20"/>
    </w:rPr>
  </w:style>
  <w:style w:type="paragraph" w:customStyle="1" w:styleId="367">
    <w:name w:val="纯文本2"/>
    <w:basedOn w:val="1"/>
    <w:autoRedefine/>
    <w:qFormat/>
    <w:uiPriority w:val="0"/>
    <w:pPr>
      <w:adjustRightInd w:val="0"/>
      <w:spacing w:line="312" w:lineRule="atLeast"/>
      <w:ind w:firstLine="200" w:firstLineChars="200"/>
      <w:jc w:val="left"/>
      <w:textAlignment w:val="baseline"/>
    </w:pPr>
    <w:rPr>
      <w:rFonts w:ascii="宋体" w:hAnsi="Courier New"/>
      <w:color w:val="7030A0"/>
      <w:kern w:val="0"/>
      <w:sz w:val="28"/>
      <w:szCs w:val="20"/>
    </w:rPr>
  </w:style>
  <w:style w:type="paragraph" w:customStyle="1" w:styleId="368">
    <w:name w:val="三级标题格式"/>
    <w:basedOn w:val="4"/>
    <w:autoRedefine/>
    <w:qFormat/>
    <w:uiPriority w:val="0"/>
    <w:pPr>
      <w:spacing w:before="0" w:afterLines="100" w:line="240" w:lineRule="auto"/>
      <w:jc w:val="left"/>
    </w:pPr>
    <w:rPr>
      <w:rFonts w:eastAsia="黑体"/>
      <w:b w:val="0"/>
      <w:sz w:val="28"/>
      <w:szCs w:val="28"/>
    </w:rPr>
  </w:style>
  <w:style w:type="paragraph" w:customStyle="1" w:styleId="369">
    <w:name w:val="正文缩进1"/>
    <w:basedOn w:val="1"/>
    <w:link w:val="428"/>
    <w:autoRedefine/>
    <w:qFormat/>
    <w:uiPriority w:val="0"/>
    <w:pPr>
      <w:spacing w:line="360" w:lineRule="auto"/>
      <w:ind w:firstLine="420"/>
    </w:pPr>
    <w:rPr>
      <w:kern w:val="2"/>
      <w:sz w:val="21"/>
      <w:szCs w:val="24"/>
    </w:rPr>
  </w:style>
  <w:style w:type="paragraph" w:customStyle="1" w:styleId="370">
    <w:name w:val="图文"/>
    <w:basedOn w:val="1"/>
    <w:autoRedefine/>
    <w:qFormat/>
    <w:uiPriority w:val="0"/>
    <w:pPr>
      <w:adjustRightInd w:val="0"/>
      <w:snapToGrid w:val="0"/>
      <w:spacing w:after="50" w:line="360" w:lineRule="auto"/>
    </w:pPr>
    <w:rPr>
      <w:sz w:val="24"/>
    </w:rPr>
  </w:style>
  <w:style w:type="character" w:customStyle="1" w:styleId="371">
    <w:name w:val="page number"/>
    <w:basedOn w:val="46"/>
    <w:autoRedefine/>
    <w:qFormat/>
    <w:uiPriority w:val="0"/>
  </w:style>
  <w:style w:type="character" w:customStyle="1" w:styleId="372">
    <w:name w:val="批注框文本 Char Char Char Char"/>
    <w:basedOn w:val="46"/>
    <w:link w:val="107"/>
    <w:autoRedefine/>
    <w:semiHidden/>
    <w:qFormat/>
    <w:uiPriority w:val="0"/>
    <w:rPr>
      <w:rFonts w:ascii="Times New Roman" w:hAnsi="Times New Roman" w:eastAsia="宋体" w:cs="Times New Roman"/>
      <w:sz w:val="18"/>
      <w:szCs w:val="18"/>
    </w:rPr>
  </w:style>
  <w:style w:type="character" w:customStyle="1" w:styleId="373">
    <w:name w:val="HTML Typewriter"/>
    <w:autoRedefine/>
    <w:qFormat/>
    <w:uiPriority w:val="0"/>
    <w:rPr>
      <w:rFonts w:ascii="黑体" w:hAnsi="Courier New" w:eastAsia="黑体" w:cs="Courier New"/>
      <w:sz w:val="20"/>
      <w:szCs w:val="20"/>
    </w:rPr>
  </w:style>
  <w:style w:type="character" w:customStyle="1" w:styleId="374">
    <w:name w:val="annotation reference"/>
    <w:basedOn w:val="46"/>
    <w:autoRedefine/>
    <w:qFormat/>
    <w:uiPriority w:val="0"/>
    <w:rPr>
      <w:sz w:val="21"/>
      <w:szCs w:val="21"/>
    </w:rPr>
  </w:style>
  <w:style w:type="character" w:customStyle="1" w:styleId="375">
    <w:name w:val="四级标题格式 Char Char"/>
    <w:link w:val="131"/>
    <w:autoRedefine/>
    <w:semiHidden/>
    <w:qFormat/>
    <w:uiPriority w:val="0"/>
    <w:rPr>
      <w:rFonts w:ascii="Times New Roman" w:hAnsi="Times New Roman" w:eastAsia="黑体"/>
      <w:bCs/>
      <w:kern w:val="2"/>
      <w:sz w:val="28"/>
      <w:szCs w:val="28"/>
    </w:rPr>
  </w:style>
  <w:style w:type="character" w:customStyle="1" w:styleId="376">
    <w:name w:val="标题 5 Char1"/>
    <w:link w:val="6"/>
    <w:autoRedefine/>
    <w:semiHidden/>
    <w:qFormat/>
    <w:uiPriority w:val="0"/>
    <w:rPr>
      <w:rFonts w:ascii="Times New Roman" w:hAnsi="Times New Roman"/>
      <w:b/>
      <w:kern w:val="2"/>
      <w:sz w:val="28"/>
    </w:rPr>
  </w:style>
  <w:style w:type="character" w:customStyle="1" w:styleId="377">
    <w:name w:val="样式 标题 31.1条标题1.1.1二级节名h3Heading 3 - oldheading 3H3H31H3... Char Char"/>
    <w:autoRedefine/>
    <w:qFormat/>
    <w:uiPriority w:val="0"/>
    <w:rPr>
      <w:rFonts w:ascii="宋体" w:hAnsi="宋体" w:eastAsia="黑体"/>
      <w:kern w:val="2"/>
      <w:sz w:val="24"/>
      <w:szCs w:val="21"/>
    </w:rPr>
  </w:style>
  <w:style w:type="character" w:customStyle="1" w:styleId="378">
    <w:name w:val="标题3 Char Char"/>
    <w:link w:val="132"/>
    <w:autoRedefine/>
    <w:semiHidden/>
    <w:qFormat/>
    <w:uiPriority w:val="0"/>
    <w:rPr>
      <w:rFonts w:ascii="宋体" w:hAnsi="宋体"/>
      <w:b/>
      <w:bCs/>
      <w:color w:val="92D050"/>
      <w:kern w:val="44"/>
      <w:sz w:val="24"/>
      <w:szCs w:val="21"/>
    </w:rPr>
  </w:style>
  <w:style w:type="character" w:customStyle="1" w:styleId="379">
    <w:name w:val="selected"/>
    <w:basedOn w:val="46"/>
    <w:autoRedefine/>
    <w:qFormat/>
    <w:uiPriority w:val="0"/>
    <w:rPr>
      <w:shd w:val="clear" w:color="auto" w:fill="B00006"/>
    </w:rPr>
  </w:style>
  <w:style w:type="character" w:customStyle="1" w:styleId="380">
    <w:name w:val="样式 宋体 行距: 固定值 24 磅 Char Char"/>
    <w:link w:val="133"/>
    <w:autoRedefine/>
    <w:semiHidden/>
    <w:qFormat/>
    <w:uiPriority w:val="0"/>
    <w:rPr>
      <w:rFonts w:ascii="宋体" w:cs="宋体"/>
      <w:color w:val="7030A0"/>
      <w:kern w:val="2"/>
      <w:sz w:val="28"/>
    </w:rPr>
  </w:style>
  <w:style w:type="character" w:customStyle="1" w:styleId="381">
    <w:name w:val="样式 首行缩进:  2 字符 Char1"/>
    <w:link w:val="134"/>
    <w:autoRedefine/>
    <w:semiHidden/>
    <w:qFormat/>
    <w:uiPriority w:val="0"/>
    <w:rPr>
      <w:rFonts w:ascii="Times New Roman" w:hAnsi="Times New Roman"/>
      <w:color w:val="7030A0"/>
      <w:kern w:val="2"/>
      <w:sz w:val="24"/>
    </w:rPr>
  </w:style>
  <w:style w:type="character" w:customStyle="1" w:styleId="382">
    <w:name w:val="日期 Char1"/>
    <w:basedOn w:val="46"/>
    <w:autoRedefine/>
    <w:qFormat/>
    <w:uiPriority w:val="0"/>
    <w:rPr>
      <w:rFonts w:ascii="Times New Roman" w:hAnsi="Times New Roman"/>
      <w:kern w:val="2"/>
      <w:sz w:val="21"/>
      <w:szCs w:val="24"/>
    </w:rPr>
  </w:style>
  <w:style w:type="character" w:customStyle="1" w:styleId="383">
    <w:name w:val="正文－wjnew Char Char"/>
    <w:link w:val="135"/>
    <w:autoRedefine/>
    <w:semiHidden/>
    <w:qFormat/>
    <w:uiPriority w:val="0"/>
    <w:rPr>
      <w:rFonts w:ascii="宋体" w:cs="宋体"/>
      <w:kern w:val="2"/>
      <w:sz w:val="21"/>
      <w:szCs w:val="21"/>
    </w:rPr>
  </w:style>
  <w:style w:type="character" w:customStyle="1" w:styleId="384">
    <w:name w:val="标题 4 Char1"/>
    <w:autoRedefine/>
    <w:qFormat/>
    <w:uiPriority w:val="0"/>
    <w:rPr>
      <w:rFonts w:ascii="宋体" w:hAnsi="宋体"/>
      <w:b/>
      <w:bCs/>
      <w:kern w:val="2"/>
      <w:sz w:val="21"/>
    </w:rPr>
  </w:style>
  <w:style w:type="character" w:customStyle="1" w:styleId="385">
    <w:name w:val="(1) Char Char"/>
    <w:link w:val="136"/>
    <w:autoRedefine/>
    <w:semiHidden/>
    <w:qFormat/>
    <w:uiPriority w:val="0"/>
    <w:rPr>
      <w:rFonts w:ascii="宋体" w:hAnsi="宋体"/>
      <w:kern w:val="2"/>
      <w:sz w:val="24"/>
      <w:szCs w:val="24"/>
    </w:rPr>
  </w:style>
  <w:style w:type="character" w:customStyle="1" w:styleId="386">
    <w:name w:val="样式 标题 2标题 1.1head:2#2 headlinehheadlineS&amp;R2ERMH2Head 2 +... Char Char"/>
    <w:autoRedefine/>
    <w:qFormat/>
    <w:uiPriority w:val="0"/>
    <w:rPr>
      <w:rFonts w:ascii="Arial" w:hAnsi="Arial" w:eastAsia="宋体"/>
      <w:b/>
      <w:bCs/>
      <w:sz w:val="24"/>
      <w:lang w:val="en-US" w:eastAsia="zh-CN" w:bidi="ar-SA"/>
    </w:rPr>
  </w:style>
  <w:style w:type="character" w:customStyle="1" w:styleId="387">
    <w:name w:val="樣式 標題 3 + (中文) MS Gothic 10.5 點 Char Char Char Char Char Char Char Char"/>
    <w:autoRedefine/>
    <w:qFormat/>
    <w:uiPriority w:val="0"/>
    <w:rPr>
      <w:rFonts w:hAnsi="PMingLiU" w:eastAsia="MS Gothic"/>
      <w:snapToGrid w:val="0"/>
      <w:kern w:val="2"/>
      <w:sz w:val="24"/>
      <w:lang w:eastAsia="zh-TW"/>
    </w:rPr>
  </w:style>
  <w:style w:type="character" w:customStyle="1" w:styleId="388">
    <w:name w:val="正文 BJ15 Char Char"/>
    <w:link w:val="137"/>
    <w:autoRedefine/>
    <w:semiHidden/>
    <w:qFormat/>
    <w:uiPriority w:val="0"/>
    <w:rPr>
      <w:rFonts w:ascii="Times New Roman" w:hAnsi="Times New Roman"/>
      <w:kern w:val="2"/>
      <w:sz w:val="24"/>
      <w:szCs w:val="24"/>
    </w:rPr>
  </w:style>
  <w:style w:type="character" w:customStyle="1" w:styleId="389">
    <w:name w:val="纯文本 Char Char"/>
    <w:autoRedefine/>
    <w:qFormat/>
    <w:uiPriority w:val="0"/>
    <w:rPr>
      <w:rFonts w:ascii="宋体" w:hAnsi="Courier New" w:eastAsia="宋体" w:cs="Century"/>
      <w:kern w:val="2"/>
      <w:sz w:val="21"/>
      <w:szCs w:val="21"/>
      <w:lang w:val="en-US" w:eastAsia="zh-CN" w:bidi="ar-SA"/>
    </w:rPr>
  </w:style>
  <w:style w:type="character" w:customStyle="1" w:styleId="390">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391">
    <w:name w:val="1.1 Char Char"/>
    <w:autoRedefine/>
    <w:qFormat/>
    <w:uiPriority w:val="0"/>
    <w:rPr>
      <w:rFonts w:ascii="宋体" w:eastAsia="宋体"/>
      <w:b/>
      <w:bCs/>
      <w:kern w:val="2"/>
      <w:sz w:val="24"/>
      <w:szCs w:val="32"/>
      <w:lang w:val="en-US" w:eastAsia="zh-CN" w:bidi="ar-SA"/>
    </w:rPr>
  </w:style>
  <w:style w:type="character" w:customStyle="1" w:styleId="392">
    <w:name w:val="正文文本 Char1"/>
    <w:autoRedefine/>
    <w:qFormat/>
    <w:uiPriority w:val="0"/>
    <w:rPr>
      <w:rFonts w:ascii="Times New Roman" w:hAnsi="Times New Roman"/>
      <w:kern w:val="2"/>
      <w:sz w:val="24"/>
    </w:rPr>
  </w:style>
  <w:style w:type="character" w:customStyle="1" w:styleId="393">
    <w:name w:val="普通文字 Char Char"/>
    <w:autoRedefine/>
    <w:qFormat/>
    <w:uiPriority w:val="0"/>
    <w:rPr>
      <w:rFonts w:ascii="宋体" w:hAnsi="Courier New" w:eastAsia="宋体"/>
      <w:kern w:val="2"/>
      <w:sz w:val="21"/>
      <w:lang w:val="en-US" w:eastAsia="zh-CN" w:bidi="ar-SA"/>
    </w:rPr>
  </w:style>
  <w:style w:type="character" w:customStyle="1" w:styleId="394">
    <w:name w:val="样式 二号 红色 边框:: (单实线 自动设置  0.5 磅 行宽)"/>
    <w:autoRedefine/>
    <w:qFormat/>
    <w:uiPriority w:val="0"/>
    <w:rPr>
      <w:rFonts w:eastAsia="宋体"/>
      <w:color w:val="0000FF"/>
      <w:sz w:val="44"/>
      <w:bdr w:val="single" w:color="0000FF" w:sz="4" w:space="0"/>
    </w:rPr>
  </w:style>
  <w:style w:type="character" w:customStyle="1" w:styleId="395">
    <w:name w:val="displayarti"/>
    <w:basedOn w:val="46"/>
    <w:autoRedefine/>
    <w:qFormat/>
    <w:uiPriority w:val="0"/>
    <w:rPr>
      <w:color w:val="FFFFFF"/>
      <w:shd w:val="clear" w:color="auto" w:fill="A00000"/>
    </w:rPr>
  </w:style>
  <w:style w:type="character" w:customStyle="1" w:styleId="396">
    <w:name w:val="正文－zlb Char Char"/>
    <w:link w:val="138"/>
    <w:autoRedefine/>
    <w:semiHidden/>
    <w:qFormat/>
    <w:uiPriority w:val="0"/>
    <w:rPr>
      <w:rFonts w:ascii="宋体" w:cs="宋体"/>
      <w:kern w:val="2"/>
      <w:sz w:val="24"/>
      <w:szCs w:val="24"/>
    </w:rPr>
  </w:style>
  <w:style w:type="character" w:customStyle="1" w:styleId="397">
    <w:name w:val="Char Char11"/>
    <w:autoRedefine/>
    <w:qFormat/>
    <w:uiPriority w:val="0"/>
    <w:rPr>
      <w:rFonts w:eastAsia="宋体"/>
      <w:b/>
      <w:bCs/>
      <w:kern w:val="2"/>
      <w:sz w:val="24"/>
      <w:szCs w:val="24"/>
      <w:lang w:val="en-US" w:eastAsia="zh-CN" w:bidi="ar-SA"/>
    </w:rPr>
  </w:style>
  <w:style w:type="character" w:customStyle="1" w:styleId="398">
    <w:name w:val="正文（首行缩进两字） Char"/>
    <w:autoRedefine/>
    <w:qFormat/>
    <w:uiPriority w:val="0"/>
    <w:rPr>
      <w:rFonts w:eastAsia="宋体"/>
      <w:sz w:val="32"/>
      <w:lang w:val="en-US" w:eastAsia="zh-CN" w:bidi="ar-SA"/>
    </w:rPr>
  </w:style>
  <w:style w:type="character" w:customStyle="1" w:styleId="399">
    <w:name w:val="b Char"/>
    <w:autoRedefine/>
    <w:qFormat/>
    <w:uiPriority w:val="0"/>
    <w:rPr>
      <w:rFonts w:eastAsia="宋体"/>
      <w:b/>
      <w:bCs/>
      <w:kern w:val="2"/>
      <w:sz w:val="28"/>
      <w:szCs w:val="28"/>
      <w:lang w:val="en-US" w:eastAsia="zh-CN" w:bidi="ar-SA"/>
    </w:rPr>
  </w:style>
  <w:style w:type="character" w:customStyle="1" w:styleId="400">
    <w:name w:val="正文段落格式 Char Char"/>
    <w:autoRedefine/>
    <w:qFormat/>
    <w:uiPriority w:val="0"/>
    <w:rPr>
      <w:rFonts w:cs="宋体"/>
      <w:color w:val="7030A0"/>
      <w:kern w:val="2"/>
      <w:sz w:val="24"/>
    </w:rPr>
  </w:style>
  <w:style w:type="character" w:customStyle="1" w:styleId="401">
    <w:name w:val="图表标题 BJ8 Char Char"/>
    <w:link w:val="139"/>
    <w:autoRedefine/>
    <w:semiHidden/>
    <w:qFormat/>
    <w:uiPriority w:val="0"/>
    <w:rPr>
      <w:rFonts w:ascii="Times New Roman" w:hAnsi="Times New Roman" w:eastAsia="黑体"/>
      <w:kern w:val="2"/>
      <w:sz w:val="24"/>
    </w:rPr>
  </w:style>
  <w:style w:type="character" w:customStyle="1" w:styleId="402">
    <w:name w:val="应答文本 Char Char"/>
    <w:autoRedefine/>
    <w:qFormat/>
    <w:uiPriority w:val="0"/>
    <w:rPr>
      <w:rFonts w:ascii="Arial" w:hAnsi="Arial" w:eastAsia="楷体_GB2312" w:cs="宋体"/>
      <w:spacing w:val="10"/>
      <w:sz w:val="21"/>
      <w:lang w:val="en-US" w:eastAsia="zh-CN" w:bidi="ar-SA"/>
    </w:rPr>
  </w:style>
  <w:style w:type="character" w:customStyle="1" w:styleId="403">
    <w:name w:val="列表框2 Char Char"/>
    <w:link w:val="140"/>
    <w:autoRedefine/>
    <w:semiHidden/>
    <w:qFormat/>
    <w:uiPriority w:val="0"/>
    <w:rPr>
      <w:color w:val="7030A0"/>
      <w:spacing w:val="10"/>
      <w:sz w:val="24"/>
      <w:szCs w:val="24"/>
    </w:rPr>
  </w:style>
  <w:style w:type="character" w:customStyle="1" w:styleId="404">
    <w:name w:val="sub-dash Char"/>
    <w:autoRedefine/>
    <w:qFormat/>
    <w:uiPriority w:val="0"/>
    <w:rPr>
      <w:rFonts w:ascii="Arial" w:hAnsi="Arial" w:eastAsia="黑体"/>
      <w:b/>
      <w:bCs/>
      <w:kern w:val="2"/>
      <w:sz w:val="24"/>
      <w:szCs w:val="24"/>
      <w:lang w:val="en-US" w:eastAsia="zh-CN" w:bidi="ar-SA"/>
    </w:rPr>
  </w:style>
  <w:style w:type="character" w:customStyle="1" w:styleId="405">
    <w:name w:val="五级标题格式 Char Char"/>
    <w:link w:val="141"/>
    <w:autoRedefine/>
    <w:semiHidden/>
    <w:qFormat/>
    <w:uiPriority w:val="0"/>
    <w:rPr>
      <w:rFonts w:ascii="Times New Roman" w:hAnsi="Times New Roman"/>
      <w:b/>
      <w:bCs/>
      <w:kern w:val="2"/>
      <w:sz w:val="24"/>
      <w:szCs w:val="28"/>
    </w:rPr>
  </w:style>
  <w:style w:type="character" w:customStyle="1" w:styleId="406">
    <w:name w:val="Char Char111"/>
    <w:autoRedefine/>
    <w:qFormat/>
    <w:uiPriority w:val="0"/>
    <w:rPr>
      <w:rFonts w:eastAsia="宋体"/>
      <w:b/>
      <w:bCs/>
      <w:kern w:val="2"/>
      <w:sz w:val="24"/>
      <w:szCs w:val="24"/>
      <w:lang w:val="en-US" w:eastAsia="zh-CN" w:bidi="ar-SA"/>
    </w:rPr>
  </w:style>
  <w:style w:type="character" w:customStyle="1" w:styleId="407">
    <w:name w:val="表格文字图表文字 Char Char"/>
    <w:autoRedefine/>
    <w:qFormat/>
    <w:uiPriority w:val="0"/>
    <w:rPr>
      <w:color w:val="7030A0"/>
      <w:kern w:val="2"/>
      <w:sz w:val="21"/>
    </w:rPr>
  </w:style>
  <w:style w:type="character" w:customStyle="1" w:styleId="408">
    <w:name w:val="占位符文本1"/>
    <w:basedOn w:val="46"/>
    <w:autoRedefine/>
    <w:qFormat/>
    <w:uiPriority w:val="0"/>
    <w:rPr>
      <w:color w:val="808080"/>
    </w:rPr>
  </w:style>
  <w:style w:type="character" w:customStyle="1" w:styleId="409">
    <w:name w:val="正文段落格式 Char Char Char"/>
    <w:link w:val="142"/>
    <w:autoRedefine/>
    <w:semiHidden/>
    <w:qFormat/>
    <w:uiPriority w:val="0"/>
    <w:rPr>
      <w:rFonts w:ascii="Times New Roman" w:hAnsi="Times New Roman"/>
      <w:color w:val="7030A0"/>
      <w:kern w:val="2"/>
      <w:sz w:val="24"/>
    </w:rPr>
  </w:style>
  <w:style w:type="character" w:customStyle="1" w:styleId="410">
    <w:name w:val="表格文字 BJ8 Char Char"/>
    <w:link w:val="143"/>
    <w:autoRedefine/>
    <w:semiHidden/>
    <w:qFormat/>
    <w:uiPriority w:val="0"/>
    <w:rPr>
      <w:rFonts w:ascii="Times New Roman" w:hAnsi="Times New Roman"/>
      <w:kern w:val="2"/>
      <w:sz w:val="21"/>
      <w:szCs w:val="21"/>
    </w:rPr>
  </w:style>
  <w:style w:type="character" w:customStyle="1" w:styleId="411">
    <w:name w:val="gpa"/>
    <w:basedOn w:val="46"/>
    <w:autoRedefine/>
    <w:qFormat/>
    <w:uiPriority w:val="0"/>
    <w:rPr>
      <w:rFonts w:ascii="Arial" w:hAnsi="Arial" w:cs="Arial"/>
      <w:sz w:val="12"/>
      <w:szCs w:val="12"/>
    </w:rPr>
  </w:style>
  <w:style w:type="character" w:customStyle="1" w:styleId="412">
    <w:name w:val="样式 标题 31.1条标题1.1.1二级节名h3Heading 3 - oldheading 3H3H31H3... Char Char Char"/>
    <w:link w:val="144"/>
    <w:autoRedefine/>
    <w:semiHidden/>
    <w:qFormat/>
    <w:uiPriority w:val="0"/>
    <w:rPr>
      <w:rFonts w:ascii="宋体" w:hAnsi="宋体" w:eastAsia="黑体"/>
      <w:kern w:val="2"/>
      <w:sz w:val="24"/>
      <w:szCs w:val="21"/>
    </w:rPr>
  </w:style>
  <w:style w:type="character" w:customStyle="1" w:styleId="413">
    <w:name w:val="标题2 Char Char"/>
    <w:link w:val="145"/>
    <w:autoRedefine/>
    <w:semiHidden/>
    <w:qFormat/>
    <w:uiPriority w:val="0"/>
    <w:rPr>
      <w:rFonts w:ascii="宋体" w:hAnsi="Times New Roman"/>
      <w:b/>
      <w:color w:val="92D050"/>
      <w:kern w:val="44"/>
      <w:sz w:val="30"/>
    </w:rPr>
  </w:style>
  <w:style w:type="character" w:customStyle="1" w:styleId="414">
    <w:name w:val="Char Char2"/>
    <w:autoRedefine/>
    <w:qFormat/>
    <w:uiPriority w:val="0"/>
    <w:rPr>
      <w:rFonts w:eastAsia="仿宋_GB2312"/>
      <w:kern w:val="2"/>
      <w:sz w:val="28"/>
      <w:lang w:val="en-US" w:eastAsia="zh-CN" w:bidi="ar-SA"/>
    </w:rPr>
  </w:style>
  <w:style w:type="character" w:customStyle="1" w:styleId="415">
    <w:name w:val="2 headline Char Char"/>
    <w:autoRedefine/>
    <w:qFormat/>
    <w:uiPriority w:val="0"/>
    <w:rPr>
      <w:rFonts w:eastAsia="黑体"/>
      <w:bCs/>
      <w:kern w:val="2"/>
      <w:sz w:val="28"/>
      <w:szCs w:val="28"/>
      <w:lang w:val="en-US" w:eastAsia="zh-CN" w:bidi="ar-SA"/>
    </w:rPr>
  </w:style>
  <w:style w:type="character" w:customStyle="1" w:styleId="416">
    <w:name w:val="正文 QD3 Char Char"/>
    <w:link w:val="146"/>
    <w:autoRedefine/>
    <w:semiHidden/>
    <w:qFormat/>
    <w:uiPriority w:val="0"/>
    <w:rPr>
      <w:rFonts w:ascii="Times New Roman" w:hAnsi="Times New Roman"/>
      <w:kern w:val="2"/>
      <w:sz w:val="24"/>
      <w:szCs w:val="24"/>
    </w:rPr>
  </w:style>
  <w:style w:type="character" w:customStyle="1" w:styleId="417">
    <w:name w:val="正文 BJ8 Char Char"/>
    <w:link w:val="147"/>
    <w:autoRedefine/>
    <w:semiHidden/>
    <w:qFormat/>
    <w:uiPriority w:val="0"/>
    <w:rPr>
      <w:rFonts w:ascii="Times New Roman" w:hAnsi="Times New Roman"/>
      <w:color w:val="7030A0"/>
      <w:kern w:val="2"/>
      <w:sz w:val="24"/>
      <w:szCs w:val="24"/>
    </w:rPr>
  </w:style>
  <w:style w:type="character" w:customStyle="1" w:styleId="418">
    <w:name w:val="书籍标题1"/>
    <w:autoRedefine/>
    <w:qFormat/>
    <w:uiPriority w:val="0"/>
    <w:rPr>
      <w:b/>
      <w:bCs/>
      <w:smallCaps/>
      <w:spacing w:val="5"/>
    </w:rPr>
  </w:style>
  <w:style w:type="character" w:customStyle="1" w:styleId="419">
    <w:name w:val="Char Char8"/>
    <w:autoRedefine/>
    <w:qFormat/>
    <w:uiPriority w:val="0"/>
    <w:rPr>
      <w:rFonts w:eastAsia="宋体"/>
      <w:kern w:val="2"/>
      <w:sz w:val="21"/>
      <w:lang w:val="en-US" w:eastAsia="zh-CN" w:bidi="ar-SA"/>
    </w:rPr>
  </w:style>
  <w:style w:type="character" w:customStyle="1" w:styleId="420">
    <w:name w:val="正文文本缩进 Char1"/>
    <w:link w:val="85"/>
    <w:autoRedefine/>
    <w:semiHidden/>
    <w:qFormat/>
    <w:uiPriority w:val="0"/>
    <w:rPr>
      <w:rFonts w:ascii="宋体" w:hAnsi="Times New Roman"/>
      <w:kern w:val="2"/>
      <w:sz w:val="21"/>
    </w:rPr>
  </w:style>
  <w:style w:type="character" w:customStyle="1" w:styleId="421">
    <w:name w:val="正文1 Char Char"/>
    <w:link w:val="148"/>
    <w:autoRedefine/>
    <w:semiHidden/>
    <w:qFormat/>
    <w:uiPriority w:val="0"/>
    <w:rPr>
      <w:rFonts w:ascii="宋体" w:hAnsi="宋体"/>
      <w:kern w:val="10"/>
      <w:sz w:val="21"/>
      <w:szCs w:val="24"/>
    </w:rPr>
  </w:style>
  <w:style w:type="character" w:customStyle="1" w:styleId="422">
    <w:name w:val="样式 Char Char"/>
    <w:link w:val="149"/>
    <w:autoRedefine/>
    <w:semiHidden/>
    <w:qFormat/>
    <w:uiPriority w:val="0"/>
    <w:rPr>
      <w:rFonts w:ascii="宋体" w:hAnsi="宋体" w:cs="宋体"/>
      <w:sz w:val="24"/>
      <w:szCs w:val="24"/>
      <w:lang w:val="en-US" w:eastAsia="zh-CN" w:bidi="ar-SA"/>
    </w:rPr>
  </w:style>
  <w:style w:type="character" w:customStyle="1" w:styleId="423">
    <w:name w:val="无编号正文 Char Char"/>
    <w:link w:val="150"/>
    <w:autoRedefine/>
    <w:semiHidden/>
    <w:qFormat/>
    <w:uiPriority w:val="0"/>
    <w:rPr>
      <w:rFonts w:ascii="宋体" w:hAnsi="宋体"/>
      <w:sz w:val="24"/>
      <w:szCs w:val="24"/>
    </w:rPr>
  </w:style>
  <w:style w:type="character" w:customStyle="1" w:styleId="424">
    <w:name w:val="表图名称 Char Char"/>
    <w:link w:val="151"/>
    <w:autoRedefine/>
    <w:semiHidden/>
    <w:qFormat/>
    <w:uiPriority w:val="0"/>
    <w:rPr>
      <w:rFonts w:ascii="黑体" w:hAnsi="宋体" w:eastAsia="黑体"/>
      <w:kern w:val="2"/>
      <w:sz w:val="24"/>
      <w:szCs w:val="24"/>
      <w:lang w:val="en-US" w:eastAsia="zh-CN" w:bidi="ar-SA"/>
    </w:rPr>
  </w:style>
  <w:style w:type="character" w:customStyle="1" w:styleId="425">
    <w:name w:val="列表框1 Char Char"/>
    <w:autoRedefine/>
    <w:qFormat/>
    <w:uiPriority w:val="0"/>
    <w:rPr>
      <w:rFonts w:ascii="Arial" w:hAnsi="Arial" w:eastAsia="楷体_GB2312" w:cs="Arial"/>
      <w:spacing w:val="10"/>
      <w:sz w:val="21"/>
      <w:lang w:val="en-US" w:eastAsia="zh-CN" w:bidi="ar-SA"/>
    </w:rPr>
  </w:style>
  <w:style w:type="character" w:customStyle="1" w:styleId="426">
    <w:name w:val="表格文字图表文字 Char Char Char"/>
    <w:link w:val="152"/>
    <w:autoRedefine/>
    <w:semiHidden/>
    <w:qFormat/>
    <w:uiPriority w:val="0"/>
    <w:rPr>
      <w:rFonts w:ascii="Times New Roman" w:hAnsi="Times New Roman"/>
      <w:color w:val="7030A0"/>
      <w:kern w:val="2"/>
      <w:sz w:val="21"/>
    </w:rPr>
  </w:style>
  <w:style w:type="character" w:customStyle="1" w:styleId="427">
    <w:name w:val="批注文字 Char1"/>
    <w:autoRedefine/>
    <w:qFormat/>
    <w:uiPriority w:val="0"/>
    <w:rPr>
      <w:kern w:val="2"/>
      <w:sz w:val="24"/>
      <w:szCs w:val="24"/>
    </w:rPr>
  </w:style>
  <w:style w:type="character" w:customStyle="1" w:styleId="428">
    <w:name w:val="正文缩进 Char Char"/>
    <w:link w:val="369"/>
    <w:autoRedefine/>
    <w:semiHidden/>
    <w:qFormat/>
    <w:uiPriority w:val="0"/>
    <w:rPr>
      <w:kern w:val="2"/>
      <w:sz w:val="21"/>
      <w:szCs w:val="24"/>
    </w:rPr>
  </w:style>
  <w:style w:type="paragraph" w:customStyle="1" w:styleId="429">
    <w:name w:val="列出段落11"/>
    <w:basedOn w:val="1"/>
    <w:autoRedefine/>
    <w:semiHidden/>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 w:type="paragraph" w:customStyle="1" w:styleId="430">
    <w:name w:val="列出段落2"/>
    <w:basedOn w:val="1"/>
    <w:autoRedefine/>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 w:type="paragraph" w:customStyle="1" w:styleId="431">
    <w:name w:val="纯文本11"/>
    <w:basedOn w:val="1"/>
    <w:autoRedefine/>
    <w:qFormat/>
    <w:uiPriority w:val="0"/>
    <w:pPr>
      <w:adjustRightInd w:val="0"/>
      <w:spacing w:line="312" w:lineRule="atLeast"/>
      <w:ind w:firstLine="567" w:firstLineChars="200"/>
      <w:jc w:val="left"/>
      <w:textAlignment w:val="baseline"/>
    </w:pPr>
    <w:rPr>
      <w:rFonts w:ascii="宋体" w:hAnsi="Courier New"/>
      <w:color w:val="7030A0"/>
      <w:kern w:val="0"/>
      <w:sz w:val="28"/>
    </w:rPr>
  </w:style>
  <w:style w:type="paragraph" w:customStyle="1" w:styleId="432">
    <w:name w:val="*正文"/>
    <w:basedOn w:val="1"/>
    <w:autoRedefine/>
    <w:qFormat/>
    <w:uiPriority w:val="0"/>
    <w:pPr>
      <w:spacing w:beforeLines="50" w:afterLines="50" w:line="360" w:lineRule="auto"/>
      <w:ind w:firstLine="200" w:firstLineChars="200"/>
      <w:contextualSpacing/>
    </w:pPr>
    <w:rPr>
      <w:rFonts w:ascii="宋体" w:hAnsi="宋体"/>
      <w:sz w:val="24"/>
      <w:szCs w:val="22"/>
    </w:rPr>
  </w:style>
  <w:style w:type="paragraph" w:customStyle="1" w:styleId="433">
    <w:name w:val="正文缩进t"/>
    <w:basedOn w:val="1"/>
    <w:autoRedefine/>
    <w:qFormat/>
    <w:uiPriority w:val="0"/>
    <w:pPr>
      <w:ind w:firstLine="480" w:firstLineChars="200"/>
    </w:pPr>
  </w:style>
  <w:style w:type="paragraph" w:customStyle="1" w:styleId="434">
    <w:name w:val="样式 正文缩进 + 首行缩进:  2 字符"/>
    <w:basedOn w:val="14"/>
    <w:autoRedefine/>
    <w:qFormat/>
    <w:uiPriority w:val="0"/>
    <w:pPr>
      <w:spacing w:line="360" w:lineRule="auto"/>
      <w:ind w:firstLine="200"/>
    </w:pPr>
    <w:rPr>
      <w:rFonts w:eastAsia="宋体" w:cs="宋体"/>
      <w:sz w:val="24"/>
      <w:szCs w:val="20"/>
    </w:rPr>
  </w:style>
  <w:style w:type="character" w:customStyle="1" w:styleId="435">
    <w:name w:val="NormalCharacter"/>
    <w:autoRedefine/>
    <w:semiHidden/>
    <w:qFormat/>
    <w:uiPriority w:val="0"/>
  </w:style>
  <w:style w:type="paragraph" w:customStyle="1" w:styleId="436">
    <w:name w:val="UserStyle_12"/>
    <w:basedOn w:val="1"/>
    <w:autoRedefine/>
    <w:qFormat/>
    <w:uiPriority w:val="0"/>
    <w:pPr>
      <w:widowControl/>
      <w:spacing w:line="360" w:lineRule="auto"/>
      <w:ind w:firstLine="200" w:firstLineChars="200"/>
      <w:textAlignment w:val="baseline"/>
    </w:pPr>
    <w:rPr>
      <w:rFonts w:eastAsia="宋体"/>
      <w:kern w:val="0"/>
      <w:sz w:val="20"/>
      <w:szCs w:val="20"/>
      <w:lang w:val="zh-CN"/>
    </w:rPr>
  </w:style>
  <w:style w:type="paragraph" w:customStyle="1" w:styleId="437">
    <w:name w:val="WPSOffice手动目录 1"/>
    <w:autoRedefine/>
    <w:qFormat/>
    <w:uiPriority w:val="0"/>
    <w:pPr>
      <w:ind w:leftChars="0"/>
    </w:pPr>
    <w:rPr>
      <w:rFonts w:ascii="Times New Roman" w:hAnsi="Times New Roman" w:eastAsia="宋体" w:cs="Times New Roman"/>
      <w:sz w:val="20"/>
      <w:szCs w:val="20"/>
    </w:rPr>
  </w:style>
  <w:style w:type="character" w:customStyle="1" w:styleId="438">
    <w:name w:val="10"/>
    <w:basedOn w:val="46"/>
    <w:autoRedefine/>
    <w:qFormat/>
    <w:uiPriority w:val="0"/>
    <w:rPr>
      <w:rFonts w:hint="default" w:ascii="Times New Roman" w:hAnsi="Times New Roman" w:cs="Times New Roman"/>
    </w:rPr>
  </w:style>
  <w:style w:type="paragraph" w:customStyle="1" w:styleId="439">
    <w:name w:val="List Paragraph_489f5276-8f4d-4339-9631-af45d570b7a5"/>
    <w:basedOn w:val="1"/>
    <w:autoRedefine/>
    <w:qFormat/>
    <w:uiPriority w:val="34"/>
    <w:pPr>
      <w:ind w:firstLine="420" w:firstLineChars="200"/>
    </w:pPr>
  </w:style>
  <w:style w:type="paragraph" w:customStyle="1" w:styleId="440">
    <w:name w:val="Heading1"/>
    <w:basedOn w:val="1"/>
    <w:next w:val="1"/>
    <w:autoRedefine/>
    <w:qFormat/>
    <w:uiPriority w:val="0"/>
    <w:pPr>
      <w:keepNext/>
      <w:numPr>
        <w:ilvl w:val="0"/>
        <w:numId w:val="1"/>
      </w:numPr>
      <w:spacing w:line="360" w:lineRule="auto"/>
      <w:ind w:left="0" w:firstLine="0"/>
      <w:jc w:val="center"/>
    </w:pPr>
    <w:rPr>
      <w:rFonts w:ascii="黑体" w:hAnsi="黑体" w:eastAsia="宋体"/>
      <w:b/>
      <w:kern w:val="0"/>
      <w:sz w:val="32"/>
    </w:rPr>
  </w:style>
  <w:style w:type="character" w:customStyle="1" w:styleId="441">
    <w:name w:val="font21"/>
    <w:basedOn w:val="46"/>
    <w:autoRedefine/>
    <w:qFormat/>
    <w:uiPriority w:val="0"/>
    <w:rPr>
      <w:rFonts w:hint="eastAsia" w:ascii="宋体" w:hAnsi="宋体" w:eastAsia="宋体" w:cs="宋体"/>
      <w:b/>
      <w:bCs/>
      <w:color w:val="000000"/>
      <w:sz w:val="28"/>
      <w:szCs w:val="28"/>
      <w:u w:val="none"/>
    </w:rPr>
  </w:style>
  <w:style w:type="character" w:customStyle="1" w:styleId="442">
    <w:name w:val="font31"/>
    <w:basedOn w:val="46"/>
    <w:autoRedefine/>
    <w:qFormat/>
    <w:uiPriority w:val="0"/>
    <w:rPr>
      <w:rFonts w:hint="eastAsia" w:ascii="宋体" w:hAnsi="宋体" w:eastAsia="宋体" w:cs="宋体"/>
      <w:b/>
      <w:bCs/>
      <w:color w:val="000000"/>
      <w:sz w:val="20"/>
      <w:szCs w:val="20"/>
      <w:u w:val="none"/>
    </w:rPr>
  </w:style>
  <w:style w:type="character" w:customStyle="1" w:styleId="443">
    <w:name w:val="font71"/>
    <w:basedOn w:val="46"/>
    <w:autoRedefine/>
    <w:qFormat/>
    <w:uiPriority w:val="0"/>
    <w:rPr>
      <w:rFonts w:hint="eastAsia" w:ascii="宋体" w:hAnsi="宋体" w:eastAsia="宋体" w:cs="宋体"/>
      <w:color w:val="000000"/>
      <w:sz w:val="20"/>
      <w:szCs w:val="20"/>
      <w:u w:val="none"/>
    </w:rPr>
  </w:style>
  <w:style w:type="character" w:customStyle="1" w:styleId="444">
    <w:name w:val="font101"/>
    <w:basedOn w:val="46"/>
    <w:autoRedefine/>
    <w:qFormat/>
    <w:uiPriority w:val="0"/>
    <w:rPr>
      <w:rFonts w:ascii="Calibri" w:hAnsi="Calibri" w:cs="Calibri"/>
      <w:color w:val="000000"/>
      <w:sz w:val="20"/>
      <w:szCs w:val="20"/>
      <w:u w:val="none"/>
    </w:rPr>
  </w:style>
  <w:style w:type="paragraph" w:styleId="445">
    <w:name w:val="List Paragraph"/>
    <w:basedOn w:val="1"/>
    <w:autoRedefine/>
    <w:qFormat/>
    <w:uiPriority w:val="99"/>
    <w:pPr>
      <w:ind w:firstLine="420" w:firstLineChars="200"/>
    </w:pPr>
  </w:style>
  <w:style w:type="paragraph" w:customStyle="1" w:styleId="446">
    <w:name w:val="Table Paragraph"/>
    <w:basedOn w:val="1"/>
    <w:autoRedefine/>
    <w:qFormat/>
    <w:uiPriority w:val="1"/>
    <w:pPr>
      <w:autoSpaceDE w:val="0"/>
      <w:autoSpaceDN w:val="0"/>
      <w:adjustRightInd w:val="0"/>
      <w:jc w:val="left"/>
    </w:pPr>
    <w:rPr>
      <w:rFonts w:eastAsiaTheme="minorEastAsia"/>
      <w:kern w:val="0"/>
      <w:sz w:val="24"/>
    </w:rPr>
  </w:style>
  <w:style w:type="paragraph" w:customStyle="1" w:styleId="447">
    <w:name w:val="Normal_2"/>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448">
    <w:name w:val="Normal_1"/>
    <w:autoRedefine/>
    <w:qFormat/>
    <w:uiPriority w:val="0"/>
    <w:rPr>
      <w:rFonts w:ascii="Times New Roman" w:hAnsi="Times New Roman" w:eastAsia="Times New Roman" w:cs="Times New Roman"/>
      <w:sz w:val="24"/>
      <w:szCs w:val="24"/>
      <w:lang w:val="en-US" w:eastAsia="zh-CN" w:bidi="ar-SA"/>
    </w:rPr>
  </w:style>
  <w:style w:type="paragraph" w:customStyle="1" w:styleId="449">
    <w:name w:val="Default"/>
    <w:next w:val="1"/>
    <w:qFormat/>
    <w:uiPriority w:val="0"/>
    <w:pPr>
      <w:widowControl w:val="0"/>
      <w:autoSpaceDE w:val="0"/>
      <w:autoSpaceDN w:val="0"/>
      <w:adjustRightInd w:val="0"/>
    </w:pPr>
    <w:rPr>
      <w:rFonts w:ascii="宋体" w:hAnsi="Calibri" w:eastAsia="宋体" w:cs="宋体"/>
      <w:color w:val="000000"/>
      <w:kern w:val="0"/>
      <w:sz w:val="24"/>
      <w:szCs w:val="24"/>
      <w:lang w:val="en-US" w:eastAsia="zh-CN" w:bidi="ar-SA"/>
    </w:rPr>
  </w:style>
  <w:style w:type="paragraph" w:customStyle="1" w:styleId="450">
    <w:name w:val="节标题"/>
    <w:basedOn w:val="1"/>
    <w:qFormat/>
    <w:uiPriority w:val="0"/>
    <w:pPr>
      <w:widowControl/>
      <w:spacing w:line="289" w:lineRule="atLeast"/>
      <w:jc w:val="center"/>
      <w:textAlignment w:val="baseline"/>
    </w:pPr>
    <w:rPr>
      <w:color w:val="000000"/>
      <w:kern w:val="0"/>
      <w:sz w:val="28"/>
      <w:szCs w:val="20"/>
      <w:u w:val="none" w:color="000000"/>
    </w:rPr>
  </w:style>
  <w:style w:type="character" w:customStyle="1" w:styleId="451">
    <w:name w:val="font01"/>
    <w:basedOn w:val="46"/>
    <w:qFormat/>
    <w:uiPriority w:val="0"/>
    <w:rPr>
      <w:rFonts w:hint="eastAsia" w:ascii="宋体" w:hAnsi="宋体" w:eastAsia="宋体" w:cs="宋体"/>
      <w:color w:val="000000"/>
      <w:sz w:val="22"/>
      <w:szCs w:val="22"/>
      <w:u w:val="none"/>
    </w:rPr>
  </w:style>
  <w:style w:type="character" w:customStyle="1" w:styleId="452">
    <w:name w:val="font51"/>
    <w:basedOn w:val="46"/>
    <w:qFormat/>
    <w:uiPriority w:val="0"/>
    <w:rPr>
      <w:rFonts w:ascii="Calibri" w:hAnsi="Calibri" w:cs="Calibri"/>
      <w:color w:val="000000"/>
      <w:sz w:val="22"/>
      <w:szCs w:val="22"/>
      <w:u w:val="none"/>
    </w:rPr>
  </w:style>
  <w:style w:type="character" w:customStyle="1" w:styleId="453">
    <w:name w:val="font61"/>
    <w:basedOn w:val="46"/>
    <w:qFormat/>
    <w:uiPriority w:val="0"/>
    <w:rPr>
      <w:rFonts w:hint="default" w:ascii="Times New Roman" w:hAnsi="Times New Roman" w:cs="Times New Roman"/>
      <w:color w:val="000000"/>
      <w:sz w:val="22"/>
      <w:szCs w:val="22"/>
      <w:u w:val="none"/>
    </w:rPr>
  </w:style>
  <w:style w:type="character" w:customStyle="1" w:styleId="454">
    <w:name w:val="font11"/>
    <w:basedOn w:val="46"/>
    <w:qFormat/>
    <w:uiPriority w:val="0"/>
    <w:rPr>
      <w:rFonts w:hint="eastAsia" w:ascii="宋体" w:hAnsi="宋体" w:eastAsia="宋体" w:cs="宋体"/>
      <w:color w:val="000000"/>
      <w:sz w:val="22"/>
      <w:szCs w:val="22"/>
      <w:u w:val="none"/>
    </w:rPr>
  </w:style>
  <w:style w:type="character" w:customStyle="1" w:styleId="455">
    <w:name w:val="font81"/>
    <w:basedOn w:val="46"/>
    <w:qFormat/>
    <w:uiPriority w:val="0"/>
    <w:rPr>
      <w:rFonts w:hint="default" w:ascii="Times New Roman" w:hAnsi="Times New Roman" w:cs="Times New Roman"/>
      <w:color w:val="000000"/>
      <w:sz w:val="22"/>
      <w:szCs w:val="22"/>
      <w:u w:val="none"/>
    </w:rPr>
  </w:style>
  <w:style w:type="character" w:customStyle="1" w:styleId="456">
    <w:name w:val="font91"/>
    <w:basedOn w:val="46"/>
    <w:qFormat/>
    <w:uiPriority w:val="0"/>
    <w:rPr>
      <w:rFonts w:hint="eastAsia" w:ascii="宋体" w:hAnsi="宋体" w:eastAsia="宋体" w:cs="宋体"/>
      <w:color w:val="000000"/>
      <w:sz w:val="22"/>
      <w:szCs w:val="22"/>
      <w:u w:val="none"/>
      <w:vertAlign w:val="superscript"/>
    </w:rPr>
  </w:style>
  <w:style w:type="paragraph" w:customStyle="1" w:styleId="457">
    <w:name w:val="样式 10 磅31114"/>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zzz</Company>
  <Pages>92</Pages>
  <Words>42124</Words>
  <Characters>43939</Characters>
  <Lines>71</Lines>
  <Paragraphs>78</Paragraphs>
  <TotalTime>86</TotalTime>
  <ScaleCrop>false</ScaleCrop>
  <LinksUpToDate>false</LinksUpToDate>
  <CharactersWithSpaces>45810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2018-04-07T03:50:00Z</dcterms:created>
  <dc:creator>wmq</dc:creator>
  <cp:lastModifiedBy>魏魏</cp:lastModifiedBy>
  <cp:lastPrinted>2022-11-25T17:15:00Z</cp:lastPrinted>
  <dcterms:modified xsi:type="dcterms:W3CDTF">2025-09-09T09:34:00Z</dcterms:modified>
  <dc:title>适用一般货物采购/非建筑设备货物采购含安装等伴随服务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9ADA1158CB414A3F8ACD62A9C5E8AFF7_13</vt:lpwstr>
  </property>
  <property fmtid="{D5CDD505-2E9C-101B-9397-08002B2CF9AE}" pid="4" name="KSOTemplateDocerSaveRecord">
    <vt:lpwstr>eyJoZGlkIjoiN2ZiZjcyNTE1MDVlNzY2MzRlNzkyMjhjMGViOTFmODkiLCJ1c2VySWQiOiI1MDE0OTgzMjcifQ==</vt:lpwstr>
  </property>
</Properties>
</file>