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版本号：240929002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学生公寓床和食堂餐桌</w:t>
      </w:r>
    </w:p>
    <w:p>
      <w:pPr>
        <w:pStyle w:val="null3"/>
        <w:jc w:val="center"/>
        <w:outlineLvl w:val="2"/>
      </w:pPr>
      <w:r>
        <w:rPr>
          <w:b/>
          <w:sz w:val="28"/>
        </w:rPr>
        <w:t>采购项目编号：</w:t>
      </w:r>
      <w:r>
        <w:rPr>
          <w:b/>
          <w:sz w:val="28"/>
        </w:rPr>
        <w:t>N5109012024000190</w:t>
      </w:r>
    </w:p>
    <w:p>
      <w:pPr>
        <w:pStyle w:val="null3"/>
        <w:jc w:val="left"/>
        <w:outlineLvl w:val="2"/>
      </w:pPr>
      <w:r>
        <w:rPr>
          <w:b/>
          <w:sz w:val="28"/>
        </w:rPr>
        <w:t>遂宁市第四中学校</w:t>
      </w:r>
    </w:p>
    <w:p>
      <w:pPr>
        <w:pStyle w:val="null3"/>
        <w:jc w:val="center"/>
        <w:outlineLvl w:val="2"/>
      </w:pPr>
      <w:r>
        <w:rPr>
          <w:b/>
          <w:sz w:val="28"/>
        </w:rPr>
        <w:t>四川国祥招标代理有限公司</w:t>
      </w:r>
      <w:r>
        <w:rPr>
          <w:b/>
          <w:sz w:val="28"/>
        </w:rPr>
        <w:t>共同编制</w:t>
      </w:r>
    </w:p>
    <w:p>
      <w:pPr>
        <w:pStyle w:val="null3"/>
        <w:jc w:val="center"/>
      </w:pPr>
      <w:r>
        <w:rPr/>
        <w:t>2024年09月09日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四川国祥招标代理有限公司</w:t>
      </w:r>
      <w:r>
        <w:rPr/>
        <w:t xml:space="preserve"> （以下简称“代理机构”）受 </w:t>
      </w:r>
      <w:r>
        <w:rPr/>
        <w:t>遂宁市第四中学校</w:t>
      </w:r>
      <w:r>
        <w:rPr/>
        <w:t xml:space="preserve"> 委托，拟对 </w:t>
      </w:r>
      <w:r>
        <w:rPr/>
        <w:t>学生公寓床和食堂餐桌</w:t>
      </w:r>
      <w:r>
        <w:rPr/>
        <w:t xml:space="preserve"> 采用公开招标方式进行采购，兹邀请符合本次招标要求的供应商参加投标。本项目为四川省</w:t>
      </w:r>
      <w:r>
        <w:rPr/>
        <w:t>遂宁市市本级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N5109012024000190</w:t>
      </w:r>
    </w:p>
    <w:p>
      <w:pPr>
        <w:pStyle w:val="null3"/>
        <w:jc w:val="left"/>
        <w:outlineLvl w:val="2"/>
      </w:pPr>
      <w:r>
        <w:rPr>
          <w:b/>
          <w:sz w:val="28"/>
        </w:rPr>
        <w:t>1.2.采购项目名称</w:t>
      </w:r>
      <w:r>
        <w:rPr>
          <w:b/>
          <w:sz w:val="28"/>
        </w:rPr>
        <w:t xml:space="preserve">： </w:t>
      </w:r>
      <w:r>
        <w:rPr>
          <w:b/>
          <w:sz w:val="28"/>
        </w:rPr>
        <w:t>学生公寓床和食堂餐桌</w:t>
      </w:r>
    </w:p>
    <w:p>
      <w:pPr>
        <w:pStyle w:val="null3"/>
        <w:jc w:val="left"/>
        <w:outlineLvl w:val="2"/>
      </w:pPr>
      <w:r>
        <w:rPr>
          <w:b/>
          <w:sz w:val="28"/>
        </w:rPr>
        <w:t>1.3.招标项目简介</w:t>
      </w:r>
    </w:p>
    <w:p>
      <w:pPr>
        <w:pStyle w:val="null3"/>
        <w:ind w:firstLine="480"/>
        <w:jc w:val="left"/>
      </w:pPr>
      <w:r>
        <w:rPr/>
        <w:t>遂宁市第四中学校 学生公寓床和食堂餐桌</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遂宁市第四中学校</w:t>
      </w:r>
    </w:p>
    <w:p>
      <w:pPr>
        <w:pStyle w:val="null3"/>
        <w:ind w:firstLine="480"/>
        <w:jc w:val="left"/>
      </w:pPr>
      <w:r>
        <w:rPr/>
        <w:t xml:space="preserve"> 地址： </w:t>
      </w:r>
      <w:r>
        <w:rPr/>
        <w:t>遂宁市船山区公园东路135号</w:t>
      </w:r>
    </w:p>
    <w:p>
      <w:pPr>
        <w:pStyle w:val="null3"/>
        <w:jc w:val="left"/>
      </w:pPr>
      <w:r>
        <w:rPr/>
        <w:t xml:space="preserve"> 邮编： </w:t>
      </w:r>
      <w:r>
        <w:rPr/>
        <w:t>629000</w:t>
      </w:r>
    </w:p>
    <w:p>
      <w:pPr>
        <w:pStyle w:val="null3"/>
        <w:jc w:val="left"/>
      </w:pPr>
      <w:r>
        <w:rPr/>
        <w:t xml:space="preserve"> 联系人： </w:t>
      </w:r>
      <w:r>
        <w:rPr/>
        <w:t>向先生</w:t>
      </w:r>
    </w:p>
    <w:p>
      <w:pPr>
        <w:pStyle w:val="null3"/>
        <w:jc w:val="left"/>
      </w:pPr>
      <w:r>
        <w:rPr/>
        <w:t xml:space="preserve"> 联系电话： </w:t>
      </w:r>
      <w:r>
        <w:rPr/>
        <w:t>15982531583</w:t>
      </w:r>
    </w:p>
    <w:p>
      <w:pPr>
        <w:pStyle w:val="null3"/>
        <w:ind w:firstLine="480"/>
        <w:jc w:val="left"/>
      </w:pPr>
      <w:r>
        <w:rPr>
          <w:b/>
        </w:rPr>
        <w:t>代理机构</w:t>
      </w:r>
      <w:r>
        <w:rPr>
          <w:b/>
        </w:rPr>
        <w:t xml:space="preserve">： </w:t>
      </w:r>
      <w:r>
        <w:rPr>
          <w:b/>
        </w:rPr>
        <w:t>四川国祥招标代理有限公司</w:t>
      </w:r>
    </w:p>
    <w:p>
      <w:pPr>
        <w:pStyle w:val="null3"/>
        <w:ind w:firstLine="480"/>
        <w:jc w:val="left"/>
      </w:pPr>
      <w:r>
        <w:rPr/>
        <w:t xml:space="preserve"> 地址： </w:t>
      </w:r>
      <w:r>
        <w:rPr/>
        <w:t>遂宁市河东新区五彩缤纷路奥城花园南区商业六栋940号4层</w:t>
      </w:r>
    </w:p>
    <w:p>
      <w:pPr>
        <w:pStyle w:val="null3"/>
        <w:jc w:val="left"/>
      </w:pPr>
      <w:r>
        <w:rPr/>
        <w:t xml:space="preserve"> 邮编： </w:t>
      </w:r>
      <w:r>
        <w:rPr/>
        <w:t>629000</w:t>
      </w:r>
    </w:p>
    <w:p>
      <w:pPr>
        <w:pStyle w:val="null3"/>
        <w:jc w:val="left"/>
      </w:pPr>
      <w:r>
        <w:rPr/>
        <w:t xml:space="preserve"> 联系人： </w:t>
      </w:r>
      <w:r>
        <w:rPr/>
        <w:t>周女士</w:t>
      </w:r>
    </w:p>
    <w:p>
      <w:pPr>
        <w:pStyle w:val="null3"/>
        <w:jc w:val="left"/>
      </w:pPr>
      <w:r>
        <w:rPr/>
        <w:t xml:space="preserve"> 联系电话： </w:t>
      </w:r>
      <w:r>
        <w:rPr/>
        <w:t>0825-2818707</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代理服务费收费标准：参照国家发改委“发改价格（2015）299号”文件规定收取代理服务费。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遂宁市第四中学校</w:t>
      </w:r>
      <w:r>
        <w:rPr/>
        <w:t xml:space="preserve"> 和 </w:t>
      </w:r>
      <w:r>
        <w:rPr/>
        <w:t>四川国祥招标代理有限公司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遂宁市第四中学校</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四川国祥招标代理有限公司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所有货物交付完成，安装调试成功后</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详见招标文件</w:t>
      </w:r>
    </w:p>
    <w:p>
      <w:pPr>
        <w:pStyle w:val="null3"/>
        <w:ind w:firstLine="480"/>
        <w:jc w:val="left"/>
      </w:pPr>
      <w:r>
        <w:rPr/>
        <w:t>十、商务履约验收内容：</w:t>
      </w:r>
    </w:p>
    <w:p>
      <w:pPr>
        <w:pStyle w:val="null3"/>
        <w:ind w:firstLine="480"/>
        <w:jc w:val="left"/>
      </w:pPr>
      <w:r>
        <w:rPr/>
        <w:t>采购包1：</w:t>
      </w:r>
      <w:r>
        <w:rPr/>
        <w:t>详见招标文件</w:t>
      </w:r>
    </w:p>
    <w:p>
      <w:pPr>
        <w:pStyle w:val="null3"/>
        <w:ind w:firstLine="480"/>
        <w:jc w:val="left"/>
      </w:pPr>
      <w:r>
        <w:rPr/>
        <w:t>十一、履约验收标准：</w:t>
      </w:r>
    </w:p>
    <w:p>
      <w:pPr>
        <w:pStyle w:val="null3"/>
        <w:ind w:firstLine="480"/>
        <w:jc w:val="left"/>
      </w:pPr>
      <w:r>
        <w:rPr/>
        <w:t>采购包1：</w:t>
      </w:r>
      <w:r>
        <w:rPr/>
        <w:t>详见招标文件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遂宁市第四中学校</w:t>
      </w:r>
      <w:r>
        <w:rPr/>
        <w:t xml:space="preserve"> 负责答复；投标人对除采购需求外的招标文件的询问、质疑由 </w:t>
      </w:r>
      <w:r>
        <w:rPr/>
        <w:t>四川国祥招标代理有限公司</w:t>
      </w:r>
      <w:r>
        <w:rPr/>
        <w:t xml:space="preserve"> 负责答复；投标人对采购过程、采购结果的询问、质疑由 </w:t>
      </w:r>
      <w:r>
        <w:rPr/>
        <w:t>四川国祥招标代理有限公司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联系人：周女士</w:t>
      </w:r>
    </w:p>
    <w:p>
      <w:pPr>
        <w:pStyle w:val="null3"/>
        <w:jc w:val="left"/>
      </w:pPr>
      <w:r>
        <w:rPr/>
        <w:t>联系电话：0825-2818707</w:t>
      </w:r>
    </w:p>
    <w:p>
      <w:pPr>
        <w:pStyle w:val="null3"/>
        <w:jc w:val="left"/>
      </w:pPr>
      <w:r>
        <w:rPr/>
        <w:t>地址：遂宁市河东新区五彩缤纷路奥城花园南区商业六栋940号4层（可导航四川国祥招标代理有限公司）</w:t>
      </w:r>
    </w:p>
    <w:p>
      <w:pPr>
        <w:pStyle w:val="null3"/>
        <w:jc w:val="left"/>
      </w:pPr>
      <w:r>
        <w:rPr/>
        <w:t>邮编：629000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400,000.00</w:t>
      </w:r>
    </w:p>
    <w:p>
      <w:pPr>
        <w:pStyle w:val="null3"/>
        <w:jc w:val="left"/>
      </w:pPr>
      <w:r>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钢木床类</w:t>
            </w:r>
          </w:p>
        </w:tc>
        <w:tc>
          <w:tcPr>
            <w:tcW w:type="dxa" w:w="821"/>
          </w:tcPr>
          <w:p>
            <w:pPr>
              <w:pStyle w:val="null3"/>
              <w:jc w:val="left"/>
            </w:pPr>
            <w:r>
              <w:rPr/>
              <w:t>公寓床（中间加个挡板）</w:t>
            </w:r>
          </w:p>
        </w:tc>
        <w:tc>
          <w:tcPr>
            <w:tcW w:type="dxa" w:w="821"/>
          </w:tcPr>
          <w:p>
            <w:pPr>
              <w:pStyle w:val="null3"/>
              <w:jc w:val="right"/>
            </w:pPr>
            <w:r>
              <w:rPr/>
              <w:t>120.00（套）</w:t>
            </w:r>
          </w:p>
        </w:tc>
        <w:tc>
          <w:tcPr>
            <w:tcW w:type="dxa" w:w="821"/>
          </w:tcPr>
          <w:p>
            <w:pPr>
              <w:pStyle w:val="null3"/>
              <w:jc w:val="right"/>
            </w:pPr>
            <w:r>
              <w:rPr/>
              <w:t>177,600.00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w:t>
            </w:r>
          </w:p>
        </w:tc>
        <w:tc>
          <w:tcPr>
            <w:tcW w:type="dxa" w:w="821"/>
          </w:tcPr>
          <w:p>
            <w:pPr>
              <w:pStyle w:val="null3"/>
              <w:jc w:val="left"/>
            </w:pPr>
            <w:r>
              <w:rPr/>
              <w:t>其他台、桌类</w:t>
            </w:r>
          </w:p>
        </w:tc>
        <w:tc>
          <w:tcPr>
            <w:tcW w:type="dxa" w:w="821"/>
          </w:tcPr>
          <w:p>
            <w:pPr>
              <w:pStyle w:val="null3"/>
              <w:jc w:val="left"/>
            </w:pPr>
            <w:r>
              <w:rPr/>
              <w:t>四人位餐桌</w:t>
            </w:r>
          </w:p>
        </w:tc>
        <w:tc>
          <w:tcPr>
            <w:tcW w:type="dxa" w:w="821"/>
          </w:tcPr>
          <w:p>
            <w:pPr>
              <w:pStyle w:val="null3"/>
              <w:jc w:val="right"/>
            </w:pPr>
            <w:r>
              <w:rPr/>
              <w:t>100.00（套）</w:t>
            </w:r>
          </w:p>
        </w:tc>
        <w:tc>
          <w:tcPr>
            <w:tcW w:type="dxa" w:w="821"/>
          </w:tcPr>
          <w:p>
            <w:pPr>
              <w:pStyle w:val="null3"/>
              <w:jc w:val="right"/>
            </w:pPr>
            <w:r>
              <w:rPr/>
              <w:t>222,400.00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公寓床（中间加个挡板）</w:t>
            </w:r>
          </w:p>
        </w:tc>
        <w:tc>
          <w:tcPr>
            <w:tcW w:type="dxa" w:w="977"/>
          </w:tcPr>
          <w:p>
            <w:pPr>
              <w:pStyle w:val="null3"/>
              <w:jc w:val="right"/>
            </w:pPr>
            <w:r>
              <w:rPr/>
              <w:t>120.00（套）</w:t>
            </w:r>
          </w:p>
        </w:tc>
        <w:tc>
          <w:tcPr>
            <w:tcW w:type="dxa" w:w="1173"/>
          </w:tcPr>
          <w:p>
            <w:pPr>
              <w:pStyle w:val="null3"/>
              <w:jc w:val="right"/>
            </w:pPr>
            <w:r>
              <w:rPr/>
              <w:t>1,480（元）</w:t>
            </w:r>
          </w:p>
        </w:tc>
        <w:tc>
          <w:tcPr>
            <w:tcW w:type="dxa" w:w="1173"/>
          </w:tcPr>
          <w:p>
            <w:pPr>
              <w:pStyle w:val="null3"/>
              <w:jc w:val="right"/>
            </w:pPr>
            <w:r>
              <w:rPr/>
              <w:t>177,600.00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四人位餐桌</w:t>
            </w:r>
          </w:p>
        </w:tc>
        <w:tc>
          <w:tcPr>
            <w:tcW w:type="dxa" w:w="977"/>
          </w:tcPr>
          <w:p>
            <w:pPr>
              <w:pStyle w:val="null3"/>
              <w:jc w:val="right"/>
            </w:pPr>
            <w:r>
              <w:rPr/>
              <w:t>100.00（套）</w:t>
            </w:r>
          </w:p>
        </w:tc>
        <w:tc>
          <w:tcPr>
            <w:tcW w:type="dxa" w:w="1173"/>
          </w:tcPr>
          <w:p>
            <w:pPr>
              <w:pStyle w:val="null3"/>
              <w:jc w:val="right"/>
            </w:pPr>
            <w:r>
              <w:rPr/>
              <w:t>2,224（元）</w:t>
            </w:r>
          </w:p>
        </w:tc>
        <w:tc>
          <w:tcPr>
            <w:tcW w:type="dxa" w:w="1173"/>
          </w:tcPr>
          <w:p>
            <w:pPr>
              <w:pStyle w:val="null3"/>
              <w:jc w:val="right"/>
            </w:pPr>
            <w:r>
              <w:rPr/>
              <w:t>222,400.00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钢木床类</w:t>
            </w:r>
          </w:p>
        </w:tc>
        <w:tc>
          <w:tcPr>
            <w:tcW w:type="dxa" w:w="2492"/>
          </w:tcPr>
          <w:p>
            <w:pPr>
              <w:pStyle w:val="null3"/>
              <w:jc w:val="left"/>
            </w:pPr>
            <w:r>
              <w:rPr/>
              <w:t>公寓床（中间加个挡板）</w:t>
            </w:r>
          </w:p>
        </w:tc>
        <w:tc>
          <w:tcPr>
            <w:tcW w:type="dxa" w:w="2492"/>
          </w:tcPr>
          <w:p>
            <w:pPr>
              <w:pStyle w:val="null3"/>
              <w:jc w:val="left"/>
            </w:pPr>
            <w:r>
              <w:rPr/>
              <w:t>公寓床（中间加个挡板）</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钢木床类</w:t>
            </w:r>
          </w:p>
        </w:tc>
        <w:tc>
          <w:tcPr>
            <w:tcW w:type="dxa" w:w="2492"/>
          </w:tcPr>
          <w:p>
            <w:pPr>
              <w:pStyle w:val="null3"/>
              <w:jc w:val="left"/>
            </w:pPr>
            <w:r>
              <w:rPr/>
              <w:t>公寓床（中间加个挡板）</w:t>
            </w:r>
          </w:p>
        </w:tc>
        <w:tc>
          <w:tcPr>
            <w:tcW w:type="dxa" w:w="2492"/>
          </w:tcPr>
          <w:p>
            <w:pPr>
              <w:pStyle w:val="null3"/>
              <w:jc w:val="left"/>
            </w:pPr>
            <w:r>
              <w:rPr/>
              <w:t>公寓床（中间加个挡板）</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标的名称：公寓床（中间加个挡板）</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t>说明：因一体化格式固化无法显示产品参考图片，详见附件《技术要求》，本项目产品参考图片及技术参数与性能指标以附件《技术要求》中内容为准。</w:t>
            </w:r>
          </w:p>
        </w:tc>
      </w:tr>
    </w:tbl>
    <w:p>
      <w:pPr>
        <w:pStyle w:val="null3"/>
        <w:jc w:val="left"/>
      </w:pPr>
      <w:r>
        <w:rPr/>
        <w:t>标的名称：四人位餐桌</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t>说明：因一体化格式固化无法显示产品参考图片，详见附件《技术要求》，本项目产品参考图片及技术参数与性能指标以附件《技术要求》中内容为准。</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自签订合同之日起 40 天内</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付款进度安排</w:t>
            </w:r>
          </w:p>
        </w:tc>
        <w:tc>
          <w:tcPr>
            <w:tcW w:type="dxa" w:w="2076"/>
          </w:tcPr>
          <w:p>
            <w:pPr>
              <w:pStyle w:val="null3"/>
              <w:jc w:val="left"/>
            </w:pPr>
            <w:r>
              <w:rPr/>
              <w:t>1、合同签订后预付，达到付款条件起10日内，支付合同总金额的40.00%</w:t>
            </w:r>
          </w:p>
          <w:p>
            <w:pPr>
              <w:pStyle w:val="null3"/>
              <w:jc w:val="left"/>
            </w:pPr>
            <w:r>
              <w:rPr/>
              <w:t>2、安装调试好，达到付款条件起10日内，支付合同总金额的50.00%</w:t>
            </w:r>
          </w:p>
          <w:p>
            <w:pPr>
              <w:pStyle w:val="null3"/>
              <w:jc w:val="left"/>
            </w:pPr>
            <w:r>
              <w:rPr/>
              <w:t>3、质保期满无质量问题验收合格后，达到付款条件起10日内，支付合同总金额的10.00%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1.验收方式：验收方法：按照财政部发布的《关于进一步加强政府采购需求和履约验收管理的指导意见》（财库[2016]205号）的要求以及招标文件、中标人的投标文件进行验收； 2.验收标准：符合国家相关行业标准。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产品质保期为验收合格后1年（若产品本身质保期长于1年的，以产品本身质保期为准）；质保期内维修保养的所有材料及配件一律免费提供（人为因素损坏按成本计算），质保期内在接到用户电话后6小时内上门保修服务。</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合同约定</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★1．产品制造厂家或投标人须提供售后服务机构网点清单、服务电话和维修人员名单； ★2．承诺报价产品的保修时间、保修期内的保修内容与范围、维修响应时间等。</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服务要求、其他要求</w:t>
            </w:r>
          </w:p>
        </w:tc>
        <w:tc>
          <w:tcPr>
            <w:tcW w:type="dxa" w:w="3322"/>
          </w:tcPr>
          <w:p>
            <w:pPr>
              <w:pStyle w:val="null3"/>
              <w:jc w:val="left"/>
            </w:pPr>
            <w:r>
              <w:rPr/>
              <w:t>根据本项目招标文件“3.3.服务要求、3.4.其他要求”进行评审</w:t>
            </w:r>
          </w:p>
        </w:tc>
        <w:tc>
          <w:tcPr>
            <w:tcW w:type="dxa" w:w="1910"/>
          </w:tcPr>
          <w:p>
            <w:pPr>
              <w:pStyle w:val="null3"/>
              <w:jc w:val="left"/>
            </w:pPr>
            <w:r>
              <w:rPr/>
              <w:t>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w:t>
            </w:r>
          </w:p>
        </w:tc>
        <w:tc>
          <w:tcPr>
            <w:tcW w:type="dxa" w:w="2575"/>
          </w:tcPr>
          <w:p>
            <w:pPr>
              <w:pStyle w:val="null3"/>
              <w:jc w:val="left"/>
            </w:pPr>
            <w:r>
              <w:rPr/>
              <w:t>投标人投标产品的技术参数完全满足招标文件要求得20分。 参数（共34项），参数响应得分=（投标人完全满足参数条款数量÷参数总条款数量）×20分。</w:t>
            </w:r>
          </w:p>
        </w:tc>
        <w:tc>
          <w:tcPr>
            <w:tcW w:type="dxa" w:w="831"/>
          </w:tcPr>
          <w:p>
            <w:pPr>
              <w:pStyle w:val="null3"/>
              <w:jc w:val="center"/>
            </w:pPr>
            <w:r>
              <w:rPr/>
              <w:t>20.00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根据投标人针对本项目制定的项目实施方案进行综合评分，方案包括但不限于：①安装配送方案；②质量保证方案；③安全保障措施；④项目进度计划。 方案完整包含以上内容且满足本项目采购要求得30分，每缺一项扣7.5分，每有一处不符合本项目特点或实际采购需求的扣7分，本项最多扣30分。 注：不符合是指：非专门针对本项目或不适用项目实际情况的情形、套用其他项目方案、涉及的规范及标准错误、项目采购内容缺失或缺少关键节点、方案内容与本项目无关等情形。</w:t>
            </w:r>
          </w:p>
        </w:tc>
        <w:tc>
          <w:tcPr>
            <w:tcW w:type="dxa" w:w="831"/>
          </w:tcPr>
          <w:p>
            <w:pPr>
              <w:pStyle w:val="null3"/>
              <w:jc w:val="center"/>
            </w:pPr>
            <w:r>
              <w:rPr/>
              <w:t>30.00</w:t>
            </w:r>
          </w:p>
        </w:tc>
        <w:tc>
          <w:tcPr>
            <w:tcW w:type="dxa" w:w="748"/>
          </w:tcPr>
          <w:p>
            <w:pPr>
              <w:pStyle w:val="null3"/>
              <w:jc w:val="center"/>
            </w:pPr>
            <w:r>
              <w:rPr/>
              <w:t>主观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售后服务</w:t>
            </w:r>
          </w:p>
        </w:tc>
        <w:tc>
          <w:tcPr>
            <w:tcW w:type="dxa" w:w="2575"/>
          </w:tcPr>
          <w:p>
            <w:pPr>
              <w:pStyle w:val="null3"/>
              <w:jc w:val="left"/>
            </w:pPr>
            <w:r>
              <w:rPr/>
              <w:t>根据投标人针对本项目提供的售后服务方案进行综合评分，方案包括但不限于：①售后服务能力及承诺；②售后服务人员配置；③售后服务质量保证承诺；④应急管理措施（含备品备件的送达期限及退换货机制）。 方案完整包含以上内容且满足本项目采购要求得15分，每缺一项扣3.75分，每有一处不符合本项目特点或实际采购需求的扣3分，本项最多扣15分。 注：不符合是指：非专门针对本项目或不适用项目实际情况的情形、套用其他项目方案、涉及的规范及标准错误、项目采购内容缺失或缺少关键节点、方案内容与本项目无关等情形。</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根据投标人提供的类似项目业绩进行评分，提供一个得2分，最多得4分。注：提供合同或中标（成交）通知书复印件，加盖投标人公章。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vMerge/>
          </w:tcPr>
          <w:p/>
        </w:tc>
        <w:tc>
          <w:tcPr>
            <w:tcW w:type="dxa" w:w="1661"/>
          </w:tcPr>
          <w:p>
            <w:pPr>
              <w:pStyle w:val="null3"/>
              <w:jc w:val="left"/>
            </w:pPr>
            <w:r>
              <w:rPr/>
              <w:t>节能、环境标志产品</w:t>
            </w:r>
          </w:p>
        </w:tc>
        <w:tc>
          <w:tcPr>
            <w:tcW w:type="dxa" w:w="2575"/>
          </w:tcPr>
          <w:p>
            <w:pPr>
              <w:pStyle w:val="null3"/>
              <w:jc w:val="left"/>
            </w:pPr>
            <w:r>
              <w:rPr/>
              <w:t>投标产品中属于政府采购优先采购范围的，则每有一项为节能产品或者环境标志产品的得1分，非节能、环境标志产品的不得分。本项最多得1分。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 2.投标产品属于优先采购范围内的节能产品或者环境标志产品的，提供国家确定的认证机构出具的、处于有效期之内的节能产品、环境标志产品认证证书复印件加盖投标人公章（鲜章）。</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价格得分=（评标基准价/投标报价）×价格分值（评标基准价指满足招标文件要求且投标价格最低的投标报价）。</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详见节能、环境标志产品评审标准。</w:t>
            </w:r>
          </w:p>
        </w:tc>
        <w:tc>
          <w:tcPr>
            <w:tcW w:type="dxa" w:w="2955"/>
          </w:tcPr>
          <w:p>
            <w:pPr>
              <w:pStyle w:val="null3"/>
              <w:jc w:val="left"/>
            </w:pPr>
            <w:r>
              <w:rPr/>
              <w:t>投标人应提交的相关证明材料</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