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版本号：240710001</w:t>
      </w:r>
    </w:p>
    <w:p>
      <w:pPr>
        <w:pStyle w:val="null3"/>
        <w:jc w:val="left"/>
        <w:outlineLvl w:val="0"/>
      </w:pPr>
      <w:r>
        <w:rPr>
          <w:b/>
          <w:sz w:val="48"/>
        </w:rPr>
        <w:t>招 标 文 件</w:t>
      </w:r>
    </w:p>
    <w:p>
      <w:pPr>
        <w:pStyle w:val="null3"/>
        <w:jc w:val="center"/>
        <w:outlineLvl w:val="0"/>
      </w:pPr>
      <w:r>
        <w:rPr>
          <w:b/>
          <w:sz w:val="48"/>
        </w:rPr>
        <w:t>（服务类）</w:t>
      </w:r>
    </w:p>
    <w:p>
      <w:pPr>
        <w:pStyle w:val="null3"/>
        <w:jc w:val="left"/>
        <w:outlineLvl w:val="2"/>
      </w:pPr>
      <w:r>
        <w:rPr>
          <w:b/>
          <w:sz w:val="28"/>
        </w:rPr>
        <w:t>采购项目名称：</w:t>
      </w:r>
      <w:r>
        <w:rPr>
          <w:b/>
          <w:sz w:val="28"/>
        </w:rPr>
        <w:t>基础库完善和应用赋能服务采购项目</w:t>
      </w:r>
    </w:p>
    <w:p>
      <w:pPr>
        <w:pStyle w:val="null3"/>
        <w:jc w:val="center"/>
        <w:outlineLvl w:val="2"/>
      </w:pPr>
      <w:r>
        <w:rPr>
          <w:b/>
          <w:sz w:val="28"/>
        </w:rPr>
        <w:t>采购项目编号：</w:t>
      </w:r>
      <w:r>
        <w:rPr>
          <w:b/>
          <w:sz w:val="28"/>
        </w:rPr>
        <w:t>N5101012024001187</w:t>
      </w:r>
    </w:p>
    <w:p>
      <w:pPr>
        <w:pStyle w:val="null3"/>
        <w:jc w:val="left"/>
        <w:outlineLvl w:val="2"/>
      </w:pPr>
      <w:r>
        <w:rPr>
          <w:b/>
          <w:sz w:val="28"/>
        </w:rPr>
        <w:t>成都市大数据中心（成都市网络理政中心）</w:t>
      </w:r>
    </w:p>
    <w:p>
      <w:pPr>
        <w:pStyle w:val="null3"/>
        <w:jc w:val="center"/>
        <w:outlineLvl w:val="2"/>
      </w:pPr>
      <w:r>
        <w:rPr>
          <w:b/>
          <w:sz w:val="28"/>
        </w:rPr>
        <w:t>四川正汇恒招标代理有限公司</w:t>
      </w:r>
      <w:r>
        <w:rPr>
          <w:b/>
          <w:sz w:val="28"/>
        </w:rPr>
        <w:t>共同编制</w:t>
      </w:r>
    </w:p>
    <w:p>
      <w:pPr>
        <w:pStyle w:val="null3"/>
        <w:jc w:val="center"/>
      </w:pPr>
      <w:r>
        <w:rPr/>
        <w:t>2024年07月12日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四川正汇恒招标代理有限公司</w:t>
      </w:r>
      <w:r>
        <w:rPr/>
        <w:t xml:space="preserve"> （以下简称“代理机构”）受 </w:t>
      </w:r>
      <w:r>
        <w:rPr/>
        <w:t>成都市大数据中心（成都市网络理政中心）</w:t>
      </w:r>
      <w:r>
        <w:rPr/>
        <w:t xml:space="preserve"> 委托，拟对 </w:t>
      </w:r>
      <w:r>
        <w:rPr/>
        <w:t>基础库完善和应用赋能服务采购项目</w:t>
      </w:r>
      <w:r>
        <w:rPr/>
        <w:t xml:space="preserve"> 采用公开招标方式进行采购，兹邀请符合本次招标要求的供应商参加投标。本项目为四川省</w:t>
      </w:r>
      <w:r>
        <w:rPr/>
        <w:t>成都市市本级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N5101012024001187</w:t>
      </w:r>
    </w:p>
    <w:p>
      <w:pPr>
        <w:pStyle w:val="null3"/>
        <w:jc w:val="left"/>
        <w:outlineLvl w:val="2"/>
      </w:pPr>
      <w:r>
        <w:rPr>
          <w:b/>
          <w:sz w:val="28"/>
        </w:rPr>
        <w:t>1.2.采购项目名称</w:t>
      </w:r>
      <w:r>
        <w:rPr>
          <w:b/>
          <w:sz w:val="28"/>
        </w:rPr>
        <w:t xml:space="preserve">： </w:t>
      </w:r>
      <w:r>
        <w:rPr>
          <w:b/>
          <w:sz w:val="28"/>
        </w:rPr>
        <w:t>基础库完善和应用赋能服务采购项目</w:t>
      </w:r>
    </w:p>
    <w:p>
      <w:pPr>
        <w:pStyle w:val="null3"/>
        <w:jc w:val="left"/>
        <w:outlineLvl w:val="2"/>
      </w:pPr>
      <w:r>
        <w:rPr>
          <w:b/>
          <w:sz w:val="28"/>
        </w:rPr>
        <w:t>1.3.招标项目简介</w:t>
      </w:r>
    </w:p>
    <w:p>
      <w:pPr>
        <w:pStyle w:val="null3"/>
        <w:ind w:firstLine="480"/>
        <w:jc w:val="left"/>
      </w:pPr>
      <w:r>
        <w:rPr/>
        <w:t>（一）项目背景：为深入贯彻党的二十大精神，认真落实《国务院关于加强数字政府建设的指导意见》《国务院办公厅关于印发全国一体化政务大数据体系建设指南的通知》《四川省数据条例》等文件和四川省相关部署要求，不断提升城市治理效能，2022年以来，通过持续开展数据资源体系建设，初步构建市区两级数据治理体系。 （二）项目目标：对照我市数据资源体系建设现状，强化数据治理能力，统筹完善自然人、法人和电子证照基库，通过数据赋能全市智慧应用场景，实现公共数据资源充分汇聚共享和价值释放，全面高效支撑智慧蓉城建设。</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1.7.招标文件获取时间、方式及地址</w:t>
      </w:r>
    </w:p>
    <w:p>
      <w:pPr>
        <w:pStyle w:val="null3"/>
        <w:ind w:firstLine="480"/>
        <w:jc w:val="left"/>
      </w:pPr>
      <w:r>
        <w:rPr/>
        <w:t xml:space="preserve">一、招标文件获取时间： </w:t>
      </w:r>
      <w:r>
        <w:rPr/>
        <w:t>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 xml:space="preserve">一、投标截止时间及开标时间： </w:t>
      </w:r>
      <w:r>
        <w:rPr/>
        <w:t>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jc w:val="left"/>
      </w:pPr>
      <w:r>
        <w:rPr>
          <w:b/>
        </w:rPr>
        <w:t>采购人</w:t>
      </w:r>
      <w:r>
        <w:rPr>
          <w:b/>
        </w:rPr>
        <w:t xml:space="preserve">： </w:t>
      </w:r>
      <w:r>
        <w:rPr>
          <w:b/>
        </w:rPr>
        <w:t>成都市大数据中心（成都市网络理政中心）</w:t>
      </w:r>
    </w:p>
    <w:p>
      <w:pPr>
        <w:pStyle w:val="null3"/>
        <w:jc w:val="left"/>
      </w:pPr>
      <w:r>
        <w:rPr/>
        <w:t xml:space="preserve"> 地址： </w:t>
      </w:r>
      <w:r>
        <w:rPr/>
        <w:t>成都市高新区蜀锦路68号</w:t>
      </w:r>
    </w:p>
    <w:p>
      <w:pPr>
        <w:pStyle w:val="null3"/>
        <w:jc w:val="left"/>
      </w:pPr>
      <w:r>
        <w:rPr/>
        <w:t xml:space="preserve"> 邮编： </w:t>
      </w:r>
      <w:r>
        <w:rPr/>
        <w:t>610000</w:t>
      </w:r>
    </w:p>
    <w:p>
      <w:pPr>
        <w:pStyle w:val="null3"/>
        <w:jc w:val="left"/>
      </w:pPr>
      <w:r>
        <w:rPr/>
        <w:t xml:space="preserve"> 联系人： </w:t>
      </w:r>
      <w:r>
        <w:rPr/>
        <w:t>李老师</w:t>
      </w:r>
    </w:p>
    <w:p>
      <w:pPr>
        <w:pStyle w:val="null3"/>
        <w:jc w:val="left"/>
      </w:pPr>
      <w:r>
        <w:rPr/>
        <w:t xml:space="preserve"> 联系电话： </w:t>
      </w:r>
      <w:r>
        <w:rPr/>
        <w:t>028-61995890</w:t>
      </w:r>
    </w:p>
    <w:p>
      <w:pPr>
        <w:pStyle w:val="null3"/>
        <w:jc w:val="left"/>
      </w:pPr>
      <w:r>
        <w:rPr>
          <w:b/>
        </w:rPr>
        <w:t>代理机构</w:t>
      </w:r>
      <w:r>
        <w:rPr>
          <w:b/>
        </w:rPr>
        <w:t xml:space="preserve">： </w:t>
      </w:r>
      <w:r>
        <w:rPr>
          <w:b/>
        </w:rPr>
        <w:t>四川正汇恒招标代理有限公司</w:t>
      </w:r>
    </w:p>
    <w:p>
      <w:pPr>
        <w:pStyle w:val="null3"/>
        <w:jc w:val="left"/>
      </w:pPr>
      <w:r>
        <w:rPr/>
        <w:t xml:space="preserve"> 地址： </w:t>
      </w:r>
      <w:r>
        <w:rPr/>
        <w:t>成都高新区吉泰路666号1栋9层10号</w:t>
      </w:r>
    </w:p>
    <w:p>
      <w:pPr>
        <w:pStyle w:val="null3"/>
        <w:jc w:val="left"/>
      </w:pPr>
      <w:r>
        <w:rPr/>
        <w:t xml:space="preserve"> 邮编： </w:t>
      </w:r>
      <w:r>
        <w:rPr/>
        <w:t>610000</w:t>
      </w:r>
    </w:p>
    <w:p>
      <w:pPr>
        <w:pStyle w:val="null3"/>
        <w:jc w:val="left"/>
      </w:pPr>
      <w:r>
        <w:rPr/>
        <w:t xml:space="preserve"> 联系人： </w:t>
      </w:r>
      <w:r>
        <w:rPr/>
        <w:t>马女士</w:t>
      </w:r>
    </w:p>
    <w:p>
      <w:pPr>
        <w:pStyle w:val="null3"/>
        <w:jc w:val="left"/>
      </w:pPr>
      <w:r>
        <w:rPr/>
        <w:t xml:space="preserve"> 联系电话： </w:t>
      </w:r>
      <w:r>
        <w:rPr/>
        <w:t>028-67171868</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采购包1：9,960,000.00元</w:t>
            </w:r>
          </w:p>
          <w:p>
            <w:pPr>
              <w:pStyle w:val="null3"/>
              <w:jc w:val="left"/>
            </w:pPr>
            <w:r>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中标供应商领取中标通知书时，中标供应商应向采购代理机构交纳招标代理服务费。招标代理服务费以中标金额为基数，采用差额定率累进法，100万（含）以下部分乘以1.5%，100万以上500万（含）以下部分乘以0.8%，500万以上1000万（含）以下部分乘以0.45%计算收取，按以上各项结果累计计算后再下浮20%收取。 2.账户名称：四川正汇恒招标代理有限公司 银行账号：2280 8201 0400 04093 开户银行：中国农业银行成都高新技术产业开发区支行（或成都新希望国际支行） 行 号：103651080880</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本招标文件中“★”要求为实质性要求。投标人应当按照第五章评审程序中的符合性审查规定，在投标文件中进行实质性响应，否则作无效投标处理。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成都市大数据中心（成都市网络理政中心）</w:t>
      </w:r>
      <w:r>
        <w:rPr/>
        <w:t xml:space="preserve"> 和 </w:t>
      </w:r>
      <w:r>
        <w:rPr/>
        <w:t>四川正汇恒招标代理有限公司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成都市大数据中心（成都市网络理政中心）</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四川正汇恒招标代理有限公司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五、“电子评标”是指评标委员会开展资格审查、符合性审查、比较与评价、推荐中标候选人、出具评标报告等活动。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供应商发送更正信息；不足15日的，采购人或者代理机构应当顺延提交投标文件的截止时间。</w:t>
      </w:r>
    </w:p>
    <w:p>
      <w:pPr>
        <w:pStyle w:val="null3"/>
        <w:ind w:firstLine="480"/>
        <w:jc w:val="left"/>
      </w:pPr>
      <w:r>
        <w:rPr/>
        <w:t>三、投标人根据更正公告、更正信息要求，重新获取招标文件，进行投标文件编制。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该投标报价作为合同价，在合同履行中原则上不得变更。</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签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一、投标截止时间前，投标人通过交易系统完成投标文件提交，成功提交投标文件的，将收到成功提交投标文件的回执单。成功提交投标文件的供应商信息在投标截止时间前，将加密保存。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二、在投标文件提交截止时间后，采购人或者代理机构不再接受投标人提交投标文件。投标人应充分考虑影响投标文件提交的各种因素，确保在投标文件提交截止时间前完成提交。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pPr>
      <w:r>
        <w:rPr>
          <w:b/>
        </w:rPr>
        <w:t>2.5.1.2.开标程序</w:t>
      </w:r>
    </w:p>
    <w:p>
      <w:pPr>
        <w:pStyle w:val="null3"/>
        <w:ind w:firstLine="480"/>
        <w:jc w:val="left"/>
      </w:pPr>
      <w:r>
        <w:rPr/>
        <w:t>投标截止时间后，通过交易系统“开标/开启大厅”网上开标，在线解密投标文件。</w:t>
      </w:r>
    </w:p>
    <w:p>
      <w:pPr>
        <w:pStyle w:val="null3"/>
        <w:jc w:val="left"/>
      </w:pPr>
      <w:r>
        <w:rPr>
          <w:b/>
        </w:rPr>
        <w:t>2.5.1.3.解密投标文件★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分钟；投标人应在规定的解密时间内，使用加密投标文件的数字证书进行投标文件解密。除因采购平台系统故障导致投标人未按时完成解密外，投标人未在规定的解密时间内完成解密的，按无效投标处理。</w:t>
      </w:r>
    </w:p>
    <w:p>
      <w:pPr>
        <w:pStyle w:val="null3"/>
        <w:jc w:val="left"/>
      </w:pPr>
      <w:r>
        <w:rPr>
          <w:b/>
        </w:rPr>
        <w:t>2.5.1.4.有关要求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是</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服务到期后中标人应向采购人提出书面服务考核验收申请，服务考核验收申请审核通过后</w:t>
      </w:r>
      <w:r>
        <w:rPr/>
        <w:t xml:space="preserve"> ，达到验收条件起 </w:t>
      </w:r>
      <w:r>
        <w:rPr/>
        <w:t>5</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详见招标文件服务内容和服务要求</w:t>
      </w:r>
    </w:p>
    <w:p>
      <w:pPr>
        <w:pStyle w:val="null3"/>
        <w:ind w:firstLine="480"/>
        <w:jc w:val="left"/>
      </w:pPr>
      <w:r>
        <w:rPr/>
        <w:t>十、商务履约验收内容：</w:t>
      </w:r>
    </w:p>
    <w:p>
      <w:pPr>
        <w:pStyle w:val="null3"/>
        <w:ind w:firstLine="480"/>
        <w:jc w:val="left"/>
      </w:pPr>
      <w:r>
        <w:rPr/>
        <w:t>采购包1：</w:t>
      </w:r>
      <w:r>
        <w:rPr/>
        <w:t>详见招标文件商务要求</w:t>
      </w:r>
    </w:p>
    <w:p>
      <w:pPr>
        <w:pStyle w:val="null3"/>
        <w:ind w:firstLine="480"/>
        <w:jc w:val="left"/>
      </w:pPr>
      <w:r>
        <w:rPr/>
        <w:t>十一、履约验收标准：</w:t>
      </w:r>
    </w:p>
    <w:p>
      <w:pPr>
        <w:pStyle w:val="null3"/>
        <w:ind w:firstLine="480"/>
        <w:jc w:val="left"/>
      </w:pPr>
      <w:r>
        <w:rPr/>
        <w:t>采购包1：</w:t>
      </w:r>
      <w:r>
        <w:rPr/>
        <w:t>①验收标准 国家有关法律、法规，国家、省、市政府、采购人印发的有关信息化和项目管理规定； 经专家等评审通过的文档，包括不限于以下文档：已通过评审的实施方案、服务报告等； 本项目招标文件、投标文件及合同等。 ②履约验收 本项目按照《财政部关于进一步加强政府采购需求和履约验收管理的指导意见》（财库〔2016〕205号）文件的相关规定开展项目履约验收活动； 本项目实施履约验收条件（①完成服务内容；②通过服务考核），由中标人向采购人提出项目履约验收申请，经采购人同意后由采购人组织专家验收小组进行履约验收。</w:t>
      </w:r>
    </w:p>
    <w:p>
      <w:pPr>
        <w:pStyle w:val="null3"/>
        <w:ind w:firstLine="480"/>
        <w:jc w:val="left"/>
      </w:pPr>
      <w:r>
        <w:rPr/>
        <w:t>十二、履约验收其他事项：</w:t>
      </w:r>
    </w:p>
    <w:p>
      <w:pPr>
        <w:pStyle w:val="null3"/>
        <w:ind w:firstLine="480"/>
        <w:jc w:val="left"/>
      </w:pPr>
      <w:r>
        <w:rPr/>
        <w:t>采购包1：</w:t>
      </w:r>
      <w:r>
        <w:rPr/>
        <w:t>1.本项目实施履约验收条件（①完成服务内容；②通过服务考核），由中标人向采购人提出项目履约验收申请，经采购人同意后由采购人组织专家验收小组进行履约验收。 2.验收主体：采购人。</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采购人、采购代理机构应当采取必要措施，保证评标在严格保密的情况下进行。除采购人代表、评标现场组织人员外，采购人的其他工作人员以及与评标工作无关的人员不得进入评标现场。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二、提供虚假材料谋取中标；</w:t>
      </w:r>
    </w:p>
    <w:p>
      <w:pPr>
        <w:pStyle w:val="null3"/>
        <w:ind w:firstLine="480"/>
        <w:jc w:val="left"/>
      </w:pPr>
      <w:r>
        <w:rPr/>
        <w:t>三、采取不正当手段诋毁、排挤其他投标人；</w:t>
      </w:r>
    </w:p>
    <w:p>
      <w:pPr>
        <w:pStyle w:val="null3"/>
        <w:ind w:firstLine="480"/>
        <w:jc w:val="left"/>
      </w:pPr>
      <w:r>
        <w:rPr/>
        <w:t>四、与采购人或者代理机构、其他投标人恶意串通；</w:t>
      </w:r>
    </w:p>
    <w:p>
      <w:pPr>
        <w:pStyle w:val="null3"/>
        <w:ind w:firstLine="480"/>
        <w:jc w:val="left"/>
      </w:pPr>
      <w:r>
        <w:rPr/>
        <w:t>五、向采购人或者代理机构、评标委员会成员行贿或者提供其他不正当利益；</w:t>
      </w:r>
    </w:p>
    <w:p>
      <w:pPr>
        <w:pStyle w:val="null3"/>
        <w:ind w:firstLine="480"/>
        <w:jc w:val="left"/>
      </w:pPr>
      <w:r>
        <w:rPr/>
        <w:t>六、在招标过程中与采购人或者代理机构进行协商谈判；</w:t>
      </w:r>
    </w:p>
    <w:p>
      <w:pPr>
        <w:pStyle w:val="null3"/>
        <w:ind w:firstLine="480"/>
        <w:jc w:val="left"/>
      </w:pPr>
      <w:r>
        <w:rPr/>
        <w:t>七、中标后无正当理由拒不与采购人签订政府采购合同；</w:t>
      </w:r>
    </w:p>
    <w:p>
      <w:pPr>
        <w:pStyle w:val="null3"/>
        <w:ind w:firstLine="480"/>
        <w:jc w:val="left"/>
      </w:pPr>
      <w:r>
        <w:rPr/>
        <w:t>八、未按照招标文件确定的事项签订政府采购合同；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投标人有前述第一至六条情形的，认定其投标无效；中标人有前述第二至六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成都市大数据中心（成都市网络理政中心）</w:t>
      </w:r>
      <w:r>
        <w:rPr/>
        <w:t xml:space="preserve"> 负责答复；投标人对除采购需求外的招标文件的询问、质疑由 </w:t>
      </w:r>
      <w:r>
        <w:rPr/>
        <w:t>四川正汇恒招标代理有限公司</w:t>
      </w:r>
      <w:r>
        <w:rPr/>
        <w:t xml:space="preserve"> 负责答复；投标人对采购过程、采购结果的询问、质疑由 </w:t>
      </w:r>
      <w:r>
        <w:rPr/>
        <w:t>四川正汇恒招标代理有限公司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答复主体：采购人</w:t>
      </w:r>
    </w:p>
    <w:p>
      <w:pPr>
        <w:pStyle w:val="null3"/>
        <w:jc w:val="left"/>
      </w:pPr>
      <w:r>
        <w:rPr/>
        <w:t>联系人：李老师</w:t>
      </w:r>
    </w:p>
    <w:p>
      <w:pPr>
        <w:pStyle w:val="null3"/>
        <w:jc w:val="left"/>
      </w:pPr>
      <w:r>
        <w:rPr/>
        <w:t>联系电话：028-61995890</w:t>
      </w:r>
    </w:p>
    <w:p>
      <w:pPr>
        <w:pStyle w:val="null3"/>
        <w:jc w:val="left"/>
      </w:pPr>
      <w:r>
        <w:rPr/>
        <w:t>地址：成都市高新区蜀锦路68号</w:t>
      </w:r>
    </w:p>
    <w:p>
      <w:pPr>
        <w:pStyle w:val="null3"/>
        <w:jc w:val="left"/>
      </w:pPr>
      <w:r>
        <w:rPr/>
        <w:t>邮编：610000</w:t>
      </w:r>
    </w:p>
    <w:p>
      <w:pPr>
        <w:pStyle w:val="null3"/>
        <w:jc w:val="left"/>
      </w:pPr>
      <w:r>
        <w:rPr/>
        <w:t>答复主体：代理机构</w:t>
      </w:r>
    </w:p>
    <w:p>
      <w:pPr>
        <w:pStyle w:val="null3"/>
        <w:jc w:val="left"/>
      </w:pPr>
      <w:r>
        <w:rPr/>
        <w:t>联系人：马女士</w:t>
      </w:r>
    </w:p>
    <w:p>
      <w:pPr>
        <w:pStyle w:val="null3"/>
        <w:jc w:val="left"/>
      </w:pPr>
      <w:r>
        <w:rPr/>
        <w:t>联系电话：028-67171868</w:t>
      </w:r>
    </w:p>
    <w:p>
      <w:pPr>
        <w:pStyle w:val="null3"/>
        <w:jc w:val="left"/>
      </w:pPr>
      <w:r>
        <w:rPr/>
        <w:t>地址：成都高新区吉泰路666号1栋9层10号</w:t>
      </w:r>
    </w:p>
    <w:p>
      <w:pPr>
        <w:pStyle w:val="null3"/>
        <w:jc w:val="left"/>
      </w:pPr>
      <w:r>
        <w:rPr/>
        <w:t>邮编：610000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（三）对中标结果提出质疑的，为中标结果公告期限届满之日。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注：根据《中华人民共和国政府采购法》的规定，供应商质疑不得超出招标文件、采购过程、采购结果的范围。</w:t>
      </w:r>
    </w:p>
    <w:p>
      <w:pPr>
        <w:pStyle w:val="null3"/>
        <w:ind w:firstLine="480"/>
        <w:jc w:val="left"/>
      </w:pPr>
      <w:r>
        <w:rPr/>
        <w:t>七、投标人对采购人或者代理机构的质疑答复不满意，或者采购人或者代理机构未在规定期限内作出答复的，投标人可以在答复期满后15个工作日内向同级财政部门提起投诉。（政府采购投标人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采购人或者代理机构应当在招标文件中明确线下开展采购活动的规则和方式，不得对投标人实行差别待遇或者歧视性待遇。线下采购活动应当全过程录音录像，形成书面评审记录上传至交易系统。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一）项目背景：为深入贯彻党的二十大精神，认真落实《国务院关于加强数字政府建设的指导意见》《国务院办公厅关于印发全国一体化政务大数据体系建设指南的通知》《四川省数据条例》等文件和四川省相关部署要求，不断提升城市治理效能，2022年以来，通过持续开展数据资源体系建设，初步构建市区两级数据治理体系。 （二）项目目标：对照我市数据资源体系建设现状，强化数据治理能力，统筹完善自然人、法人和电子证照基础库，通过数据赋能全市智慧应用场景，实现公共数据资源充分汇聚共享和价值释放，全面高效支撑智慧蓉城建设。</w:t>
      </w:r>
    </w:p>
    <w:p>
      <w:pPr>
        <w:pStyle w:val="null3"/>
        <w:jc w:val="left"/>
        <w:outlineLvl w:val="2"/>
      </w:pPr>
      <w:r>
        <w:rPr>
          <w:b/>
          <w:sz w:val="28"/>
        </w:rPr>
        <w:t>3.2.采购内容</w:t>
      </w:r>
    </w:p>
    <w:p>
      <w:pPr>
        <w:pStyle w:val="null3"/>
        <w:jc w:val="left"/>
      </w:pPr>
      <w:r>
        <w:rPr/>
        <w:t>采购包1：</w:t>
      </w:r>
    </w:p>
    <w:p>
      <w:pPr>
        <w:pStyle w:val="null3"/>
        <w:jc w:val="left"/>
      </w:pPr>
      <w:r>
        <w:rPr/>
        <w:t>采购包预算金额（元）: 9,960,000.00</w:t>
      </w:r>
    </w:p>
    <w:p>
      <w:pPr>
        <w:pStyle w:val="null3"/>
        <w:jc w:val="left"/>
      </w:pPr>
      <w:r>
        <w:rPr/>
        <w:t>采购包最高限价（元）: 9,960,000.00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数据加工处理服务</w:t>
            </w:r>
          </w:p>
        </w:tc>
        <w:tc>
          <w:tcPr>
            <w:tcW w:type="dxa" w:w="821"/>
          </w:tcPr>
          <w:p>
            <w:pPr>
              <w:pStyle w:val="null3"/>
              <w:jc w:val="left"/>
            </w:pPr>
            <w:r>
              <w:rPr/>
              <w:t>基础库完善和应用赋能服务</w:t>
            </w:r>
          </w:p>
        </w:tc>
        <w:tc>
          <w:tcPr>
            <w:tcW w:type="dxa" w:w="821"/>
          </w:tcPr>
          <w:p>
            <w:pPr>
              <w:pStyle w:val="null3"/>
              <w:jc w:val="right"/>
            </w:pPr>
            <w:r>
              <w:rPr/>
              <w:t>1.00（项）</w:t>
            </w:r>
          </w:p>
        </w:tc>
        <w:tc>
          <w:tcPr>
            <w:tcW w:type="dxa" w:w="821"/>
          </w:tcPr>
          <w:p>
            <w:pPr>
              <w:pStyle w:val="null3"/>
              <w:jc w:val="right"/>
            </w:pPr>
            <w:r>
              <w:rPr/>
              <w:t>9,960,000.00</w:t>
            </w:r>
          </w:p>
        </w:tc>
        <w:tc>
          <w:tcPr>
            <w:tcW w:type="dxa" w:w="821"/>
          </w:tcPr>
          <w:p>
            <w:pPr>
              <w:pStyle w:val="null3"/>
              <w:jc w:val="left"/>
            </w:pPr>
            <w:r>
              <w:rPr/>
              <w:t>软件和信息技术服务业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基础库完善和应用赋能服务</w:t>
            </w:r>
          </w:p>
        </w:tc>
        <w:tc>
          <w:tcPr>
            <w:tcW w:type="dxa" w:w="977"/>
          </w:tcPr>
          <w:p>
            <w:pPr>
              <w:pStyle w:val="null3"/>
              <w:jc w:val="right"/>
            </w:pPr>
            <w:r>
              <w:rPr/>
              <w:t>1.00（项）</w:t>
            </w:r>
          </w:p>
        </w:tc>
        <w:tc>
          <w:tcPr>
            <w:tcW w:type="dxa" w:w="1173"/>
          </w:tcPr>
          <w:p>
            <w:pPr>
              <w:pStyle w:val="null3"/>
              <w:jc w:val="right"/>
            </w:pPr>
            <w:r>
              <w:rPr/>
              <w:t>9,960,000.00（元）</w:t>
            </w:r>
          </w:p>
        </w:tc>
        <w:tc>
          <w:tcPr>
            <w:tcW w:type="dxa" w:w="1173"/>
          </w:tcPr>
          <w:p>
            <w:pPr>
              <w:pStyle w:val="null3"/>
              <w:jc w:val="right"/>
            </w:pPr>
            <w:r>
              <w:rPr/>
              <w:t>9,960,000.00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★注：供应商响应产品应当明确品牌和规格型号并指向唯一产品，不能指向唯一产品的，应通过报价表备注栏补充说明。</w:t>
      </w:r>
    </w:p>
    <w:p>
      <w:pPr>
        <w:pStyle w:val="null3"/>
        <w:jc w:val="left"/>
        <w:outlineLvl w:val="3"/>
      </w:pPr>
      <w:r>
        <w:rPr>
          <w:b/>
          <w:sz w:val="24"/>
        </w:rPr>
        <w:t>本项目涉及采购进口产品：</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标的名称：基础库完善和应用赋能服务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quot;times new roman&quot;" w:hAnsi="&quot;times new roman&quot;" w:cs="&quot;times new roman&quot;" w:eastAsia="&quot;times new roman&quot;"/>
                <w:sz w:val="32"/>
              </w:rPr>
              <w:t xml:space="preserve">       1.</w:t>
            </w:r>
            <w:r>
              <w:rPr>
                <w:rFonts w:ascii="方正仿宋_gbk" w:hAnsi="方正仿宋_gbk" w:cs="方正仿宋_gbk" w:eastAsia="方正仿宋_gbk"/>
                <w:sz w:val="32"/>
              </w:rPr>
              <w:t>服务内容</w:t>
            </w:r>
          </w:p>
          <w:p>
            <w:pPr>
              <w:pStyle w:val="null3"/>
              <w:ind w:firstLine="560"/>
              <w:jc w:val="both"/>
            </w:pPr>
            <w:r>
              <w:rPr>
                <w:rFonts w:ascii="方正仿宋简体" w:hAnsi="方正仿宋简体" w:cs="方正仿宋简体" w:eastAsia="方正仿宋简体"/>
                <w:sz w:val="28"/>
              </w:rPr>
              <w:t>项目服务内容包括完善自然人库、法人库和电子证照库，开展市级部门及区（市）县数据赋能、国省数据回流应用、数据分析报告编制和交流研讨培训。</w:t>
            </w:r>
          </w:p>
          <w:p>
            <w:pPr>
              <w:pStyle w:val="null3"/>
              <w:ind w:firstLine="560"/>
              <w:jc w:val="both"/>
            </w:pPr>
            <w:r>
              <w:rPr>
                <w:rFonts w:ascii="方正仿宋简体" w:hAnsi="方正仿宋简体" w:cs="方正仿宋简体" w:eastAsia="方正仿宋简体"/>
                <w:sz w:val="28"/>
              </w:rPr>
              <w:t>（</w:t>
            </w:r>
            <w:r>
              <w:rPr>
                <w:rFonts w:ascii="方正仿宋简体" w:hAnsi="方正仿宋简体" w:cs="方正仿宋简体" w:eastAsia="方正仿宋简体"/>
                <w:sz w:val="28"/>
              </w:rPr>
              <w:t>1）完善自然人库</w:t>
            </w:r>
          </w:p>
          <w:p>
            <w:pPr>
              <w:pStyle w:val="null3"/>
              <w:ind w:firstLine="560"/>
              <w:jc w:val="both"/>
            </w:pPr>
            <w:r>
              <w:rPr>
                <w:rFonts w:ascii="方正仿宋简体" w:hAnsi="方正仿宋简体" w:cs="方正仿宋简体" w:eastAsia="方正仿宋简体"/>
                <w:sz w:val="28"/>
              </w:rPr>
              <w:t>在现有自然人库基础上，进一步归集各类自然人全生命周期内的信息资源，实现人口基础信息的集中管理与充分共享。通过建立区（市）县人房基础数据更新机制和实有人口库动态更新机制，促进精准掌握人口底数，有效支撑基层治理、重大事件处置以及人口精细化管理，推动人口数据为场景赋能、为基层减负，确保终端见效。</w:t>
            </w:r>
          </w:p>
          <w:p>
            <w:pPr>
              <w:pStyle w:val="null3"/>
              <w:ind w:firstLine="560"/>
              <w:jc w:val="both"/>
            </w:pPr>
            <w:r>
              <w:rPr>
                <w:rFonts w:ascii="方正仿宋简体" w:hAnsi="方正仿宋简体" w:cs="方正仿宋简体" w:eastAsia="方正仿宋简体"/>
                <w:sz w:val="28"/>
              </w:rPr>
              <w:t>加强人口数据资源的利用，深入挖掘人口数据价值，补充完善人口规模、人口分布、一老一小等指标体系，持续完善自然人基础库大屏和</w:t>
            </w:r>
            <w:r>
              <w:rPr>
                <w:rFonts w:ascii="方正仿宋简体" w:hAnsi="方正仿宋简体" w:cs="方正仿宋简体" w:eastAsia="方正仿宋简体"/>
                <w:sz w:val="28"/>
              </w:rPr>
              <w:t>H5页面，丰富人口概览、区域对比分析、一老一小分析三个展示维度，同时完成与城运大屏和蓉政通的对接，方便及时了解成都市人口整体情况。</w:t>
            </w:r>
          </w:p>
          <w:p>
            <w:pPr>
              <w:pStyle w:val="null3"/>
              <w:ind w:firstLine="560"/>
              <w:jc w:val="both"/>
            </w:pPr>
            <w:r>
              <w:rPr>
                <w:rFonts w:ascii="方正仿宋简体" w:hAnsi="方正仿宋简体" w:cs="方正仿宋简体" w:eastAsia="方正仿宋简体"/>
                <w:sz w:val="28"/>
              </w:rPr>
              <w:t>依托自然人基础库、标准地名地址库形成的数据沉淀，结合可视化产品和</w:t>
            </w:r>
            <w:r>
              <w:rPr>
                <w:rFonts w:ascii="方正仿宋简体" w:hAnsi="方正仿宋简体" w:cs="方正仿宋简体" w:eastAsia="方正仿宋简体"/>
                <w:sz w:val="28"/>
              </w:rPr>
              <w:t>CIM产品的平台能力，构建集数据管理、分析、展示于一体的可视化平台，以可视化的形式呈现城市生活的各要素，并以此开发15分钟生活圈、教育学龄预测等应用场景，指导城市资源配置优化，提供便捷、高效、舒适的居民生活环境。</w:t>
            </w:r>
          </w:p>
          <w:p>
            <w:pPr>
              <w:pStyle w:val="null3"/>
              <w:spacing w:after="120"/>
              <w:jc w:val="center"/>
            </w:pPr>
            <w:r>
              <w:rPr>
                <w:rFonts w:ascii="宋体" w:hAnsi="宋体" w:cs="宋体" w:eastAsia="宋体"/>
                <w:sz w:val="24"/>
              </w:rPr>
              <w:t>表</w:t>
            </w:r>
            <w:r>
              <w:rPr>
                <w:rFonts w:ascii="times new roman, times, serif" w:hAnsi="times new roman, times, serif" w:cs="times new roman, times, serif" w:eastAsia="times new roman, times, serif"/>
                <w:sz w:val="24"/>
              </w:rPr>
              <w:t xml:space="preserve">1 </w:t>
            </w:r>
            <w:r>
              <w:rPr>
                <w:rFonts w:ascii="宋体" w:hAnsi="宋体" w:cs="宋体" w:eastAsia="宋体"/>
                <w:sz w:val="24"/>
              </w:rPr>
              <w:t>完善自然人库服务内容和要求</w:t>
            </w:r>
          </w:p>
          <w:tbl>
            <w:tblPr>
              <w:tblBorders>
                <w:top w:val="none" w:color="000000" w:sz="4"/>
                <w:left w:val="none" w:color="000000" w:sz="4"/>
                <w:bottom w:val="none" w:color="000000" w:sz="4"/>
                <w:right w:val="none" w:color="000000" w:sz="4"/>
                <w:insideH w:val="none"/>
                <w:insideV w:val="none"/>
              </w:tblBorders>
            </w:tblPr>
            <w:tblGrid>
              <w:gridCol w:w="304"/>
              <w:gridCol w:w="436"/>
              <w:gridCol w:w="1813"/>
            </w:tblGrid>
            <w:tr>
              <w:tc>
                <w:tcPr>
                  <w:tcW w:type="dxa" w:w="304"/>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序号</w:t>
                  </w:r>
                </w:p>
              </w:tc>
              <w:tc>
                <w:tcPr>
                  <w:tcW w:type="dxa" w:w="436"/>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服务类别</w:t>
                  </w:r>
                </w:p>
              </w:tc>
              <w:tc>
                <w:tcPr>
                  <w:tcW w:type="dxa" w:w="1813"/>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服务内容</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数据接入和维护</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新增接入</w:t>
                  </w:r>
                  <w:r>
                    <w:rPr>
                      <w:rFonts w:ascii="宋体" w:hAnsi="宋体" w:cs="宋体" w:eastAsia="宋体"/>
                      <w:sz w:val="24"/>
                    </w:rPr>
                    <w:t>不少于</w:t>
                  </w:r>
                  <w:r>
                    <w:rPr>
                      <w:rFonts w:ascii="&quot;times new roman&quot;" w:hAnsi="&quot;times new roman&quot;" w:cs="&quot;times new roman&quot;" w:eastAsia="&quot;times new roman&quot;"/>
                      <w:sz w:val="24"/>
                    </w:rPr>
                    <w:t>30</w:t>
                  </w:r>
                  <w:r>
                    <w:rPr>
                      <w:rFonts w:ascii="宋体" w:hAnsi="宋体" w:cs="宋体" w:eastAsia="宋体"/>
                      <w:sz w:val="24"/>
                    </w:rPr>
                    <w:t>项自然人相关数据，并对已接入的</w:t>
                  </w:r>
                  <w:r>
                    <w:rPr>
                      <w:rFonts w:ascii="times new roman, times, serif" w:hAnsi="times new roman, times, serif" w:cs="times new roman, times, serif" w:eastAsia="times new roman, times, serif"/>
                      <w:sz w:val="24"/>
                    </w:rPr>
                    <w:t>300</w:t>
                  </w:r>
                  <w:r>
                    <w:rPr>
                      <w:rFonts w:ascii="宋体" w:hAnsi="宋体" w:cs="宋体" w:eastAsia="宋体"/>
                      <w:sz w:val="24"/>
                    </w:rPr>
                    <w:t>项进行维护，保障数据稳定性。</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2</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数据</w:t>
                  </w:r>
                  <w:r>
                    <w:rPr>
                      <w:rFonts w:ascii="宋体" w:hAnsi="宋体" w:cs="宋体" w:eastAsia="宋体"/>
                      <w:sz w:val="24"/>
                    </w:rPr>
                    <w:t>融合</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持续对已归集自然人数据进行数据拆分、融合等数据</w:t>
                  </w:r>
                  <w:r>
                    <w:rPr>
                      <w:rFonts w:ascii="宋体" w:hAnsi="宋体" w:cs="宋体" w:eastAsia="宋体"/>
                      <w:sz w:val="24"/>
                    </w:rPr>
                    <w:t>加工处理</w:t>
                  </w:r>
                  <w:r>
                    <w:rPr>
                      <w:rFonts w:ascii="宋体" w:hAnsi="宋体" w:cs="宋体" w:eastAsia="宋体"/>
                      <w:sz w:val="24"/>
                    </w:rPr>
                    <w:t>，支撑婚姻、死亡、低保、</w:t>
                  </w:r>
                  <w:r>
                    <w:rPr>
                      <w:rFonts w:ascii="宋体" w:hAnsi="宋体" w:cs="宋体" w:eastAsia="宋体"/>
                      <w:sz w:val="24"/>
                    </w:rPr>
                    <w:t>“</w:t>
                  </w:r>
                  <w:r>
                    <w:rPr>
                      <w:rFonts w:ascii="宋体" w:hAnsi="宋体" w:cs="宋体" w:eastAsia="宋体"/>
                      <w:sz w:val="24"/>
                    </w:rPr>
                    <w:t>一老一小</w:t>
                  </w:r>
                  <w:r>
                    <w:rPr>
                      <w:rFonts w:ascii="宋体" w:hAnsi="宋体" w:cs="宋体" w:eastAsia="宋体"/>
                      <w:sz w:val="24"/>
                    </w:rPr>
                    <w:t>”</w:t>
                  </w:r>
                  <w:r>
                    <w:rPr>
                      <w:rFonts w:ascii="宋体" w:hAnsi="宋体" w:cs="宋体" w:eastAsia="宋体"/>
                      <w:sz w:val="24"/>
                    </w:rPr>
                    <w:t>等涉人主题建设。完成公共服务优质供给、</w:t>
                  </w:r>
                  <w:r>
                    <w:rPr>
                      <w:rFonts w:ascii="宋体" w:hAnsi="宋体" w:cs="宋体" w:eastAsia="宋体"/>
                      <w:sz w:val="24"/>
                    </w:rPr>
                    <w:t>“</w:t>
                  </w:r>
                  <w:r>
                    <w:rPr>
                      <w:rFonts w:ascii="宋体" w:hAnsi="宋体" w:cs="宋体" w:eastAsia="宋体"/>
                      <w:sz w:val="24"/>
                    </w:rPr>
                    <w:t>报表通</w:t>
                  </w:r>
                  <w:r>
                    <w:rPr>
                      <w:rFonts w:ascii="宋体" w:hAnsi="宋体" w:cs="宋体" w:eastAsia="宋体"/>
                      <w:sz w:val="24"/>
                    </w:rPr>
                    <w:t>”</w:t>
                  </w:r>
                  <w:r>
                    <w:rPr>
                      <w:rFonts w:ascii="宋体" w:hAnsi="宋体" w:cs="宋体" w:eastAsia="宋体"/>
                      <w:sz w:val="24"/>
                    </w:rPr>
                    <w:t>系统等专项工作自然人数据</w:t>
                  </w:r>
                  <w:r>
                    <w:rPr>
                      <w:rFonts w:ascii="宋体" w:hAnsi="宋体" w:cs="宋体" w:eastAsia="宋体"/>
                      <w:sz w:val="24"/>
                    </w:rPr>
                    <w:t>加工</w:t>
                  </w:r>
                  <w:r>
                    <w:rPr>
                      <w:rFonts w:ascii="宋体" w:hAnsi="宋体" w:cs="宋体" w:eastAsia="宋体"/>
                      <w:sz w:val="24"/>
                    </w:rPr>
                    <w:t>需求。</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3</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标签治理</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协同行业部门对自然人标签进行梳理，确定标签名称、标签定义、标签有效时间等信息，并根据相关数据开展困境儿童、优待对象、志愿活动、就业情况、个人资产、个人荣誉等</w:t>
                  </w:r>
                  <w:r>
                    <w:rPr>
                      <w:rFonts w:ascii="宋体" w:hAnsi="宋体" w:cs="宋体" w:eastAsia="宋体"/>
                      <w:sz w:val="24"/>
                    </w:rPr>
                    <w:t>不少于</w:t>
                  </w:r>
                  <w:r>
                    <w:rPr>
                      <w:rFonts w:ascii="&quot;times new roman&quot;" w:hAnsi="&quot;times new roman&quot;" w:cs="&quot;times new roman&quot;" w:eastAsia="&quot;times new roman&quot;"/>
                      <w:sz w:val="24"/>
                    </w:rPr>
                    <w:t>300</w:t>
                  </w:r>
                  <w:r>
                    <w:rPr>
                      <w:rFonts w:ascii="宋体" w:hAnsi="宋体" w:cs="宋体" w:eastAsia="宋体"/>
                      <w:sz w:val="24"/>
                    </w:rPr>
                    <w:t>个标签数据打标工作。</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4</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人房数据常态化更新</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根据人房数据模型，每月治理形成新增待核验人房数据并下发区县。每月对</w:t>
                  </w:r>
                  <w:r>
                    <w:rPr>
                      <w:rFonts w:ascii="&quot;times new roman&quot;" w:hAnsi="&quot;times new roman&quot;" w:cs="&quot;times new roman&quot;" w:eastAsia="&quot;times new roman&quot;"/>
                      <w:sz w:val="24"/>
                    </w:rPr>
                    <w:t>23</w:t>
                  </w:r>
                  <w:r>
                    <w:rPr>
                      <w:rFonts w:ascii="宋体" w:hAnsi="宋体" w:cs="宋体" w:eastAsia="宋体"/>
                      <w:sz w:val="24"/>
                    </w:rPr>
                    <w:t>个区（市）县核采回传的人房数据进行质量检测并协助区县进行整改，合格数据融合形成全市自然人底数。开展</w:t>
                  </w:r>
                  <w:r>
                    <w:rPr>
                      <w:rFonts w:ascii="宋体" w:hAnsi="宋体" w:cs="宋体" w:eastAsia="宋体"/>
                      <w:sz w:val="24"/>
                    </w:rPr>
                    <w:t>“</w:t>
                  </w:r>
                  <w:r>
                    <w:rPr>
                      <w:rFonts w:ascii="&quot;times new roman&quot;" w:hAnsi="&quot;times new roman&quot;" w:cs="&quot;times new roman&quot;" w:eastAsia="&quot;times new roman&quot;"/>
                      <w:sz w:val="24"/>
                    </w:rPr>
                    <w:t>e</w:t>
                  </w:r>
                  <w:r>
                    <w:rPr>
                      <w:rFonts w:ascii="宋体" w:hAnsi="宋体" w:cs="宋体" w:eastAsia="宋体"/>
                      <w:sz w:val="24"/>
                    </w:rPr>
                    <w:t>治采</w:t>
                  </w:r>
                  <w:r>
                    <w:rPr>
                      <w:rFonts w:ascii="宋体" w:hAnsi="宋体" w:cs="宋体" w:eastAsia="宋体"/>
                      <w:sz w:val="24"/>
                    </w:rPr>
                    <w:t>”</w:t>
                  </w:r>
                  <w:r>
                    <w:rPr>
                      <w:rFonts w:ascii="宋体" w:hAnsi="宋体" w:cs="宋体" w:eastAsia="宋体"/>
                      <w:sz w:val="24"/>
                    </w:rPr>
                    <w:t>平台对接工作，保障人房数据采集顺利迁移。</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5</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应用赋能</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根据各级各部门实际共享需求开展死亡核验、个人信息补全、社保比对、就业分析等工作，赋能</w:t>
                  </w:r>
                  <w:r>
                    <w:rPr>
                      <w:rFonts w:ascii="宋体" w:hAnsi="宋体" w:cs="宋体" w:eastAsia="宋体"/>
                      <w:sz w:val="24"/>
                    </w:rPr>
                    <w:t>不少于</w:t>
                  </w:r>
                  <w:r>
                    <w:rPr>
                      <w:rFonts w:ascii="&quot;times new roman&quot;" w:hAnsi="&quot;times new roman&quot;" w:cs="&quot;times new roman&quot;" w:eastAsia="&quot;times new roman&quot;"/>
                      <w:sz w:val="24"/>
                    </w:rPr>
                    <w:t>25</w:t>
                  </w:r>
                  <w:r>
                    <w:rPr>
                      <w:rFonts w:ascii="宋体" w:hAnsi="宋体" w:cs="宋体" w:eastAsia="宋体"/>
                      <w:sz w:val="24"/>
                    </w:rPr>
                    <w:t>个应用场景。</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6</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数据模型</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开展人口家庭关系模型建设。</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7</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大中小屏等指标梳理</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开展自然人可视化大中小屏涉人数据指标梳理及数据供给。</w:t>
                  </w:r>
                </w:p>
              </w:tc>
            </w:tr>
          </w:tbl>
          <w:p>
            <w:pPr>
              <w:pStyle w:val="null3"/>
              <w:ind w:firstLine="560"/>
              <w:jc w:val="both"/>
            </w:pPr>
            <w:r>
              <w:rPr>
                <w:rFonts w:ascii="方正仿宋简体" w:hAnsi="方正仿宋简体" w:cs="方正仿宋简体" w:eastAsia="方正仿宋简体"/>
                <w:sz w:val="28"/>
              </w:rPr>
              <w:t>（</w:t>
            </w:r>
            <w:r>
              <w:rPr>
                <w:rFonts w:ascii="方正仿宋简体" w:hAnsi="方正仿宋简体" w:cs="方正仿宋简体" w:eastAsia="方正仿宋简体"/>
                <w:sz w:val="28"/>
              </w:rPr>
              <w:t>2）完善法人库</w:t>
            </w:r>
          </w:p>
          <w:p>
            <w:pPr>
              <w:pStyle w:val="null3"/>
              <w:spacing w:after="120"/>
              <w:ind w:firstLine="560"/>
              <w:jc w:val="both"/>
            </w:pPr>
            <w:r>
              <w:rPr>
                <w:rFonts w:ascii="方正仿宋简体" w:hAnsi="方正仿宋简体" w:cs="方正仿宋简体" w:eastAsia="方正仿宋简体"/>
                <w:sz w:val="28"/>
              </w:rPr>
              <w:t>在现有法人库基础上，进一步开展法人纳税参保、信用评价、资产资本、荣誉资质、生产经营、司法信息六个主题的数据汇聚、治理和融合，补充完善法人基础数据，建设完善法人门户、主体群像、政策模拟找企业等应用场景，利用法人库多源融合成果数据，赋能蓉易享</w:t>
            </w:r>
            <w:r>
              <w:rPr>
                <w:rFonts w:ascii="方正仿宋简体" w:hAnsi="方正仿宋简体" w:cs="方正仿宋简体" w:eastAsia="方正仿宋简体"/>
                <w:sz w:val="28"/>
              </w:rPr>
              <w:t>“政策找企业”，蓉易办“一网通办”等场景的建设，通过数据回流共享，赋能市级部门和区（市）县两级智慧场景建设。</w:t>
            </w:r>
          </w:p>
          <w:p>
            <w:pPr>
              <w:pStyle w:val="null3"/>
              <w:spacing w:after="120"/>
              <w:jc w:val="center"/>
            </w:pPr>
            <w:r>
              <w:rPr>
                <w:rFonts w:ascii="宋体" w:hAnsi="宋体" w:cs="宋体" w:eastAsia="宋体"/>
                <w:sz w:val="24"/>
              </w:rPr>
              <w:t>表</w:t>
            </w:r>
            <w:r>
              <w:rPr>
                <w:rFonts w:ascii="times new roman, times, serif" w:hAnsi="times new roman, times, serif" w:cs="times new roman, times, serif" w:eastAsia="times new roman, times, serif"/>
                <w:sz w:val="24"/>
              </w:rPr>
              <w:t xml:space="preserve">2 </w:t>
            </w:r>
            <w:r>
              <w:rPr>
                <w:rFonts w:ascii="宋体" w:hAnsi="宋体" w:cs="宋体" w:eastAsia="宋体"/>
                <w:sz w:val="24"/>
              </w:rPr>
              <w:t>完善法人库服务内容和要求</w:t>
            </w:r>
          </w:p>
          <w:tbl>
            <w:tblPr>
              <w:tblBorders>
                <w:top w:val="none" w:color="000000" w:sz="4"/>
                <w:left w:val="none" w:color="000000" w:sz="4"/>
                <w:bottom w:val="none" w:color="000000" w:sz="4"/>
                <w:right w:val="none" w:color="000000" w:sz="4"/>
                <w:insideH w:val="none"/>
                <w:insideV w:val="none"/>
              </w:tblBorders>
            </w:tblPr>
            <w:tblGrid>
              <w:gridCol w:w="304"/>
              <w:gridCol w:w="436"/>
              <w:gridCol w:w="1813"/>
            </w:tblGrid>
            <w:tr>
              <w:tc>
                <w:tcPr>
                  <w:tcW w:type="dxa" w:w="304"/>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序号</w:t>
                  </w:r>
                </w:p>
              </w:tc>
              <w:tc>
                <w:tcPr>
                  <w:tcW w:type="dxa" w:w="436"/>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服务类别</w:t>
                  </w:r>
                </w:p>
              </w:tc>
              <w:tc>
                <w:tcPr>
                  <w:tcW w:type="dxa" w:w="1813"/>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服务内容</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数据规划</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开展基础库框架、标签框架不少于</w:t>
                  </w:r>
                  <w:r>
                    <w:rPr>
                      <w:rFonts w:ascii="times new roman, times, serif" w:hAnsi="times new roman, times, serif" w:cs="times new roman, times, serif" w:eastAsia="times new roman, times, serif"/>
                      <w:sz w:val="24"/>
                    </w:rPr>
                    <w:t>2</w:t>
                  </w:r>
                  <w:r>
                    <w:rPr>
                      <w:rFonts w:ascii="宋体" w:hAnsi="宋体" w:cs="宋体" w:eastAsia="宋体"/>
                      <w:sz w:val="24"/>
                    </w:rPr>
                    <w:t>个数据规划编制。</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2</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探查入库</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新增接入包含</w:t>
                  </w:r>
                  <w:r>
                    <w:rPr>
                      <w:rFonts w:ascii="宋体" w:hAnsi="宋体" w:cs="宋体" w:eastAsia="宋体"/>
                      <w:sz w:val="24"/>
                    </w:rPr>
                    <w:t>市级部门、</w:t>
                  </w:r>
                  <w:r>
                    <w:rPr>
                      <w:rFonts w:ascii="宋体" w:hAnsi="宋体" w:cs="宋体" w:eastAsia="宋体"/>
                      <w:sz w:val="24"/>
                    </w:rPr>
                    <w:t>五经普回传</w:t>
                  </w:r>
                  <w:r>
                    <w:rPr>
                      <w:rFonts w:ascii="宋体" w:hAnsi="宋体" w:cs="宋体" w:eastAsia="宋体"/>
                      <w:sz w:val="24"/>
                    </w:rPr>
                    <w:t>等</w:t>
                  </w:r>
                  <w:r>
                    <w:rPr>
                      <w:rFonts w:ascii="宋体" w:hAnsi="宋体" w:cs="宋体" w:eastAsia="宋体"/>
                      <w:sz w:val="24"/>
                    </w:rPr>
                    <w:t>法人相关数据</w:t>
                  </w:r>
                  <w:r>
                    <w:rPr>
                      <w:rFonts w:ascii="宋体" w:hAnsi="宋体" w:cs="宋体" w:eastAsia="宋体"/>
                      <w:sz w:val="24"/>
                    </w:rPr>
                    <w:t>不少于</w:t>
                  </w:r>
                  <w:r>
                    <w:rPr>
                      <w:rFonts w:ascii="times new roman, times, serif" w:hAnsi="times new roman, times, serif" w:cs="times new roman, times, serif" w:eastAsia="times new roman, times, serif"/>
                      <w:sz w:val="24"/>
                    </w:rPr>
                    <w:t>120</w:t>
                  </w:r>
                  <w:r>
                    <w:rPr>
                      <w:rFonts w:ascii="宋体" w:hAnsi="宋体" w:cs="宋体" w:eastAsia="宋体"/>
                      <w:sz w:val="24"/>
                    </w:rPr>
                    <w:t>项，并对已接入的</w:t>
                  </w:r>
                  <w:r>
                    <w:rPr>
                      <w:rFonts w:ascii="times new roman, times, serif" w:hAnsi="times new roman, times, serif" w:cs="times new roman, times, serif" w:eastAsia="times new roman, times, serif"/>
                      <w:sz w:val="24"/>
                    </w:rPr>
                    <w:t>44</w:t>
                  </w:r>
                  <w:r>
                    <w:rPr>
                      <w:rFonts w:ascii="宋体" w:hAnsi="宋体" w:cs="宋体" w:eastAsia="宋体"/>
                      <w:sz w:val="24"/>
                    </w:rPr>
                    <w:t>项数据进行维护，保障数据稳定性。</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3</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主题建模</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治理加工接入的</w:t>
                  </w:r>
                  <w:r>
                    <w:rPr>
                      <w:rFonts w:ascii="times new roman, times, serif" w:hAnsi="times new roman, times, serif" w:cs="times new roman, times, serif" w:eastAsia="times new roman, times, serif"/>
                      <w:sz w:val="24"/>
                    </w:rPr>
                    <w:t>120</w:t>
                  </w:r>
                  <w:r>
                    <w:rPr>
                      <w:rFonts w:ascii="宋体" w:hAnsi="宋体" w:cs="宋体" w:eastAsia="宋体"/>
                      <w:sz w:val="24"/>
                    </w:rPr>
                    <w:t>项数据，支撑行政监管、信用评价、纳税参保、资质荣誉、司法信息等八大主题建设。</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4</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模型及图谱</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开展</w:t>
                  </w:r>
                  <w:r>
                    <w:rPr>
                      <w:rFonts w:ascii="宋体" w:hAnsi="宋体" w:cs="宋体" w:eastAsia="宋体"/>
                      <w:sz w:val="24"/>
                    </w:rPr>
                    <w:t>不少于</w:t>
                  </w:r>
                  <w:r>
                    <w:rPr>
                      <w:rFonts w:ascii="times new roman, times, serif" w:hAnsi="times new roman, times, serif" w:cs="times new roman, times, serif" w:eastAsia="times new roman, times, serif"/>
                      <w:sz w:val="24"/>
                    </w:rPr>
                    <w:t>3</w:t>
                  </w:r>
                  <w:r>
                    <w:rPr>
                      <w:rFonts w:ascii="宋体" w:hAnsi="宋体" w:cs="宋体" w:eastAsia="宋体"/>
                      <w:sz w:val="24"/>
                    </w:rPr>
                    <w:t>个法人相关算法模型及图谱建设</w:t>
                  </w:r>
                  <w:r>
                    <w:rPr>
                      <w:rFonts w:ascii="宋体" w:hAnsi="宋体" w:cs="宋体" w:eastAsia="宋体"/>
                      <w:sz w:val="24"/>
                    </w:rPr>
                    <w:t>如：</w:t>
                  </w:r>
                  <w:r>
                    <w:rPr>
                      <w:rFonts w:ascii="宋体" w:hAnsi="宋体" w:cs="宋体" w:eastAsia="宋体"/>
                      <w:sz w:val="24"/>
                    </w:rPr>
                    <w:t>企业</w:t>
                  </w:r>
                  <w:r>
                    <w:rPr>
                      <w:rFonts w:ascii="宋体" w:hAnsi="宋体" w:cs="宋体" w:eastAsia="宋体"/>
                      <w:sz w:val="24"/>
                    </w:rPr>
                    <w:t>活跃度</w:t>
                  </w:r>
                  <w:r>
                    <w:rPr>
                      <w:rFonts w:ascii="宋体" w:hAnsi="宋体" w:cs="宋体" w:eastAsia="宋体"/>
                      <w:sz w:val="24"/>
                    </w:rPr>
                    <w:t>模型、</w:t>
                  </w:r>
                  <w:r>
                    <w:rPr>
                      <w:rFonts w:ascii="宋体" w:hAnsi="宋体" w:cs="宋体" w:eastAsia="宋体"/>
                      <w:sz w:val="24"/>
                    </w:rPr>
                    <w:t>企业关联</w:t>
                  </w:r>
                  <w:r>
                    <w:rPr>
                      <w:rFonts w:ascii="宋体" w:hAnsi="宋体" w:cs="宋体" w:eastAsia="宋体"/>
                      <w:sz w:val="24"/>
                    </w:rPr>
                    <w:t>知识图谱等。</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5</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数据拆分</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按基层回流法人数据需求，按照市、区、街道、社区进行拆分，拆分</w:t>
                  </w:r>
                  <w:r>
                    <w:rPr>
                      <w:rFonts w:ascii="宋体" w:hAnsi="宋体" w:cs="宋体" w:eastAsia="宋体"/>
                      <w:sz w:val="24"/>
                    </w:rPr>
                    <w:t>不少于</w:t>
                  </w:r>
                  <w:r>
                    <w:rPr>
                      <w:rFonts w:ascii="times new roman, times, serif" w:hAnsi="times new roman, times, serif" w:cs="times new roman, times, serif" w:eastAsia="times new roman, times, serif"/>
                      <w:sz w:val="24"/>
                    </w:rPr>
                    <w:t>200</w:t>
                  </w:r>
                  <w:r>
                    <w:rPr>
                      <w:rFonts w:ascii="宋体" w:hAnsi="宋体" w:cs="宋体" w:eastAsia="宋体"/>
                      <w:sz w:val="24"/>
                    </w:rPr>
                    <w:t>项资源。</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6</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数据标注</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协同行业部门对法人标签进行梳理，确定标签名称、标签定义、标签有效时间等信息，并根据相关数据开展上市企业、规上企业、信用等级、企业荣誉等</w:t>
                  </w:r>
                  <w:r>
                    <w:rPr>
                      <w:rFonts w:ascii="宋体" w:hAnsi="宋体" w:cs="宋体" w:eastAsia="宋体"/>
                      <w:sz w:val="24"/>
                    </w:rPr>
                    <w:t>不少于</w:t>
                  </w:r>
                  <w:r>
                    <w:rPr>
                      <w:rFonts w:ascii="times new roman, times, serif" w:hAnsi="times new roman, times, serif" w:cs="times new roman, times, serif" w:eastAsia="times new roman, times, serif"/>
                      <w:sz w:val="24"/>
                    </w:rPr>
                    <w:t>200</w:t>
                  </w:r>
                  <w:r>
                    <w:rPr>
                      <w:rFonts w:ascii="宋体" w:hAnsi="宋体" w:cs="宋体" w:eastAsia="宋体"/>
                      <w:sz w:val="24"/>
                    </w:rPr>
                    <w:t>个标签数据打标工作。</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7</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对外赋能</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根据各级各部门共享需求开展数据对比、数据统计、接口服务开发等数据赋能</w:t>
                  </w:r>
                  <w:r>
                    <w:rPr>
                      <w:rFonts w:ascii="宋体" w:hAnsi="宋体" w:cs="宋体" w:eastAsia="宋体"/>
                      <w:sz w:val="24"/>
                    </w:rPr>
                    <w:t>不少于</w:t>
                  </w:r>
                  <w:r>
                    <w:rPr>
                      <w:rFonts w:ascii="times new roman, times, serif" w:hAnsi="times new roman, times, serif" w:cs="times new roman, times, serif" w:eastAsia="times new roman, times, serif"/>
                      <w:sz w:val="24"/>
                    </w:rPr>
                    <w:t>25</w:t>
                  </w:r>
                  <w:r>
                    <w:rPr>
                      <w:rFonts w:ascii="宋体" w:hAnsi="宋体" w:cs="宋体" w:eastAsia="宋体"/>
                      <w:sz w:val="24"/>
                    </w:rPr>
                    <w:t>个，支撑政策找企业、第五次经济普查、企业信息补全、就业分析、企业之树应用工作。</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8</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指标梳理及数据加工</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开展法人可视化大屏、一企一档、法人</w:t>
                  </w:r>
                  <w:r>
                    <w:rPr>
                      <w:rFonts w:ascii="times new roman, times, serif" w:hAnsi="times new roman, times, serif" w:cs="times new roman, times, serif" w:eastAsia="times new roman, times, serif"/>
                      <w:sz w:val="24"/>
                    </w:rPr>
                    <w:t>H5</w:t>
                  </w:r>
                  <w:r>
                    <w:rPr>
                      <w:rFonts w:ascii="宋体" w:hAnsi="宋体" w:cs="宋体" w:eastAsia="宋体"/>
                      <w:sz w:val="24"/>
                    </w:rPr>
                    <w:t>页面、法人群体画像、政策模拟计算器及报表通数据超市所需法人相关数据指标梳理及数据加工。</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9</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互联网外采</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根据实际需求</w:t>
                  </w:r>
                  <w:r>
                    <w:rPr>
                      <w:rFonts w:ascii="宋体" w:hAnsi="宋体" w:cs="宋体" w:eastAsia="宋体"/>
                      <w:sz w:val="24"/>
                    </w:rPr>
                    <w:t>开展企业</w:t>
                  </w:r>
                  <w:r>
                    <w:rPr>
                      <w:rFonts w:ascii="宋体" w:hAnsi="宋体" w:cs="宋体" w:eastAsia="宋体"/>
                      <w:sz w:val="24"/>
                    </w:rPr>
                    <w:t>司法</w:t>
                  </w:r>
                  <w:r>
                    <w:rPr>
                      <w:rFonts w:ascii="宋体" w:hAnsi="宋体" w:cs="宋体" w:eastAsia="宋体"/>
                      <w:sz w:val="24"/>
                    </w:rPr>
                    <w:t>、招投标、经营收入、</w:t>
                  </w:r>
                  <w:r>
                    <w:rPr>
                      <w:rFonts w:ascii="宋体" w:hAnsi="宋体" w:cs="宋体" w:eastAsia="宋体"/>
                      <w:sz w:val="24"/>
                    </w:rPr>
                    <w:t>实际地址</w:t>
                  </w:r>
                  <w:r>
                    <w:rPr>
                      <w:rFonts w:ascii="宋体" w:hAnsi="宋体" w:cs="宋体" w:eastAsia="宋体"/>
                      <w:sz w:val="24"/>
                    </w:rPr>
                    <w:t>等</w:t>
                  </w:r>
                  <w:r>
                    <w:rPr>
                      <w:rFonts w:ascii="宋体" w:hAnsi="宋体" w:cs="宋体" w:eastAsia="宋体"/>
                      <w:sz w:val="24"/>
                    </w:rPr>
                    <w:t>的法人互联网</w:t>
                  </w:r>
                  <w:r>
                    <w:rPr>
                      <w:rFonts w:ascii="宋体" w:hAnsi="宋体" w:cs="宋体" w:eastAsia="宋体"/>
                      <w:sz w:val="24"/>
                    </w:rPr>
                    <w:t>数据外采。</w:t>
                  </w:r>
                </w:p>
              </w:tc>
            </w:tr>
          </w:tbl>
          <w:p>
            <w:pPr>
              <w:pStyle w:val="null3"/>
              <w:ind w:firstLine="560"/>
              <w:jc w:val="both"/>
            </w:pPr>
            <w:r>
              <w:rPr>
                <w:rFonts w:ascii="方正仿宋简体" w:hAnsi="方正仿宋简体" w:cs="方正仿宋简体" w:eastAsia="方正仿宋简体"/>
                <w:sz w:val="28"/>
              </w:rPr>
              <w:t>（</w:t>
            </w:r>
            <w:r>
              <w:rPr>
                <w:rFonts w:ascii="方正仿宋简体" w:hAnsi="方正仿宋简体" w:cs="方正仿宋简体" w:eastAsia="方正仿宋简体"/>
                <w:sz w:val="28"/>
              </w:rPr>
              <w:t>3）完善电子证照库</w:t>
            </w:r>
          </w:p>
          <w:p>
            <w:pPr>
              <w:pStyle w:val="null3"/>
              <w:spacing w:before="195" w:after="375"/>
              <w:ind w:firstLine="560"/>
              <w:jc w:val="left"/>
            </w:pPr>
            <w:r>
              <w:rPr>
                <w:rFonts w:ascii="方正仿宋简体" w:hAnsi="方正仿宋简体" w:cs="方正仿宋简体" w:eastAsia="方正仿宋简体"/>
                <w:sz w:val="28"/>
              </w:rPr>
              <w:t>在现有电子证照库基础上，进一步开展食品生产许可证、特种设备使用登记证等证照数据汇聚、治理和融合，补充完善电子证照基础数据，开展电子证照库向自然人库、法人库、政务服务等应用赋能，同时通过数据回流共享，赋能市级部门和区（市）县两级智慧场景建设。</w:t>
            </w:r>
          </w:p>
          <w:p>
            <w:pPr>
              <w:pStyle w:val="null3"/>
              <w:spacing w:after="120"/>
              <w:jc w:val="center"/>
            </w:pPr>
            <w:r>
              <w:rPr>
                <w:rFonts w:ascii="宋体" w:hAnsi="宋体" w:cs="宋体" w:eastAsia="宋体"/>
                <w:sz w:val="24"/>
              </w:rPr>
              <w:t>表</w:t>
            </w:r>
            <w:r>
              <w:rPr>
                <w:rFonts w:ascii="times new roman, times, serif" w:hAnsi="times new roman, times, serif" w:cs="times new roman, times, serif" w:eastAsia="times new roman, times, serif"/>
                <w:sz w:val="24"/>
              </w:rPr>
              <w:t xml:space="preserve">3 </w:t>
            </w:r>
            <w:r>
              <w:rPr>
                <w:rFonts w:ascii="宋体" w:hAnsi="宋体" w:cs="宋体" w:eastAsia="宋体"/>
                <w:sz w:val="24"/>
              </w:rPr>
              <w:t>完善电子证照库服务内容和要求</w:t>
            </w:r>
          </w:p>
          <w:tbl>
            <w:tblPr>
              <w:tblBorders>
                <w:top w:val="none" w:color="000000" w:sz="4"/>
                <w:left w:val="none" w:color="000000" w:sz="4"/>
                <w:bottom w:val="none" w:color="000000" w:sz="4"/>
                <w:right w:val="none" w:color="000000" w:sz="4"/>
                <w:insideH w:val="none"/>
                <w:insideV w:val="none"/>
              </w:tblBorders>
            </w:tblPr>
            <w:tblGrid>
              <w:gridCol w:w="304"/>
              <w:gridCol w:w="436"/>
              <w:gridCol w:w="1813"/>
            </w:tblGrid>
            <w:tr>
              <w:tc>
                <w:tcPr>
                  <w:tcW w:type="dxa" w:w="304"/>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序号</w:t>
                  </w:r>
                </w:p>
              </w:tc>
              <w:tc>
                <w:tcPr>
                  <w:tcW w:type="dxa" w:w="436"/>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服务类别</w:t>
                  </w:r>
                </w:p>
              </w:tc>
              <w:tc>
                <w:tcPr>
                  <w:tcW w:type="dxa" w:w="1813"/>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服务内容</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标准规范</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参与电子证照库标准规范编制。</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2</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数据接入和维护</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新增接入包含食品生产许可证、特种设备使用登记证等相关数据</w:t>
                  </w:r>
                  <w:r>
                    <w:rPr>
                      <w:rFonts w:ascii="宋体" w:hAnsi="宋体" w:cs="宋体" w:eastAsia="宋体"/>
                      <w:sz w:val="24"/>
                    </w:rPr>
                    <w:t>不少于</w:t>
                  </w:r>
                  <w:r>
                    <w:rPr>
                      <w:rFonts w:ascii="times new roman, times, serif" w:hAnsi="times new roman, times, serif" w:cs="times new roman, times, serif" w:eastAsia="times new roman, times, serif"/>
                      <w:sz w:val="24"/>
                    </w:rPr>
                    <w:t>1</w:t>
                  </w:r>
                  <w:r>
                    <w:rPr>
                      <w:rFonts w:ascii="times new roman, times, serif" w:hAnsi="times new roman, times, serif" w:cs="times new roman, times, serif" w:eastAsia="times new roman, times, serif"/>
                      <w:sz w:val="24"/>
                    </w:rPr>
                    <w:t>0</w:t>
                  </w:r>
                  <w:r>
                    <w:rPr>
                      <w:rFonts w:ascii="宋体" w:hAnsi="宋体" w:cs="宋体" w:eastAsia="宋体"/>
                      <w:sz w:val="24"/>
                    </w:rPr>
                    <w:t>项，并对已接入的</w:t>
                  </w:r>
                  <w:r>
                    <w:rPr>
                      <w:rFonts w:ascii="times new roman, times, serif" w:hAnsi="times new roman, times, serif" w:cs="times new roman, times, serif" w:eastAsia="times new roman, times, serif"/>
                      <w:sz w:val="24"/>
                    </w:rPr>
                    <w:t>65</w:t>
                  </w:r>
                  <w:r>
                    <w:rPr>
                      <w:rFonts w:ascii="宋体" w:hAnsi="宋体" w:cs="宋体" w:eastAsia="宋体"/>
                      <w:sz w:val="24"/>
                    </w:rPr>
                    <w:t>类数据进行维护，保障数据稳定性。</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3</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应用赋能</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开展自然人库、法人库、政务服务等应用赋能，</w:t>
                  </w:r>
                  <w:r>
                    <w:rPr>
                      <w:rFonts w:ascii="宋体" w:hAnsi="宋体" w:cs="宋体" w:eastAsia="宋体"/>
                      <w:sz w:val="24"/>
                    </w:rPr>
                    <w:t>不少于</w:t>
                  </w:r>
                  <w:r>
                    <w:rPr>
                      <w:rFonts w:ascii="times new roman, times, serif" w:hAnsi="times new roman, times, serif" w:cs="times new roman, times, serif" w:eastAsia="times new roman, times, serif"/>
                      <w:sz w:val="24"/>
                    </w:rPr>
                    <w:t>5</w:t>
                  </w:r>
                  <w:r>
                    <w:rPr>
                      <w:rFonts w:ascii="宋体" w:hAnsi="宋体" w:cs="宋体" w:eastAsia="宋体"/>
                      <w:sz w:val="24"/>
                    </w:rPr>
                    <w:t>个应用场景。</w:t>
                  </w:r>
                </w:p>
              </w:tc>
            </w:tr>
          </w:tbl>
          <w:p>
            <w:pPr>
              <w:pStyle w:val="null3"/>
              <w:ind w:firstLine="560"/>
              <w:jc w:val="both"/>
            </w:pPr>
            <w:r>
              <w:rPr>
                <w:rFonts w:ascii="方正仿宋简体" w:hAnsi="方正仿宋简体" w:cs="方正仿宋简体" w:eastAsia="方正仿宋简体"/>
                <w:sz w:val="28"/>
              </w:rPr>
              <w:t>（</w:t>
            </w:r>
            <w:r>
              <w:rPr>
                <w:rFonts w:ascii="方正仿宋简体" w:hAnsi="方正仿宋简体" w:cs="方正仿宋简体" w:eastAsia="方正仿宋简体"/>
                <w:sz w:val="28"/>
              </w:rPr>
              <w:t>4）</w:t>
            </w:r>
            <w:r>
              <w:rPr>
                <w:rFonts w:ascii="方正仿宋简体" w:hAnsi="方正仿宋简体" w:cs="方正仿宋简体" w:eastAsia="方正仿宋简体"/>
                <w:sz w:val="32"/>
              </w:rPr>
              <w:t>市级部门和区（市）县数据赋能</w:t>
            </w:r>
          </w:p>
          <w:p>
            <w:pPr>
              <w:pStyle w:val="null3"/>
              <w:spacing w:before="195" w:after="375"/>
              <w:ind w:firstLine="560"/>
              <w:jc w:val="left"/>
            </w:pPr>
            <w:r>
              <w:rPr>
                <w:rFonts w:ascii="方正仿宋简体" w:hAnsi="方正仿宋简体" w:cs="方正仿宋简体" w:eastAsia="方正仿宋简体"/>
                <w:sz w:val="28"/>
              </w:rPr>
              <w:t>依托数据资源体系能力，全面开展智慧蓉城数据治理工作，以业务需求驱动数据汇聚，持续收集、梳理市级部门和区（市）县数据需求，基于智慧蓉城</w:t>
            </w:r>
            <w:r>
              <w:rPr>
                <w:rFonts w:ascii="方正仿宋简体" w:hAnsi="方正仿宋简体" w:cs="方正仿宋简体" w:eastAsia="方正仿宋简体"/>
                <w:sz w:val="28"/>
              </w:rPr>
              <w:t>“王”字型架构，依托市、区（市）县两级智慧蓉城数据资源体系，建立健全数据共享交换机制，高效有序推进公共数据采集、归集、治理和共享，实现数据资源汇聚共享和价值释放，全面高效支撑智慧蓉城建设。</w:t>
            </w:r>
          </w:p>
          <w:p>
            <w:pPr>
              <w:pStyle w:val="null3"/>
              <w:spacing w:after="120"/>
              <w:jc w:val="center"/>
            </w:pPr>
            <w:r>
              <w:rPr>
                <w:rFonts w:ascii="宋体" w:hAnsi="宋体" w:cs="宋体" w:eastAsia="宋体"/>
                <w:sz w:val="24"/>
              </w:rPr>
              <w:t>表</w:t>
            </w:r>
            <w:r>
              <w:rPr>
                <w:rFonts w:ascii="times new roman, times, serif" w:hAnsi="times new roman, times, serif" w:cs="times new roman, times, serif" w:eastAsia="times new roman, times, serif"/>
                <w:sz w:val="24"/>
              </w:rPr>
              <w:t xml:space="preserve">4 </w:t>
            </w:r>
            <w:r>
              <w:rPr>
                <w:rFonts w:ascii="宋体" w:hAnsi="宋体" w:cs="宋体" w:eastAsia="宋体"/>
                <w:sz w:val="24"/>
              </w:rPr>
              <w:t>市级部门和区（市）县数据赋能服务内容和要求</w:t>
            </w:r>
          </w:p>
          <w:tbl>
            <w:tblPr>
              <w:tblBorders>
                <w:top w:val="none" w:color="000000" w:sz="4"/>
                <w:left w:val="none" w:color="000000" w:sz="4"/>
                <w:bottom w:val="none" w:color="000000" w:sz="4"/>
                <w:right w:val="none" w:color="000000" w:sz="4"/>
                <w:insideH w:val="none"/>
                <w:insideV w:val="none"/>
              </w:tblBorders>
            </w:tblPr>
            <w:tblGrid>
              <w:gridCol w:w="303"/>
              <w:gridCol w:w="436"/>
              <w:gridCol w:w="1814"/>
            </w:tblGrid>
            <w:tr>
              <w:tc>
                <w:tcPr>
                  <w:tcW w:type="dxa" w:w="303"/>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序号</w:t>
                  </w:r>
                </w:p>
              </w:tc>
              <w:tc>
                <w:tcPr>
                  <w:tcW w:type="dxa" w:w="436"/>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服务类别</w:t>
                  </w:r>
                </w:p>
              </w:tc>
              <w:tc>
                <w:tcPr>
                  <w:tcW w:type="dxa" w:w="1814"/>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服务内容</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数据汇聚</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以数据库、文件、</w:t>
                  </w:r>
                  <w:r>
                    <w:rPr>
                      <w:rFonts w:ascii="times new roman, times, serif" w:hAnsi="times new roman, times, serif" w:cs="times new roman, times, serif" w:eastAsia="times new roman, times, serif"/>
                      <w:sz w:val="24"/>
                    </w:rPr>
                    <w:t>API</w:t>
                  </w:r>
                  <w:r>
                    <w:rPr>
                      <w:rFonts w:ascii="宋体" w:hAnsi="宋体" w:cs="宋体" w:eastAsia="宋体"/>
                      <w:sz w:val="24"/>
                    </w:rPr>
                    <w:t>等方式汇聚各级各部门公共数据，开展数据清理并入湖统一管理，根据历史数据计算，新增</w:t>
                  </w:r>
                  <w:r>
                    <w:rPr>
                      <w:rFonts w:ascii="宋体" w:hAnsi="宋体" w:cs="宋体" w:eastAsia="宋体"/>
                      <w:sz w:val="24"/>
                    </w:rPr>
                    <w:t>不少于</w:t>
                  </w:r>
                  <w:r>
                    <w:rPr>
                      <w:rFonts w:ascii="times new roman, times, serif" w:hAnsi="times new roman, times, serif" w:cs="times new roman, times, serif" w:eastAsia="times new roman, times, serif"/>
                      <w:sz w:val="24"/>
                    </w:rPr>
                    <w:t>1000</w:t>
                  </w:r>
                  <w:r>
                    <w:rPr>
                      <w:rFonts w:ascii="宋体" w:hAnsi="宋体" w:cs="宋体" w:eastAsia="宋体"/>
                      <w:sz w:val="24"/>
                    </w:rPr>
                    <w:t>项。</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2</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数据融合</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按数据共享需求开展数据标准化、融合加工等数据加工处理</w:t>
                  </w:r>
                  <w:r>
                    <w:rPr>
                      <w:rFonts w:ascii="宋体" w:hAnsi="宋体" w:cs="宋体" w:eastAsia="宋体"/>
                      <w:sz w:val="24"/>
                    </w:rPr>
                    <w:t>不少于</w:t>
                  </w:r>
                  <w:r>
                    <w:rPr>
                      <w:rFonts w:ascii="times new roman, times, serif" w:hAnsi="times new roman, times, serif" w:cs="times new roman, times, serif" w:eastAsia="times new roman, times, serif"/>
                      <w:sz w:val="24"/>
                    </w:rPr>
                    <w:t>500</w:t>
                  </w:r>
                  <w:r>
                    <w:rPr>
                      <w:rFonts w:ascii="宋体" w:hAnsi="宋体" w:cs="宋体" w:eastAsia="宋体"/>
                      <w:sz w:val="24"/>
                    </w:rPr>
                    <w:t>项。</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3</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数据更新维护</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对数据湖已汇聚的</w:t>
                  </w:r>
                  <w:r>
                    <w:rPr>
                      <w:rFonts w:ascii="times new roman, times, serif" w:hAnsi="times new roman, times, serif" w:cs="times new roman, times, serif" w:eastAsia="times new roman, times, serif"/>
                      <w:sz w:val="24"/>
                    </w:rPr>
                    <w:t>5000</w:t>
                  </w:r>
                  <w:r>
                    <w:rPr>
                      <w:rFonts w:ascii="宋体" w:hAnsi="宋体" w:cs="宋体" w:eastAsia="宋体"/>
                      <w:sz w:val="24"/>
                    </w:rPr>
                    <w:t>项数据开展更新维护工作，确保数据更新及时、完整准确。</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4</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问题数据处理</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根据用数单位反映的问题，对问题数据进行处理，以保证用数单位正常用数，数据异常处理</w:t>
                  </w:r>
                  <w:r>
                    <w:rPr>
                      <w:rFonts w:ascii="宋体" w:hAnsi="宋体" w:cs="宋体" w:eastAsia="宋体"/>
                      <w:sz w:val="24"/>
                    </w:rPr>
                    <w:t>不少于</w:t>
                  </w:r>
                  <w:r>
                    <w:rPr>
                      <w:rFonts w:ascii="times new roman, times, serif" w:hAnsi="times new roman, times, serif" w:cs="times new roman, times, serif" w:eastAsia="times new roman, times, serif"/>
                      <w:sz w:val="24"/>
                    </w:rPr>
                    <w:t>500</w:t>
                  </w:r>
                  <w:r>
                    <w:rPr>
                      <w:rFonts w:ascii="宋体" w:hAnsi="宋体" w:cs="宋体" w:eastAsia="宋体"/>
                      <w:sz w:val="24"/>
                    </w:rPr>
                    <w:t>项。</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5</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应用场景管理</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分类汇总数据应用场景不少于</w:t>
                  </w:r>
                  <w:r>
                    <w:rPr>
                      <w:rFonts w:ascii="times new roman, times, serif" w:hAnsi="times new roman, times, serif" w:cs="times new roman, times, serif" w:eastAsia="times new roman, times, serif"/>
                      <w:color w:val="000000"/>
                      <w:sz w:val="24"/>
                    </w:rPr>
                    <w:t>40</w:t>
                  </w:r>
                  <w:r>
                    <w:rPr>
                      <w:rFonts w:ascii="宋体" w:hAnsi="宋体" w:cs="宋体" w:eastAsia="宋体"/>
                      <w:color w:val="000000"/>
                      <w:sz w:val="24"/>
                    </w:rPr>
                    <w:t>个，对应用成效、应用中遇到的问题进行总结，并发布到一体化政务大数据平台门户，供部门及区（市）县学习借鉴。</w:t>
                  </w:r>
                </w:p>
              </w:tc>
            </w:tr>
          </w:tbl>
          <w:p>
            <w:pPr>
              <w:pStyle w:val="null3"/>
              <w:ind w:firstLine="560"/>
              <w:jc w:val="both"/>
            </w:pPr>
            <w:r>
              <w:rPr>
                <w:rFonts w:ascii="方正仿宋简体" w:hAnsi="方正仿宋简体" w:cs="方正仿宋简体" w:eastAsia="方正仿宋简体"/>
                <w:sz w:val="28"/>
              </w:rPr>
              <w:t>（</w:t>
            </w:r>
            <w:r>
              <w:rPr>
                <w:rFonts w:ascii="方正仿宋简体" w:hAnsi="方正仿宋简体" w:cs="方正仿宋简体" w:eastAsia="方正仿宋简体"/>
                <w:sz w:val="28"/>
              </w:rPr>
              <w:t>5）</w:t>
            </w:r>
            <w:r>
              <w:rPr>
                <w:rFonts w:ascii="方正仿宋简体" w:hAnsi="方正仿宋简体" w:cs="方正仿宋简体" w:eastAsia="方正仿宋简体"/>
                <w:sz w:val="32"/>
              </w:rPr>
              <w:t>国省数据回流应用</w:t>
            </w:r>
          </w:p>
          <w:p>
            <w:pPr>
              <w:pStyle w:val="null3"/>
              <w:spacing w:before="195" w:after="375"/>
              <w:ind w:firstLine="560"/>
              <w:jc w:val="left"/>
            </w:pPr>
            <w:r>
              <w:rPr>
                <w:rFonts w:ascii="方正仿宋简体" w:hAnsi="方正仿宋简体" w:cs="方正仿宋简体" w:eastAsia="方正仿宋简体"/>
                <w:sz w:val="28"/>
              </w:rPr>
              <w:t>依据《关于印发四川省深化</w:t>
            </w:r>
            <w:r>
              <w:rPr>
                <w:rFonts w:ascii="方正仿宋简体" w:hAnsi="方正仿宋简体" w:cs="方正仿宋简体" w:eastAsia="方正仿宋简体"/>
                <w:sz w:val="28"/>
              </w:rPr>
              <w:t>“放管服”改革优化营商环境2022年工作要点的通知》《四川省大数据中心关于印发“一网通办”能力提升成绩单的函》等文件要求精神，对接四川省大数据中心对接国省数据，完成国省数据的汇聚和问题处理，赋能市级部门及区（市）县智慧应用。</w:t>
            </w:r>
          </w:p>
          <w:p>
            <w:pPr>
              <w:pStyle w:val="null3"/>
              <w:spacing w:after="120"/>
              <w:jc w:val="center"/>
            </w:pPr>
            <w:r>
              <w:rPr>
                <w:rFonts w:ascii="宋体" w:hAnsi="宋体" w:cs="宋体" w:eastAsia="宋体"/>
                <w:sz w:val="24"/>
              </w:rPr>
              <w:t>表</w:t>
            </w:r>
            <w:r>
              <w:rPr>
                <w:rFonts w:ascii="times new roman, times, serif" w:hAnsi="times new roman, times, serif" w:cs="times new roman, times, serif" w:eastAsia="times new roman, times, serif"/>
                <w:sz w:val="24"/>
              </w:rPr>
              <w:t xml:space="preserve">5 </w:t>
            </w:r>
            <w:r>
              <w:rPr>
                <w:rFonts w:ascii="宋体" w:hAnsi="宋体" w:cs="宋体" w:eastAsia="宋体"/>
                <w:sz w:val="24"/>
              </w:rPr>
              <w:t>国省数据回流应用服务内容和要求</w:t>
            </w:r>
          </w:p>
          <w:tbl>
            <w:tblPr>
              <w:tblBorders>
                <w:top w:val="none" w:color="000000" w:sz="4"/>
                <w:left w:val="none" w:color="000000" w:sz="4"/>
                <w:bottom w:val="none" w:color="000000" w:sz="4"/>
                <w:right w:val="none" w:color="000000" w:sz="4"/>
                <w:insideH w:val="none"/>
                <w:insideV w:val="none"/>
              </w:tblBorders>
            </w:tblPr>
            <w:tblGrid>
              <w:gridCol w:w="304"/>
              <w:gridCol w:w="436"/>
              <w:gridCol w:w="1813"/>
            </w:tblGrid>
            <w:tr>
              <w:tc>
                <w:tcPr>
                  <w:tcW w:type="dxa" w:w="304"/>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序号</w:t>
                  </w:r>
                </w:p>
              </w:tc>
              <w:tc>
                <w:tcPr>
                  <w:tcW w:type="dxa" w:w="436"/>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服务类别</w:t>
                  </w:r>
                </w:p>
              </w:tc>
              <w:tc>
                <w:tcPr>
                  <w:tcW w:type="dxa" w:w="1813"/>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服务内容</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数据探查和入库</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对接国家、省数据共享平台，根据历史工作开展情况，新增接入国省数据资源</w:t>
                  </w:r>
                  <w:r>
                    <w:rPr>
                      <w:rFonts w:ascii="宋体" w:hAnsi="宋体" w:cs="宋体" w:eastAsia="宋体"/>
                      <w:sz w:val="24"/>
                    </w:rPr>
                    <w:t>不少于</w:t>
                  </w:r>
                  <w:r>
                    <w:rPr>
                      <w:rFonts w:ascii="times new roman, times, serif" w:hAnsi="times new roman, times, serif" w:cs="times new roman, times, serif" w:eastAsia="times new roman, times, serif"/>
                      <w:sz w:val="24"/>
                    </w:rPr>
                    <w:t>30</w:t>
                  </w:r>
                  <w:r>
                    <w:rPr>
                      <w:rFonts w:ascii="宋体" w:hAnsi="宋体" w:cs="宋体" w:eastAsia="宋体"/>
                      <w:sz w:val="24"/>
                    </w:rPr>
                    <w:t>项。对已接入的</w:t>
                  </w:r>
                  <w:r>
                    <w:rPr>
                      <w:rFonts w:ascii="times new roman, times, serif" w:hAnsi="times new roman, times, serif" w:cs="times new roman, times, serif" w:eastAsia="times new roman, times, serif"/>
                      <w:sz w:val="24"/>
                    </w:rPr>
                    <w:t>800</w:t>
                  </w:r>
                  <w:r>
                    <w:rPr>
                      <w:rFonts w:ascii="宋体" w:hAnsi="宋体" w:cs="宋体" w:eastAsia="宋体"/>
                      <w:sz w:val="24"/>
                    </w:rPr>
                    <w:t>余项国省数据进行维护，并为使用部门提供技术支撑。</w:t>
                  </w:r>
                </w:p>
              </w:tc>
            </w:tr>
          </w:tbl>
          <w:p>
            <w:pPr>
              <w:pStyle w:val="null3"/>
              <w:ind w:firstLine="560"/>
              <w:jc w:val="both"/>
            </w:pPr>
            <w:r>
              <w:rPr>
                <w:rFonts w:ascii="方正仿宋简体" w:hAnsi="方正仿宋简体" w:cs="方正仿宋简体" w:eastAsia="方正仿宋简体"/>
                <w:sz w:val="28"/>
              </w:rPr>
              <w:t>（</w:t>
            </w:r>
            <w:r>
              <w:rPr>
                <w:rFonts w:ascii="方正仿宋简体" w:hAnsi="方正仿宋简体" w:cs="方正仿宋简体" w:eastAsia="方正仿宋简体"/>
                <w:sz w:val="28"/>
              </w:rPr>
              <w:t>6）</w:t>
            </w:r>
            <w:r>
              <w:rPr>
                <w:rFonts w:ascii="方正仿宋简体" w:hAnsi="方正仿宋简体" w:cs="方正仿宋简体" w:eastAsia="方正仿宋简体"/>
                <w:sz w:val="32"/>
              </w:rPr>
              <w:t>数据分析</w:t>
            </w:r>
          </w:p>
          <w:p>
            <w:pPr>
              <w:pStyle w:val="null3"/>
              <w:spacing w:before="195" w:after="375"/>
              <w:ind w:firstLine="560"/>
              <w:jc w:val="left"/>
            </w:pPr>
            <w:r>
              <w:rPr>
                <w:rFonts w:ascii="方正仿宋简体" w:hAnsi="方正仿宋简体" w:cs="方正仿宋简体" w:eastAsia="方正仿宋简体"/>
                <w:sz w:val="28"/>
              </w:rPr>
              <w:t>为全面推动智慧蓉城建设，引导相关智慧场景的应用，加强数据赋能，提升数据治理服务效率，开展相关数据分析工作，围绕节假日交通流、</w:t>
            </w:r>
            <w:r>
              <w:rPr>
                <w:rFonts w:ascii="方正仿宋简体" w:hAnsi="方正仿宋简体" w:cs="方正仿宋简体" w:eastAsia="方正仿宋简体"/>
                <w:sz w:val="28"/>
              </w:rPr>
              <w:t>12345等领域、数据资源运行等多个主题，通过收集、整理和分析各类数据，结合趋势进行分析预测，提供全面、准确、及时的分析结果，为市委市政府以及各级各部门精准调度和决策提供数据支撑。</w:t>
            </w:r>
          </w:p>
          <w:p>
            <w:pPr>
              <w:pStyle w:val="null3"/>
              <w:spacing w:after="120"/>
              <w:jc w:val="center"/>
            </w:pPr>
            <w:r>
              <w:rPr>
                <w:rFonts w:ascii="宋体" w:hAnsi="宋体" w:cs="宋体" w:eastAsia="宋体"/>
                <w:sz w:val="24"/>
              </w:rPr>
              <w:t>表</w:t>
            </w:r>
            <w:r>
              <w:rPr>
                <w:rFonts w:ascii="times new roman, times, serif" w:hAnsi="times new roman, times, serif" w:cs="times new roman, times, serif" w:eastAsia="times new roman, times, serif"/>
                <w:sz w:val="24"/>
              </w:rPr>
              <w:t xml:space="preserve">6 </w:t>
            </w:r>
            <w:r>
              <w:rPr>
                <w:rFonts w:ascii="宋体" w:hAnsi="宋体" w:cs="宋体" w:eastAsia="宋体"/>
                <w:sz w:val="24"/>
              </w:rPr>
              <w:t>数据分析服务内容和要求</w:t>
            </w:r>
          </w:p>
          <w:tbl>
            <w:tblPr>
              <w:tblBorders>
                <w:top w:val="none" w:color="000000" w:sz="4"/>
                <w:left w:val="none" w:color="000000" w:sz="4"/>
                <w:bottom w:val="none" w:color="000000" w:sz="4"/>
                <w:right w:val="none" w:color="000000" w:sz="4"/>
                <w:insideH w:val="none"/>
                <w:insideV w:val="none"/>
              </w:tblBorders>
            </w:tblPr>
            <w:tblGrid>
              <w:gridCol w:w="304"/>
              <w:gridCol w:w="436"/>
              <w:gridCol w:w="1813"/>
            </w:tblGrid>
            <w:tr>
              <w:tc>
                <w:tcPr>
                  <w:tcW w:type="dxa" w:w="304"/>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序号</w:t>
                  </w:r>
                </w:p>
              </w:tc>
              <w:tc>
                <w:tcPr>
                  <w:tcW w:type="dxa" w:w="436"/>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服务类别</w:t>
                  </w:r>
                </w:p>
              </w:tc>
              <w:tc>
                <w:tcPr>
                  <w:tcW w:type="dxa" w:w="1813"/>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服务内容</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节假日交通流分析</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根据实际需求，</w:t>
                  </w:r>
                  <w:r>
                    <w:rPr>
                      <w:rFonts w:ascii="宋体" w:hAnsi="宋体" w:cs="宋体" w:eastAsia="宋体"/>
                      <w:sz w:val="24"/>
                    </w:rPr>
                    <w:t>开展</w:t>
                  </w:r>
                  <w:r>
                    <w:rPr>
                      <w:rFonts w:ascii="宋体" w:hAnsi="宋体" w:cs="宋体" w:eastAsia="宋体"/>
                      <w:sz w:val="24"/>
                    </w:rPr>
                    <w:t>不少于</w:t>
                  </w:r>
                  <w:r>
                    <w:rPr>
                      <w:rFonts w:ascii="times new roman, times, serif" w:hAnsi="times new roman, times, serif" w:cs="times new roman, times, serif" w:eastAsia="times new roman, times, serif"/>
                      <w:sz w:val="24"/>
                    </w:rPr>
                    <w:t>1</w:t>
                  </w:r>
                  <w:r>
                    <w:rPr>
                      <w:rFonts w:ascii="宋体" w:hAnsi="宋体" w:cs="宋体" w:eastAsia="宋体"/>
                      <w:sz w:val="24"/>
                    </w:rPr>
                    <w:t>个</w:t>
                  </w:r>
                  <w:r>
                    <w:rPr>
                      <w:rFonts w:ascii="宋体" w:hAnsi="宋体" w:cs="宋体" w:eastAsia="宋体"/>
                      <w:sz w:val="24"/>
                    </w:rPr>
                    <w:t>节假日数据模型建设及成果输出</w:t>
                  </w:r>
                  <w:r>
                    <w:rPr>
                      <w:rFonts w:ascii="宋体" w:hAnsi="宋体" w:cs="宋体" w:eastAsia="宋体"/>
                      <w:sz w:val="24"/>
                    </w:rPr>
                    <w:t>，</w:t>
                  </w:r>
                  <w:r>
                    <w:rPr>
                      <w:rFonts w:ascii="宋体" w:hAnsi="宋体" w:cs="宋体" w:eastAsia="宋体"/>
                      <w:sz w:val="24"/>
                    </w:rPr>
                    <w:t>内容</w:t>
                  </w:r>
                  <w:r>
                    <w:rPr>
                      <w:rFonts w:ascii="宋体" w:hAnsi="宋体" w:cs="宋体" w:eastAsia="宋体"/>
                      <w:sz w:val="24"/>
                    </w:rPr>
                    <w:t>包括</w:t>
                  </w:r>
                  <w:r>
                    <w:rPr>
                      <w:rFonts w:ascii="宋体" w:hAnsi="宋体" w:cs="宋体" w:eastAsia="宋体"/>
                      <w:sz w:val="24"/>
                    </w:rPr>
                    <w:t>人口迁徙、务工返乡、旅游出行、交通枢纽等</w:t>
                  </w:r>
                  <w:r>
                    <w:rPr>
                      <w:rFonts w:ascii="宋体" w:hAnsi="宋体" w:cs="宋体" w:eastAsia="宋体"/>
                      <w:sz w:val="24"/>
                    </w:rPr>
                    <w:t>。</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2</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12345</w:t>
                  </w:r>
                  <w:r>
                    <w:rPr>
                      <w:rFonts w:ascii="宋体" w:hAnsi="宋体" w:cs="宋体" w:eastAsia="宋体"/>
                      <w:sz w:val="24"/>
                    </w:rPr>
                    <w:t>等领域分析模型</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根据实际需求，</w:t>
                  </w:r>
                  <w:r>
                    <w:rPr>
                      <w:rFonts w:ascii="宋体" w:hAnsi="宋体" w:cs="宋体" w:eastAsia="宋体"/>
                      <w:sz w:val="24"/>
                    </w:rPr>
                    <w:t>开展结合</w:t>
                  </w:r>
                  <w:r>
                    <w:rPr>
                      <w:rFonts w:ascii="times new roman, times, serif" w:hAnsi="times new roman, times, serif" w:cs="times new roman, times, serif" w:eastAsia="times new roman, times, serif"/>
                      <w:sz w:val="24"/>
                    </w:rPr>
                    <w:t>12345</w:t>
                  </w:r>
                  <w:r>
                    <w:rPr>
                      <w:rFonts w:ascii="宋体" w:hAnsi="宋体" w:cs="宋体" w:eastAsia="宋体"/>
                      <w:sz w:val="24"/>
                    </w:rPr>
                    <w:t>数据的消防、出租车等</w:t>
                  </w:r>
                  <w:r>
                    <w:rPr>
                      <w:rFonts w:ascii="宋体" w:hAnsi="宋体" w:cs="宋体" w:eastAsia="宋体"/>
                      <w:sz w:val="24"/>
                    </w:rPr>
                    <w:t>不少于</w:t>
                  </w:r>
                  <w:r>
                    <w:rPr>
                      <w:rFonts w:ascii="times new roman, times, serif" w:hAnsi="times new roman, times, serif" w:cs="times new roman, times, serif" w:eastAsia="times new roman, times, serif"/>
                      <w:sz w:val="24"/>
                    </w:rPr>
                    <w:t>4</w:t>
                  </w:r>
                  <w:r>
                    <w:rPr>
                      <w:rFonts w:ascii="宋体" w:hAnsi="宋体" w:cs="宋体" w:eastAsia="宋体"/>
                      <w:sz w:val="24"/>
                    </w:rPr>
                    <w:t>个</w:t>
                  </w:r>
                  <w:r>
                    <w:rPr>
                      <w:rFonts w:ascii="宋体" w:hAnsi="宋体" w:cs="宋体" w:eastAsia="宋体"/>
                      <w:sz w:val="24"/>
                    </w:rPr>
                    <w:t>相关主题分析模型建设及成果输出。</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3</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制度及标准规范编制</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参与智慧蓉城《公共基础数据整合服务规范》《公共数据开</w:t>
                  </w:r>
                  <w:r>
                    <w:rPr>
                      <w:rFonts w:ascii="宋体" w:hAnsi="宋体" w:cs="宋体" w:eastAsia="宋体"/>
                      <w:sz w:val="24"/>
                    </w:rPr>
                    <w:t>放</w:t>
                  </w:r>
                  <w:r>
                    <w:rPr>
                      <w:rFonts w:ascii="宋体" w:hAnsi="宋体" w:cs="宋体" w:eastAsia="宋体"/>
                      <w:sz w:val="24"/>
                    </w:rPr>
                    <w:t>服务规范》</w:t>
                  </w:r>
                  <w:r>
                    <w:rPr>
                      <w:rFonts w:ascii="宋体" w:hAnsi="宋体" w:cs="宋体" w:eastAsia="宋体"/>
                      <w:sz w:val="24"/>
                    </w:rPr>
                    <w:t>等</w:t>
                  </w:r>
                  <w:r>
                    <w:rPr>
                      <w:rFonts w:ascii="宋体" w:hAnsi="宋体" w:cs="宋体" w:eastAsia="宋体"/>
                      <w:sz w:val="24"/>
                    </w:rPr>
                    <w:t>不少于</w:t>
                  </w:r>
                  <w:r>
                    <w:rPr>
                      <w:rFonts w:ascii="times new roman, times, serif" w:hAnsi="times new roman, times, serif" w:cs="times new roman, times, serif" w:eastAsia="times new roman, times, serif"/>
                      <w:sz w:val="24"/>
                    </w:rPr>
                    <w:t>1</w:t>
                  </w:r>
                  <w:r>
                    <w:rPr>
                      <w:rFonts w:ascii="times new roman, times, serif" w:hAnsi="times new roman, times, serif" w:cs="times new roman, times, serif" w:eastAsia="times new roman, times, serif"/>
                      <w:sz w:val="24"/>
                    </w:rPr>
                    <w:t>0</w:t>
                  </w:r>
                  <w:r>
                    <w:rPr>
                      <w:rFonts w:ascii="宋体" w:hAnsi="宋体" w:cs="宋体" w:eastAsia="宋体"/>
                      <w:sz w:val="24"/>
                    </w:rPr>
                    <w:t>个</w:t>
                  </w:r>
                  <w:r>
                    <w:rPr>
                      <w:rFonts w:ascii="宋体" w:hAnsi="宋体" w:cs="宋体" w:eastAsia="宋体"/>
                      <w:sz w:val="24"/>
                    </w:rPr>
                    <w:t>制度文件、标准规范、材料等编制。</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4</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数据资源运行报告</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全面梳理数据汇聚、数据接入、数据管理、数据治理、数据应用情况，编制数据资源运行报告。</w:t>
                  </w:r>
                </w:p>
              </w:tc>
            </w:tr>
          </w:tbl>
          <w:p>
            <w:pPr>
              <w:pStyle w:val="null3"/>
              <w:ind w:firstLine="560"/>
              <w:jc w:val="both"/>
            </w:pPr>
            <w:r>
              <w:rPr>
                <w:rFonts w:ascii="方正仿宋简体" w:hAnsi="方正仿宋简体" w:cs="方正仿宋简体" w:eastAsia="方正仿宋简体"/>
                <w:sz w:val="28"/>
              </w:rPr>
              <w:t>（</w:t>
            </w:r>
            <w:r>
              <w:rPr>
                <w:rFonts w:ascii="方正仿宋简体" w:hAnsi="方正仿宋简体" w:cs="方正仿宋简体" w:eastAsia="方正仿宋简体"/>
                <w:sz w:val="28"/>
              </w:rPr>
              <w:t>7）</w:t>
            </w:r>
            <w:r>
              <w:rPr>
                <w:rFonts w:ascii="方正仿宋简体" w:hAnsi="方正仿宋简体" w:cs="方正仿宋简体" w:eastAsia="方正仿宋简体"/>
                <w:sz w:val="32"/>
              </w:rPr>
              <w:t>交流研讨</w:t>
            </w:r>
          </w:p>
          <w:p>
            <w:pPr>
              <w:pStyle w:val="null3"/>
              <w:spacing w:after="120"/>
              <w:ind w:firstLine="560"/>
              <w:jc w:val="both"/>
            </w:pPr>
            <w:r>
              <w:rPr>
                <w:rFonts w:ascii="方正仿宋简体" w:hAnsi="方正仿宋简体" w:cs="方正仿宋简体" w:eastAsia="方正仿宋简体"/>
                <w:sz w:val="28"/>
              </w:rPr>
              <w:t>近年数据政府、数据社会、数字经济等政策文件频出，为建强专业数据人才队伍，加快数字人才的培育，系统开展大数据业务和技能培训，着力提升干部队伍数字思维、数字技能和数字素养。</w:t>
            </w:r>
          </w:p>
          <w:p>
            <w:pPr>
              <w:pStyle w:val="null3"/>
              <w:jc w:val="center"/>
            </w:pPr>
            <w:r>
              <w:rPr>
                <w:rFonts w:ascii="宋体" w:hAnsi="宋体" w:cs="宋体" w:eastAsia="宋体"/>
                <w:sz w:val="24"/>
              </w:rPr>
              <w:t>表</w:t>
            </w:r>
            <w:r>
              <w:rPr>
                <w:rFonts w:ascii="宋体" w:hAnsi="宋体" w:cs="宋体" w:eastAsia="宋体"/>
                <w:sz w:val="24"/>
              </w:rPr>
              <w:t>7 交流研讨服务内容和要求</w:t>
            </w:r>
          </w:p>
          <w:tbl>
            <w:tblPr>
              <w:tblBorders>
                <w:top w:val="none" w:color="000000" w:sz="4"/>
                <w:left w:val="none" w:color="000000" w:sz="4"/>
                <w:bottom w:val="none" w:color="000000" w:sz="4"/>
                <w:right w:val="none" w:color="000000" w:sz="4"/>
                <w:insideH w:val="none"/>
                <w:insideV w:val="none"/>
              </w:tblBorders>
            </w:tblPr>
            <w:tblGrid>
              <w:gridCol w:w="304"/>
              <w:gridCol w:w="655"/>
              <w:gridCol w:w="1595"/>
            </w:tblGrid>
            <w:tr>
              <w:tc>
                <w:tcPr>
                  <w:tcW w:type="dxa" w:w="304"/>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left"/>
                  </w:pPr>
                  <w:r>
                    <w:rPr>
                      <w:rFonts w:ascii="宋体" w:hAnsi="宋体" w:cs="宋体" w:eastAsia="宋体"/>
                      <w:b/>
                      <w:sz w:val="24"/>
                    </w:rPr>
                    <w:t>序号</w:t>
                  </w:r>
                </w:p>
              </w:tc>
              <w:tc>
                <w:tcPr>
                  <w:tcW w:type="dxa" w:w="655"/>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服务类别</w:t>
                  </w:r>
                </w:p>
              </w:tc>
              <w:tc>
                <w:tcPr>
                  <w:tcW w:type="dxa" w:w="1595"/>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服务内容</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1</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一网通享交流</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组织市级部门和区（市）县，预计开展</w:t>
                  </w:r>
                  <w:r>
                    <w:rPr>
                      <w:rFonts w:ascii="宋体" w:hAnsi="宋体" w:cs="宋体" w:eastAsia="宋体"/>
                      <w:sz w:val="24"/>
                    </w:rPr>
                    <w:t>不少于</w:t>
                  </w:r>
                  <w:r>
                    <w:rPr>
                      <w:rFonts w:ascii="times new roman, times, serif" w:hAnsi="times new roman, times, serif" w:cs="times new roman, times, serif" w:eastAsia="times new roman, times, serif"/>
                      <w:sz w:val="24"/>
                    </w:rPr>
                    <w:t>4</w:t>
                  </w:r>
                  <w:r>
                    <w:rPr>
                      <w:rFonts w:ascii="宋体" w:hAnsi="宋体" w:cs="宋体" w:eastAsia="宋体"/>
                      <w:sz w:val="24"/>
                    </w:rPr>
                    <w:t>场次的数据资源体系建设和应用交流、研讨，落实数据管理职能职责，宣贯数据相关政策要求、安排部署数据相关工作任务。</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2</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数字中国专场交流</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邀请国内知名专家，面向数据官开展数据要素</w:t>
                  </w:r>
                  <w:r>
                    <w:rPr>
                      <w:rFonts w:ascii="宋体" w:hAnsi="宋体" w:cs="宋体" w:eastAsia="宋体"/>
                      <w:sz w:val="24"/>
                    </w:rPr>
                    <w:t>×、政务一体化、数字化转型、数据安全及隐私保护等专业培训。</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3</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数据治理工程师（</w:t>
                  </w:r>
                  <w:r>
                    <w:rPr>
                      <w:rFonts w:ascii="times new roman, times, serif" w:hAnsi="times new roman, times, serif" w:cs="times new roman, times, serif" w:eastAsia="times new roman, times, serif"/>
                      <w:sz w:val="24"/>
                    </w:rPr>
                    <w:t>CDGA</w:t>
                  </w:r>
                  <w:r>
                    <w:rPr>
                      <w:rFonts w:ascii="宋体" w:hAnsi="宋体" w:cs="宋体" w:eastAsia="宋体"/>
                      <w:sz w:val="24"/>
                    </w:rPr>
                    <w:t>）、数据治理专家（</w:t>
                  </w:r>
                  <w:r>
                    <w:rPr>
                      <w:rFonts w:ascii="times new roman, times, serif" w:hAnsi="times new roman, times, serif" w:cs="times new roman, times, serif" w:eastAsia="times new roman, times, serif"/>
                      <w:sz w:val="24"/>
                    </w:rPr>
                    <w:t>CDGP</w:t>
                  </w:r>
                  <w:r>
                    <w:rPr>
                      <w:rFonts w:ascii="宋体" w:hAnsi="宋体" w:cs="宋体" w:eastAsia="宋体"/>
                      <w:sz w:val="24"/>
                    </w:rPr>
                    <w:t>）知识体系培训</w:t>
                  </w:r>
                </w:p>
              </w:tc>
              <w:tc>
                <w:tcPr>
                  <w:tcW w:type="dxa" w:w="15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rPr>
                    <w:t>面向业务数据专员、技术数据专员进行数据治理、数据架构、数据建模、数据质量、元数据管理方面专业培训，提升数据管理人员、技术人员的数字化思维和技术素养。</w:t>
                  </w:r>
                </w:p>
              </w:tc>
            </w:tr>
          </w:tbl>
          <w:p>
            <w:pPr>
              <w:pStyle w:val="null3"/>
              <w:jc w:val="both"/>
            </w:pPr>
            <w:r>
              <w:rPr>
                <w:rFonts w:ascii="times new roman, times, serif" w:hAnsi="times new roman, times, serif" w:cs="times new roman, times, serif" w:eastAsia="times new roman, times, serif"/>
                <w:sz w:val="32"/>
              </w:rPr>
              <w:t xml:space="preserve">        2</w:t>
            </w:r>
            <w:r>
              <w:rPr>
                <w:rFonts w:ascii="&quot;times new roman&quot;" w:hAnsi="&quot;times new roman&quot;" w:cs="&quot;times new roman&quot;" w:eastAsia="&quot;times new roman&quot;"/>
                <w:sz w:val="32"/>
              </w:rPr>
              <w:t>.</w:t>
            </w:r>
            <w:r>
              <w:rPr>
                <w:rFonts w:ascii="方正仿宋_gbk" w:hAnsi="方正仿宋_gbk" w:cs="方正仿宋_gbk" w:eastAsia="方正仿宋_gbk"/>
                <w:sz w:val="32"/>
              </w:rPr>
              <w:t>服务要求</w:t>
            </w:r>
          </w:p>
          <w:p>
            <w:pPr>
              <w:pStyle w:val="null3"/>
              <w:ind w:firstLine="560"/>
              <w:jc w:val="both"/>
            </w:pPr>
            <w:r>
              <w:rPr>
                <w:rFonts w:ascii="方正仿宋简体" w:hAnsi="方正仿宋简体" w:cs="方正仿宋简体" w:eastAsia="方正仿宋简体"/>
                <w:sz w:val="28"/>
              </w:rPr>
              <w:t>（</w:t>
            </w:r>
            <w:r>
              <w:rPr>
                <w:rFonts w:ascii="方正仿宋简体" w:hAnsi="方正仿宋简体" w:cs="方正仿宋简体" w:eastAsia="方正仿宋简体"/>
                <w:sz w:val="28"/>
              </w:rPr>
              <w:t>1）服务机构</w:t>
            </w:r>
          </w:p>
          <w:p>
            <w:pPr>
              <w:pStyle w:val="null3"/>
              <w:ind w:firstLine="560"/>
              <w:jc w:val="both"/>
            </w:pPr>
            <w:r>
              <w:rPr>
                <w:rFonts w:ascii="方正仿宋简体" w:hAnsi="方正仿宋简体" w:cs="方正仿宋简体" w:eastAsia="方正仿宋简体"/>
                <w:sz w:val="28"/>
              </w:rPr>
              <w:t>中标人成立项目组，完成项目的实施和交付工作。</w:t>
            </w:r>
          </w:p>
          <w:p>
            <w:pPr>
              <w:pStyle w:val="null3"/>
              <w:ind w:firstLine="560"/>
              <w:jc w:val="both"/>
            </w:pPr>
            <w:r>
              <w:rPr>
                <w:rFonts w:ascii="方正仿宋简体" w:hAnsi="方正仿宋简体" w:cs="方正仿宋简体" w:eastAsia="方正仿宋简体"/>
                <w:sz w:val="28"/>
              </w:rPr>
              <w:t>（</w:t>
            </w:r>
            <w:r>
              <w:rPr>
                <w:rFonts w:ascii="方正仿宋简体" w:hAnsi="方正仿宋简体" w:cs="方正仿宋简体" w:eastAsia="方正仿宋简体"/>
                <w:sz w:val="28"/>
              </w:rPr>
              <w:t>2）服务团队</w:t>
            </w:r>
          </w:p>
          <w:p>
            <w:pPr>
              <w:pStyle w:val="null3"/>
              <w:ind w:firstLine="422"/>
              <w:jc w:val="both"/>
            </w:pPr>
            <w:r>
              <w:rPr>
                <w:rFonts w:ascii="宋体" w:hAnsi="宋体" w:cs="宋体" w:eastAsia="宋体"/>
                <w:b/>
                <w:sz w:val="21"/>
              </w:rPr>
              <w:t>★</w:t>
            </w:r>
            <w:r>
              <w:rPr>
                <w:rFonts w:ascii="方正仿宋简体" w:hAnsi="方正仿宋简体" w:cs="方正仿宋简体" w:eastAsia="方正仿宋简体"/>
                <w:sz w:val="28"/>
              </w:rPr>
              <w:t>中标人需组建项目团队</w:t>
            </w:r>
            <w:r>
              <w:rPr>
                <w:rFonts w:ascii="方正仿宋简体" w:hAnsi="方正仿宋简体" w:cs="方正仿宋简体" w:eastAsia="方正仿宋简体"/>
                <w:sz w:val="28"/>
              </w:rPr>
              <w:t>，团队人员不少于</w:t>
            </w:r>
            <w:r>
              <w:rPr>
                <w:rFonts w:ascii="方正仿宋简体" w:hAnsi="方正仿宋简体" w:cs="方正仿宋简体" w:eastAsia="方正仿宋简体"/>
                <w:sz w:val="28"/>
              </w:rPr>
              <w:t>8</w:t>
            </w:r>
            <w:r>
              <w:rPr>
                <w:rFonts w:ascii="方正仿宋简体" w:hAnsi="方正仿宋简体" w:cs="方正仿宋简体" w:eastAsia="方正仿宋简体"/>
                <w:sz w:val="28"/>
              </w:rPr>
              <w:t>0</w:t>
            </w:r>
            <w:r>
              <w:rPr>
                <w:rFonts w:ascii="方正仿宋简体" w:hAnsi="方正仿宋简体" w:cs="方正仿宋简体" w:eastAsia="方正仿宋简体"/>
                <w:sz w:val="28"/>
              </w:rPr>
              <w:t>人</w:t>
            </w:r>
            <w:r>
              <w:rPr>
                <w:rFonts w:ascii="方正仿宋简体" w:hAnsi="方正仿宋简体" w:cs="方正仿宋简体" w:eastAsia="方正仿宋简体"/>
                <w:sz w:val="28"/>
              </w:rPr>
              <w:t>（</w:t>
            </w:r>
            <w:r>
              <w:rPr>
                <w:rFonts w:ascii="方正仿宋简体" w:hAnsi="方正仿宋简体" w:cs="方正仿宋简体" w:eastAsia="方正仿宋简体"/>
                <w:sz w:val="28"/>
              </w:rPr>
              <w:t>驻场</w:t>
            </w:r>
            <w:r>
              <w:rPr>
                <w:rFonts w:ascii="方正仿宋简体" w:hAnsi="方正仿宋简体" w:cs="方正仿宋简体" w:eastAsia="方正仿宋简体"/>
                <w:sz w:val="28"/>
              </w:rPr>
              <w:t>人员</w:t>
            </w:r>
            <w:r>
              <w:rPr>
                <w:rFonts w:ascii="方正仿宋简体" w:hAnsi="方正仿宋简体" w:cs="方正仿宋简体" w:eastAsia="方正仿宋简体"/>
                <w:sz w:val="28"/>
              </w:rPr>
              <w:t>不低于</w:t>
            </w:r>
            <w:r>
              <w:rPr>
                <w:rFonts w:ascii="方正仿宋简体" w:hAnsi="方正仿宋简体" w:cs="方正仿宋简体" w:eastAsia="方正仿宋简体"/>
                <w:sz w:val="28"/>
              </w:rPr>
              <w:t>24</w:t>
            </w:r>
            <w:r>
              <w:rPr>
                <w:rFonts w:ascii="方正仿宋简体" w:hAnsi="方正仿宋简体" w:cs="方正仿宋简体" w:eastAsia="方正仿宋简体"/>
                <w:sz w:val="28"/>
              </w:rPr>
              <w:t>人</w:t>
            </w:r>
            <w:r>
              <w:rPr>
                <w:rFonts w:ascii="方正仿宋简体" w:hAnsi="方正仿宋简体" w:cs="方正仿宋简体" w:eastAsia="方正仿宋简体"/>
                <w:sz w:val="28"/>
              </w:rPr>
              <w:t>）</w:t>
            </w:r>
            <w:r>
              <w:rPr>
                <w:rFonts w:ascii="方正仿宋简体" w:hAnsi="方正仿宋简体" w:cs="方正仿宋简体" w:eastAsia="方正仿宋简体"/>
                <w:sz w:val="28"/>
              </w:rPr>
              <w:t>，</w:t>
            </w:r>
            <w:r>
              <w:rPr>
                <w:rFonts w:ascii="方正仿宋简体" w:hAnsi="方正仿宋简体" w:cs="方正仿宋简体" w:eastAsia="方正仿宋简体"/>
                <w:sz w:val="28"/>
              </w:rPr>
              <w:t>应至少包含项目经</w:t>
            </w:r>
            <w:r>
              <w:rPr>
                <w:rFonts w:ascii="方正仿宋简体" w:hAnsi="方正仿宋简体" w:cs="方正仿宋简体" w:eastAsia="方正仿宋简体"/>
                <w:sz w:val="28"/>
              </w:rPr>
              <w:t>理</w:t>
            </w:r>
            <w:r>
              <w:rPr>
                <w:rFonts w:ascii="方正仿宋简体" w:hAnsi="方正仿宋简体" w:cs="方正仿宋简体" w:eastAsia="方正仿宋简体"/>
                <w:sz w:val="28"/>
              </w:rPr>
              <w:t>1人，技术负责人1人。其中项目经理和技术负责人须提供全程驻场服务（驻场地点由采购人指定）。（提供承诺函，承诺在项目服务期间提供不少于</w:t>
            </w:r>
            <w:r>
              <w:rPr>
                <w:rFonts w:ascii="方正仿宋简体" w:hAnsi="方正仿宋简体" w:cs="方正仿宋简体" w:eastAsia="方正仿宋简体"/>
                <w:sz w:val="28"/>
              </w:rPr>
              <w:t>8</w:t>
            </w:r>
            <w:r>
              <w:rPr>
                <w:rFonts w:ascii="方正仿宋简体" w:hAnsi="方正仿宋简体" w:cs="方正仿宋简体" w:eastAsia="方正仿宋简体"/>
                <w:sz w:val="28"/>
              </w:rPr>
              <w:t>0</w:t>
            </w:r>
            <w:r>
              <w:rPr>
                <w:rFonts w:ascii="方正仿宋简体" w:hAnsi="方正仿宋简体" w:cs="方正仿宋简体" w:eastAsia="方正仿宋简体"/>
                <w:sz w:val="28"/>
              </w:rPr>
              <w:t>人的项目服务团队，</w:t>
            </w:r>
            <w:r>
              <w:rPr>
                <w:rFonts w:ascii="方正仿宋简体" w:hAnsi="方正仿宋简体" w:cs="方正仿宋简体" w:eastAsia="方正仿宋简体"/>
                <w:sz w:val="28"/>
              </w:rPr>
              <w:t>驻场</w:t>
            </w:r>
            <w:r>
              <w:rPr>
                <w:rFonts w:ascii="方正仿宋简体" w:hAnsi="方正仿宋简体" w:cs="方正仿宋简体" w:eastAsia="方正仿宋简体"/>
                <w:sz w:val="28"/>
              </w:rPr>
              <w:t>人员须在采购人要求的时间内到达采购人指定场所）。</w:t>
            </w:r>
          </w:p>
          <w:p>
            <w:pPr>
              <w:pStyle w:val="null3"/>
              <w:ind w:firstLine="422"/>
              <w:jc w:val="both"/>
            </w:pPr>
            <w:r>
              <w:rPr>
                <w:rFonts w:ascii="宋体" w:hAnsi="宋体" w:cs="宋体" w:eastAsia="宋体"/>
                <w:b/>
                <w:sz w:val="21"/>
              </w:rPr>
              <w:t>★</w:t>
            </w:r>
            <w:r>
              <w:rPr>
                <w:rFonts w:ascii="方正仿宋简体" w:hAnsi="方正仿宋简体" w:cs="方正仿宋简体" w:eastAsia="方正仿宋简体"/>
                <w:sz w:val="28"/>
              </w:rPr>
              <w:t>中标人应委托有关第三方机构对项目团队人员开展必要的背景审查，并向采购人提供完整的项目人员信息（包括不限于姓名、单位、背景审查结果），经采购人审核同意后方可参与项目或接触项目数据，对不符合的人员，采购人有权要求更换人员。</w:t>
            </w:r>
            <w:r>
              <w:rPr>
                <w:rFonts w:ascii="方正仿宋简体" w:hAnsi="方正仿宋简体" w:cs="方正仿宋简体" w:eastAsia="方正仿宋简体"/>
                <w:sz w:val="28"/>
              </w:rPr>
              <w:t>（提供承诺函）</w:t>
            </w:r>
          </w:p>
          <w:p>
            <w:pPr>
              <w:pStyle w:val="null3"/>
              <w:ind w:firstLine="560"/>
              <w:jc w:val="left"/>
            </w:pPr>
            <w:r>
              <w:rPr>
                <w:rFonts w:ascii="宋体" w:hAnsi="宋体" w:cs="宋体" w:eastAsia="宋体"/>
                <w:b/>
                <w:sz w:val="24"/>
              </w:rPr>
              <w:t>★</w:t>
            </w:r>
            <w:r>
              <w:rPr>
                <w:rFonts w:ascii="方正仿宋简体" w:hAnsi="方正仿宋简体" w:cs="方正仿宋简体" w:eastAsia="方正仿宋简体"/>
                <w:sz w:val="28"/>
              </w:rPr>
              <w:t>下表为本项目人员配备最低标准，且所述人员不得复用。中标人提出成员的调整、增减时，应提前向采购人报备并在取得书面同意后方可执行。由于项目服务团队人员数量或能力素质不符合项目服务工作岗位要求的情况，服务团队应按照采购人要求进行补充或更换符合要求的人员。服务期间采购人要求人员配备根据实际需求发生变化时，中标人应无条件响应。</w:t>
            </w:r>
          </w:p>
          <w:tbl>
            <w:tblPr>
              <w:tblBorders>
                <w:top w:val="none" w:color="000000" w:sz="4"/>
                <w:left w:val="none" w:color="000000" w:sz="4"/>
                <w:bottom w:val="none" w:color="000000" w:sz="4"/>
                <w:right w:val="none" w:color="000000" w:sz="4"/>
                <w:insideH w:val="none"/>
                <w:insideV w:val="none"/>
              </w:tblBorders>
            </w:tblPr>
            <w:tblGrid>
              <w:gridCol w:w="189"/>
              <w:gridCol w:w="228"/>
              <w:gridCol w:w="920"/>
              <w:gridCol w:w="956"/>
              <w:gridCol w:w="259"/>
            </w:tblGrid>
            <w:tr>
              <w:tc>
                <w:tcPr>
                  <w:tcW w:type="dxa" w:w="189"/>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序号</w:t>
                  </w:r>
                </w:p>
              </w:tc>
              <w:tc>
                <w:tcPr>
                  <w:tcW w:type="dxa" w:w="22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服务</w:t>
                  </w:r>
                </w:p>
                <w:p>
                  <w:pPr>
                    <w:pStyle w:val="null3"/>
                    <w:jc w:val="center"/>
                  </w:pPr>
                  <w:r>
                    <w:rPr>
                      <w:rFonts w:ascii="宋体" w:hAnsi="宋体" w:cs="宋体" w:eastAsia="宋体"/>
                      <w:b/>
                      <w:sz w:val="24"/>
                    </w:rPr>
                    <w:t>岗位</w:t>
                  </w:r>
                </w:p>
              </w:tc>
              <w:tc>
                <w:tcPr>
                  <w:tcW w:type="dxa" w:w="920"/>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服务内容</w:t>
                  </w:r>
                </w:p>
              </w:tc>
              <w:tc>
                <w:tcPr>
                  <w:tcW w:type="dxa" w:w="956"/>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人员要求</w:t>
                  </w:r>
                </w:p>
              </w:tc>
              <w:tc>
                <w:tcPr>
                  <w:tcW w:type="dxa" w:w="259"/>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宋体" w:hAnsi="宋体" w:cs="宋体" w:eastAsia="宋体"/>
                      <w:b/>
                      <w:sz w:val="24"/>
                    </w:rPr>
                    <w:t>人员</w:t>
                  </w:r>
                </w:p>
                <w:p>
                  <w:pPr>
                    <w:pStyle w:val="null3"/>
                    <w:jc w:val="center"/>
                  </w:pPr>
                  <w:r>
                    <w:rPr>
                      <w:rFonts w:ascii="宋体" w:hAnsi="宋体" w:cs="宋体" w:eastAsia="宋体"/>
                      <w:b/>
                      <w:sz w:val="24"/>
                    </w:rPr>
                    <w:t>数量</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1</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项目经理</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负责对项目服务人员的总体组织和管理，与用户及时沟通，对服务团队进行内部考核，对项目服务响应时效、服务质量负责。</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本科及以上学历，电子信息或计算机或数学等相关理工科专业，须提供学历证书证明材料并加盖投标人电子签章。</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1</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2</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技术负责人</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提供项目服务的技术咨询和支撑，协助项目经理管理项目服务人员，与用户及时沟通。</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本科及以上学历，电子信息或计算机或数学等相关理工科专业，须提供学历证书证明材料并加盖投标人电子签章。</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1</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3</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运维人员</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按规定对数据抽取、转换、加工等任务进行日常巡检，并做好记录；对出现故障的数据服务进行维护，并做好记录；协助项目经理完成对重大活动保障的支撑。</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本科及以上学历，电子信息或计算机或数学等相关理工科专业，须提供学历证书证明材料并加盖投标人电子签章。</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6</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4</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数据对接人员</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对接数据需求方沟通数据需求；对需求进行分析形成数据对接需求分析报告。</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本科及以上学历，须提供学历证书证明材料并加盖投标人电子签章；</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6</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5</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治理实施人员</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按需提供数据接入、数据治理、数据分析及数据赋能。</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大专</w:t>
                  </w:r>
                  <w:r>
                    <w:rPr>
                      <w:rFonts w:ascii="宋体" w:hAnsi="宋体" w:cs="宋体" w:eastAsia="宋体"/>
                      <w:sz w:val="24"/>
                    </w:rPr>
                    <w:t>及以上学历，电子信息或计算机或数学等相关理工科专业，须提供学历证书证明材料并加盖投标人电子签章；</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4"/>
                    </w:rPr>
                    <w:t>6</w:t>
                  </w:r>
                  <w:r>
                    <w:rPr>
                      <w:rFonts w:ascii="times new roman, times, serif" w:hAnsi="times new roman, times, serif" w:cs="times new roman, times, serif" w:eastAsia="times new roman, times, serif"/>
                      <w:sz w:val="24"/>
                    </w:rPr>
                    <w:t>6</w:t>
                  </w:r>
                </w:p>
              </w:tc>
            </w:tr>
          </w:tbl>
          <w:p>
            <w:pPr>
              <w:pStyle w:val="null3"/>
              <w:ind w:firstLine="560"/>
              <w:jc w:val="both"/>
            </w:pPr>
            <w:r>
              <w:rPr>
                <w:rFonts w:ascii="方正仿宋简体" w:hAnsi="方正仿宋简体" w:cs="方正仿宋简体" w:eastAsia="方正仿宋简体"/>
                <w:sz w:val="28"/>
              </w:rPr>
              <w:t>（</w:t>
            </w:r>
            <w:r>
              <w:rPr>
                <w:rFonts w:ascii="方正仿宋简体" w:hAnsi="方正仿宋简体" w:cs="方正仿宋简体" w:eastAsia="方正仿宋简体"/>
                <w:sz w:val="28"/>
              </w:rPr>
              <w:t>3）数据治理系统和工具</w:t>
            </w:r>
          </w:p>
          <w:p>
            <w:pPr>
              <w:pStyle w:val="null3"/>
              <w:ind w:firstLine="560"/>
              <w:jc w:val="both"/>
            </w:pPr>
            <w:r>
              <w:rPr>
                <w:rFonts w:ascii="方正仿宋简体" w:hAnsi="方正仿宋简体" w:cs="方正仿宋简体" w:eastAsia="方正仿宋简体"/>
                <w:sz w:val="28"/>
              </w:rPr>
              <w:t>中标人须使用现有数据资源体系相关系统和工具开展数据治理服务，如需使用自有系统或工具的须经采购人审核同意且通过第三方功能、性能及安全测评。</w:t>
            </w:r>
          </w:p>
          <w:p>
            <w:pPr>
              <w:pStyle w:val="null3"/>
              <w:ind w:firstLine="560"/>
              <w:jc w:val="both"/>
            </w:pPr>
            <w:r>
              <w:rPr>
                <w:rFonts w:ascii="方正仿宋简体" w:hAnsi="方正仿宋简体" w:cs="方正仿宋简体" w:eastAsia="方正仿宋简体"/>
                <w:sz w:val="28"/>
              </w:rPr>
              <w:t>（</w:t>
            </w:r>
            <w:r>
              <w:rPr>
                <w:rFonts w:ascii="方正仿宋简体" w:hAnsi="方正仿宋简体" w:cs="方正仿宋简体" w:eastAsia="方正仿宋简体"/>
                <w:sz w:val="28"/>
              </w:rPr>
              <w:t>4）监督管理</w:t>
            </w:r>
          </w:p>
          <w:p>
            <w:pPr>
              <w:pStyle w:val="null3"/>
              <w:ind w:firstLine="560"/>
              <w:jc w:val="left"/>
            </w:pPr>
            <w:r>
              <w:rPr>
                <w:rFonts w:ascii="方正仿宋简体" w:hAnsi="方正仿宋简体" w:cs="方正仿宋简体" w:eastAsia="方正仿宋简体"/>
                <w:sz w:val="28"/>
              </w:rPr>
              <w:t>如第三方审计和第三方监管等机构对采购人进行通报追责，产生影响或不良后果采购人可保留事后追溯权利，中标人应承担相应责任。</w:t>
            </w:r>
          </w:p>
          <w:p>
            <w:pPr>
              <w:pStyle w:val="null3"/>
              <w:ind w:firstLine="560"/>
              <w:jc w:val="both"/>
            </w:pPr>
            <w:r>
              <w:rPr>
                <w:rFonts w:ascii="方正仿宋简体" w:hAnsi="方正仿宋简体" w:cs="方正仿宋简体" w:eastAsia="方正仿宋简体"/>
                <w:sz w:val="28"/>
              </w:rPr>
              <w:t>（</w:t>
            </w:r>
            <w:r>
              <w:rPr>
                <w:rFonts w:ascii="方正仿宋简体" w:hAnsi="方正仿宋简体" w:cs="方正仿宋简体" w:eastAsia="方正仿宋简体"/>
                <w:sz w:val="28"/>
              </w:rPr>
              <w:t>5）★安全管理要求（提供承诺函，承诺在项目合同签订后的20个工作日之内完成安全管理制度及人员保障、场地安全管理和数据安全管理准备工作。）</w:t>
            </w:r>
          </w:p>
          <w:p>
            <w:pPr>
              <w:pStyle w:val="null3"/>
              <w:ind w:firstLine="560"/>
              <w:jc w:val="left"/>
            </w:pPr>
            <w:r>
              <w:rPr>
                <w:rFonts w:ascii="方正仿宋简体" w:hAnsi="方正仿宋简体" w:cs="方正仿宋简体" w:eastAsia="方正仿宋简体"/>
                <w:sz w:val="28"/>
              </w:rPr>
              <w:t>安全管理制度及人员保障要求：</w:t>
            </w:r>
            <w:r>
              <w:rPr>
                <w:rFonts w:ascii="方正仿宋简体" w:hAnsi="方正仿宋简体" w:cs="方正仿宋简体" w:eastAsia="方正仿宋简体"/>
                <w:sz w:val="28"/>
              </w:rPr>
              <w:t>中标人应制定安全管理制度、梳理安全责任分工，并明确安全人员跟踪制度执行等，保障场地安全和数据安全。</w:t>
            </w:r>
          </w:p>
          <w:p>
            <w:pPr>
              <w:pStyle w:val="null3"/>
              <w:ind w:firstLine="560"/>
              <w:jc w:val="left"/>
            </w:pPr>
            <w:r>
              <w:rPr>
                <w:rFonts w:ascii="方正仿宋简体" w:hAnsi="方正仿宋简体" w:cs="方正仿宋简体" w:eastAsia="方正仿宋简体"/>
                <w:sz w:val="28"/>
              </w:rPr>
              <w:t>场地安全管理要求：中标人应落实场地安全责任分工、配备场地安全管理人员，并依托出入场地人脸识别、场地分区管理、云桌面、视频监控、网络防护、用户行为审计等场地安全防护措施和管理措施以履行场地安全责任，接受采购人安全检查审计，防止出现违反相关法律法规等情况发生，中标人未有效履行场地安全责任导致违反法律法规规定的应承担相应责任。</w:t>
            </w:r>
          </w:p>
          <w:p>
            <w:pPr>
              <w:pStyle w:val="null3"/>
              <w:ind w:firstLine="560"/>
              <w:jc w:val="left"/>
            </w:pPr>
            <w:r>
              <w:rPr>
                <w:rFonts w:ascii="方正仿宋简体" w:hAnsi="方正仿宋简体" w:cs="方正仿宋简体" w:eastAsia="方正仿宋简体"/>
                <w:sz w:val="28"/>
              </w:rPr>
              <w:t>数据安全管理要求：中标人应落实数据安全责任分工、配备数据安全管理人员，并提供必要的安全防护措施和管理措施以保障数据的安全，防止出现数据泄露、未授权访问、违反相关法律法规等情况发生，中标人未有效履行数据安全责任导致数据泄露、未授权访问、违反法律法规规定的，采购人有权终止合同，并要求中标人承担相应责任及赔偿采购人遭受的所有损失。</w:t>
            </w:r>
          </w:p>
          <w:p>
            <w:pPr>
              <w:pStyle w:val="null3"/>
              <w:ind w:firstLine="560"/>
              <w:jc w:val="both"/>
            </w:pPr>
            <w:r>
              <w:rPr>
                <w:rFonts w:ascii="方正仿宋简体" w:hAnsi="方正仿宋简体" w:cs="方正仿宋简体" w:eastAsia="方正仿宋简体"/>
                <w:sz w:val="28"/>
              </w:rPr>
              <w:t>（</w:t>
            </w:r>
            <w:r>
              <w:rPr>
                <w:rFonts w:ascii="方正仿宋简体" w:hAnsi="方正仿宋简体" w:cs="方正仿宋简体" w:eastAsia="方正仿宋简体"/>
                <w:sz w:val="28"/>
              </w:rPr>
              <w:t>6）★保密要求</w:t>
            </w:r>
          </w:p>
          <w:p>
            <w:pPr>
              <w:pStyle w:val="null3"/>
              <w:ind w:firstLine="560"/>
              <w:jc w:val="left"/>
            </w:pPr>
            <w:r>
              <w:rPr>
                <w:rFonts w:ascii="方正仿宋简体" w:hAnsi="方正仿宋简体" w:cs="方正仿宋简体" w:eastAsia="方正仿宋简体"/>
                <w:sz w:val="28"/>
              </w:rPr>
              <w:t>项目执行期内，中标人应对项目相关的文档、数据等信息承担保密义务。中标人以及相关人员均须与采购人签订</w:t>
            </w:r>
            <w:r>
              <w:rPr>
                <w:rFonts w:ascii="方正仿宋简体" w:hAnsi="方正仿宋简体" w:cs="方正仿宋简体" w:eastAsia="方正仿宋简体"/>
                <w:sz w:val="28"/>
              </w:rPr>
              <w:t>“保密协议”，建立规范的保密制度，采取一切必要的技术手段和措施，确保保密内容安全，确保数据的安全、保密以及数据治理工作的有序、规范。</w:t>
            </w:r>
          </w:p>
          <w:p>
            <w:pPr>
              <w:pStyle w:val="null3"/>
              <w:ind w:firstLine="560"/>
              <w:jc w:val="left"/>
            </w:pPr>
            <w:r>
              <w:rPr>
                <w:rFonts w:ascii="方正仿宋简体" w:hAnsi="方正仿宋简体" w:cs="方正仿宋简体" w:eastAsia="方正仿宋简体"/>
                <w:sz w:val="28"/>
              </w:rPr>
              <w:t>保密、敏感内容不得泄露，由于中标人及其工作人员泄露、冒用、误用或违法违规使用采购人数据和信息而造成的一切责任和损失，均由中标人承担。涉及犯罪的依法移交司法机关。</w:t>
            </w:r>
          </w:p>
          <w:p>
            <w:pPr>
              <w:pStyle w:val="null3"/>
              <w:ind w:firstLine="560"/>
              <w:jc w:val="left"/>
            </w:pPr>
            <w:r>
              <w:rPr>
                <w:rFonts w:ascii="方正仿宋简体" w:hAnsi="方正仿宋简体" w:cs="方正仿宋简体" w:eastAsia="方正仿宋简体"/>
                <w:sz w:val="28"/>
              </w:rPr>
              <w:t>中标人及其工作人员必须妥善管理平台账号、密码和密钥，采取制度和技术措施，做好服务期内的动态更新和服务结束后的清理和移交。由于中标人对账号、密码和密钥管理不善造成的一切责任和损失，均由中标人承担。</w:t>
            </w:r>
          </w:p>
          <w:p>
            <w:pPr>
              <w:pStyle w:val="null3"/>
              <w:ind w:firstLine="560"/>
              <w:jc w:val="both"/>
            </w:pPr>
            <w:r>
              <w:rPr>
                <w:rFonts w:ascii="方正仿宋简体" w:hAnsi="方正仿宋简体" w:cs="方正仿宋简体" w:eastAsia="方正仿宋简体"/>
                <w:sz w:val="28"/>
              </w:rPr>
              <w:t>（</w:t>
            </w:r>
            <w:r>
              <w:rPr>
                <w:rFonts w:ascii="方正仿宋简体" w:hAnsi="方正仿宋简体" w:cs="方正仿宋简体" w:eastAsia="方正仿宋简体"/>
                <w:sz w:val="28"/>
              </w:rPr>
              <w:t>7）方案要求</w:t>
            </w:r>
          </w:p>
          <w:p>
            <w:pPr>
              <w:pStyle w:val="null3"/>
              <w:ind w:firstLine="560"/>
              <w:jc w:val="both"/>
            </w:pPr>
            <w:r>
              <w:rPr>
                <w:rFonts w:ascii="方正仿宋简体" w:hAnsi="方正仿宋简体" w:cs="方正仿宋简体" w:eastAsia="方正仿宋简体"/>
                <w:sz w:val="28"/>
              </w:rPr>
              <w:t>1.投标人需提供针对本项目需求理解方案，包括：①本项目整体建设目标、目前现状的理解与分析；②对本项目建设需求的理解与分析；③对本项目重点、难点的分析；④对本项目重点、难点的应对措施。</w:t>
            </w:r>
          </w:p>
          <w:p>
            <w:pPr>
              <w:pStyle w:val="null3"/>
              <w:ind w:firstLine="560"/>
              <w:jc w:val="both"/>
            </w:pPr>
            <w:r>
              <w:rPr>
                <w:rFonts w:ascii="方正仿宋简体" w:hAnsi="方正仿宋简体" w:cs="方正仿宋简体" w:eastAsia="方正仿宋简体"/>
                <w:sz w:val="28"/>
              </w:rPr>
              <w:t>2.投标人需提供针对本项目整体服务方案，包括：①自然人库数据治理、②法人库数据治理、③电子证照库数据治理、④市级部门及区（市）县数据赋能、⑤国省数据回流应用、⑥数据分析报告编制、⑦交流培训。</w:t>
            </w:r>
          </w:p>
          <w:p>
            <w:pPr>
              <w:pStyle w:val="null3"/>
              <w:ind w:firstLine="560"/>
              <w:jc w:val="both"/>
            </w:pPr>
            <w:r>
              <w:rPr>
                <w:rFonts w:ascii="方正仿宋简体" w:hAnsi="方正仿宋简体" w:cs="方正仿宋简体" w:eastAsia="方正仿宋简体"/>
                <w:sz w:val="28"/>
              </w:rPr>
              <w:t>3.投标人需提供针对本项目的配套管理办法，包括：①项目管理方案、②项目整体计划、③项目风险及变更、④项目质量管控、⑤售后及培训方案。</w:t>
            </w:r>
          </w:p>
          <w:p>
            <w:pPr>
              <w:pStyle w:val="null3"/>
              <w:ind w:firstLine="560"/>
              <w:jc w:val="both"/>
            </w:pPr>
            <w:r>
              <w:rPr>
                <w:rFonts w:ascii="方正仿宋简体" w:hAnsi="方正仿宋简体" w:cs="方正仿宋简体" w:eastAsia="方正仿宋简体"/>
                <w:sz w:val="28"/>
              </w:rPr>
              <w:t>（</w:t>
            </w:r>
            <w:r>
              <w:rPr>
                <w:rFonts w:ascii="方正仿宋简体" w:hAnsi="方正仿宋简体" w:cs="方正仿宋简体" w:eastAsia="方正仿宋简体"/>
                <w:sz w:val="28"/>
              </w:rPr>
              <w:t>8）演示要求</w:t>
            </w:r>
          </w:p>
          <w:p>
            <w:pPr>
              <w:pStyle w:val="null3"/>
              <w:ind w:firstLine="560"/>
              <w:jc w:val="left"/>
            </w:pPr>
            <w:r>
              <w:rPr>
                <w:rFonts w:ascii="方正仿宋简体" w:hAnsi="方正仿宋简体" w:cs="方正仿宋简体" w:eastAsia="方正仿宋简体"/>
                <w:sz w:val="28"/>
              </w:rPr>
              <w:t>为展现投标人技术实力和对项目的理解以及把握能力，以满足采购人的相关进度要求和需求实现，投标人应按四川政府采购一体化平台要求在四川政府采购一体化平台上根据招标文件要求进行</w:t>
            </w:r>
            <w:r>
              <w:rPr>
                <w:rFonts w:ascii="方正仿宋简体" w:hAnsi="方正仿宋简体" w:cs="方正仿宋简体" w:eastAsia="方正仿宋简体"/>
                <w:sz w:val="28"/>
              </w:rPr>
              <w:t>演示。</w:t>
            </w:r>
          </w:p>
          <w:p>
            <w:pPr>
              <w:pStyle w:val="null3"/>
              <w:jc w:val="left"/>
            </w:pPr>
            <w:r>
              <w:rPr>
                <w:rFonts w:ascii="方正仿宋简体" w:hAnsi="方正仿宋简体" w:cs="方正仿宋简体" w:eastAsia="方正仿宋简体"/>
                <w:sz w:val="28"/>
              </w:rPr>
              <w:t xml:space="preserve">    投标人通过</w:t>
            </w:r>
            <w:r>
              <w:rPr>
                <w:rFonts w:ascii="方正仿宋简体" w:hAnsi="方正仿宋简体" w:cs="方正仿宋简体" w:eastAsia="方正仿宋简体"/>
                <w:sz w:val="28"/>
              </w:rPr>
              <w:t>服务</w:t>
            </w:r>
            <w:r>
              <w:rPr>
                <w:rFonts w:ascii="方正仿宋简体" w:hAnsi="方正仿宋简体" w:cs="方正仿宋简体" w:eastAsia="方正仿宋简体"/>
                <w:sz w:val="28"/>
              </w:rPr>
              <w:t>能力</w:t>
            </w:r>
            <w:r>
              <w:rPr>
                <w:rFonts w:ascii="方正仿宋简体" w:hAnsi="方正仿宋简体" w:cs="方正仿宋简体" w:eastAsia="方正仿宋简体"/>
                <w:sz w:val="28"/>
              </w:rPr>
              <w:t>演示以展示数据治理能力，具备以下能力：</w:t>
            </w:r>
          </w:p>
          <w:p>
            <w:pPr>
              <w:pStyle w:val="null3"/>
              <w:jc w:val="left"/>
            </w:pPr>
            <w:r>
              <w:rPr>
                <w:rFonts w:ascii="方正仿宋简体" w:hAnsi="方正仿宋简体" w:cs="方正仿宋简体" w:eastAsia="方正仿宋简体"/>
                <w:sz w:val="28"/>
              </w:rPr>
              <w:t xml:space="preserve">    本演示以自然人库的基础信息为例，投标人根据以往项目经验设计演示中需要的模型结构以及测试数据（</w:t>
            </w:r>
            <w:r>
              <w:rPr>
                <w:rFonts w:ascii="方正仿宋简体" w:hAnsi="方正仿宋简体" w:cs="方正仿宋简体" w:eastAsia="方正仿宋简体"/>
                <w:sz w:val="28"/>
              </w:rPr>
              <w:t>Excel文件）。模型结构至少包括姓名、性别、证件类型、证件号、出生日期、年龄六个字段。测试数据为100条，其中“性别”字段包括六种（男、女、男性、女性、1、0）。“证件类型”为“身份证”时的记录数为50条，其中10条记录的“年龄”为空。“证件类型”为“护照”时的记录数为50条。所有记录的“出生日期”不为空。</w:t>
            </w:r>
          </w:p>
          <w:p>
            <w:pPr>
              <w:pStyle w:val="null3"/>
              <w:jc w:val="left"/>
            </w:pPr>
            <w:r>
              <w:rPr>
                <w:rFonts w:ascii="方正仿宋简体" w:hAnsi="方正仿宋简体" w:cs="方正仿宋简体" w:eastAsia="方正仿宋简体"/>
                <w:sz w:val="28"/>
              </w:rPr>
              <w:t xml:space="preserve">    1.供需对接能力演示</w:t>
            </w:r>
          </w:p>
          <w:p>
            <w:pPr>
              <w:pStyle w:val="null3"/>
              <w:jc w:val="left"/>
            </w:pPr>
            <w:r>
              <w:rPr>
                <w:rFonts w:ascii="方正仿宋简体" w:hAnsi="方正仿宋简体" w:cs="方正仿宋简体" w:eastAsia="方正仿宋简体"/>
                <w:sz w:val="28"/>
              </w:rPr>
              <w:t>1）演示供需对接发起能力：数据使用方能够发起供需对接申请</w:t>
            </w:r>
            <w:r>
              <w:rPr>
                <w:rFonts w:ascii="方正仿宋简体" w:hAnsi="方正仿宋简体" w:cs="方正仿宋简体" w:eastAsia="方正仿宋简体"/>
                <w:sz w:val="28"/>
              </w:rPr>
              <w:t>“自然人基础信息”；</w:t>
            </w:r>
          </w:p>
          <w:p>
            <w:pPr>
              <w:pStyle w:val="null3"/>
              <w:jc w:val="left"/>
            </w:pPr>
            <w:r>
              <w:rPr>
                <w:rFonts w:ascii="方正仿宋简体" w:hAnsi="方正仿宋简体" w:cs="方正仿宋简体" w:eastAsia="方正仿宋简体"/>
                <w:sz w:val="28"/>
              </w:rPr>
              <w:t>2）演示供需对接审批能力：数据主管部门能够开展审批工作；</w:t>
            </w:r>
          </w:p>
          <w:p>
            <w:pPr>
              <w:pStyle w:val="null3"/>
              <w:jc w:val="left"/>
            </w:pPr>
            <w:r>
              <w:rPr>
                <w:rFonts w:ascii="方正仿宋简体" w:hAnsi="方正仿宋简体" w:cs="方正仿宋简体" w:eastAsia="方正仿宋简体"/>
                <w:sz w:val="28"/>
              </w:rPr>
              <w:t xml:space="preserve">    2.数据汇聚能力演示</w:t>
            </w:r>
          </w:p>
          <w:p>
            <w:pPr>
              <w:pStyle w:val="null3"/>
              <w:jc w:val="left"/>
            </w:pPr>
            <w:r>
              <w:rPr>
                <w:rFonts w:ascii="方正仿宋简体" w:hAnsi="方正仿宋简体" w:cs="方正仿宋简体" w:eastAsia="方正仿宋简体"/>
                <w:sz w:val="28"/>
              </w:rPr>
              <w:t>演示数据汇聚能力：能够将上述</w:t>
            </w:r>
            <w:r>
              <w:rPr>
                <w:rFonts w:ascii="方正仿宋简体" w:hAnsi="方正仿宋简体" w:cs="方正仿宋简体" w:eastAsia="方正仿宋简体"/>
                <w:sz w:val="28"/>
              </w:rPr>
              <w:t>Excel文件中的数据入库，在数据库内查询详细数据；</w:t>
            </w:r>
          </w:p>
          <w:p>
            <w:pPr>
              <w:pStyle w:val="null3"/>
              <w:jc w:val="left"/>
            </w:pPr>
            <w:r>
              <w:rPr>
                <w:rFonts w:ascii="方正仿宋简体" w:hAnsi="方正仿宋简体" w:cs="方正仿宋简体" w:eastAsia="方正仿宋简体"/>
                <w:sz w:val="28"/>
              </w:rPr>
              <w:t xml:space="preserve">    3.数据治理能力演示</w:t>
            </w:r>
          </w:p>
          <w:p>
            <w:pPr>
              <w:pStyle w:val="null3"/>
              <w:jc w:val="left"/>
            </w:pPr>
            <w:r>
              <w:rPr>
                <w:rFonts w:ascii="方正仿宋简体" w:hAnsi="方正仿宋简体" w:cs="方正仿宋简体" w:eastAsia="方正仿宋简体"/>
                <w:sz w:val="28"/>
              </w:rPr>
              <w:t>演示数据标准化能力：能够针对测试数据配置标准化任务（标准化规则为：性别为</w:t>
            </w:r>
            <w:r>
              <w:rPr>
                <w:rFonts w:ascii="方正仿宋简体" w:hAnsi="方正仿宋简体" w:cs="方正仿宋简体" w:eastAsia="方正仿宋简体"/>
                <w:sz w:val="28"/>
              </w:rPr>
              <w:t>1和0，1代表男性，0代表女性），完成数据标准化配置；能够在数据库内查看任务结果（“男、女、男性、女性”标准化成“1、0”）；</w:t>
            </w:r>
          </w:p>
          <w:p>
            <w:pPr>
              <w:pStyle w:val="null3"/>
              <w:jc w:val="left"/>
            </w:pPr>
            <w:r>
              <w:rPr>
                <w:rFonts w:ascii="方正仿宋简体" w:hAnsi="方正仿宋简体" w:cs="方正仿宋简体" w:eastAsia="方正仿宋简体"/>
                <w:sz w:val="28"/>
              </w:rPr>
              <w:t>演示数据清洗转换能力：能够针对测试数据配置清洗转换任务（清洗转换规则为：筛选出</w:t>
            </w:r>
            <w:r>
              <w:rPr>
                <w:rFonts w:ascii="方正仿宋简体" w:hAnsi="方正仿宋简体" w:cs="方正仿宋简体" w:eastAsia="方正仿宋简体"/>
                <w:sz w:val="28"/>
              </w:rPr>
              <w:t>“证件类型”为“身份证”的数据），完成数据清洗转换配置；能够在数据库内查看任务结果（筛选出“证件类型”为“身份证”的数据）；</w:t>
            </w:r>
          </w:p>
          <w:p>
            <w:pPr>
              <w:pStyle w:val="null3"/>
              <w:jc w:val="left"/>
            </w:pPr>
            <w:r>
              <w:rPr>
                <w:rFonts w:ascii="方正仿宋简体" w:hAnsi="方正仿宋简体" w:cs="方正仿宋简体" w:eastAsia="方正仿宋简体"/>
                <w:sz w:val="28"/>
              </w:rPr>
              <w:t>演示数据补全能力：能够针对测试数据配置数据补全任务（补全规则为：根据</w:t>
            </w:r>
            <w:r>
              <w:rPr>
                <w:rFonts w:ascii="方正仿宋简体" w:hAnsi="方正仿宋简体" w:cs="方正仿宋简体" w:eastAsia="方正仿宋简体"/>
                <w:sz w:val="28"/>
              </w:rPr>
              <w:t>“出生日期”计算“年龄”），实现数据补全配置；能够在数据库内查看任务结果（10条记录的“年龄”补全正确）；</w:t>
            </w:r>
          </w:p>
          <w:p>
            <w:pPr>
              <w:pStyle w:val="null3"/>
              <w:jc w:val="left"/>
            </w:pPr>
            <w:r>
              <w:rPr>
                <w:rFonts w:ascii="方正仿宋简体" w:hAnsi="方正仿宋简体" w:cs="方正仿宋简体" w:eastAsia="方正仿宋简体"/>
                <w:sz w:val="28"/>
              </w:rPr>
              <w:t xml:space="preserve">    4.任务监控能力演示</w:t>
            </w:r>
          </w:p>
          <w:p>
            <w:pPr>
              <w:pStyle w:val="null3"/>
              <w:jc w:val="left"/>
            </w:pPr>
            <w:r>
              <w:rPr>
                <w:rFonts w:ascii="方正仿宋简体" w:hAnsi="方正仿宋简体" w:cs="方正仿宋简体" w:eastAsia="方正仿宋简体"/>
                <w:sz w:val="28"/>
              </w:rPr>
              <w:t>演示任务调度配置能力：能够实现针对上述数据治理任务进行配置；</w:t>
            </w:r>
          </w:p>
          <w:p>
            <w:pPr>
              <w:pStyle w:val="null3"/>
              <w:jc w:val="left"/>
            </w:pPr>
            <w:r>
              <w:rPr>
                <w:rFonts w:ascii="方正仿宋简体" w:hAnsi="方正仿宋简体" w:cs="方正仿宋简体" w:eastAsia="方正仿宋简体"/>
                <w:sz w:val="28"/>
              </w:rPr>
              <w:t>演示任务状态和日志查看能力：对上述配置的任务，能够查看运行状态以及运行日志；</w:t>
            </w:r>
          </w:p>
          <w:p>
            <w:pPr>
              <w:pStyle w:val="null3"/>
              <w:jc w:val="left"/>
            </w:pPr>
            <w:r>
              <w:rPr>
                <w:rFonts w:ascii="方正仿宋简体" w:hAnsi="方正仿宋简体" w:cs="方正仿宋简体" w:eastAsia="方正仿宋简体"/>
                <w:sz w:val="28"/>
              </w:rPr>
              <w:t xml:space="preserve">    5.数据服务接口封装和测试服务能力演示</w:t>
            </w:r>
          </w:p>
          <w:p>
            <w:pPr>
              <w:pStyle w:val="null3"/>
              <w:jc w:val="left"/>
            </w:pPr>
            <w:r>
              <w:rPr>
                <w:rFonts w:ascii="方正仿宋简体" w:hAnsi="方正仿宋简体" w:cs="方正仿宋简体" w:eastAsia="方正仿宋简体"/>
                <w:sz w:val="28"/>
              </w:rPr>
              <w:t>演示数据接口封装能力：能够将库表数据进行接口封装；</w:t>
            </w:r>
          </w:p>
          <w:p>
            <w:pPr>
              <w:pStyle w:val="null3"/>
              <w:jc w:val="left"/>
            </w:pPr>
            <w:r>
              <w:rPr>
                <w:rFonts w:ascii="方正仿宋简体" w:hAnsi="方正仿宋简体" w:cs="方正仿宋简体" w:eastAsia="方正仿宋简体"/>
                <w:sz w:val="28"/>
              </w:rPr>
              <w:t>演示数据服务调用权限配置能力：能够配置数据服务接口调用权限（最大响应时长、访问次数）；</w:t>
            </w:r>
          </w:p>
          <w:p>
            <w:pPr>
              <w:pStyle w:val="null3"/>
              <w:jc w:val="left"/>
            </w:pPr>
            <w:r>
              <w:rPr>
                <w:rFonts w:ascii="方正仿宋简体" w:hAnsi="方正仿宋简体" w:cs="方正仿宋简体" w:eastAsia="方正仿宋简体"/>
                <w:sz w:val="28"/>
              </w:rPr>
              <w:t>演示数据服务测试能力：能够利用平台或者外部工具对上述封装的服务接口进行测试，接口可正常访问且数据与库表一致。</w:t>
            </w:r>
          </w:p>
          <w:p>
            <w:pPr>
              <w:pStyle w:val="null3"/>
              <w:ind w:firstLine="560"/>
              <w:jc w:val="left"/>
            </w:pPr>
            <w:r>
              <w:rPr>
                <w:rFonts w:ascii="方正仿宋简体" w:hAnsi="方正仿宋简体" w:cs="方正仿宋简体" w:eastAsia="方正仿宋简体"/>
                <w:sz w:val="28"/>
              </w:rPr>
              <w:t>演示说明：①</w:t>
            </w:r>
            <w:r>
              <w:rPr>
                <w:rFonts w:ascii="方正仿宋简体" w:hAnsi="方正仿宋简体" w:cs="方正仿宋简体" w:eastAsia="方正仿宋简体"/>
                <w:sz w:val="28"/>
              </w:rPr>
              <w:t>服务</w:t>
            </w:r>
            <w:r>
              <w:rPr>
                <w:rFonts w:ascii="方正仿宋简体" w:hAnsi="方正仿宋简体" w:cs="方正仿宋简体" w:eastAsia="方正仿宋简体"/>
                <w:sz w:val="28"/>
              </w:rPr>
              <w:t>能力</w:t>
            </w:r>
            <w:r>
              <w:rPr>
                <w:rFonts w:ascii="方正仿宋简体" w:hAnsi="方正仿宋简体" w:cs="方正仿宋简体" w:eastAsia="方正仿宋简体"/>
                <w:sz w:val="28"/>
              </w:rPr>
              <w:t>演示</w:t>
            </w:r>
            <w:r>
              <w:rPr>
                <w:rFonts w:ascii="方正仿宋简体" w:hAnsi="方正仿宋简体" w:cs="方正仿宋简体" w:eastAsia="方正仿宋简体"/>
                <w:sz w:val="28"/>
              </w:rPr>
              <w:t>要求采用真实环境演示，每家投标人演示时间不超过</w:t>
            </w:r>
            <w:r>
              <w:rPr>
                <w:rFonts w:ascii="方正仿宋简体" w:hAnsi="方正仿宋简体" w:cs="方正仿宋简体" w:eastAsia="方正仿宋简体"/>
                <w:sz w:val="28"/>
              </w:rPr>
              <w:t>20分钟；</w:t>
            </w:r>
          </w:p>
          <w:p>
            <w:pPr>
              <w:pStyle w:val="null3"/>
              <w:ind w:firstLine="560"/>
              <w:jc w:val="left"/>
            </w:pPr>
            <w:r>
              <w:rPr>
                <w:rFonts w:ascii="方正仿宋简体" w:hAnsi="方正仿宋简体" w:cs="方正仿宋简体" w:eastAsia="方正仿宋简体"/>
                <w:sz w:val="28"/>
              </w:rPr>
              <w:t>②投标人负责准备演示所需要软硬件设备；</w:t>
            </w:r>
          </w:p>
          <w:p>
            <w:pPr>
              <w:pStyle w:val="null3"/>
              <w:ind w:firstLine="560"/>
              <w:jc w:val="left"/>
            </w:pPr>
            <w:r>
              <w:rPr>
                <w:rFonts w:ascii="方正仿宋简体" w:hAnsi="方正仿宋简体" w:cs="方正仿宋简体" w:eastAsia="方正仿宋简体"/>
                <w:sz w:val="28"/>
              </w:rPr>
              <w:t>③本演示内容未包含的功能部分各投标人可自行演示。</w:t>
            </w:r>
          </w:p>
          <w:p>
            <w:pPr>
              <w:pStyle w:val="null3"/>
              <w:ind w:firstLine="560"/>
              <w:jc w:val="left"/>
            </w:pPr>
            <w:r>
              <w:rPr>
                <w:rFonts w:ascii="&quot;times new roman&quot;" w:hAnsi="&quot;times new roman&quot;" w:cs="&quot;times new roman&quot;" w:eastAsia="&quot;times new roman&quot;"/>
                <w:sz w:val="32"/>
              </w:rPr>
              <w:t>3.其他</w:t>
            </w:r>
            <w:r>
              <w:rPr>
                <w:rFonts w:ascii="方正仿宋_gbk" w:hAnsi="方正仿宋_gbk" w:cs="方正仿宋_gbk" w:eastAsia="方正仿宋_gbk"/>
                <w:sz w:val="32"/>
              </w:rPr>
              <w:t>商务要求：</w:t>
            </w:r>
          </w:p>
          <w:p>
            <w:pPr>
              <w:pStyle w:val="null3"/>
              <w:ind w:firstLine="560"/>
              <w:jc w:val="both"/>
            </w:pPr>
            <w:r>
              <w:rPr>
                <w:rFonts w:ascii="方正仿宋简体" w:hAnsi="方正仿宋简体" w:cs="方正仿宋简体" w:eastAsia="方正仿宋简体"/>
                <w:sz w:val="28"/>
              </w:rPr>
              <w:t>（</w:t>
            </w:r>
            <w:r>
              <w:rPr>
                <w:rFonts w:ascii="方正仿宋简体" w:hAnsi="方正仿宋简体" w:cs="方正仿宋简体" w:eastAsia="方正仿宋简体"/>
                <w:sz w:val="28"/>
              </w:rPr>
              <w:t>1）知识产权</w:t>
            </w:r>
          </w:p>
          <w:p>
            <w:pPr>
              <w:pStyle w:val="null3"/>
              <w:spacing w:after="120"/>
              <w:ind w:firstLine="560"/>
              <w:jc w:val="both"/>
            </w:pPr>
            <w:r>
              <w:rPr>
                <w:rFonts w:ascii="方正仿宋简体" w:hAnsi="方正仿宋简体" w:cs="方正仿宋简体" w:eastAsia="方正仿宋简体"/>
                <w:sz w:val="28"/>
              </w:rPr>
              <w:t>中标人应保证在本项目提供的所有服务，不会产生因第三方提出侵犯其专利权、商标权或其它知识产权而引起的法律和经济纠纷，如因专利权、商标权或其它知识产权而引起法律和经济纠纷，由中标人承担所有相关责任，</w:t>
            </w:r>
            <w:r>
              <w:rPr>
                <w:rFonts w:ascii="方正仿宋简体" w:hAnsi="方正仿宋简体" w:cs="方正仿宋简体" w:eastAsia="方正仿宋简体"/>
                <w:sz w:val="28"/>
              </w:rPr>
              <w:t>采购人有权要求中标人提供替换性解决方案，并追究中标人的违约责任且中标人须赔偿采购人因此遭受的损失。</w:t>
            </w:r>
          </w:p>
          <w:p>
            <w:pPr>
              <w:pStyle w:val="null3"/>
              <w:ind w:firstLine="560"/>
              <w:jc w:val="both"/>
            </w:pPr>
            <w:r>
              <w:rPr>
                <w:rFonts w:ascii="方正仿宋简体" w:hAnsi="方正仿宋简体" w:cs="方正仿宋简体" w:eastAsia="方正仿宋简体"/>
                <w:sz w:val="28"/>
              </w:rPr>
              <w:t>（</w:t>
            </w:r>
            <w:r>
              <w:rPr>
                <w:rFonts w:ascii="方正仿宋简体" w:hAnsi="方正仿宋简体" w:cs="方正仿宋简体" w:eastAsia="方正仿宋简体"/>
                <w:sz w:val="28"/>
              </w:rPr>
              <w:t>2）所有权归属</w:t>
            </w:r>
          </w:p>
          <w:p>
            <w:pPr>
              <w:pStyle w:val="null3"/>
              <w:spacing w:after="120"/>
              <w:ind w:firstLine="560"/>
              <w:jc w:val="both"/>
            </w:pPr>
            <w:r>
              <w:rPr>
                <w:rFonts w:ascii="方正仿宋简体" w:hAnsi="方正仿宋简体" w:cs="方正仿宋简体" w:eastAsia="方正仿宋简体"/>
                <w:sz w:val="28"/>
              </w:rPr>
              <w:t>①投标人承诺本项目涉及数据资产，在服务期结束须移交采购人，具体移交内容以双方验收阶段确认的移交清单为准。</w:t>
            </w:r>
          </w:p>
          <w:p>
            <w:pPr>
              <w:pStyle w:val="null3"/>
              <w:spacing w:after="120"/>
              <w:ind w:firstLine="560"/>
              <w:jc w:val="both"/>
            </w:pPr>
            <w:r>
              <w:rPr>
                <w:rFonts w:ascii="方正仿宋简体" w:hAnsi="方正仿宋简体" w:cs="方正仿宋简体" w:eastAsia="方正仿宋简体"/>
                <w:sz w:val="28"/>
              </w:rPr>
              <w:t>②采购人拥有服务过程产生的数据资源（包括不限于各类文档、数据、接口、资源库等）的所有权，除用于本项目并按合同要求提供服务外，未经采购人许可，投标人任何时候不得以任何方式查看、删除、更改、获取、泄露。</w:t>
            </w:r>
          </w:p>
          <w:p>
            <w:pPr>
              <w:pStyle w:val="null3"/>
              <w:ind w:firstLine="640"/>
              <w:jc w:val="both"/>
            </w:pPr>
            <w:r>
              <w:rPr>
                <w:rFonts w:ascii="宋体" w:hAnsi="宋体" w:cs="宋体" w:eastAsia="宋体"/>
                <w:sz w:val="32"/>
              </w:rPr>
              <w:t>4</w:t>
            </w:r>
            <w:r>
              <w:rPr>
                <w:rFonts w:ascii="宋体" w:hAnsi="宋体" w:cs="宋体" w:eastAsia="宋体"/>
                <w:sz w:val="32"/>
              </w:rPr>
              <w:t>.</w:t>
            </w:r>
            <w:r>
              <w:rPr>
                <w:rFonts w:ascii="方正仿宋_gbk" w:hAnsi="方正仿宋_gbk" w:cs="方正仿宋_gbk" w:eastAsia="方正仿宋_gbk"/>
                <w:sz w:val="32"/>
              </w:rPr>
              <w:t>服务考核</w:t>
            </w:r>
          </w:p>
          <w:p>
            <w:pPr>
              <w:pStyle w:val="null3"/>
              <w:ind w:firstLine="560"/>
              <w:jc w:val="both"/>
            </w:pPr>
            <w:r>
              <w:rPr>
                <w:rFonts w:ascii="方正仿宋简体" w:hAnsi="方正仿宋简体" w:cs="方正仿宋简体" w:eastAsia="方正仿宋简体"/>
                <w:sz w:val="28"/>
              </w:rPr>
              <w:t>（</w:t>
            </w:r>
            <w:r>
              <w:rPr>
                <w:rFonts w:ascii="方正仿宋简体" w:hAnsi="方正仿宋简体" w:cs="方正仿宋简体" w:eastAsia="方正仿宋简体"/>
                <w:sz w:val="28"/>
              </w:rPr>
              <w:t>1）服务考核方案</w:t>
            </w:r>
          </w:p>
          <w:p>
            <w:pPr>
              <w:pStyle w:val="null3"/>
              <w:ind w:firstLine="560"/>
              <w:jc w:val="left"/>
            </w:pPr>
            <w:r>
              <w:rPr>
                <w:rFonts w:ascii="方正仿宋简体" w:hAnsi="方正仿宋简体" w:cs="方正仿宋简体" w:eastAsia="方正仿宋简体"/>
                <w:sz w:val="28"/>
              </w:rPr>
              <w:t>服务期到期后采购人组织服务考核。</w:t>
            </w:r>
            <w:r>
              <w:rPr>
                <w:rFonts w:ascii="方正仿宋简体" w:hAnsi="方正仿宋简体" w:cs="方正仿宋简体" w:eastAsia="方正仿宋简体"/>
                <w:sz w:val="28"/>
              </w:rPr>
              <w:t>服务考核采取扣分制，初始总分为</w:t>
            </w:r>
            <w:r>
              <w:rPr>
                <w:rFonts w:ascii="方正仿宋简体" w:hAnsi="方正仿宋简体" w:cs="方正仿宋简体" w:eastAsia="方正仿宋简体"/>
                <w:sz w:val="28"/>
              </w:rPr>
              <w:t>100分，</w:t>
            </w:r>
            <w:r>
              <w:rPr>
                <w:rFonts w:ascii="方正仿宋简体" w:hAnsi="方正仿宋简体" w:cs="方正仿宋简体" w:eastAsia="方正仿宋简体"/>
                <w:sz w:val="28"/>
              </w:rPr>
              <w:t>考核标准参照《服务考核评价标准表》执行，采购人</w:t>
            </w:r>
            <w:r>
              <w:rPr>
                <w:rFonts w:ascii="方正仿宋简体" w:hAnsi="方正仿宋简体" w:cs="方正仿宋简体" w:eastAsia="方正仿宋简体"/>
                <w:sz w:val="28"/>
              </w:rPr>
              <w:t>在服务考核前</w:t>
            </w:r>
            <w:r>
              <w:rPr>
                <w:rFonts w:ascii="方正仿宋简体" w:hAnsi="方正仿宋简体" w:cs="方正仿宋简体" w:eastAsia="方正仿宋简体"/>
                <w:sz w:val="28"/>
              </w:rPr>
              <w:t>根据实际情况对《服务考核评价标准表》进行动态调整。</w:t>
            </w:r>
          </w:p>
          <w:p>
            <w:pPr>
              <w:pStyle w:val="null3"/>
              <w:ind w:firstLine="480"/>
              <w:jc w:val="left"/>
            </w:pPr>
            <w:r>
              <w:rPr>
                <w:rFonts w:ascii="方正仿宋简体" w:hAnsi="方正仿宋简体" w:cs="方正仿宋简体" w:eastAsia="方正仿宋简体"/>
                <w:sz w:val="28"/>
              </w:rPr>
              <w:t>①考核金额G</w:t>
            </w:r>
          </w:p>
          <w:p>
            <w:pPr>
              <w:pStyle w:val="null3"/>
              <w:ind w:firstLine="480"/>
              <w:jc w:val="left"/>
            </w:pPr>
            <w:r>
              <w:rPr>
                <w:rFonts w:ascii="方正仿宋简体" w:hAnsi="方正仿宋简体" w:cs="方正仿宋简体" w:eastAsia="方正仿宋简体"/>
                <w:sz w:val="28"/>
              </w:rPr>
              <w:t>G=合同金额</w:t>
            </w:r>
          </w:p>
          <w:p>
            <w:pPr>
              <w:pStyle w:val="null3"/>
              <w:ind w:firstLine="480"/>
              <w:jc w:val="left"/>
            </w:pPr>
            <w:r>
              <w:rPr>
                <w:rFonts w:ascii="方正仿宋简体" w:hAnsi="方正仿宋简体" w:cs="方正仿宋简体" w:eastAsia="方正仿宋简体"/>
                <w:sz w:val="28"/>
              </w:rPr>
              <w:t>②考核得分F</w:t>
            </w:r>
          </w:p>
          <w:p>
            <w:pPr>
              <w:pStyle w:val="null3"/>
              <w:ind w:firstLine="480"/>
              <w:jc w:val="left"/>
            </w:pPr>
            <w:r>
              <w:rPr>
                <w:rFonts w:ascii="方正仿宋简体" w:hAnsi="方正仿宋简体" w:cs="方正仿宋简体" w:eastAsia="方正仿宋简体"/>
                <w:sz w:val="28"/>
              </w:rPr>
              <w:t>F为考核得分，根据考核结果取值规则如下：</w:t>
            </w:r>
          </w:p>
          <w:p>
            <w:pPr>
              <w:pStyle w:val="null3"/>
              <w:ind w:firstLine="480"/>
              <w:jc w:val="left"/>
            </w:pPr>
            <w:r>
              <w:rPr>
                <w:rFonts w:ascii="方正仿宋简体" w:hAnsi="方正仿宋简体" w:cs="方正仿宋简体" w:eastAsia="方正仿宋简体"/>
                <w:sz w:val="28"/>
              </w:rPr>
              <w:t>考核分数小于等于</w:t>
            </w:r>
            <w:r>
              <w:rPr>
                <w:rFonts w:ascii="方正仿宋简体" w:hAnsi="方正仿宋简体" w:cs="方正仿宋简体" w:eastAsia="方正仿宋简体"/>
                <w:sz w:val="28"/>
              </w:rPr>
              <w:t>100分且大于等于60分，考核得分F按实际分数计；</w:t>
            </w:r>
          </w:p>
          <w:p>
            <w:pPr>
              <w:pStyle w:val="null3"/>
              <w:ind w:firstLine="480"/>
              <w:jc w:val="left"/>
            </w:pPr>
            <w:r>
              <w:rPr>
                <w:rFonts w:ascii="方正仿宋简体" w:hAnsi="方正仿宋简体" w:cs="方正仿宋简体" w:eastAsia="方正仿宋简体"/>
                <w:sz w:val="28"/>
              </w:rPr>
              <w:t>考核分数低于</w:t>
            </w:r>
            <w:r>
              <w:rPr>
                <w:rFonts w:ascii="方正仿宋简体" w:hAnsi="方正仿宋简体" w:cs="方正仿宋简体" w:eastAsia="方正仿宋简体"/>
                <w:sz w:val="28"/>
              </w:rPr>
              <w:t>60分，则认定考核不合格，考核得分F=0。</w:t>
            </w:r>
          </w:p>
          <w:p>
            <w:pPr>
              <w:pStyle w:val="null3"/>
              <w:ind w:firstLine="480"/>
              <w:jc w:val="both"/>
            </w:pPr>
            <w:r>
              <w:rPr>
                <w:rFonts w:ascii="方正仿宋简体" w:hAnsi="方正仿宋简体" w:cs="方正仿宋简体" w:eastAsia="方正仿宋简体"/>
                <w:sz w:val="28"/>
              </w:rPr>
              <w:t>③考核得分F应用</w:t>
            </w:r>
          </w:p>
          <w:p>
            <w:pPr>
              <w:pStyle w:val="null3"/>
              <w:ind w:firstLine="480"/>
              <w:jc w:val="left"/>
            </w:pPr>
            <w:r>
              <w:rPr>
                <w:rFonts w:ascii="方正仿宋简体" w:hAnsi="方正仿宋简体" w:cs="方正仿宋简体" w:eastAsia="方正仿宋简体"/>
                <w:sz w:val="28"/>
              </w:rPr>
              <w:t>考核得分</w:t>
            </w:r>
            <w:r>
              <w:rPr>
                <w:rFonts w:ascii="方正仿宋简体" w:hAnsi="方正仿宋简体" w:cs="方正仿宋简体" w:eastAsia="方正仿宋简体"/>
                <w:sz w:val="28"/>
              </w:rPr>
              <w:t>F应用于核算实际支付金额，具体计算公式如下：</w:t>
            </w:r>
          </w:p>
          <w:p>
            <w:pPr>
              <w:pStyle w:val="null3"/>
              <w:ind w:firstLine="480"/>
              <w:jc w:val="left"/>
            </w:pPr>
            <w:r>
              <w:rPr>
                <w:rFonts w:ascii="方正仿宋简体" w:hAnsi="方正仿宋简体" w:cs="方正仿宋简体" w:eastAsia="方正仿宋简体"/>
                <w:sz w:val="28"/>
              </w:rPr>
              <w:t>首笔款支付金额</w:t>
            </w:r>
            <w:r>
              <w:rPr>
                <w:rFonts w:ascii="方正仿宋简体" w:hAnsi="方正仿宋简体" w:cs="方正仿宋简体" w:eastAsia="方正仿宋简体"/>
                <w:sz w:val="28"/>
              </w:rPr>
              <w:t>g1</w:t>
            </w:r>
          </w:p>
          <w:p>
            <w:pPr>
              <w:pStyle w:val="null3"/>
              <w:ind w:firstLine="480"/>
              <w:jc w:val="left"/>
            </w:pPr>
            <w:r>
              <w:rPr>
                <w:rFonts w:ascii="方正仿宋简体" w:hAnsi="方正仿宋简体" w:cs="方正仿宋简体" w:eastAsia="方正仿宋简体"/>
                <w:sz w:val="28"/>
              </w:rPr>
              <w:t>第二笔支付金额</w:t>
            </w:r>
            <w:r>
              <w:rPr>
                <w:rFonts w:ascii="方正仿宋简体" w:hAnsi="方正仿宋简体" w:cs="方正仿宋简体" w:eastAsia="方正仿宋简体"/>
                <w:sz w:val="28"/>
              </w:rPr>
              <w:t>g2</w:t>
            </w:r>
          </w:p>
          <w:p>
            <w:pPr>
              <w:pStyle w:val="null3"/>
              <w:ind w:firstLine="480"/>
              <w:jc w:val="left"/>
            </w:pPr>
            <w:r>
              <w:rPr>
                <w:rFonts w:ascii="方正仿宋简体" w:hAnsi="方正仿宋简体" w:cs="方正仿宋简体" w:eastAsia="方正仿宋简体"/>
                <w:sz w:val="28"/>
              </w:rPr>
              <w:t>g2＝G＊F／100-g1，若g2小于0，中标人应该退还采购人相应金额款项。</w:t>
            </w:r>
          </w:p>
          <w:p>
            <w:pPr>
              <w:pStyle w:val="null3"/>
              <w:ind w:firstLine="480"/>
              <w:jc w:val="left"/>
            </w:pPr>
            <w:r>
              <w:rPr>
                <w:rFonts w:ascii="方正仿宋简体" w:hAnsi="方正仿宋简体" w:cs="方正仿宋简体" w:eastAsia="方正仿宋简体"/>
                <w:sz w:val="28"/>
              </w:rPr>
              <w:t>最终支付金额不超过合同总金额。</w:t>
            </w:r>
          </w:p>
          <w:p>
            <w:pPr>
              <w:pStyle w:val="null3"/>
              <w:ind w:firstLine="560"/>
              <w:jc w:val="left"/>
            </w:pPr>
            <w:r>
              <w:rPr>
                <w:rFonts w:ascii="方正仿宋简体" w:hAnsi="方正仿宋简体" w:cs="方正仿宋简体" w:eastAsia="方正仿宋简体"/>
                <w:sz w:val="28"/>
              </w:rPr>
              <w:t>（</w:t>
            </w:r>
            <w:r>
              <w:rPr>
                <w:rFonts w:ascii="方正仿宋简体" w:hAnsi="方正仿宋简体" w:cs="方正仿宋简体" w:eastAsia="方正仿宋简体"/>
                <w:sz w:val="28"/>
              </w:rPr>
              <w:t>2）服务考核标准</w:t>
            </w:r>
          </w:p>
          <w:p>
            <w:pPr>
              <w:pStyle w:val="null3"/>
              <w:ind w:firstLine="560"/>
              <w:jc w:val="left"/>
            </w:pPr>
            <w:r>
              <w:rPr>
                <w:rFonts w:ascii="方正仿宋简体" w:hAnsi="方正仿宋简体" w:cs="方正仿宋简体" w:eastAsia="方正仿宋简体"/>
                <w:sz w:val="28"/>
              </w:rPr>
              <w:t>服务考核前，采购人根据实际情况制定服务考核标准，明确考核事项和对应分值，考核结果作为服务费用计算和支付的主要依据。</w:t>
            </w:r>
          </w:p>
          <w:p>
            <w:pPr>
              <w:pStyle w:val="null3"/>
              <w:ind w:firstLine="560"/>
              <w:jc w:val="left"/>
            </w:pPr>
            <w:r>
              <w:rPr>
                <w:rFonts w:ascii="方正仿宋简体" w:hAnsi="方正仿宋简体" w:cs="方正仿宋简体" w:eastAsia="方正仿宋简体"/>
                <w:sz w:val="28"/>
              </w:rPr>
              <w:t>服务考核标准中的考核指标包括但不限于服务能力、服务规范、服务质量、用户评价等方面。</w:t>
            </w:r>
          </w:p>
          <w:p>
            <w:pPr>
              <w:pStyle w:val="null3"/>
              <w:ind w:firstLine="560"/>
              <w:jc w:val="left"/>
            </w:pPr>
            <w:r>
              <w:rPr>
                <w:rFonts w:ascii="方正仿宋简体" w:hAnsi="方正仿宋简体" w:cs="方正仿宋简体" w:eastAsia="方正仿宋简体"/>
                <w:sz w:val="28"/>
              </w:rPr>
              <w:t>采购人会根据本项目实际服务效果设立一票否决考核项（具体项目及内容以服务合同为准），如中标人被执行一票否决的，则视为考核不合格，采购人有权与中标人解除合同关系，并依照合同内容向中标人执行违约条款。</w:t>
            </w:r>
          </w:p>
          <w:p>
            <w:pPr>
              <w:pStyle w:val="null3"/>
              <w:ind w:firstLine="482"/>
              <w:jc w:val="center"/>
            </w:pPr>
            <w:r>
              <w:rPr>
                <w:rFonts w:ascii="仿宋" w:hAnsi="仿宋" w:cs="仿宋" w:eastAsia="仿宋"/>
                <w:b/>
                <w:sz w:val="24"/>
              </w:rPr>
              <w:t>服务考核评价标准表</w:t>
            </w:r>
          </w:p>
          <w:tbl>
            <w:tblPr>
              <w:tblBorders>
                <w:top w:val="none" w:color="000000" w:sz="4"/>
                <w:left w:val="none" w:color="000000" w:sz="4"/>
                <w:bottom w:val="none" w:color="000000" w:sz="4"/>
                <w:right w:val="none" w:color="000000" w:sz="4"/>
                <w:insideH w:val="none"/>
                <w:insideV w:val="none"/>
              </w:tblBorders>
            </w:tblPr>
            <w:tblGrid>
              <w:gridCol w:w="234"/>
              <w:gridCol w:w="347"/>
              <w:gridCol w:w="399"/>
              <w:gridCol w:w="803"/>
              <w:gridCol w:w="764"/>
            </w:tblGrid>
            <w:tr>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序号</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考核</w:t>
                  </w:r>
                  <w:r>
                    <w:rPr>
                      <w:rFonts w:ascii="宋体" w:hAnsi="宋体" w:cs="宋体" w:eastAsia="宋体"/>
                      <w:b/>
                      <w:sz w:val="24"/>
                    </w:rPr>
                    <w:t>项</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考核</w:t>
                  </w:r>
                  <w:r>
                    <w:rPr>
                      <w:rFonts w:ascii="宋体" w:hAnsi="宋体" w:cs="宋体" w:eastAsia="宋体"/>
                      <w:b/>
                      <w:sz w:val="24"/>
                    </w:rPr>
                    <w:t>内容</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考核</w:t>
                  </w:r>
                  <w:r>
                    <w:rPr>
                      <w:rFonts w:ascii="宋体" w:hAnsi="宋体" w:cs="宋体" w:eastAsia="宋体"/>
                      <w:b/>
                      <w:sz w:val="24"/>
                    </w:rPr>
                    <w:t>说明</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扣分说明</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1</w:t>
                  </w:r>
                </w:p>
              </w:tc>
              <w:tc>
                <w:tcPr>
                  <w:tcW w:type="dxa" w:w="3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服务能力</w:t>
                  </w:r>
                </w:p>
              </w:tc>
              <w:tc>
                <w:tcPr>
                  <w:tcW w:type="dxa" w:w="3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服务团队</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按照用户要求提供相应数量、资质的人员。</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项目经理、技术负责人等主要人员缺失的，每缺一人月扣</w:t>
                  </w:r>
                  <w:r>
                    <w:rPr>
                      <w:rFonts w:ascii="宋体" w:hAnsi="宋体" w:cs="宋体" w:eastAsia="宋体"/>
                      <w:sz w:val="24"/>
                    </w:rPr>
                    <w:t>0.5分，其他人员每缺一人月扣0.01分；资质不匹配的，扣0.1分，按照人员缺失计算扣分；资质造假的，扣0.5分，并保留追究法律责任的权利。</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2</w:t>
                  </w:r>
                </w:p>
              </w:tc>
              <w:tc>
                <w:tcPr>
                  <w:tcW w:type="dxa" w:w="347"/>
                  <w:vMerge/>
                  <w:tcBorders>
                    <w:top w:val="none" w:color="000000" w:sz="4"/>
                    <w:left w:val="none" w:color="000000" w:sz="4"/>
                    <w:bottom w:val="single" w:color="000000" w:sz="4"/>
                    <w:right w:val="single" w:color="000000" w:sz="4"/>
                  </w:tcBorders>
                </w:tcPr>
                <w:p/>
              </w:tc>
              <w:tc>
                <w:tcPr>
                  <w:tcW w:type="dxa" w:w="399"/>
                  <w:vMerge/>
                  <w:tcBorders>
                    <w:top w:val="none" w:color="000000" w:sz="4"/>
                    <w:left w:val="none" w:color="000000" w:sz="4"/>
                    <w:bottom w:val="single" w:color="000000" w:sz="4"/>
                    <w:right w:val="single" w:color="000000" w:sz="4"/>
                  </w:tcBorders>
                </w:tc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按任务确认单时限要求完成服务内容。</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单个服务每延期一日，扣</w:t>
                  </w:r>
                  <w:r>
                    <w:rPr>
                      <w:rFonts w:ascii="宋体" w:hAnsi="宋体" w:cs="宋体" w:eastAsia="宋体"/>
                      <w:sz w:val="24"/>
                    </w:rPr>
                    <w:t>0.01分。同一服务未按时完成的，每多一例扣除0.1分。</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3</w:t>
                  </w:r>
                </w:p>
              </w:tc>
              <w:tc>
                <w:tcPr>
                  <w:tcW w:type="dxa" w:w="3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服务规范</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方案计划</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制定服务方案（含服务计划）；服务期间，按照实际工作开展，依照要求更新服务方案（含服务计划）。</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合同签订后一周内提供服务方案，未提供的扣</w:t>
                  </w:r>
                  <w:r>
                    <w:rPr>
                      <w:rFonts w:ascii="宋体" w:hAnsi="宋体" w:cs="宋体" w:eastAsia="宋体"/>
                      <w:sz w:val="24"/>
                    </w:rPr>
                    <w:t>1分；逾期提供服务方案，每逾期一天扣0.01分；未达到采购人要求且整改仍不合格的扣0.5分。</w:t>
                  </w:r>
                  <w:r>
                    <w:rPr>
                      <w:rFonts w:ascii="宋体" w:hAnsi="宋体" w:cs="宋体" w:eastAsia="宋体"/>
                      <w:sz w:val="24"/>
                    </w:rPr>
                    <w:t>未及时更新服务方案的，扣</w:t>
                  </w:r>
                  <w:r>
                    <w:rPr>
                      <w:rFonts w:ascii="宋体" w:hAnsi="宋体" w:cs="宋体" w:eastAsia="宋体"/>
                      <w:sz w:val="24"/>
                    </w:rPr>
                    <w:t>0.1分。</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4</w:t>
                  </w:r>
                </w:p>
              </w:tc>
              <w:tc>
                <w:tcPr>
                  <w:tcW w:type="dxa" w:w="347"/>
                  <w:vMerge/>
                  <w:tcBorders>
                    <w:top w:val="none" w:color="000000" w:sz="4"/>
                    <w:left w:val="none" w:color="000000" w:sz="4"/>
                    <w:bottom w:val="single" w:color="000000" w:sz="4"/>
                    <w:right w:val="single" w:color="000000" w:sz="4"/>
                  </w:tcBorders>
                </w:tc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项目文档</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按照信息化项目管理要求，按时提供完备的项目文档，且各项目文档需具备规范性、完整性、正确性、可操作性、可追溯性。</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项目文档缺失的，每缺失一个扣</w:t>
                  </w:r>
                  <w:r>
                    <w:rPr>
                      <w:rFonts w:ascii="宋体" w:hAnsi="宋体" w:cs="宋体" w:eastAsia="宋体"/>
                      <w:sz w:val="24"/>
                    </w:rPr>
                    <w:t>1分；未按时提供的，每延期1天扣0.01分；项目文档的质量超2次整改后仍不合格的扣0.5分。</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5</w:t>
                  </w:r>
                </w:p>
              </w:tc>
              <w:tc>
                <w:tcPr>
                  <w:tcW w:type="dxa" w:w="347"/>
                  <w:vMerge/>
                  <w:tcBorders>
                    <w:top w:val="none" w:color="000000" w:sz="4"/>
                    <w:left w:val="none" w:color="000000" w:sz="4"/>
                    <w:bottom w:val="single" w:color="000000" w:sz="4"/>
                    <w:right w:val="single" w:color="000000" w:sz="4"/>
                  </w:tcBorders>
                </w:tc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项目协作</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提供合格的项目资料、真实且完整的源代码，配合项目各方工作人员开展相应工作。</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因提供项目资料不合格、不配合相关方开展工作，被相关方投诉，经上级机关单位核实情况属实的，每有一次扣</w:t>
                  </w:r>
                  <w:r>
                    <w:rPr>
                      <w:rFonts w:ascii="宋体" w:hAnsi="宋体" w:cs="宋体" w:eastAsia="宋体"/>
                      <w:sz w:val="24"/>
                    </w:rPr>
                    <w:t>0.5分。</w:t>
                  </w:r>
                </w:p>
                <w:p>
                  <w:pPr>
                    <w:pStyle w:val="null3"/>
                    <w:jc w:val="left"/>
                  </w:pPr>
                  <w:r>
                    <w:rPr>
                      <w:rFonts w:ascii="宋体" w:hAnsi="宋体" w:cs="宋体" w:eastAsia="宋体"/>
                      <w:sz w:val="24"/>
                    </w:rPr>
                    <w:t>因资料、代码不完整不真实影响第三方开展代码审计的，扣</w:t>
                  </w:r>
                  <w:r>
                    <w:rPr>
                      <w:rFonts w:ascii="宋体" w:hAnsi="宋体" w:cs="宋体" w:eastAsia="宋体"/>
                      <w:sz w:val="24"/>
                    </w:rPr>
                    <w:t>5分；未按时提供代码的，每延期1天扣0.5分。</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6</w:t>
                  </w:r>
                </w:p>
              </w:tc>
              <w:tc>
                <w:tcPr>
                  <w:tcW w:type="dxa" w:w="34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服务质量</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完善</w:t>
                  </w:r>
                  <w:r>
                    <w:rPr>
                      <w:rFonts w:ascii="宋体" w:hAnsi="宋体" w:cs="宋体" w:eastAsia="宋体"/>
                      <w:sz w:val="24"/>
                    </w:rPr>
                    <w:t>自然人库</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服务期内完成规定的自然人库实施内容，以实际完成数量为依据</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未完成规定的服务数量，按未完成数量扣除该项投标报价金额对应费用。</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7</w:t>
                  </w:r>
                </w:p>
              </w:tc>
              <w:tc>
                <w:tcPr>
                  <w:tcW w:type="dxa" w:w="347"/>
                  <w:vMerge/>
                  <w:tcBorders>
                    <w:top w:val="none" w:color="000000" w:sz="4"/>
                    <w:left w:val="none" w:color="000000" w:sz="4"/>
                    <w:bottom w:val="none" w:color="000000" w:sz="4"/>
                    <w:right w:val="single" w:color="000000" w:sz="4"/>
                  </w:tcBorders>
                </w:tc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完善法人库</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服务期内完成规定的法人库实施内容，以实际完成数量为依据</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未完成规定的服务数量，按未完成数量扣除该项投标报价金额对应费用。</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8</w:t>
                  </w:r>
                </w:p>
              </w:tc>
              <w:tc>
                <w:tcPr>
                  <w:tcW w:type="dxa" w:w="347"/>
                  <w:vMerge/>
                  <w:tcBorders>
                    <w:top w:val="none" w:color="000000" w:sz="4"/>
                    <w:left w:val="none" w:color="000000" w:sz="4"/>
                    <w:bottom w:val="none" w:color="000000" w:sz="4"/>
                    <w:right w:val="single" w:color="000000" w:sz="4"/>
                  </w:tcBorders>
                </w:tc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完善电子证照库</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服务期内完成规定的电子证照库实施内容，以实际完成数量为依据</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未完成规定的服务数量，按未完成数量扣除该项投标报价金额对应费用。</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9</w:t>
                  </w:r>
                </w:p>
              </w:tc>
              <w:tc>
                <w:tcPr>
                  <w:tcW w:type="dxa" w:w="347"/>
                  <w:vMerge/>
                  <w:tcBorders>
                    <w:top w:val="none" w:color="000000" w:sz="4"/>
                    <w:left w:val="none" w:color="000000" w:sz="4"/>
                    <w:bottom w:val="none" w:color="000000" w:sz="4"/>
                    <w:right w:val="single" w:color="000000" w:sz="4"/>
                  </w:tcBorders>
                </w:tc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市级部门及区（市）县数据赋能</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服务期内完成规定的市级部门及区（市）县数据赋能实施内容，以实际完成数量为依据</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未完成规定的服务数量，按未完成数量扣除该项投标报价金额对应费用。</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10</w:t>
                  </w:r>
                </w:p>
              </w:tc>
              <w:tc>
                <w:tcPr>
                  <w:tcW w:type="dxa" w:w="347"/>
                  <w:vMerge/>
                  <w:tcBorders>
                    <w:top w:val="none" w:color="000000" w:sz="4"/>
                    <w:left w:val="none" w:color="000000" w:sz="4"/>
                    <w:bottom w:val="none" w:color="000000" w:sz="4"/>
                    <w:right w:val="single" w:color="000000" w:sz="4"/>
                  </w:tcBorders>
                </w:tc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国省数据回流应用</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服务期内完成规定的国省数据回流应用实施内容，以实际完成数量为依据</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未完成规定的服务数量，按未完成数量扣除该项投标报价金额对应费用。</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11</w:t>
                  </w:r>
                </w:p>
              </w:tc>
              <w:tc>
                <w:tcPr>
                  <w:tcW w:type="dxa" w:w="347"/>
                  <w:vMerge/>
                  <w:tcBorders>
                    <w:top w:val="none" w:color="000000" w:sz="4"/>
                    <w:left w:val="none" w:color="000000" w:sz="4"/>
                    <w:bottom w:val="none" w:color="000000" w:sz="4"/>
                    <w:right w:val="single" w:color="000000" w:sz="4"/>
                  </w:tcBorders>
                </w:tc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数据分析</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服务期内完成规定的数据分析实施内容，以实际完成数量为依据</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未完成规定的服务数量，按未完成数量扣除该项投标报价金额对应费用。</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12</w:t>
                  </w:r>
                </w:p>
              </w:tc>
              <w:tc>
                <w:tcPr>
                  <w:tcW w:type="dxa" w:w="347"/>
                  <w:vMerge/>
                  <w:tcBorders>
                    <w:top w:val="none" w:color="000000" w:sz="4"/>
                    <w:left w:val="none" w:color="000000" w:sz="4"/>
                    <w:bottom w:val="none" w:color="000000" w:sz="4"/>
                    <w:right w:val="single" w:color="000000" w:sz="4"/>
                  </w:tcBorders>
                </w:tc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交流研讨</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服务期内完成规定的交流培训实施内容，以实际完成数量为依据</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未完成规定的服务数量，按未完成数量扣除该项投标报价金额对应费用。</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13</w:t>
                  </w:r>
                </w:p>
              </w:tc>
              <w:tc>
                <w:tcPr>
                  <w:tcW w:type="dxa" w:w="347"/>
                  <w:vMerge/>
                  <w:tcBorders>
                    <w:top w:val="none" w:color="000000" w:sz="4"/>
                    <w:left w:val="none" w:color="000000" w:sz="4"/>
                    <w:bottom w:val="none" w:color="000000" w:sz="4"/>
                    <w:right w:val="single" w:color="000000" w:sz="4"/>
                  </w:tcBorders>
                </w:tcPr>
                <w:p/>
              </w:tc>
              <w:tc>
                <w:tcPr>
                  <w:tcW w:type="dxa" w:w="39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服务稳定性</w:t>
                  </w:r>
                </w:p>
              </w:tc>
              <w:tc>
                <w:tcPr>
                  <w:tcW w:type="dxa" w:w="8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期间，所提供服务应运行稳定；发生问题（故障）后应及时按照应急预案中的预设规定和流程对出现的问题（故障）进行应急处置，并做好记录；问题（故障）现象消除后，即刻开展问题（故障）原因分析，确定解决方案，彻底消除问题（故障），并出具报告。</w:t>
                  </w:r>
                </w:p>
              </w:tc>
              <w:tc>
                <w:tcPr>
                  <w:tcW w:type="dxa" w:w="7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故障处置记录、故障报告缺失、或经整改仍未达到用户要求、或未加盖单位公章，每有一次扣</w:t>
                  </w:r>
                  <w:r>
                    <w:rPr>
                      <w:rFonts w:ascii="宋体" w:hAnsi="宋体" w:cs="宋体" w:eastAsia="宋体"/>
                      <w:sz w:val="24"/>
                    </w:rPr>
                    <w:t>0.1分。</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14</w:t>
                  </w:r>
                </w:p>
              </w:tc>
              <w:tc>
                <w:tcPr>
                  <w:tcW w:type="dxa" w:w="347"/>
                  <w:vMerge/>
                  <w:tcBorders>
                    <w:top w:val="none" w:color="000000" w:sz="4"/>
                    <w:left w:val="none" w:color="000000" w:sz="4"/>
                    <w:bottom w:val="none" w:color="000000" w:sz="4"/>
                    <w:right w:val="single" w:color="000000" w:sz="4"/>
                  </w:tcBorders>
                </w:tcPr>
                <w:p/>
              </w:tc>
              <w:tc>
                <w:tcPr>
                  <w:tcW w:type="dxa" w:w="399"/>
                  <w:vMerge/>
                  <w:tcBorders>
                    <w:top w:val="none" w:color="000000" w:sz="4"/>
                    <w:left w:val="none" w:color="000000" w:sz="4"/>
                    <w:bottom w:val="none" w:color="000000" w:sz="4"/>
                    <w:right w:val="single" w:color="000000" w:sz="4"/>
                  </w:tcBorders>
                </w:tcPr>
                <w:p/>
              </w:tc>
              <w:tc>
                <w:tcPr>
                  <w:tcW w:type="dxa" w:w="803"/>
                  <w:vMerge/>
                  <w:tcBorders>
                    <w:top w:val="none" w:color="000000" w:sz="4"/>
                    <w:left w:val="none" w:color="000000" w:sz="4"/>
                    <w:bottom w:val="none" w:color="000000" w:sz="4"/>
                    <w:right w:val="single" w:color="000000" w:sz="4"/>
                  </w:tcBorders>
                </w:tcPr>
                <w:p/>
              </w:tc>
              <w:tc>
                <w:tcPr>
                  <w:tcW w:type="dxa" w:w="764"/>
                  <w:vMerge/>
                  <w:tcBorders>
                    <w:top w:val="none" w:color="000000" w:sz="4"/>
                    <w:left w:val="none" w:color="000000" w:sz="4"/>
                    <w:bottom w:val="none" w:color="000000" w:sz="4"/>
                    <w:right w:val="single" w:color="000000" w:sz="4"/>
                  </w:tcBorders>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15</w:t>
                  </w:r>
                </w:p>
              </w:tc>
              <w:tc>
                <w:tcPr>
                  <w:tcW w:type="dxa" w:w="347"/>
                  <w:vMerge/>
                  <w:tcBorders>
                    <w:top w:val="none" w:color="000000" w:sz="4"/>
                    <w:left w:val="none" w:color="000000" w:sz="4"/>
                    <w:bottom w:val="none" w:color="000000" w:sz="4"/>
                    <w:right w:val="single" w:color="000000" w:sz="4"/>
                  </w:tcBorders>
                </w:tcPr>
                <w:p/>
              </w:tc>
              <w:tc>
                <w:tcPr>
                  <w:tcW w:type="dxa" w:w="399"/>
                  <w:vMerge/>
                  <w:tcBorders>
                    <w:top w:val="none" w:color="000000" w:sz="4"/>
                    <w:left w:val="none" w:color="000000" w:sz="4"/>
                    <w:bottom w:val="none" w:color="000000" w:sz="4"/>
                    <w:right w:val="single" w:color="000000" w:sz="4"/>
                  </w:tcBorders>
                </w:tcPr>
                <w:p/>
              </w:tc>
              <w:tc>
                <w:tcPr>
                  <w:tcW w:type="dxa" w:w="803"/>
                  <w:vMerge/>
                  <w:tcBorders>
                    <w:top w:val="none" w:color="000000" w:sz="4"/>
                    <w:left w:val="none" w:color="000000" w:sz="4"/>
                    <w:bottom w:val="none" w:color="000000" w:sz="4"/>
                    <w:right w:val="single" w:color="000000" w:sz="4"/>
                  </w:tcBorders>
                </w:tcP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所提供的服务在重大活动、会议期间出现故障并造成不良影响的，每有一次加扣</w:t>
                  </w:r>
                  <w:r>
                    <w:rPr>
                      <w:rFonts w:ascii="宋体" w:hAnsi="宋体" w:cs="宋体" w:eastAsia="宋体"/>
                      <w:sz w:val="24"/>
                    </w:rPr>
                    <w:t>1分；后果特别严重的扣2分。</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16</w:t>
                  </w:r>
                </w:p>
              </w:tc>
              <w:tc>
                <w:tcPr>
                  <w:tcW w:type="dxa" w:w="34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安全保障</w:t>
                  </w:r>
                </w:p>
              </w:tc>
              <w:tc>
                <w:tcPr>
                  <w:tcW w:type="dxa" w:w="39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安全整体要求</w:t>
                  </w:r>
                </w:p>
              </w:tc>
              <w:tc>
                <w:tcPr>
                  <w:tcW w:type="dxa" w:w="8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期间，应尽量避免出现安全事故；出现安全事故后应及时按照应急预案中的预设流程或应急方案进行处置，做好记录；事后应进行专题分析，提交专题报告，并优化服务。对各类问题的安全事件级别定性和归类以用户或用户上级机关单位定义为准。</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因服务提供方原因，重大安全事故出现一次扣</w:t>
                  </w:r>
                  <w:r>
                    <w:rPr>
                      <w:rFonts w:ascii="宋体" w:hAnsi="宋体" w:cs="宋体" w:eastAsia="宋体"/>
                      <w:sz w:val="24"/>
                    </w:rPr>
                    <w:t>20分，未按时响应扣5分；较重安全事故出现一次扣10分，未按时响应扣5分；一般安全事故出现一次扣5分，未按时响应扣3分。</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17</w:t>
                  </w:r>
                </w:p>
              </w:tc>
              <w:tc>
                <w:tcPr>
                  <w:tcW w:type="dxa" w:w="347"/>
                  <w:vMerge/>
                  <w:tcBorders>
                    <w:top w:val="none" w:color="000000" w:sz="4"/>
                    <w:left w:val="none" w:color="000000" w:sz="4"/>
                    <w:bottom w:val="none" w:color="000000" w:sz="4"/>
                    <w:right w:val="single" w:color="000000" w:sz="4"/>
                  </w:tcBorders>
                </w:tcPr>
                <w:p/>
              </w:tc>
              <w:tc>
                <w:tcPr>
                  <w:tcW w:type="dxa" w:w="399"/>
                  <w:vMerge/>
                  <w:tcBorders>
                    <w:top w:val="none" w:color="000000" w:sz="4"/>
                    <w:left w:val="none" w:color="000000" w:sz="4"/>
                    <w:bottom w:val="none" w:color="000000" w:sz="4"/>
                    <w:right w:val="single" w:color="000000" w:sz="4"/>
                  </w:tcBorders>
                </w:tcPr>
                <w:p/>
              </w:tc>
              <w:tc>
                <w:tcPr>
                  <w:tcW w:type="dxa" w:w="803"/>
                  <w:vMerge/>
                  <w:tcBorders>
                    <w:top w:val="none" w:color="000000" w:sz="4"/>
                    <w:left w:val="none" w:color="000000" w:sz="4"/>
                    <w:bottom w:val="none" w:color="000000" w:sz="4"/>
                    <w:right w:val="single" w:color="000000" w:sz="4"/>
                  </w:tcBorders>
                </w:tcP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出现安全问题后，未进行事故记录、未进行有效专题分析、未提交专题分析报告或未进行有效优化措施的，每有一次，扣</w:t>
                  </w:r>
                  <w:r>
                    <w:rPr>
                      <w:rFonts w:ascii="宋体" w:hAnsi="宋体" w:cs="宋体" w:eastAsia="宋体"/>
                      <w:sz w:val="24"/>
                    </w:rPr>
                    <w:t>3分；专题分析报告未达到用户要求、或未加盖单位公章，每有一次扣0.5分。</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18</w:t>
                  </w:r>
                </w:p>
              </w:tc>
              <w:tc>
                <w:tcPr>
                  <w:tcW w:type="dxa" w:w="347"/>
                  <w:vMerge/>
                  <w:tcBorders>
                    <w:top w:val="none" w:color="000000" w:sz="4"/>
                    <w:left w:val="none" w:color="000000" w:sz="4"/>
                    <w:bottom w:val="none" w:color="000000" w:sz="4"/>
                    <w:right w:val="single" w:color="000000" w:sz="4"/>
                  </w:tcBorders>
                </w:tcP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安全管理制度及人员保障要求</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制定安全管理制度、梳理安全责任分工，并明确安全人员跟踪制度执行等。</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未制定安全管理制度和梳理安全责任分工，扣</w:t>
                  </w:r>
                  <w:r>
                    <w:rPr>
                      <w:rFonts w:ascii="宋体" w:hAnsi="宋体" w:cs="宋体" w:eastAsia="宋体"/>
                      <w:sz w:val="24"/>
                    </w:rPr>
                    <w:t>0.1分；</w:t>
                  </w:r>
                </w:p>
                <w:p>
                  <w:pPr>
                    <w:pStyle w:val="null3"/>
                    <w:jc w:val="left"/>
                  </w:pPr>
                  <w:r>
                    <w:rPr>
                      <w:rFonts w:ascii="宋体" w:hAnsi="宋体" w:cs="宋体" w:eastAsia="宋体"/>
                      <w:sz w:val="24"/>
                    </w:rPr>
                    <w:t>未明确安全人员，扣</w:t>
                  </w:r>
                  <w:r>
                    <w:rPr>
                      <w:rFonts w:ascii="宋体" w:hAnsi="宋体" w:cs="宋体" w:eastAsia="宋体"/>
                      <w:sz w:val="24"/>
                    </w:rPr>
                    <w:t>0.1分；</w:t>
                  </w:r>
                </w:p>
                <w:p>
                  <w:pPr>
                    <w:pStyle w:val="null3"/>
                    <w:jc w:val="left"/>
                  </w:pPr>
                  <w:r>
                    <w:rPr>
                      <w:rFonts w:ascii="宋体" w:hAnsi="宋体" w:cs="宋体" w:eastAsia="宋体"/>
                      <w:sz w:val="24"/>
                    </w:rPr>
                    <w:t>安全人员未严格执行跟踪制度，扣</w:t>
                  </w:r>
                  <w:r>
                    <w:rPr>
                      <w:rFonts w:ascii="宋体" w:hAnsi="宋体" w:cs="宋体" w:eastAsia="宋体"/>
                      <w:sz w:val="24"/>
                    </w:rPr>
                    <w:t>0.1分；</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19</w:t>
                  </w:r>
                </w:p>
              </w:tc>
              <w:tc>
                <w:tcPr>
                  <w:tcW w:type="dxa" w:w="347"/>
                  <w:vMerge/>
                  <w:tcBorders>
                    <w:top w:val="none" w:color="000000" w:sz="4"/>
                    <w:left w:val="none" w:color="000000" w:sz="4"/>
                    <w:bottom w:val="none" w:color="000000" w:sz="4"/>
                    <w:right w:val="single" w:color="000000" w:sz="4"/>
                  </w:tcBorders>
                </w:tc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场地安全管理要求</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期内，应履行场地安全责任，包括：落实服务场地及安全责任分工，配备场地安全管理人员，并提供包括不限于出入场地人脸识别、场地分区管理、云桌面、视频监控、网络防护、用户行为审计等场地安全防护措施。</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未履行场地安全责任，扣</w:t>
                  </w:r>
                  <w:r>
                    <w:rPr>
                      <w:rFonts w:ascii="宋体" w:hAnsi="宋体" w:cs="宋体" w:eastAsia="宋体"/>
                      <w:sz w:val="24"/>
                    </w:rPr>
                    <w:t>0.1分；</w:t>
                  </w:r>
                </w:p>
                <w:p>
                  <w:pPr>
                    <w:pStyle w:val="null3"/>
                    <w:jc w:val="left"/>
                  </w:pPr>
                  <w:r>
                    <w:rPr>
                      <w:rFonts w:ascii="宋体" w:hAnsi="宋体" w:cs="宋体" w:eastAsia="宋体"/>
                      <w:sz w:val="24"/>
                    </w:rPr>
                    <w:t>未明确场地安全管理人员，扣</w:t>
                  </w:r>
                  <w:r>
                    <w:rPr>
                      <w:rFonts w:ascii="宋体" w:hAnsi="宋体" w:cs="宋体" w:eastAsia="宋体"/>
                      <w:sz w:val="24"/>
                    </w:rPr>
                    <w:t>0.1分；</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20</w:t>
                  </w:r>
                </w:p>
              </w:tc>
              <w:tc>
                <w:tcPr>
                  <w:tcW w:type="dxa" w:w="347"/>
                  <w:vMerge/>
                  <w:tcBorders>
                    <w:top w:val="none" w:color="000000" w:sz="4"/>
                    <w:left w:val="none" w:color="000000" w:sz="4"/>
                    <w:bottom w:val="none" w:color="000000" w:sz="4"/>
                    <w:right w:val="single" w:color="000000" w:sz="4"/>
                  </w:tcBorders>
                </w:tc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数据安全管理要求</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服务期内，应履行数据安全责任，包括：落实数据安全责任分工、配备数据安全管理人员，并提供必要的安全防护措施和管理措施以保障数据的安全。</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未履行数据安全责任，扣</w:t>
                  </w:r>
                  <w:r>
                    <w:rPr>
                      <w:rFonts w:ascii="宋体" w:hAnsi="宋体" w:cs="宋体" w:eastAsia="宋体"/>
                      <w:sz w:val="24"/>
                    </w:rPr>
                    <w:t>0.1分；</w:t>
                  </w:r>
                </w:p>
                <w:p>
                  <w:pPr>
                    <w:pStyle w:val="null3"/>
                    <w:jc w:val="left"/>
                  </w:pPr>
                  <w:r>
                    <w:rPr>
                      <w:rFonts w:ascii="宋体" w:hAnsi="宋体" w:cs="宋体" w:eastAsia="宋体"/>
                      <w:sz w:val="24"/>
                    </w:rPr>
                    <w:t>未明确数据安全管理人员，扣</w:t>
                  </w:r>
                  <w:r>
                    <w:rPr>
                      <w:rFonts w:ascii="宋体" w:hAnsi="宋体" w:cs="宋体" w:eastAsia="宋体"/>
                      <w:sz w:val="24"/>
                    </w:rPr>
                    <w:t>0.1分；</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21</w:t>
                  </w:r>
                </w:p>
              </w:tc>
              <w:tc>
                <w:tcPr>
                  <w:tcW w:type="dxa" w:w="3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项目管理</w:t>
                  </w:r>
                </w:p>
              </w:tc>
              <w:tc>
                <w:tcPr>
                  <w:tcW w:type="dxa" w:w="3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响应与执行</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服务期间，应及时响应用户需求。有特殊规定响应时间的，应在规定时间内响应；无特殊规定响应时间的，应在收到请求或发现问题之时</w:t>
                  </w:r>
                  <w:r>
                    <w:rPr>
                      <w:rFonts w:ascii="宋体" w:hAnsi="宋体" w:cs="宋体" w:eastAsia="宋体"/>
                      <w:sz w:val="24"/>
                    </w:rPr>
                    <w:t>30分钟内给予明确响应。</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超过约定响应时间的，每超过</w:t>
                  </w:r>
                  <w:r>
                    <w:rPr>
                      <w:rFonts w:ascii="宋体" w:hAnsi="宋体" w:cs="宋体" w:eastAsia="宋体"/>
                      <w:sz w:val="24"/>
                    </w:rPr>
                    <w:t>5分钟，扣0.01分。</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22</w:t>
                  </w:r>
                </w:p>
              </w:tc>
              <w:tc>
                <w:tcPr>
                  <w:tcW w:type="dxa" w:w="347"/>
                  <w:vMerge/>
                  <w:tcBorders>
                    <w:top w:val="none" w:color="000000" w:sz="4"/>
                    <w:left w:val="none" w:color="000000" w:sz="4"/>
                    <w:bottom w:val="single" w:color="000000" w:sz="4"/>
                    <w:right w:val="single" w:color="000000" w:sz="4"/>
                  </w:tcBorders>
                </w:tcPr>
                <w:p/>
              </w:tc>
              <w:tc>
                <w:tcPr>
                  <w:tcW w:type="dxa" w:w="399"/>
                  <w:vMerge/>
                  <w:tcBorders>
                    <w:top w:val="none" w:color="000000" w:sz="4"/>
                    <w:left w:val="none" w:color="000000" w:sz="4"/>
                    <w:bottom w:val="single" w:color="000000" w:sz="4"/>
                    <w:right w:val="single" w:color="000000" w:sz="4"/>
                  </w:tcBorders>
                </w:tc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服务期间，应及时执行用户需求。有特殊规定执行时间的，应在规定时间内执行；无特殊规定执行时间的，应在收到请求或发现问题之时</w:t>
                  </w:r>
                  <w:r>
                    <w:rPr>
                      <w:rFonts w:ascii="宋体" w:hAnsi="宋体" w:cs="宋体" w:eastAsia="宋体"/>
                      <w:sz w:val="24"/>
                    </w:rPr>
                    <w:t>2天内给予执行。</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超过约定执行时间的，每超过</w:t>
                  </w:r>
                  <w:r>
                    <w:rPr>
                      <w:rFonts w:ascii="宋体" w:hAnsi="宋体" w:cs="宋体" w:eastAsia="宋体"/>
                      <w:sz w:val="24"/>
                    </w:rPr>
                    <w:t>1天，扣0.1分。</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23</w:t>
                  </w:r>
                </w:p>
              </w:tc>
              <w:tc>
                <w:tcPr>
                  <w:tcW w:type="dxa" w:w="347"/>
                  <w:vMerge/>
                  <w:tcBorders>
                    <w:top w:val="none" w:color="000000" w:sz="4"/>
                    <w:left w:val="none" w:color="000000" w:sz="4"/>
                    <w:bottom w:val="single" w:color="000000" w:sz="4"/>
                    <w:right w:val="single" w:color="000000" w:sz="4"/>
                  </w:tcBorders>
                </w:tcPr>
                <w:p/>
              </w:tc>
              <w:tc>
                <w:tcPr>
                  <w:tcW w:type="dxa" w:w="3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团队管理</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服务期间，项目团队人员需保持人员稳定。（甲方要求的人员更换情况除外）</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未经用户书面同意，服务期内项目经理发生人员更换的，每有一人</w:t>
                  </w:r>
                  <w:r>
                    <w:rPr>
                      <w:rFonts w:ascii="宋体" w:hAnsi="宋体" w:cs="宋体" w:eastAsia="宋体"/>
                      <w:sz w:val="24"/>
                    </w:rPr>
                    <w:t>/次扣0.1分；未经用户同意，普通服务人员发生人员更换的，每有一人/次扣0.01分。</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24</w:t>
                  </w:r>
                </w:p>
              </w:tc>
              <w:tc>
                <w:tcPr>
                  <w:tcW w:type="dxa" w:w="347"/>
                  <w:vMerge/>
                  <w:tcBorders>
                    <w:top w:val="none" w:color="000000" w:sz="4"/>
                    <w:left w:val="none" w:color="000000" w:sz="4"/>
                    <w:bottom w:val="single" w:color="000000" w:sz="4"/>
                    <w:right w:val="single" w:color="000000" w:sz="4"/>
                  </w:tcBorders>
                </w:tcPr>
                <w:p/>
              </w:tc>
              <w:tc>
                <w:tcPr>
                  <w:tcW w:type="dxa" w:w="399"/>
                  <w:vMerge/>
                  <w:tcBorders>
                    <w:top w:val="none" w:color="000000" w:sz="4"/>
                    <w:left w:val="none" w:color="000000" w:sz="4"/>
                    <w:bottom w:val="single" w:color="000000" w:sz="4"/>
                    <w:right w:val="single" w:color="000000" w:sz="4"/>
                  </w:tcBorders>
                </w:tc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根据用户实际需求，需项目经理、其他工作人员等参与重大活动，应按时到场提供服务。</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缺勤一次扣</w:t>
                  </w:r>
                  <w:r>
                    <w:rPr>
                      <w:rFonts w:ascii="宋体" w:hAnsi="宋体" w:cs="宋体" w:eastAsia="宋体"/>
                      <w:sz w:val="24"/>
                    </w:rPr>
                    <w:t>0.02分；迟到早退一次扣0.01分（特殊原因除外）</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25</w:t>
                  </w:r>
                </w:p>
              </w:tc>
              <w:tc>
                <w:tcPr>
                  <w:tcW w:type="dxa" w:w="347"/>
                  <w:vMerge/>
                  <w:tcBorders>
                    <w:top w:val="none" w:color="000000" w:sz="4"/>
                    <w:left w:val="none" w:color="000000" w:sz="4"/>
                    <w:bottom w:val="single" w:color="000000" w:sz="4"/>
                    <w:right w:val="single" w:color="000000" w:sz="4"/>
                  </w:tcBorders>
                </w:tcPr>
                <w:p/>
              </w:tc>
              <w:tc>
                <w:tcPr>
                  <w:tcW w:type="dxa" w:w="399"/>
                  <w:vMerge/>
                  <w:tcBorders>
                    <w:top w:val="none" w:color="000000" w:sz="4"/>
                    <w:left w:val="none" w:color="000000" w:sz="4"/>
                    <w:bottom w:val="single" w:color="000000" w:sz="4"/>
                    <w:right w:val="single" w:color="000000" w:sz="4"/>
                  </w:tcBorders>
                </w:tc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所有人员服务态度应热情、友好、真诚。</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服务态度恶劣的，对客户有言语冲撞或更严重情况的，每有一人</w:t>
                  </w:r>
                  <w:r>
                    <w:rPr>
                      <w:rFonts w:ascii="宋体" w:hAnsi="宋体" w:cs="宋体" w:eastAsia="宋体"/>
                      <w:sz w:val="24"/>
                    </w:rPr>
                    <w:t>/次扣0.01分；同一人员出现三次及以上，甲方有权要求人员更换。</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26</w:t>
                  </w:r>
                </w:p>
              </w:tc>
              <w:tc>
                <w:tcPr>
                  <w:tcW w:type="dxa" w:w="347"/>
                  <w:vMerge/>
                  <w:tcBorders>
                    <w:top w:val="none" w:color="000000" w:sz="4"/>
                    <w:left w:val="none" w:color="000000" w:sz="4"/>
                    <w:bottom w:val="single" w:color="000000" w:sz="4"/>
                    <w:right w:val="single" w:color="000000" w:sz="4"/>
                  </w:tcBorders>
                </w:tcPr>
                <w:p/>
              </w:tc>
              <w:tc>
                <w:tcPr>
                  <w:tcW w:type="dxa" w:w="399"/>
                  <w:vMerge/>
                  <w:tcBorders>
                    <w:top w:val="none" w:color="000000" w:sz="4"/>
                    <w:left w:val="none" w:color="000000" w:sz="4"/>
                    <w:bottom w:val="single" w:color="000000" w:sz="4"/>
                    <w:right w:val="single" w:color="000000" w:sz="4"/>
                  </w:tcBorders>
                </w:tc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服务期间，项目服务人员应严格遵守管理规定，约束自身行为。</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服务提供方存在利用职务或工作便利侵犯政府公共资源、财产及类似情形等，每发现一次扣</w:t>
                  </w:r>
                  <w:r>
                    <w:rPr>
                      <w:rFonts w:ascii="宋体" w:hAnsi="宋体" w:cs="宋体" w:eastAsia="宋体"/>
                      <w:sz w:val="24"/>
                    </w:rPr>
                    <w:t>0.01分；对甲方造成影响的，每发现一次扣3分。（是否造成影响由甲方上级主管单位确定）</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27</w:t>
                  </w:r>
                </w:p>
              </w:tc>
              <w:tc>
                <w:tcPr>
                  <w:tcW w:type="dxa" w:w="3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监管审计和用户评价</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用户投诉</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服务提供方应做好服务工作，避免受到投诉。</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受到投诉并造成影响的，每有一次扣</w:t>
                  </w:r>
                  <w:r>
                    <w:rPr>
                      <w:rFonts w:ascii="宋体" w:hAnsi="宋体" w:cs="宋体" w:eastAsia="宋体"/>
                      <w:sz w:val="24"/>
                    </w:rPr>
                    <w:t>2分（在同一阶段对同一</w:t>
                  </w:r>
                  <w:r>
                    <w:rPr>
                      <w:rFonts w:ascii="宋体" w:hAnsi="宋体" w:cs="宋体" w:eastAsia="宋体"/>
                      <w:sz w:val="24"/>
                    </w:rPr>
                    <w:t>故障的投诉，视为同一次投诉；是否造成影响由甲方上级主管单位确定）。</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28</w:t>
                  </w:r>
                </w:p>
              </w:tc>
              <w:tc>
                <w:tcPr>
                  <w:tcW w:type="dxa" w:w="347"/>
                  <w:vMerge/>
                  <w:tcBorders>
                    <w:top w:val="none" w:color="000000" w:sz="4"/>
                    <w:left w:val="none" w:color="000000" w:sz="4"/>
                    <w:bottom w:val="single" w:color="000000" w:sz="4"/>
                    <w:right w:val="single" w:color="000000" w:sz="4"/>
                  </w:tcBorders>
                </w:tc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用户满意度</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服务考核前进行一用户满意度调查。</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满意度调查总分</w:t>
                  </w:r>
                  <w:r>
                    <w:rPr>
                      <w:rFonts w:ascii="宋体" w:hAnsi="宋体" w:cs="宋体" w:eastAsia="宋体"/>
                      <w:sz w:val="24"/>
                    </w:rPr>
                    <w:t>100分，大于等于90分不扣分。</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宋体" w:hAnsi="宋体" w:cs="宋体" w:eastAsia="宋体"/>
                      <w:sz w:val="24"/>
                    </w:rPr>
                    <w:t>29</w:t>
                  </w:r>
                </w:p>
              </w:tc>
              <w:tc>
                <w:tcPr>
                  <w:tcW w:type="dxa" w:w="347"/>
                  <w:vMerge/>
                  <w:tcBorders>
                    <w:top w:val="none" w:color="000000" w:sz="4"/>
                    <w:left w:val="none" w:color="000000" w:sz="4"/>
                    <w:bottom w:val="single" w:color="000000" w:sz="4"/>
                    <w:right w:val="single" w:color="000000" w:sz="4"/>
                  </w:tcBorders>
                </w:tc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监管审计</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根据实际情况配合第三方监管或审计机构的审查。</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若收到第三方审计或第三方监管机构等出具的书面通报，每有一次扣</w:t>
                  </w:r>
                  <w:r>
                    <w:rPr>
                      <w:rFonts w:ascii="宋体" w:hAnsi="宋体" w:cs="宋体" w:eastAsia="宋体"/>
                      <w:sz w:val="24"/>
                    </w:rPr>
                    <w:t>1分；情节严重、对甲方造成实际影响的，每有一次扣5分。（非服务提供方原因除外）</w:t>
                  </w:r>
                </w:p>
              </w:tc>
            </w:tr>
          </w:tbl>
          <w:p/>
        </w:tc>
      </w:tr>
      <w:tr>
        <w:tc>
          <w:tcPr>
            <w:tcW w:type="dxa" w:w="2769"/>
          </w:tcPr>
          <w:p>
            <w:pPr>
              <w:pStyle w:val="null3"/>
              <w:jc w:val="left"/>
            </w:pPr>
            <w:r>
              <w:rPr/>
              <w:t>2</w:t>
            </w:r>
          </w:p>
        </w:tc>
        <w:tc>
          <w:tcPr>
            <w:tcW w:type="dxa" w:w="2769"/>
          </w:tcPr>
          <w:p/>
        </w:tc>
        <w:tc>
          <w:tcPr>
            <w:tcW w:type="dxa" w:w="2769"/>
          </w:tcPr>
          <w:p>
            <w:pPr>
              <w:pStyle w:val="null3"/>
              <w:jc w:val="both"/>
            </w:pPr>
            <w:r>
              <w:rPr>
                <w:rFonts w:ascii="仿宋" w:hAnsi="仿宋" w:cs="仿宋" w:eastAsia="仿宋"/>
                <w:b/>
                <w:sz w:val="28"/>
              </w:rPr>
              <w:t>因政府采购一体化平台系统模版原因，若招标文件中其他地方内容存在与</w:t>
            </w:r>
            <w:r>
              <w:rPr>
                <w:rFonts w:ascii="仿宋" w:hAnsi="仿宋" w:cs="仿宋" w:eastAsia="仿宋"/>
                <w:b/>
                <w:sz w:val="28"/>
              </w:rPr>
              <w:t>3.3技术要求和3.4服务要求内容不一致的，以3.3技术要求和3.4服务要求内容为准。</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3.4.2.商务要求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自合同签订之日起至2024年12月10日完成</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成都市</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①验收标准 国家有关法律、法规，国家、省、市政府、采购人印发的有关信息化和项目管理规定； 经专家等评审通过的文档，包括不限于以下文档：已通过评审的实施方案、服务报告等； 本项目招标文件、投标文件及合同等。 ②履约验收 本项目按照《财政部关于进一步加强政府采购需求和履约验收管理的指导意见》（财库〔2016〕205号）文件的相关规定开展项目履约验收活动； 本项目实施履约验收条件（①完成服务内容；②通过服务考核），由中标人向采购人提出项目履约验收申请，经采购人同意后由采购人组织专家验收小组进行履约验收。</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tc>
        <w:tc>
          <w:tcPr>
            <w:tcW w:type="dxa" w:w="2076"/>
          </w:tcPr>
          <w:p>
            <w:pPr>
              <w:pStyle w:val="null3"/>
              <w:jc w:val="left"/>
            </w:pPr>
            <w:r>
              <w:rPr/>
              <w:t>付款进度安排</w:t>
            </w:r>
          </w:p>
        </w:tc>
        <w:tc>
          <w:tcPr>
            <w:tcW w:type="dxa" w:w="2076"/>
          </w:tcPr>
          <w:p>
            <w:pPr>
              <w:pStyle w:val="null3"/>
              <w:jc w:val="left"/>
            </w:pPr>
            <w:r>
              <w:rPr/>
              <w:t>1、合同签订后，达到付款条件起10日内，据实情况说明为（括号前文内容为系统自动生成，以后述内容为准）合同签订后10个工作日内支付合同款项的50%。采购人支付每笔款项前，中标人须按采购人要求提交付款申请，并出具等额的发票。</w:t>
            </w:r>
          </w:p>
          <w:p>
            <w:pPr>
              <w:pStyle w:val="null3"/>
              <w:jc w:val="left"/>
            </w:pPr>
            <w:r>
              <w:rPr/>
              <w:t>2、服务结束并通过服务考核和履约验收后，达到付款条件起5日内，据实情况说明为（括号前文内容为系统自动生成，以后述内容为准）服务到期后中标人应向采购人提出书面服务考核验收申请，服务考核验收申请审核通过后，采购人在5日内组织服务考核验收工作；考核验收通过后，中标人向采购人提出书面支付申请后的5日内，采购人按照考核验收结果，向中标人结算服务费用。采购人支付每笔款项前，中标人须按采购人要求提交付款申请，并出具等额的发票。</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①采购人违约责任 因采购人原因逾期支付合同款的，除应及时支付合同款外，应按照每天万分之一的比例向中标人支付未支付合同款的违约金，违约金最高不超过欠款总额的1%；逾期付款超过30天的，中标人有权终止合同； ②中标人违约责任 因中标人工作人员在履行职务过程中的疏忽、失职、过错等故意或者过失原因给采购人造成损失或侵害，包括但不限于采购人本身的财产损失、由此而导致的采购人对任何第三方的法律责任等，中标人对此均应承担全部的赔偿责任。 如出现下列情况，采购人有权停止付款、收回已支付款项、中标人应向采购人支付合同总额5%的违约金，并赔偿给采购人造成的损失。中标人考核周期内存在不合格情形，整改后仍无法达到项目的要求；中标人申请付款时故意提供虚假的或不完整的资料。 中标人应妥善保管采购人提供的信息、资料，若因中标人及中标人人员导致采购人有关信息资料泄露造成损失的，由中标人赔偿采购人的损失，包括但不限于采购人的直接经济损失、律师费、诉讼费、保全费、鉴定费、公证费等全部费用，采购人损失难以计量的，以合同总额5%计。 ③解决争议的方法 因服务的质量问题发生争议，由采购人或其指定的第三方机构进行质量鉴定。服务符合标准的，鉴定费由采购人承担；服务不符合质量标准的，鉴定费由中标人承担。 合同履行期间，若双方发生争议，可协商或由有关部门调解解决，协商或调解不成的，向项目所在地仲裁委员会申请仲裁。仲裁裁决应为最终决定，并对双方具有约束力。除另有裁决外，仲裁费应由败诉方负担。在仲裁期间，除正在进行仲裁部分外，合同其他部分继续执行。</w:t>
            </w:r>
          </w:p>
        </w:tc>
      </w:tr>
    </w:tbl>
    <w:p>
      <w:pPr>
        <w:pStyle w:val="null3"/>
        <w:jc w:val="left"/>
        <w:outlineLvl w:val="2"/>
      </w:pPr>
      <w:r>
        <w:rPr>
          <w:b/>
          <w:sz w:val="28"/>
        </w:rPr>
        <w:t>3.5.其他要求</w:t>
      </w:r>
    </w:p>
    <w:p>
      <w:pPr>
        <w:pStyle w:val="null3"/>
        <w:ind w:firstLine="480"/>
        <w:jc w:val="left"/>
      </w:pPr>
      <w:r>
        <w:rPr/>
        <w:t>采购包1：</w:t>
      </w:r>
    </w:p>
    <w:p>
      <w:pPr>
        <w:pStyle w:val="null3"/>
        <w:jc w:val="left"/>
      </w:pPr>
      <w:r>
        <w:rPr/>
        <w:t>1、供应商需具有数据治理相关项目业绩 。 2、供应商拟投入的服务团队中，项目经理具备计算机技术与软件专业技术资格（信息系统项目管理师）证书或具备数据治理项目的项目经理管理经验的优先；项目技术负责人具备计算机技术与软件专业技术资格（数据库系统工程师或软件设计师）证书或具备数据治理项目相关经验的优先；项目成员（不含项目经理、项目技术负责人），具有计算机技术与软件专业技术资格证书（信息系统项目管理师或系统规划与管理师或系统架构设计师或系统分析师或网络规划设计师或软件设计师或系统集成项目管理工程师或数据库系统工程师或信息安全工程师）或具备数据治理相关项目经验的优先。 说明：本章标注★的为实质性要求，实质性要求明确须提供佐证材料的，按要求提供，未明确的，以商务应答表或服务要求偏离表响应为准。</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开标解密完成后，由采购人、代理机构依据法律法规和招标文件的规定，对成功解密的投标文件中供应商资格证明等进行审查，出具资格审查报告。资格审查标准及要求如下：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营业执照复印件（正本或副本）或法人证书复印件（正本或副本）或执业许可证明【供应商为自然人的仅提供身份证复印件。】</w:t>
            </w:r>
          </w:p>
        </w:tc>
        <w:tc>
          <w:tcPr>
            <w:tcW w:type="dxa" w:w="1910"/>
          </w:tcPr>
          <w:p>
            <w:pPr>
              <w:pStyle w:val="null3"/>
              <w:jc w:val="left"/>
            </w:pPr>
            <w:r>
              <w:rPr/>
              <w:t>投标人提交的相关资格证明材料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二、评标工作由代理机构负责组织，具体评标事务由采购人或者代理机构依法组建的评标委员会负责。评标委员会由采购人代表和评审专家组成。</w:t>
      </w:r>
    </w:p>
    <w:p>
      <w:pPr>
        <w:pStyle w:val="null3"/>
        <w:ind w:firstLine="480"/>
        <w:jc w:val="left"/>
      </w:pPr>
      <w:r>
        <w:rPr/>
        <w:t>三、评标工作应遵循公平、公正、科学及择优的原则，并以相同的评标程序和标准对待所有的投标人。</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四、评标委员会按照招标文件规定的评标程序、评标方法和标准进行评标，并独立履行下列职责：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评标委员会正式评审前，应当对招标文件进行熟悉和理解，内容主要包括招标文件中投标人资格资质性要求、采购项目技术、服务和商务要求、评审方法和标准以及可能涉及签订政府采购合同的内容等。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供应商，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在符合性审查过程中，如果出现评标委员会成员意见不一致的情况，按照少数服从多数的原则确定，但不得违背政府采购基本原则和招标文件规定。</w:t>
      </w:r>
    </w:p>
    <w:p>
      <w:pPr>
        <w:pStyle w:val="null3"/>
        <w:ind w:firstLine="480"/>
        <w:jc w:val="left"/>
      </w:pPr>
      <w:r>
        <w:rPr/>
        <w:t>符合性审查标准见下表（按以下顺序审查）：</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1.投标文件均实质性响应招标文件第3章中加★号的要求。2.本项目符合性审查事项仅限于本招标文件的明确规定。因平台局限性，对于文件第2章标注“实质性要求”但未标明如何响应的，可不提供具体证明或单独响应，投标人无须进行逐一响应；投标文件是否满足招标文件的实质性要求，必须以本招标文件的明确规定作为依据，否则，不能对投标文件作为无效处理。评审时以此条要求为准。</w:t>
            </w:r>
          </w:p>
        </w:tc>
        <w:tc>
          <w:tcPr>
            <w:tcW w:type="dxa" w:w="1910"/>
          </w:tcPr>
          <w:p>
            <w:pPr>
              <w:pStyle w:val="null3"/>
              <w:jc w:val="left"/>
            </w:pPr>
            <w:r>
              <w:rPr/>
              <w:t>“★”号项内容证明材料 商务应答表 投标（响应）函 服务要求偏离表</w:t>
            </w:r>
          </w:p>
        </w:tc>
      </w:tr>
      <w:tr>
        <w:tc>
          <w:tcPr>
            <w:tcW w:type="dxa" w:w="581"/>
          </w:tcPr>
          <w:p>
            <w:pPr>
              <w:pStyle w:val="null3"/>
              <w:jc w:val="center"/>
            </w:pPr>
            <w:r>
              <w:rPr/>
              <w:t>2</w:t>
            </w:r>
          </w:p>
        </w:tc>
        <w:tc>
          <w:tcPr>
            <w:tcW w:type="dxa" w:w="2492"/>
          </w:tcPr>
          <w:p>
            <w:pPr>
              <w:pStyle w:val="null3"/>
              <w:jc w:val="left"/>
            </w:pPr>
            <w:r>
              <w:rPr/>
              <w:t>不属于禁止参加投标或投标无效的投标人</w:t>
            </w:r>
          </w:p>
        </w:tc>
        <w:tc>
          <w:tcPr>
            <w:tcW w:type="dxa" w:w="3322"/>
          </w:tcPr>
          <w:p>
            <w:pPr>
              <w:pStyle w:val="null3"/>
              <w:jc w:val="left"/>
            </w:pPr>
            <w:r>
              <w:rPr/>
              <w:t>1.根据招标文件的要求不属于禁止参加投标或投标无效的投标人；2.评标委员会未发现或者未知 晓投标人存在属于国家相关法律法规规定的禁止参加投标或投标无效的投标人。</w:t>
            </w:r>
          </w:p>
        </w:tc>
        <w:tc>
          <w:tcPr>
            <w:tcW w:type="dxa" w:w="1910"/>
          </w:tcPr>
          <w:p>
            <w:pPr>
              <w:pStyle w:val="null3"/>
              <w:jc w:val="left"/>
            </w:pPr>
            <w:r>
              <w:rPr/>
              <w:t>投标文件封面</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5.3.4.解释、澄清、说明的有关问题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同时出现两种以上不一致的，按照前款规定的顺序修正。修正后的报价经投标人经交易系统加盖电子印章确认提交后生效产生约束力。</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ind w:firstLine="480"/>
        <w:jc w:val="left"/>
      </w:pPr>
      <w:r>
        <w:rPr/>
        <w:t>四、除资格审查认定错误、分值汇总计算错误、分项评分超出评分标准范围、评标委员会成员对客观评审因素评分不一致的、经评标委员会一致认定评分畸高、畸低的情形外，采购人或者代理机构不得以任何理由组织重新评审。代理机构发现评标委员会未按照招标文件规定的评审标准进行评审的，应当重新开展采购活动，并同时书面报告项目同级财政部门。</w:t>
      </w:r>
    </w:p>
    <w:p>
      <w:pPr>
        <w:pStyle w:val="null3"/>
        <w:jc w:val="left"/>
        <w:outlineLvl w:val="3"/>
      </w:pPr>
      <w:r>
        <w:rPr>
          <w:b/>
          <w:sz w:val="24"/>
        </w:rPr>
        <w:t>5.3.8.确定中标候选人名单</w:t>
      </w:r>
    </w:p>
    <w:p>
      <w:pPr>
        <w:pStyle w:val="null3"/>
        <w:ind w:firstLine="480"/>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中标候选人并列的，由评标委员会根据招标文件规定的推荐中标候选人数量，在排名并列的中标候选人中，采取随机抽取的方式确定中标候选人排名顺序。</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六、其他需要说明的情况，包括评标过程中投标人根据评标委员会要求进行的澄清、说明或者更正，评标委员会成员的更换等；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ind w:firstLine="480"/>
        <w:jc w:val="left"/>
      </w:pPr>
      <w:r>
        <w:rPr/>
        <w:t>评标委员会应当按照客观、公正、审慎的原则，根据招标文件规定的评标程序、评标方法和评标标准进行独立评审。</w:t>
      </w:r>
    </w:p>
    <w:p>
      <w:pPr>
        <w:pStyle w:val="null3"/>
        <w:jc w:val="left"/>
        <w:outlineLvl w:val="3"/>
      </w:pPr>
      <w:r>
        <w:rPr>
          <w:b/>
          <w:sz w:val="24"/>
        </w:rPr>
        <w:t>5.4.1.评标方法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项目需求理解</w:t>
            </w:r>
          </w:p>
        </w:tc>
        <w:tc>
          <w:tcPr>
            <w:tcW w:type="dxa" w:w="2575"/>
          </w:tcPr>
          <w:p>
            <w:pPr>
              <w:pStyle w:val="null3"/>
              <w:jc w:val="left"/>
            </w:pPr>
            <w:r>
              <w:rPr/>
              <w:t>投标人需提供针对本项目需求理解方案，包括：①本项目整体建设目标、目前现状的理解与分析；②对本项目建设需求的理解与分析；③对本项目重点、难点的分析；④对本项目重点、难点的应对措施，所提供的方案中针对以上每项内容应答齐全无缺陷的，得8分；每缺一项内容扣2分，每有一处存在缺陷扣1分，扣完为止。 注：①.照搬招标文件内容的视为缺项。②.上述“缺陷”是指以下任意一种情形:或数据错误；或名称错误；或专业术语错误；或符号错误；或文字表述错误；或存在未针对本项目编制；或与采购情况无关的内容；或存在抄袭照搬其他地区及项目的内容。</w:t>
            </w:r>
          </w:p>
        </w:tc>
        <w:tc>
          <w:tcPr>
            <w:tcW w:type="dxa" w:w="831"/>
          </w:tcPr>
          <w:p>
            <w:pPr>
              <w:pStyle w:val="null3"/>
              <w:jc w:val="center"/>
            </w:pPr>
            <w:r>
              <w:rPr/>
              <w:t>8.00</w:t>
            </w:r>
          </w:p>
        </w:tc>
        <w:tc>
          <w:tcPr>
            <w:tcW w:type="dxa" w:w="748"/>
          </w:tcPr>
          <w:p>
            <w:pPr>
              <w:pStyle w:val="null3"/>
              <w:jc w:val="center"/>
            </w:pPr>
            <w:r>
              <w:rPr/>
              <w:t>主观</w:t>
            </w:r>
          </w:p>
        </w:tc>
        <w:tc>
          <w:tcPr>
            <w:tcW w:type="dxa" w:w="1661"/>
          </w:tcPr>
          <w:p>
            <w:pPr>
              <w:pStyle w:val="null3"/>
              <w:jc w:val="left"/>
            </w:pPr>
            <w:r>
              <w:rPr/>
              <w:t>本项目的技术方案</w:t>
            </w:r>
          </w:p>
        </w:tc>
      </w:tr>
      <w:tr>
        <w:tc>
          <w:tcPr>
            <w:tcW w:type="dxa" w:w="831"/>
            <w:vMerge/>
          </w:tcPr>
          <w:p/>
        </w:tc>
        <w:tc>
          <w:tcPr>
            <w:tcW w:type="dxa" w:w="1661"/>
          </w:tcPr>
          <w:p>
            <w:pPr>
              <w:pStyle w:val="null3"/>
              <w:jc w:val="left"/>
            </w:pPr>
            <w:r>
              <w:rPr/>
              <w:t>整体服务方案</w:t>
            </w:r>
          </w:p>
        </w:tc>
        <w:tc>
          <w:tcPr>
            <w:tcW w:type="dxa" w:w="2575"/>
          </w:tcPr>
          <w:p>
            <w:pPr>
              <w:pStyle w:val="null3"/>
              <w:jc w:val="left"/>
            </w:pPr>
            <w:r>
              <w:rPr/>
              <w:t>投标人需提供针对本项目整体服务方案，包括：①自然人库数据治理、②法人库数据治理、③电子证照库数据治理、④市级部门及区（市）县数据赋能、⑤国省数据回流应用、⑥数据分析报告编制、⑦交流培训，所提供的方案中针对以上每项内容应答齐全无缺陷的，得21分；每缺一项内容扣3分，每有一处存在缺陷扣1.5分，扣完为止。 注：①.照搬招标文件内容的视为缺项。②.上述“缺陷”是指以下任意一种情形:或数据错误；或名称错误；或专业术语错误；或符号错误；或文字表述错误；或存在未针对本项目编制；或与采购情况无关的内容；或存在抄袭照搬其他地区及项目的内容。</w:t>
            </w:r>
          </w:p>
        </w:tc>
        <w:tc>
          <w:tcPr>
            <w:tcW w:type="dxa" w:w="831"/>
          </w:tcPr>
          <w:p>
            <w:pPr>
              <w:pStyle w:val="null3"/>
              <w:jc w:val="center"/>
            </w:pPr>
            <w:r>
              <w:rPr/>
              <w:t>21.00</w:t>
            </w:r>
          </w:p>
        </w:tc>
        <w:tc>
          <w:tcPr>
            <w:tcW w:type="dxa" w:w="748"/>
          </w:tcPr>
          <w:p>
            <w:pPr>
              <w:pStyle w:val="null3"/>
              <w:jc w:val="center"/>
            </w:pPr>
            <w:r>
              <w:rPr/>
              <w:t>主观</w:t>
            </w:r>
          </w:p>
        </w:tc>
        <w:tc>
          <w:tcPr>
            <w:tcW w:type="dxa" w:w="1661"/>
          </w:tcPr>
          <w:p>
            <w:pPr>
              <w:pStyle w:val="null3"/>
              <w:jc w:val="left"/>
            </w:pPr>
            <w:r>
              <w:rPr/>
              <w:t>本项目的技术方案</w:t>
            </w:r>
          </w:p>
        </w:tc>
      </w:tr>
      <w:tr>
        <w:tc>
          <w:tcPr>
            <w:tcW w:type="dxa" w:w="831"/>
            <w:vMerge/>
          </w:tcPr>
          <w:p/>
        </w:tc>
        <w:tc>
          <w:tcPr>
            <w:tcW w:type="dxa" w:w="1661"/>
          </w:tcPr>
          <w:p>
            <w:pPr>
              <w:pStyle w:val="null3"/>
              <w:jc w:val="left"/>
            </w:pPr>
            <w:r>
              <w:rPr/>
              <w:t>配套管理办法</w:t>
            </w:r>
          </w:p>
        </w:tc>
        <w:tc>
          <w:tcPr>
            <w:tcW w:type="dxa" w:w="2575"/>
          </w:tcPr>
          <w:p>
            <w:pPr>
              <w:pStyle w:val="null3"/>
              <w:jc w:val="left"/>
            </w:pPr>
            <w:r>
              <w:rPr/>
              <w:t>投标人需提供针对本项目的配套管理办法，包括：①项目管理方案、②项目整体计划、③项目风险及变更、④项目质量管控、⑤售后及培训方案。所提供的方案中针对以上每项内容应答齐全无缺陷的，得5分；每缺一项内容扣1分，每有一处存在缺陷扣0.5分，扣完为止。 注：①.照搬招标文件内容的视为缺项。②.上述“缺陷”是指以下任意一种情形:或数据错误；或名称错误；或专业术语错误；或符号错误；或文字表述错误；或存在未针对本项目编制；或与采购情况无关的内容；或存在抄袭照搬其他地区及项目的内容。</w:t>
            </w:r>
          </w:p>
        </w:tc>
        <w:tc>
          <w:tcPr>
            <w:tcW w:type="dxa" w:w="831"/>
          </w:tcPr>
          <w:p>
            <w:pPr>
              <w:pStyle w:val="null3"/>
              <w:jc w:val="center"/>
            </w:pPr>
            <w:r>
              <w:rPr/>
              <w:t>5.00</w:t>
            </w:r>
          </w:p>
        </w:tc>
        <w:tc>
          <w:tcPr>
            <w:tcW w:type="dxa" w:w="748"/>
          </w:tcPr>
          <w:p>
            <w:pPr>
              <w:pStyle w:val="null3"/>
              <w:jc w:val="center"/>
            </w:pPr>
            <w:r>
              <w:rPr/>
              <w:t>主观</w:t>
            </w:r>
          </w:p>
        </w:tc>
        <w:tc>
          <w:tcPr>
            <w:tcW w:type="dxa" w:w="1661"/>
          </w:tcPr>
          <w:p>
            <w:pPr>
              <w:pStyle w:val="null3"/>
              <w:jc w:val="left"/>
            </w:pPr>
            <w:r>
              <w:rPr/>
              <w:t>本项目的技术方案</w:t>
            </w:r>
          </w:p>
        </w:tc>
      </w:tr>
      <w:tr>
        <w:tc>
          <w:tcPr>
            <w:tcW w:type="dxa" w:w="831"/>
            <w:vMerge/>
          </w:tcPr>
          <w:p/>
        </w:tc>
        <w:tc>
          <w:tcPr>
            <w:tcW w:type="dxa" w:w="1661"/>
          </w:tcPr>
          <w:p>
            <w:pPr>
              <w:pStyle w:val="null3"/>
              <w:jc w:val="left"/>
            </w:pPr>
            <w:r>
              <w:rPr/>
              <w:t>项目经理</w:t>
            </w:r>
          </w:p>
        </w:tc>
        <w:tc>
          <w:tcPr>
            <w:tcW w:type="dxa" w:w="2575"/>
          </w:tcPr>
          <w:p>
            <w:pPr>
              <w:pStyle w:val="null3"/>
              <w:jc w:val="left"/>
            </w:pPr>
            <w:r>
              <w:rPr/>
              <w:t>投标人拟为本项目配备的项目经理（1名） 具备计算机技术与软件专业技术资格（信息系统项目管理师）证书得2分，无不得分；具备数据治理项目的项目经理管理经验，每提供一个项目案例得1分，最多得3分，无不得分。 注：①.提供有效的证书复印件及人员为本单位人员证明材料（提供劳动合同或工资流水或在职证明）并加盖投标人电子签章。 ②.提供项目合同复印件及用户盖章的项目实施证明文件（须包括项目经理姓名）复印件。</w:t>
            </w:r>
          </w:p>
        </w:tc>
        <w:tc>
          <w:tcPr>
            <w:tcW w:type="dxa" w:w="831"/>
          </w:tcPr>
          <w:p>
            <w:pPr>
              <w:pStyle w:val="null3"/>
              <w:jc w:val="center"/>
            </w:pPr>
            <w:r>
              <w:rPr/>
              <w:t>5.00</w:t>
            </w:r>
          </w:p>
        </w:tc>
        <w:tc>
          <w:tcPr>
            <w:tcW w:type="dxa" w:w="748"/>
          </w:tcPr>
          <w:p>
            <w:pPr>
              <w:pStyle w:val="null3"/>
              <w:jc w:val="center"/>
            </w:pPr>
            <w:r>
              <w:rPr/>
              <w:t>客观</w:t>
            </w:r>
          </w:p>
        </w:tc>
        <w:tc>
          <w:tcPr>
            <w:tcW w:type="dxa" w:w="1661"/>
          </w:tcPr>
          <w:p>
            <w:pPr>
              <w:pStyle w:val="null3"/>
              <w:jc w:val="left"/>
            </w:pPr>
            <w:r>
              <w:rPr/>
              <w:t>供应商需要提交的评分证明材料</w:t>
            </w:r>
          </w:p>
        </w:tc>
      </w:tr>
      <w:tr>
        <w:tc>
          <w:tcPr>
            <w:tcW w:type="dxa" w:w="831"/>
            <w:vMerge/>
          </w:tcPr>
          <w:p/>
        </w:tc>
        <w:tc>
          <w:tcPr>
            <w:tcW w:type="dxa" w:w="1661"/>
          </w:tcPr>
          <w:p>
            <w:pPr>
              <w:pStyle w:val="null3"/>
              <w:jc w:val="left"/>
            </w:pPr>
            <w:r>
              <w:rPr/>
              <w:t>项目技术负责人</w:t>
            </w:r>
          </w:p>
        </w:tc>
        <w:tc>
          <w:tcPr>
            <w:tcW w:type="dxa" w:w="2575"/>
          </w:tcPr>
          <w:p>
            <w:pPr>
              <w:pStyle w:val="null3"/>
              <w:jc w:val="left"/>
            </w:pPr>
            <w:r>
              <w:rPr/>
              <w:t>投标人拟为本项目配备的项目技术负责人（1名） 具备计算机技术与软件专业技术资格（数据库系统工程师或软件设计师）证书的得2分，无不得分；具备数据治理项目相关经验，每提供一个项目案例得1分，最多得3分，无不得分。 注：①.提供有效的证书复印件及人员为本单位人员证明材料（提供劳动合同或工资流水或在职证明）并加盖投标人电子签章。 ②.提供项目合同复印件及用户盖章的项目实施证明文件（须包括项目技术负责人姓名）复印件。</w:t>
            </w:r>
          </w:p>
        </w:tc>
        <w:tc>
          <w:tcPr>
            <w:tcW w:type="dxa" w:w="831"/>
          </w:tcPr>
          <w:p>
            <w:pPr>
              <w:pStyle w:val="null3"/>
              <w:jc w:val="center"/>
            </w:pPr>
            <w:r>
              <w:rPr/>
              <w:t>5.00</w:t>
            </w:r>
          </w:p>
        </w:tc>
        <w:tc>
          <w:tcPr>
            <w:tcW w:type="dxa" w:w="748"/>
          </w:tcPr>
          <w:p>
            <w:pPr>
              <w:pStyle w:val="null3"/>
              <w:jc w:val="center"/>
            </w:pPr>
            <w:r>
              <w:rPr/>
              <w:t>客观</w:t>
            </w:r>
          </w:p>
        </w:tc>
        <w:tc>
          <w:tcPr>
            <w:tcW w:type="dxa" w:w="1661"/>
          </w:tcPr>
          <w:p>
            <w:pPr>
              <w:pStyle w:val="null3"/>
              <w:jc w:val="left"/>
            </w:pPr>
            <w:r>
              <w:rPr/>
              <w:t>供应商需要提交的评分证明材料</w:t>
            </w:r>
          </w:p>
        </w:tc>
      </w:tr>
      <w:tr>
        <w:tc>
          <w:tcPr>
            <w:tcW w:type="dxa" w:w="831"/>
            <w:vMerge/>
          </w:tcPr>
          <w:p/>
        </w:tc>
        <w:tc>
          <w:tcPr>
            <w:tcW w:type="dxa" w:w="1661"/>
          </w:tcPr>
          <w:p>
            <w:pPr>
              <w:pStyle w:val="null3"/>
              <w:jc w:val="left"/>
            </w:pPr>
            <w:r>
              <w:rPr/>
              <w:t>项目成员</w:t>
            </w:r>
          </w:p>
        </w:tc>
        <w:tc>
          <w:tcPr>
            <w:tcW w:type="dxa" w:w="2575"/>
          </w:tcPr>
          <w:p>
            <w:pPr>
              <w:pStyle w:val="null3"/>
              <w:jc w:val="left"/>
            </w:pPr>
            <w:r>
              <w:rPr/>
              <w:t>1.投标人拟投入本项目的项目成员（不含项目经理、项目技术负责人），每有1人具有以下任意一项计算机技术与软件专业技术资格证书（信息系统项目管理师或系统规划与管理师或系统架构设计师或系统分析师或网络规划设计师）的，每提供一个有效证书得1分，最多得3分，无不得分。 2.投标人拟投入本项目的项目成员（不含项目经理、项目技术负责人） 每有1人具有以下任意一项计算机技术与软件专业技术资格证书（软件设计师或系统集成项目管理工程师或数据库系统工程师或信息安全工程师）的，每提供一个有效证书得0.5分，最多得3分，无不得分。 3.投标人拟投入本项目的项目成员（不含项目经理、项目技术负责人）每有一人具备数据治理相关项目经验，每提供一个项目案例得1分，最多得7分，无不得分。 注：①以上1、2点人员不得重复计分，得分按最高得分计算一次； ②提供有效的证书复印件及人员为本单位人员证明材料（提供劳动合同或工资流水或在职证明）并加盖投标人电子签章； ③提供项目合同复印件及用户盖章的项目实施证明文件（须包括项目成员姓名）复印件。</w:t>
            </w:r>
          </w:p>
        </w:tc>
        <w:tc>
          <w:tcPr>
            <w:tcW w:type="dxa" w:w="831"/>
          </w:tcPr>
          <w:p>
            <w:pPr>
              <w:pStyle w:val="null3"/>
              <w:jc w:val="center"/>
            </w:pPr>
            <w:r>
              <w:rPr/>
              <w:t>13.00</w:t>
            </w:r>
          </w:p>
        </w:tc>
        <w:tc>
          <w:tcPr>
            <w:tcW w:type="dxa" w:w="748"/>
          </w:tcPr>
          <w:p>
            <w:pPr>
              <w:pStyle w:val="null3"/>
              <w:jc w:val="center"/>
            </w:pPr>
            <w:r>
              <w:rPr/>
              <w:t>客观</w:t>
            </w:r>
          </w:p>
        </w:tc>
        <w:tc>
          <w:tcPr>
            <w:tcW w:type="dxa" w:w="1661"/>
          </w:tcPr>
          <w:p>
            <w:pPr>
              <w:pStyle w:val="null3"/>
              <w:jc w:val="left"/>
            </w:pPr>
            <w:r>
              <w:rPr/>
              <w:t>供应商需要提交的评分证明材料</w:t>
            </w:r>
          </w:p>
        </w:tc>
      </w:tr>
      <w:tr>
        <w:tc>
          <w:tcPr>
            <w:tcW w:type="dxa" w:w="831"/>
            <w:vMerge/>
          </w:tcPr>
          <w:p/>
        </w:tc>
        <w:tc>
          <w:tcPr>
            <w:tcW w:type="dxa" w:w="1661"/>
          </w:tcPr>
          <w:p>
            <w:pPr>
              <w:pStyle w:val="null3"/>
              <w:jc w:val="left"/>
            </w:pPr>
            <w:r>
              <w:rPr/>
              <w:t>投标人业绩</w:t>
            </w:r>
          </w:p>
        </w:tc>
        <w:tc>
          <w:tcPr>
            <w:tcW w:type="dxa" w:w="2575"/>
          </w:tcPr>
          <w:p>
            <w:pPr>
              <w:pStyle w:val="null3"/>
              <w:jc w:val="left"/>
            </w:pPr>
            <w:r>
              <w:rPr/>
              <w:t>投标人2021年1月1日（含1日）以来具有数据治理相关项目业绩，每提供一份得3分，最高得18分，无不得分。 注：提供合同签署页、建设/服务内容页复印件并加盖投标人电子签章。</w:t>
            </w:r>
          </w:p>
        </w:tc>
        <w:tc>
          <w:tcPr>
            <w:tcW w:type="dxa" w:w="831"/>
          </w:tcPr>
          <w:p>
            <w:pPr>
              <w:pStyle w:val="null3"/>
              <w:jc w:val="center"/>
            </w:pPr>
            <w:r>
              <w:rPr/>
              <w:t>18.00</w:t>
            </w:r>
          </w:p>
        </w:tc>
        <w:tc>
          <w:tcPr>
            <w:tcW w:type="dxa" w:w="748"/>
          </w:tcPr>
          <w:p>
            <w:pPr>
              <w:pStyle w:val="null3"/>
              <w:jc w:val="center"/>
            </w:pPr>
            <w:r>
              <w:rPr/>
              <w:t>客观</w:t>
            </w:r>
          </w:p>
        </w:tc>
        <w:tc>
          <w:tcPr>
            <w:tcW w:type="dxa" w:w="1661"/>
          </w:tcPr>
          <w:p>
            <w:pPr>
              <w:pStyle w:val="null3"/>
              <w:jc w:val="left"/>
            </w:pPr>
            <w:r>
              <w:rPr/>
              <w:t>供应商需要提交的评分证明材料</w:t>
            </w:r>
          </w:p>
        </w:tc>
      </w:tr>
      <w:tr>
        <w:tc>
          <w:tcPr>
            <w:tcW w:type="dxa" w:w="831"/>
            <w:vMerge/>
          </w:tcPr>
          <w:p/>
        </w:tc>
        <w:tc>
          <w:tcPr>
            <w:tcW w:type="dxa" w:w="1661"/>
          </w:tcPr>
          <w:p>
            <w:pPr>
              <w:pStyle w:val="null3"/>
              <w:jc w:val="left"/>
            </w:pPr>
            <w:r>
              <w:rPr/>
              <w:t>系统演示</w:t>
            </w:r>
          </w:p>
        </w:tc>
        <w:tc>
          <w:tcPr>
            <w:tcW w:type="dxa" w:w="2575"/>
          </w:tcPr>
          <w:p>
            <w:pPr>
              <w:pStyle w:val="null3"/>
              <w:jc w:val="left"/>
            </w:pPr>
            <w:r>
              <w:rPr/>
              <w:t>投标人通过服务能力演示以展示数据治理能力，具备以下能力： 本演示以自然人库的基础信息为例，投标人根据以往项目经验设计演示中需要的模型结构以及测试数据（Excel文件）。模型结构至少包括姓名、性别、证件类型、证件号、出生日期、年龄六个字段。测试数据为100条，其中“性别”字段包括六种（男、女、男性、女性、1、0）。“证件类型”为“身份证”时的记录数为50条，其中10条记录的“年龄”为空。“证件类型”为“护照”时的记录数为50条。所有记录的“出生日期”不为空。 1、供需对接能力演示（2分） 1）演示供需对接发起能力：数据使用方能够发起供需对接申请“自然人基础信息”的得1分； 2）演示供需对接审批能力：数据主管部门能够开展审批工作的得1分； 2、数据汇聚能力演示（2分） 3）演示数据汇聚能力：能够将上述Excel文件中的数据入库，在数据库内查询详细数据的得2分； 3、数据治理能力演示（6分） 4）演示数据标准化能力：能够针对测试数据配置标准化任务（标准化规则为：性别为1和0，1代表男性，0代表女性），完成数据标准化配置的得1分；能够在数据库内查看任务结果（“男、女、男性、女性”标准化成“1、0”）的得1分； 5）演示数据清洗转换能力：能够针对测试数据配置清洗转换任务（清洗转换规则为：筛选出“证件类型”为“身份证”的数据），完成数据清洗转换配置的得1分；能够在数据库内查看任务结果（筛选出“证件类型”为“身份证”的数据）的得1分； 6）演示数据补全能力：能够针对测试数据配置数据补全任务（补全规则为：根据“出生日期”计算“年龄”），实现数据补全配置的得1分；能够在数据库内查看任务结果（10条记录的“年龄”补全正确）的得1分； 4、任务监控能力演示（2分） 7）演示任务调度配置能力：能够实现针对上述数据治理任务进行配置的得1分； 8）演示任务状态和日志查看能力：对上述配置的任务，能够查看运行状态以及运行日志的得1分； 5、数据服务接口封装和测试服务能力演示（3分） 9）演示数据接口封装能力：能够将库表数据进行接口封装的得1分； 10）演示数据服务调用权限配置能力：能够配置数据服务接口调用权限（最大响应时长、访问次数）的得1分； 11）演示数据服务测试能力：能够利用平台或者外部工具对上述封装的服务接口进行测试，接口可正常访问且数据与库表一致的得1分。 注：①完全满足1）—11）项要求得15分。②每有一项采用PPT或原型系统演示的扣0.5分。③超过20分钟而未完成演示的，仅针对20分钟内演示部分进行评分。</w:t>
            </w:r>
          </w:p>
        </w:tc>
        <w:tc>
          <w:tcPr>
            <w:tcW w:type="dxa" w:w="831"/>
          </w:tcPr>
          <w:p>
            <w:pPr>
              <w:pStyle w:val="null3"/>
              <w:jc w:val="center"/>
            </w:pPr>
            <w:r>
              <w:rPr/>
              <w:t>15.00</w:t>
            </w:r>
          </w:p>
        </w:tc>
        <w:tc>
          <w:tcPr>
            <w:tcW w:type="dxa" w:w="748"/>
          </w:tcPr>
          <w:p>
            <w:pPr>
              <w:pStyle w:val="null3"/>
              <w:jc w:val="center"/>
            </w:pPr>
            <w:r>
              <w:rPr/>
              <w:t>客观</w:t>
            </w:r>
          </w:p>
        </w:tc>
        <w:tc>
          <w:tcPr>
            <w:tcW w:type="dxa" w:w="1661"/>
          </w:tcPr>
          <w:p>
            <w:pPr>
              <w:pStyle w:val="null3"/>
              <w:jc w:val="left"/>
            </w:pPr>
            <w:r>
              <w:rPr/>
              <w:t>供应商需要提交的评分证明材料</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满足招标文件要求且投标价格最低的投标报价为评标基准价，其价格分为满分。其他供应商的价格分统一按照下列公式计算：投标报价得分=(评标基准价÷投标报价)×10。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在评标报告确定的中标候选人名单中按顺序确定中标人，内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个工作日内，在四川政府采购网上公告中标结果，招标文件应当随中标结果同时公告。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详见附件：投标人提交的相关资格证明材料</w:t>
      </w:r>
    </w:p>
    <w:p>
      <w:pPr>
        <w:pStyle w:val="null3"/>
        <w:ind w:firstLine="960"/>
        <w:jc w:val="left"/>
      </w:pPr>
      <w:r>
        <w:rPr/>
        <w:t>详见附件：商务应答表</w:t>
      </w:r>
    </w:p>
    <w:p>
      <w:pPr>
        <w:pStyle w:val="null3"/>
        <w:ind w:firstLine="960"/>
        <w:jc w:val="left"/>
      </w:pPr>
      <w:r>
        <w:rPr/>
        <w:t>详见附件：报价一览表</w:t>
      </w:r>
    </w:p>
    <w:p>
      <w:pPr>
        <w:pStyle w:val="null3"/>
        <w:ind w:firstLine="960"/>
        <w:jc w:val="left"/>
      </w:pPr>
      <w:r>
        <w:rPr/>
        <w:t>详见附件：服务要求偏离表</w:t>
      </w:r>
    </w:p>
    <w:p>
      <w:pPr>
        <w:pStyle w:val="null3"/>
        <w:ind w:firstLine="960"/>
        <w:jc w:val="left"/>
      </w:pPr>
      <w:r>
        <w:rPr/>
        <w:t>详见附件：供应商需要提交的评分证明材料</w:t>
      </w:r>
    </w:p>
    <w:p>
      <w:pPr>
        <w:pStyle w:val="null3"/>
        <w:ind w:firstLine="960"/>
        <w:jc w:val="left"/>
      </w:pPr>
      <w:r>
        <w:rPr/>
        <w:t>详见附件：本项目的技术方案</w:t>
      </w:r>
    </w:p>
    <w:p>
      <w:pPr>
        <w:pStyle w:val="null3"/>
        <w:ind w:firstLine="960"/>
        <w:jc w:val="left"/>
      </w:pPr>
      <w:r>
        <w:rPr/>
        <w:t>详见附件：“★”号项内容证明材料</w:t>
      </w:r>
    </w:p>
    <w:p>
      <w:pPr>
        <w:pStyle w:val="null3"/>
        <w:ind w:firstLine="960"/>
        <w:jc w:val="left"/>
      </w:pPr>
      <w:r>
        <w:rPr/>
        <w:t>详见附件：报价明细表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