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版本号：N510001202500150020250916002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云资源安全服务(二次)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N5100012025001500</w:t>
      </w:r>
    </w:p>
    <w:p>
      <w:pPr>
        <w:pStyle w:val="null3"/>
        <w:jc w:val="center"/>
        <w:outlineLvl w:val="2"/>
      </w:pPr>
      <w:r>
        <w:rPr>
          <w:rFonts w:ascii="仿宋_GB2312" w:hAnsi="仿宋_GB2312" w:cs="仿宋_GB2312" w:eastAsia="仿宋_GB2312"/>
          <w:sz w:val="28"/>
          <w:b/>
        </w:rPr>
        <w:t>四川省政府政务服务和公共资源交易服务中心</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四川省政府政务服务和公共资源交易服务中心</w:t>
      </w:r>
      <w:r>
        <w:rPr>
          <w:rFonts w:ascii="仿宋_GB2312" w:hAnsi="仿宋_GB2312" w:cs="仿宋_GB2312" w:eastAsia="仿宋_GB2312"/>
        </w:rPr>
        <w:t xml:space="preserve"> 委托，拟对 </w:t>
      </w:r>
      <w:r>
        <w:rPr>
          <w:rFonts w:ascii="仿宋_GB2312" w:hAnsi="仿宋_GB2312" w:cs="仿宋_GB2312" w:eastAsia="仿宋_GB2312"/>
        </w:rPr>
        <w:t>云资源安全服务(二次)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N5100012025001500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云资源安全服务(二次)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四川省政府政务服务和公共资源交易服务中心目前各主要信息系统部署于省级政务云上，各云平台针对云平台的病毒、非法防问等安全攻击行为采取了入侵检测、访问控制等基本防护措施。对标合规要求，目前对于云上业务系统漏洞发现能力、网页防篡改能力、安全审计能力、运维审计能力和主机安全防护能力缺失，需要采购安全增值服务实现云上业务系统安全合规需求和安全防护需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四川省政府政务服务和公共资源交易服务中心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028-86953169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文件编制：61323090；开、评标：61323015（20）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采购包1：980,000.00元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四川省政府政务服务和公共资源交易服务中心</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四川省政府政务服务和公共资源交易服务中心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四川省政府采购中心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供应商提出中期验收申请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60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供应商提出最终验收申请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40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按照《财政部关于进一步加强政府采购需求和履约验收管理的指导意见》（财库〔2016〕205号）和《政府采购需求管理办法》（财库〔2021〕22号）的要求及国家行业主管部门规定的标准、方法和内容组织验收。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按照《财政部关于进一步加强政府采购需求和履约验收管理的指导意见》（财库〔2016〕205号）和《政府采购需求管理办法》（财库〔2021〕22号）的要求及国家行业主管部门规定的标准、方法和内容组织验收。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按照《财政部关于进一步加强政府采购需求和履约验收管理的指导意见》（财库〔2016〕205号）和《政府采购需求管理办法》（财库〔2021〕22号）的要求及国家行业主管部门规定的标准、方法和内容组织验收。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按照《财政部关于进一步加强政府采购需求和履约验收管理的指导意见》（财库〔2016〕205号）和《政府采购需求管理办法》（财库〔2021〕22号）的要求及国家行业主管部门规定的标准、方法和内容组织验收。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四川省政府政务服务和公共资源交易服务中心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联系人：郭老师</w:t>
      </w:r>
    </w:p>
    <w:p>
      <w:pPr>
        <w:pStyle w:val="null3"/>
        <w:jc w:val="left"/>
      </w:pPr>
      <w:r>
        <w:rPr>
          <w:rFonts w:ascii="仿宋_GB2312" w:hAnsi="仿宋_GB2312" w:cs="仿宋_GB2312" w:eastAsia="仿宋_GB2312"/>
        </w:rPr>
        <w:t>联系电话：028-86953169</w:t>
      </w:r>
    </w:p>
    <w:p>
      <w:pPr>
        <w:pStyle w:val="null3"/>
        <w:jc w:val="left"/>
      </w:pPr>
      <w:r>
        <w:rPr>
          <w:rFonts w:ascii="仿宋_GB2312" w:hAnsi="仿宋_GB2312" w:cs="仿宋_GB2312" w:eastAsia="仿宋_GB2312"/>
        </w:rPr>
        <w:t>地址： 四川省成都市青羊区顺城大街222号或鼓楼南街101号（丰德成达中心10层）</w:t>
      </w:r>
    </w:p>
    <w:p>
      <w:pPr>
        <w:pStyle w:val="null3"/>
        <w:jc w:val="left"/>
      </w:pPr>
      <w:r>
        <w:rPr>
          <w:rFonts w:ascii="仿宋_GB2312" w:hAnsi="仿宋_GB2312" w:cs="仿宋_GB2312" w:eastAsia="仿宋_GB2312"/>
        </w:rPr>
        <w:t>邮编：610031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联系电话：028-86007328</w:t>
      </w:r>
    </w:p>
    <w:p>
      <w:pPr>
        <w:pStyle w:val="null3"/>
        <w:jc w:val="left"/>
      </w:pPr>
      <w:r>
        <w:rPr>
          <w:rFonts w:ascii="仿宋_GB2312" w:hAnsi="仿宋_GB2312" w:cs="仿宋_GB2312" w:eastAsia="仿宋_GB2312"/>
        </w:rPr>
        <w:t>地址：四川省成都市青羊区顺城大街222号或鼓楼南街101号（丰德成达中心10层）</w:t>
      </w:r>
    </w:p>
    <w:p>
      <w:pPr>
        <w:pStyle w:val="null3"/>
        <w:jc w:val="left"/>
      </w:pPr>
      <w:r>
        <w:rPr>
          <w:rFonts w:ascii="仿宋_GB2312" w:hAnsi="仿宋_GB2312" w:cs="仿宋_GB2312" w:eastAsia="仿宋_GB2312"/>
        </w:rPr>
        <w:t>邮编：610031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980,000.00</w:t>
      </w:r>
    </w:p>
    <w:p>
      <w:pPr>
        <w:pStyle w:val="null3"/>
        <w:jc w:val="left"/>
      </w:pPr>
      <w:r>
        <w:rPr>
          <w:rFonts w:ascii="仿宋_GB2312" w:hAnsi="仿宋_GB2312" w:cs="仿宋_GB2312" w:eastAsia="仿宋_GB2312"/>
        </w:rPr>
        <w:t>采购包最高限价（元）: 980,000.00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C16040000 云计算服务</w:t>
            </w:r>
          </w:p>
        </w:tc>
        <w:tc>
          <w:tcPr>
            <w:tcW w:type="dxa" w:w="821"/>
          </w:tcPr>
          <w:p>
            <w:pPr>
              <w:pStyle w:val="null3"/>
              <w:jc w:val="left"/>
            </w:pPr>
            <w:r>
              <w:rPr>
                <w:rFonts w:ascii="仿宋_GB2312" w:hAnsi="仿宋_GB2312" w:cs="仿宋_GB2312" w:eastAsia="仿宋_GB2312"/>
              </w:rPr>
              <w:t>四川省公共资源交易电子招投标等相关系统云资源安全服务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980,000.00</w:t>
            </w:r>
          </w:p>
        </w:tc>
        <w:tc>
          <w:tcPr>
            <w:tcW w:type="dxa" w:w="821"/>
          </w:tcPr>
          <w:p>
            <w:pPr>
              <w:pStyle w:val="null3"/>
              <w:jc w:val="left"/>
            </w:pPr>
            <w:r>
              <w:rPr>
                <w:rFonts w:ascii="仿宋_GB2312" w:hAnsi="仿宋_GB2312" w:cs="仿宋_GB2312" w:eastAsia="仿宋_GB2312"/>
              </w:rPr>
              <w:t>信息传输业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四川省公共资源交易电子招投标等相关系统云资源安全服务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标的名称：四川省公共资源交易电子招投标等相关系统云资源安全服务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jc w:val="left"/>
            </w:pPr>
            <w:r>
              <w:rPr>
                <w:rFonts w:ascii="仿宋_GB2312" w:hAnsi="仿宋_GB2312" w:cs="仿宋_GB2312" w:eastAsia="仿宋_GB2312"/>
                <w:sz w:val="27"/>
                <w:color w:val="000000"/>
              </w:rPr>
              <w:t>一</w:t>
            </w:r>
            <w:r>
              <w:rPr>
                <w:rFonts w:ascii="仿宋_GB2312" w:hAnsi="仿宋_GB2312" w:cs="仿宋_GB2312" w:eastAsia="仿宋_GB2312"/>
                <w:sz w:val="27"/>
                <w:color w:val="000000"/>
              </w:rPr>
              <w:t>、</w:t>
            </w:r>
            <w:r>
              <w:rPr>
                <w:rFonts w:ascii="仿宋_GB2312" w:hAnsi="仿宋_GB2312" w:cs="仿宋_GB2312" w:eastAsia="仿宋_GB2312"/>
                <w:sz w:val="27"/>
                <w:color w:val="000000"/>
              </w:rPr>
              <w:t>采购项目清单</w:t>
            </w:r>
          </w:p>
          <w:tbl>
            <w:tblPr>
              <w:tblInd w:type="dxa" w:w="120"/>
              <w:tblBorders>
                <w:top w:val="none" w:color="000000" w:sz="4"/>
                <w:left w:val="none" w:color="000000" w:sz="4"/>
                <w:bottom w:val="none" w:color="000000" w:sz="4"/>
                <w:right w:val="none" w:color="000000" w:sz="4"/>
                <w:insideH w:val="none"/>
                <w:insideV w:val="none"/>
              </w:tblBorders>
            </w:tblPr>
            <w:tblGrid>
              <w:gridCol w:w="446"/>
              <w:gridCol w:w="3228"/>
              <w:gridCol w:w="1007"/>
              <w:gridCol w:w="916"/>
            </w:tblGrid>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3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服务项目</w:t>
                  </w:r>
                </w:p>
              </w:tc>
              <w:tc>
                <w:tcPr>
                  <w:tcW w:type="dxa" w:w="1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综合漏洞扫描（</w:t>
                  </w:r>
                  <w:r>
                    <w:rPr>
                      <w:rFonts w:ascii="仿宋_GB2312" w:hAnsi="仿宋_GB2312" w:cs="仿宋_GB2312" w:eastAsia="仿宋_GB2312"/>
                      <w:sz w:val="22"/>
                      <w:color w:val="000000"/>
                    </w:rPr>
                    <w:t>200个资产并发扫描数量）</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网页防篡改</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数据库审计</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日志审计</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主机安全防护</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堡垒机（</w:t>
                  </w:r>
                  <w:r>
                    <w:rPr>
                      <w:rFonts w:ascii="仿宋_GB2312" w:hAnsi="仿宋_GB2312" w:cs="仿宋_GB2312" w:eastAsia="仿宋_GB2312"/>
                      <w:sz w:val="22"/>
                      <w:color w:val="000000"/>
                    </w:rPr>
                    <w:t>200个被管资产数量）</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数据加解密</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完整性校验</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签名验签</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密钥管理</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SSL安全网关-安全接入</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USB Key</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数字证书</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ssl证书</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应用密码改造咨询及支撑</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次</w:t>
                  </w:r>
                </w:p>
              </w:tc>
            </w:tr>
          </w:tbl>
          <w:p>
            <w:pPr>
              <w:pStyle w:val="null3"/>
              <w:spacing w:before="255" w:after="255"/>
              <w:ind w:firstLine="602"/>
              <w:jc w:val="left"/>
            </w:pPr>
            <w:r>
              <w:rPr>
                <w:rFonts w:ascii="仿宋_GB2312" w:hAnsi="仿宋_GB2312" w:cs="仿宋_GB2312" w:eastAsia="仿宋_GB2312"/>
                <w:sz w:val="30"/>
                <w:b/>
                <w:color w:val="000000"/>
              </w:rPr>
              <w:t>二、技术要求</w:t>
            </w:r>
          </w:p>
          <w:p>
            <w:pPr>
              <w:pStyle w:val="null3"/>
              <w:spacing w:before="255" w:after="255"/>
              <w:ind w:firstLine="480"/>
              <w:jc w:val="both"/>
            </w:pPr>
            <w:r>
              <w:rPr>
                <w:rFonts w:ascii="仿宋_GB2312" w:hAnsi="仿宋_GB2312" w:cs="仿宋_GB2312" w:eastAsia="仿宋_GB2312"/>
                <w:sz w:val="24"/>
                <w:color w:val="000000"/>
              </w:rPr>
              <w:t>本次项目</w:t>
            </w:r>
            <w:r>
              <w:rPr>
                <w:rFonts w:ascii="仿宋_GB2312" w:hAnsi="仿宋_GB2312" w:cs="仿宋_GB2312" w:eastAsia="仿宋_GB2312"/>
                <w:sz w:val="24"/>
                <w:color w:val="000000"/>
              </w:rPr>
              <w:t>是为</w:t>
            </w:r>
            <w:r>
              <w:rPr>
                <w:rFonts w:ascii="仿宋_GB2312" w:hAnsi="仿宋_GB2312" w:cs="仿宋_GB2312" w:eastAsia="仿宋_GB2312"/>
                <w:sz w:val="24"/>
                <w:color w:val="000000"/>
              </w:rPr>
              <w:t>部署在省级政务云的四川省公共资源交易电子招投标等相关系统提供</w:t>
            </w:r>
            <w:r>
              <w:rPr>
                <w:rFonts w:ascii="仿宋_GB2312" w:hAnsi="仿宋_GB2312" w:cs="仿宋_GB2312" w:eastAsia="仿宋_GB2312"/>
                <w:sz w:val="24"/>
                <w:color w:val="000000"/>
              </w:rPr>
              <w:t>综合漏洞扫描、</w:t>
            </w:r>
            <w:r>
              <w:rPr>
                <w:rFonts w:ascii="仿宋_GB2312" w:hAnsi="仿宋_GB2312" w:cs="仿宋_GB2312" w:eastAsia="仿宋_GB2312"/>
                <w:sz w:val="24"/>
                <w:color w:val="000000"/>
              </w:rPr>
              <w:t>数据库审计</w:t>
            </w:r>
            <w:r>
              <w:rPr>
                <w:rFonts w:ascii="仿宋_GB2312" w:hAnsi="仿宋_GB2312" w:cs="仿宋_GB2312" w:eastAsia="仿宋_GB2312"/>
                <w:sz w:val="24"/>
                <w:color w:val="000000"/>
              </w:rPr>
              <w:t>、</w:t>
            </w:r>
            <w:r>
              <w:rPr>
                <w:rFonts w:ascii="仿宋_GB2312" w:hAnsi="仿宋_GB2312" w:cs="仿宋_GB2312" w:eastAsia="仿宋_GB2312"/>
                <w:sz w:val="24"/>
                <w:color w:val="000000"/>
              </w:rPr>
              <w:t>主机安全防护</w:t>
            </w:r>
            <w:r>
              <w:rPr>
                <w:rFonts w:ascii="仿宋_GB2312" w:hAnsi="仿宋_GB2312" w:cs="仿宋_GB2312" w:eastAsia="仿宋_GB2312"/>
                <w:sz w:val="24"/>
                <w:color w:val="000000"/>
              </w:rPr>
              <w:t>等安全</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和数据加解密、完整性校验等密码服务</w:t>
            </w:r>
            <w:r>
              <w:rPr>
                <w:rFonts w:ascii="仿宋_GB2312" w:hAnsi="仿宋_GB2312" w:cs="仿宋_GB2312" w:eastAsia="仿宋_GB2312"/>
                <w:sz w:val="24"/>
                <w:color w:val="000000"/>
              </w:rPr>
              <w:t>。</w:t>
            </w:r>
          </w:p>
          <w:p>
            <w:pPr>
              <w:pStyle w:val="null3"/>
              <w:ind w:firstLine="481"/>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租户基础安全服务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堡垒机：集统一账户管理、角色授权、实时监控、运维安全管理。提供身份认证和权限管理功能，可管理用户账号，并控制账号对应资源的操作权限。</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日志审计：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a.</w:t>
            </w:r>
            <w:r>
              <w:rPr>
                <w:rFonts w:ascii="仿宋_GB2312" w:hAnsi="仿宋_GB2312" w:cs="仿宋_GB2312" w:eastAsia="仿宋_GB2312"/>
                <w:sz w:val="24"/>
                <w:color w:val="000000"/>
              </w:rPr>
              <w:t>提供综合日志管理功能，并可作为威胁态势感知系统的数据支撑</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b.</w:t>
            </w:r>
            <w:r>
              <w:rPr>
                <w:rFonts w:ascii="仿宋_GB2312" w:hAnsi="仿宋_GB2312" w:cs="仿宋_GB2312" w:eastAsia="仿宋_GB2312"/>
                <w:sz w:val="24"/>
                <w:color w:val="000000"/>
              </w:rPr>
              <w:t>支持统一安全组件日志收集、展示、存储；能对</w:t>
            </w:r>
            <w:r>
              <w:rPr>
                <w:rFonts w:ascii="仿宋_GB2312" w:hAnsi="仿宋_GB2312" w:cs="仿宋_GB2312" w:eastAsia="仿宋_GB2312"/>
                <w:sz w:val="24"/>
                <w:color w:val="000000"/>
              </w:rPr>
              <w:t>FW</w:t>
            </w:r>
            <w:r>
              <w:rPr>
                <w:rFonts w:ascii="仿宋_GB2312" w:hAnsi="仿宋_GB2312" w:cs="仿宋_GB2312" w:eastAsia="仿宋_GB2312"/>
                <w:sz w:val="24"/>
                <w:color w:val="000000"/>
              </w:rPr>
              <w:t>、</w:t>
            </w:r>
            <w:r>
              <w:rPr>
                <w:rFonts w:ascii="仿宋_GB2312" w:hAnsi="仿宋_GB2312" w:cs="仿宋_GB2312" w:eastAsia="仿宋_GB2312"/>
                <w:sz w:val="24"/>
                <w:color w:val="000000"/>
              </w:rPr>
              <w:t>IPS</w:t>
            </w:r>
            <w:r>
              <w:rPr>
                <w:rFonts w:ascii="仿宋_GB2312" w:hAnsi="仿宋_GB2312" w:cs="仿宋_GB2312" w:eastAsia="仿宋_GB2312"/>
                <w:sz w:val="24"/>
                <w:color w:val="000000"/>
              </w:rPr>
              <w:t>、</w:t>
            </w:r>
            <w:r>
              <w:rPr>
                <w:rFonts w:ascii="仿宋_GB2312" w:hAnsi="仿宋_GB2312" w:cs="仿宋_GB2312" w:eastAsia="仿宋_GB2312"/>
                <w:sz w:val="24"/>
                <w:color w:val="000000"/>
              </w:rPr>
              <w:t>WAF</w:t>
            </w:r>
            <w:r>
              <w:rPr>
                <w:rFonts w:ascii="仿宋_GB2312" w:hAnsi="仿宋_GB2312" w:cs="仿宋_GB2312" w:eastAsia="仿宋_GB2312"/>
                <w:sz w:val="24"/>
                <w:color w:val="000000"/>
              </w:rPr>
              <w:t>、交换机等多种类型系统进行日志收集，并且进行分析、查询。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数据库审计：对来自应用系统客户端和运维人员对数据库的访问行为进行全面审计，审计系统能详细记录查询、删除、增加、修改等操作行为，对危险操作进行监测告警，达到非法行为审计追溯效果。支持主流数据库类型：</w:t>
            </w:r>
            <w:r>
              <w:rPr>
                <w:rFonts w:ascii="仿宋_GB2312" w:hAnsi="仿宋_GB2312" w:cs="仿宋_GB2312" w:eastAsia="仿宋_GB2312"/>
                <w:sz w:val="24"/>
                <w:color w:val="000000"/>
              </w:rPr>
              <w:t>Oracle</w:t>
            </w:r>
            <w:r>
              <w:rPr>
                <w:rFonts w:ascii="仿宋_GB2312" w:hAnsi="仿宋_GB2312" w:cs="仿宋_GB2312" w:eastAsia="仿宋_GB2312"/>
                <w:sz w:val="24"/>
                <w:color w:val="000000"/>
              </w:rPr>
              <w:t>、</w:t>
            </w:r>
            <w:r>
              <w:rPr>
                <w:rFonts w:ascii="仿宋_GB2312" w:hAnsi="仿宋_GB2312" w:cs="仿宋_GB2312" w:eastAsia="仿宋_GB2312"/>
                <w:sz w:val="24"/>
                <w:color w:val="000000"/>
              </w:rPr>
              <w:t>SQL-Server</w:t>
            </w:r>
            <w:r>
              <w:rPr>
                <w:rFonts w:ascii="仿宋_GB2312" w:hAnsi="仿宋_GB2312" w:cs="仿宋_GB2312" w:eastAsia="仿宋_GB2312"/>
                <w:sz w:val="24"/>
                <w:color w:val="000000"/>
              </w:rPr>
              <w:t>、</w:t>
            </w:r>
            <w:r>
              <w:rPr>
                <w:rFonts w:ascii="仿宋_GB2312" w:hAnsi="仿宋_GB2312" w:cs="仿宋_GB2312" w:eastAsia="仿宋_GB2312"/>
                <w:sz w:val="24"/>
                <w:color w:val="000000"/>
              </w:rPr>
              <w:t>DB2</w:t>
            </w:r>
            <w:r>
              <w:rPr>
                <w:rFonts w:ascii="仿宋_GB2312" w:hAnsi="仿宋_GB2312" w:cs="仿宋_GB2312" w:eastAsia="仿宋_GB2312"/>
                <w:sz w:val="24"/>
                <w:color w:val="000000"/>
              </w:rPr>
              <w:t>、</w:t>
            </w:r>
            <w:r>
              <w:rPr>
                <w:rFonts w:ascii="仿宋_GB2312" w:hAnsi="仿宋_GB2312" w:cs="仿宋_GB2312" w:eastAsia="仿宋_GB2312"/>
                <w:sz w:val="24"/>
                <w:color w:val="000000"/>
              </w:rPr>
              <w:t>Informix</w:t>
            </w:r>
            <w:r>
              <w:rPr>
                <w:rFonts w:ascii="仿宋_GB2312" w:hAnsi="仿宋_GB2312" w:cs="仿宋_GB2312" w:eastAsia="仿宋_GB2312"/>
                <w:sz w:val="24"/>
                <w:color w:val="000000"/>
              </w:rPr>
              <w:t>、</w:t>
            </w:r>
            <w:r>
              <w:rPr>
                <w:rFonts w:ascii="仿宋_GB2312" w:hAnsi="仿宋_GB2312" w:cs="仿宋_GB2312" w:eastAsia="仿宋_GB2312"/>
                <w:sz w:val="24"/>
                <w:color w:val="000000"/>
              </w:rPr>
              <w:t>Sybase</w:t>
            </w:r>
            <w:r>
              <w:rPr>
                <w:rFonts w:ascii="仿宋_GB2312" w:hAnsi="仿宋_GB2312" w:cs="仿宋_GB2312" w:eastAsia="仿宋_GB2312"/>
                <w:sz w:val="24"/>
                <w:color w:val="000000"/>
              </w:rPr>
              <w:t>、</w:t>
            </w:r>
            <w:r>
              <w:rPr>
                <w:rFonts w:ascii="仿宋_GB2312" w:hAnsi="仿宋_GB2312" w:cs="仿宋_GB2312" w:eastAsia="仿宋_GB2312"/>
                <w:sz w:val="24"/>
                <w:color w:val="000000"/>
              </w:rPr>
              <w:t>MySQL</w:t>
            </w:r>
            <w:r>
              <w:rPr>
                <w:rFonts w:ascii="仿宋_GB2312" w:hAnsi="仿宋_GB2312" w:cs="仿宋_GB2312" w:eastAsia="仿宋_GB2312"/>
                <w:sz w:val="24"/>
                <w:color w:val="000000"/>
              </w:rPr>
              <w:t>、</w:t>
            </w:r>
            <w:r>
              <w:rPr>
                <w:rFonts w:ascii="仿宋_GB2312" w:hAnsi="仿宋_GB2312" w:cs="仿宋_GB2312" w:eastAsia="仿宋_GB2312"/>
                <w:sz w:val="24"/>
                <w:color w:val="000000"/>
              </w:rPr>
              <w:t>PostgreSQL</w:t>
            </w:r>
            <w:r>
              <w:rPr>
                <w:rFonts w:ascii="仿宋_GB2312" w:hAnsi="仿宋_GB2312" w:cs="仿宋_GB2312" w:eastAsia="仿宋_GB2312"/>
                <w:sz w:val="24"/>
                <w:color w:val="000000"/>
              </w:rPr>
              <w:t>、达梦、人大金仓等。</w:t>
            </w:r>
          </w:p>
          <w:p>
            <w:pPr>
              <w:pStyle w:val="null3"/>
              <w:ind w:firstLine="481"/>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租户扩展安全服务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综合漏洞扫描：支持</w:t>
            </w:r>
            <w:r>
              <w:rPr>
                <w:rFonts w:ascii="仿宋_GB2312" w:hAnsi="仿宋_GB2312" w:cs="仿宋_GB2312" w:eastAsia="仿宋_GB2312"/>
                <w:sz w:val="24"/>
                <w:color w:val="000000"/>
              </w:rPr>
              <w:t>Web</w:t>
            </w:r>
            <w:r>
              <w:rPr>
                <w:rFonts w:ascii="仿宋_GB2312" w:hAnsi="仿宋_GB2312" w:cs="仿宋_GB2312" w:eastAsia="仿宋_GB2312"/>
                <w:sz w:val="24"/>
                <w:color w:val="000000"/>
              </w:rPr>
              <w:t>漏洞扫描、操作系统漏洞扫描、数据库漏洞扫描、资产内容合规检测、弱密码检测五大核心功能，发现网站或服务器在网络中的安全风险，为云上业务提供多维度的安全检测服务，形成最终扫描结果清单。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网页防篡改：采用系统底层文件过滤驱动技术，拦截与分析文件增、删、改操作，实现对网页文件的完整</w:t>
            </w:r>
            <w:r>
              <w:rPr>
                <w:rFonts w:ascii="仿宋_GB2312" w:hAnsi="仿宋_GB2312" w:cs="仿宋_GB2312" w:eastAsia="仿宋_GB2312"/>
                <w:sz w:val="24"/>
                <w:color w:val="000000"/>
              </w:rPr>
              <w:t>性检查和保护；支持符合安全可靠测评要求的操作系统。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主机安全防护：提供主机安全轻防护，集成防病毒、主机加固、</w:t>
            </w:r>
            <w:r>
              <w:rPr>
                <w:rFonts w:ascii="仿宋_GB2312" w:hAnsi="仿宋_GB2312" w:cs="仿宋_GB2312" w:eastAsia="仿宋_GB2312"/>
                <w:sz w:val="24"/>
                <w:color w:val="000000"/>
              </w:rPr>
              <w:t xml:space="preserve">webshell </w:t>
            </w:r>
            <w:r>
              <w:rPr>
                <w:rFonts w:ascii="仿宋_GB2312" w:hAnsi="仿宋_GB2312" w:cs="仿宋_GB2312" w:eastAsia="仿宋_GB2312"/>
                <w:sz w:val="24"/>
                <w:color w:val="000000"/>
              </w:rPr>
              <w:t>检测等功能，通过服务器客户端</w:t>
            </w:r>
            <w:r>
              <w:rPr>
                <w:rFonts w:ascii="仿宋_GB2312" w:hAnsi="仿宋_GB2312" w:cs="仿宋_GB2312" w:eastAsia="仿宋_GB2312"/>
                <w:sz w:val="24"/>
                <w:color w:val="000000"/>
              </w:rPr>
              <w:t>agent</w:t>
            </w:r>
            <w:r>
              <w:rPr>
                <w:rFonts w:ascii="仿宋_GB2312" w:hAnsi="仿宋_GB2312" w:cs="仿宋_GB2312" w:eastAsia="仿宋_GB2312"/>
                <w:sz w:val="24"/>
                <w:color w:val="000000"/>
              </w:rPr>
              <w:t>安全加固操作系统和应用，有效防御服务器端的黑客入侵和恶意代码等。</w:t>
            </w:r>
          </w:p>
          <w:p>
            <w:pPr>
              <w:pStyle w:val="null3"/>
              <w:ind w:firstLine="481"/>
              <w:jc w:val="both"/>
            </w:pPr>
            <w:r>
              <w:rPr>
                <w:rFonts w:ascii="仿宋_GB2312" w:hAnsi="仿宋_GB2312" w:cs="仿宋_GB2312" w:eastAsia="仿宋_GB2312"/>
                <w:sz w:val="24"/>
                <w:b/>
                <w:color w:val="000000"/>
              </w:rPr>
              <w:t>3、租户密码服务</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1）数据加解密：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a.提供数据加解密服务，同时支持对称和非对称体系下的数据加解密。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b.支持国密的SSH和FTP通信。（提供具有cma或者cnas标识的产品检测报告扫描件并加盖供应商公章）</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c.支持证书应用综合服务、统一身份认证服务、SSL卸载服务接入，为各应用点提供各项典型的密码服务。（提供具有cma或者cnas标识的产品检测报告扫描件并加盖供应商公章）</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2）完整性校验：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a.提供完整性校验服务，支持数据完整性校验、交件完整性校验。</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b.</w:t>
            </w:r>
            <w:r>
              <w:rPr>
                <w:rFonts w:ascii="仿宋_GB2312" w:hAnsi="仿宋_GB2312" w:cs="仿宋_GB2312" w:eastAsia="仿宋_GB2312"/>
                <w:sz w:val="21"/>
              </w:rPr>
              <w:t xml:space="preserve"> </w:t>
            </w:r>
            <w:r>
              <w:rPr>
                <w:rFonts w:ascii="仿宋_GB2312" w:hAnsi="仿宋_GB2312" w:cs="仿宋_GB2312" w:eastAsia="仿宋_GB2312"/>
                <w:sz w:val="24"/>
                <w:color w:val="000000"/>
              </w:rPr>
              <w:t>日志信息能够进行基于商用密码算法的完整性保护。（提供具有</w:t>
            </w:r>
            <w:r>
              <w:rPr>
                <w:rFonts w:ascii="仿宋_GB2312" w:hAnsi="仿宋_GB2312" w:cs="仿宋_GB2312" w:eastAsia="仿宋_GB2312"/>
                <w:sz w:val="24"/>
                <w:color w:val="000000"/>
              </w:rPr>
              <w:t>cma或者cnas标识的产品检测报告扫描件并加盖供应商公章）</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c. 支持数据备份和恢复功能，采用（3</w:t>
            </w:r>
            <w:r>
              <w:rPr>
                <w:rFonts w:ascii="仿宋_GB2312" w:hAnsi="仿宋_GB2312" w:cs="仿宋_GB2312" w:eastAsia="仿宋_GB2312"/>
                <w:sz w:val="24"/>
                <w:color w:val="000000"/>
              </w:rPr>
              <w:t>，</w:t>
            </w:r>
            <w:r>
              <w:rPr>
                <w:rFonts w:ascii="仿宋_GB2312" w:hAnsi="仿宋_GB2312" w:cs="仿宋_GB2312" w:eastAsia="仿宋_GB2312"/>
                <w:sz w:val="24"/>
                <w:color w:val="000000"/>
              </w:rPr>
              <w:t>5）门限技术对用户数据操作日志、平台配置进行备份恢复。（提供具有cma或者cnas标识的产品检测报告扫描件并加盖供应商公章）</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3）签名验签：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a.提供签名验签服务支持数据签名验签、文件签名验签、证书签名验签。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b.提供基于SM2算法的数字签名和认证功能，可用于证书生成和验证、身份认证等。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c.支持基于SM2算法的时间戳签发和验证功能，为应用系统提供时间戳签发、验证时间戳服务，实现对数据、消息、文件等多种格式原文数据的时间戳签发服务。（提供具有cma或者cnas标识的产品检测报告扫描件并加盖供应商公章）</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d.支持时间同步功能，NTP协议，支持第三方时间源的配置管理，确保签发时间戳时所获取的时间有效、精确。（提供具有cma或者cnas标识的产品检测报告扫描件并加盖供应商公章）</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e.支持证书验证设置，数字证书有效性验证策略配置，至少包括验证证书有效期、验证证书签名有效性、验证证书是否在CRL中三种验证策略。（提供具有cma或者cnas标识的产品检测报告扫描件并加盖供应商公章）</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4）密钥管理：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a.提供密钥管理功能，支持密钥全生命周期管理，从密钥生成更新，到注销、归档、删除，记录密钥全生命周期的操作管理日志，便于进行密钥管理审计。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b.支持国际密码算法：DES、3DES、AES128、AES192、AES256、RSA1024、RSA2048、RSA4096；支持国密密码算法：SM2、SM1、SM4、ZUC</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c.支持在用对称和非对称密钥查询，可通过 ID、密钥类型、应用、生成时间、使用时间、过期时间组合条件进行在用对称和非对称密钥查询操作功能。支持归档对称和非对称密钥查询，可通过 ID、密钥类型、应用、注销原因、生成时间、使用时间、过期时间、注销时间组合条件进行归档对称和非对称密钥查询操作功能。（提供具有cma或者cnas标识的产品检测报告扫描件并加盖供应商公章）</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d.支持主密钥的更新、用户密钥的更新。（提供具有cma或者cnas标识的产品检测报告扫描件并加盖供应商公章）</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5）SSL安全网关-安全接入：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a.采用国密算法为业务应用系统提供用户管理、身份鉴别、传输加密、访问控制等服务。接入账号 10个。</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b.支持DNS透明代理功能，可基于负载均衡算法代理内网用户进行DNS请求转发，避免单运营商DNS解析出现单一链路流量过载，平衡多条运营商线路的带宽利用率。（提供功能截图</w:t>
            </w:r>
            <w:r>
              <w:rPr>
                <w:rFonts w:ascii="仿宋_GB2312" w:hAnsi="仿宋_GB2312" w:cs="仿宋_GB2312" w:eastAsia="仿宋_GB2312"/>
                <w:sz w:val="24"/>
                <w:color w:val="000000"/>
              </w:rPr>
              <w:t>扫描件并加盖供应公章</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6）USB Key：提供签名验签、杂凑等密码运算服务，实现信息的完整性、真实性和不可否认性保护。</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7）数字证书：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a.提供CA机构签发的有资质的数字证书服务。CA发证机构具备《电子认证服务使用密码许可证》，标识个人的网络身份。（提供证书</w:t>
            </w:r>
            <w:r>
              <w:rPr>
                <w:rFonts w:ascii="仿宋_GB2312" w:hAnsi="仿宋_GB2312" w:cs="仿宋_GB2312" w:eastAsia="仿宋_GB2312"/>
                <w:sz w:val="24"/>
                <w:color w:val="000000"/>
              </w:rPr>
              <w:t>扫描件并</w:t>
            </w:r>
            <w:r>
              <w:rPr>
                <w:rFonts w:ascii="仿宋_GB2312" w:hAnsi="仿宋_GB2312" w:cs="仿宋_GB2312" w:eastAsia="仿宋_GB2312"/>
                <w:sz w:val="24"/>
                <w:color w:val="000000"/>
              </w:rPr>
              <w:t>加盖供应商公章）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b.</w:t>
            </w:r>
            <w:r>
              <w:rPr>
                <w:rFonts w:ascii="仿宋_GB2312" w:hAnsi="仿宋_GB2312" w:cs="仿宋_GB2312" w:eastAsia="仿宋_GB2312"/>
                <w:sz w:val="21"/>
              </w:rPr>
              <w:t xml:space="preserve"> </w:t>
            </w:r>
            <w:r>
              <w:rPr>
                <w:rFonts w:ascii="仿宋_GB2312" w:hAnsi="仿宋_GB2312" w:cs="仿宋_GB2312" w:eastAsia="仿宋_GB2312"/>
                <w:sz w:val="24"/>
                <w:color w:val="000000"/>
              </w:rPr>
              <w:t>遵循</w:t>
            </w:r>
            <w:r>
              <w:rPr>
                <w:rFonts w:ascii="仿宋_GB2312" w:hAnsi="仿宋_GB2312" w:cs="仿宋_GB2312" w:eastAsia="仿宋_GB2312"/>
                <w:sz w:val="24"/>
                <w:color w:val="000000"/>
              </w:rPr>
              <w:t>ITU-TX.509 V3 、CRL V2、PKCS1-12、SSL、ASN.1、等标准；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c.</w:t>
            </w:r>
            <w:r>
              <w:rPr>
                <w:rFonts w:ascii="仿宋_GB2312" w:hAnsi="仿宋_GB2312" w:cs="仿宋_GB2312" w:eastAsia="仿宋_GB2312"/>
                <w:sz w:val="24"/>
                <w:color w:val="000000"/>
              </w:rPr>
              <w:t>证书格式符合</w:t>
            </w:r>
            <w:r>
              <w:rPr>
                <w:rFonts w:ascii="仿宋_GB2312" w:hAnsi="仿宋_GB2312" w:cs="仿宋_GB2312" w:eastAsia="仿宋_GB2312"/>
                <w:sz w:val="24"/>
                <w:color w:val="000000"/>
              </w:rPr>
              <w:t>GB/T 20518-2018信息安全技术公钥基础设施数字证书格式；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8）ssl证书：提供CA机构签发的有资质的数字证书服务。CA发证机构具备《电子认证服务使用密码许可证》，实现数据传输通道加密。（提供证书</w:t>
            </w:r>
            <w:r>
              <w:rPr>
                <w:rFonts w:ascii="仿宋_GB2312" w:hAnsi="仿宋_GB2312" w:cs="仿宋_GB2312" w:eastAsia="仿宋_GB2312"/>
                <w:sz w:val="24"/>
                <w:color w:val="000000"/>
              </w:rPr>
              <w:t>扫描</w:t>
            </w:r>
            <w:r>
              <w:rPr>
                <w:rFonts w:ascii="仿宋_GB2312" w:hAnsi="仿宋_GB2312" w:cs="仿宋_GB2312" w:eastAsia="仿宋_GB2312"/>
                <w:sz w:val="24"/>
                <w:color w:val="000000"/>
              </w:rPr>
              <w:t>件</w:t>
            </w:r>
            <w:r>
              <w:rPr>
                <w:rFonts w:ascii="仿宋_GB2312" w:hAnsi="仿宋_GB2312" w:cs="仿宋_GB2312" w:eastAsia="仿宋_GB2312"/>
                <w:sz w:val="24"/>
                <w:color w:val="000000"/>
              </w:rPr>
              <w:t>并</w:t>
            </w:r>
            <w:r>
              <w:rPr>
                <w:rFonts w:ascii="仿宋_GB2312" w:hAnsi="仿宋_GB2312" w:cs="仿宋_GB2312" w:eastAsia="仿宋_GB2312"/>
                <w:sz w:val="24"/>
                <w:color w:val="000000"/>
              </w:rPr>
              <w:t>加盖供应商公章）</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9）应用密码改造咨询及支撑：提供密码应用改造方案指导以及各项密码产品对接支持服务。</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成都市青羊区鼓楼南街101号丰德成达中心</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按照《财政部关于进一步加强政府采购需求和履约验收管理的指导意见》（财库〔2016〕205号）和《政府采购需求管理办法》（财库〔2021〕22号）的要求及国家行业主管部门规定的标准、方法和内容组织验收。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1、进度款，项目中期验收合格并收到乙方开具的发票，达到付款条件起14日内，支付合同总金额的60.00%</w:t>
            </w:r>
          </w:p>
          <w:p>
            <w:pPr>
              <w:pStyle w:val="null3"/>
              <w:jc w:val="left"/>
            </w:pPr>
            <w:r>
              <w:rPr>
                <w:rFonts w:ascii="仿宋_GB2312" w:hAnsi="仿宋_GB2312" w:cs="仿宋_GB2312" w:eastAsia="仿宋_GB2312"/>
              </w:rPr>
              <w:t>2、尾款，项目最终验收合格并收到乙方开具的发票，达到付款条件起14日内，支付合同总金额的40.00%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双方必须遵守合同并执行合同中的各项规定，保证合同的正常履行。如任一方违约，按照合同中约定的承担方式和计算方法承担违约责任。②解决争议的方法：合同履行期间，双方发生争议的应协商解决，协商无法达成一致的，双方均可向成都仲裁委员会提起仲裁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与评审因素相关的要求：一、履约能力：1.供应商2022年1月1 日（含1日）以来具有同类项目履约业绩。 2、供应商服务团队具有信息系统项目管理师(高级)证书的人员。 3、供应商服务团队具有中国信息安全评测中心颁发的CISP资质证书的人员。 4、供应商需确保完全按照项目要求完成服务的开通和初始化配置工作，承诺在签订合同后完成以上工作的时间≤30天完成的可得分。二、实施方案：供应商根据本项目的采购内容及自身实际情况，拟定本项目的实施方案，方案内容应包含：①基础安全服务方案；②增值安全服务方案；③密码应用技术方案；④云运维管理方案；⑤服务和培训方案；⑥应急响应方案等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关于财务会计制度的证明材料。注：供应商根据自身情况选择提供其中任意一项：</w:t>
              <w:br/>
              <w:t>（1）可提供近两年（2023年或2024）任一年度经审计的财务报告（包含审计报告和审计报告中所涉及的财务报表和报表附注）。</w:t>
              <w:br/>
              <w:t>（2）可提供近两年（2023年或2024）任一年度供应商完整的全套财务报表（应当包括资产负债表、利润表、现金流量表）。</w:t>
              <w:br/>
              <w:t>（3）可提供截至响应文件提交截止日一年内银行出具的资信证明。</w:t>
              <w:br/>
              <w:t>（4）供应商注册时间截至响应文件提交截止日不足一年的，也可提供在工商管理部门备案的公司章程。</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供应商须针对采购文件的要求进行响应或提供相关证明材料。</w:t>
            </w:r>
          </w:p>
        </w:tc>
        <w:tc>
          <w:tcPr>
            <w:tcW w:type="dxa" w:w="1910"/>
          </w:tcPr>
          <w:p>
            <w:pPr>
              <w:pStyle w:val="null3"/>
              <w:jc w:val="left"/>
            </w:pPr>
            <w:r>
              <w:rPr>
                <w:rFonts w:ascii="仿宋_GB2312" w:hAnsi="仿宋_GB2312" w:cs="仿宋_GB2312" w:eastAsia="仿宋_GB2312"/>
              </w:rPr>
              <w:t>供应商应提交的相关证明材料,报价表,服务应答表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履约能力</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服务及技术要求</w:t>
            </w:r>
          </w:p>
        </w:tc>
        <w:tc>
          <w:tcPr>
            <w:tcW w:type="dxa" w:w="2575"/>
          </w:tcPr>
          <w:p>
            <w:pPr>
              <w:pStyle w:val="null3"/>
              <w:jc w:val="left"/>
            </w:pPr>
            <w:r>
              <w:rPr>
                <w:rFonts w:ascii="仿宋_GB2312" w:hAnsi="仿宋_GB2312" w:cs="仿宋_GB2312" w:eastAsia="仿宋_GB2312"/>
              </w:rPr>
              <w:t>供应商完全满足采购文件“第三章3.2.技术要求”中所有标注“■”和“▲”条款没有负偏离的得40分。其中：1、标注“■”的条款，共20条，每条1分，共20分，每有一项低于采购文件要求的（负偏离）该项不得分。2、标注“▲”共10条，每条2分，共20分，每有一项低于采购文件要求的（负偏离）该项不得分。</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1.供应商2022年1月1 日（含1日）以来（即自2022 年1月1日起至本项目投标截止之日止）具有同类项目履约业绩，每提供一个得2分，最高得8分。 注：（1）同类项目是指针对云环境提供安全服务的项目。 （2）提供合同或中标/成交通知书扫描件。 2、供应商服务团队具有信息系统项目管理师(高级)证书的人员，每提供一名得2分，最多得6分。 注：提供人员证书扫描件及劳动合同或有效的在职证明材料并加盖供应商公章。 3、供应商服务团队具有中国信息安全评测中心颁发的CISP资质证书的人员，每提供一名得2分，最多得4分。注：提供人员证书扫描件及劳动合同或有效的在职证明材料并加盖供应商公章。 4、供应商需确保完全按照项目要求完成服务的开通和初始化配置工作，承诺在签订合同后完成以上工作的时间，≤5天完成得8分，5天＜天数≤10天完成得6分，10天＜天数≤15天完成得4分，15天＜天数≤30天完成得2分，＞30天不得分。（提供承诺函并加盖供应商公章，格式自拟）</w:t>
            </w:r>
          </w:p>
        </w:tc>
        <w:tc>
          <w:tcPr>
            <w:tcW w:type="dxa" w:w="831"/>
          </w:tcPr>
          <w:p>
            <w:pPr>
              <w:pStyle w:val="null3"/>
              <w:jc w:val="center"/>
            </w:pPr>
            <w:r>
              <w:rPr>
                <w:rFonts w:ascii="仿宋_GB2312" w:hAnsi="仿宋_GB2312" w:cs="仿宋_GB2312" w:eastAsia="仿宋_GB2312"/>
              </w:rPr>
              <w:t>26.0000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根据本项目的采购内容及自身实际情况，拟定本项目的实施方案，方案内容应包含：①基础安全服务方案；②增值安全服务方案；③密码应用技术方案；④云运维管理方案；⑤服务和培训方案；⑥应急响应方案等内容，上述内容均符合实际情况完全响应采购要求的得24分，每有一处存在内容错误(内容错误指：分析与项目特点不匹配、人员岗位职责不清晰或交叉混乱、协调措施缺乏监督机制、质量保障与本项目不相关、进度计划超期、关键点分析错误、后续服务与本项目不相关等内容)扣2分，每缺少一项内容的扣4分，扣完为止。 注：以评审专家结合项目实际情况和响应文件响应独立评审为准。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满足磋商文件要求且最终报价最低的供应商的价格为磋商基准价，其价格分为满分。其他供应商的价格分统一按照下列公式计算：报价得分=(磋商基准价/最终磋商报价)×10%×100。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