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版本号：240815001</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基因检测外检服务（病理）</w:t>
      </w:r>
    </w:p>
    <w:p>
      <w:pPr>
        <w:pStyle w:val="null3"/>
        <w:jc w:val="center"/>
        <w:outlineLvl w:val="2"/>
      </w:pPr>
      <w:r>
        <w:rPr>
          <w:b/>
          <w:sz w:val="28"/>
        </w:rPr>
        <w:t>采购项目编号：</w:t>
      </w:r>
      <w:r>
        <w:rPr>
          <w:b/>
          <w:sz w:val="28"/>
        </w:rPr>
        <w:t>N5107012024000294</w:t>
      </w:r>
    </w:p>
    <w:p>
      <w:pPr>
        <w:pStyle w:val="null3"/>
        <w:jc w:val="left"/>
        <w:outlineLvl w:val="2"/>
      </w:pPr>
      <w:r>
        <w:rPr>
          <w:b/>
          <w:sz w:val="28"/>
        </w:rPr>
        <w:t>四川绵阳四0四医院</w:t>
      </w:r>
    </w:p>
    <w:p>
      <w:pPr>
        <w:pStyle w:val="null3"/>
        <w:jc w:val="center"/>
        <w:outlineLvl w:val="2"/>
      </w:pPr>
      <w:r>
        <w:rPr>
          <w:b/>
          <w:sz w:val="28"/>
        </w:rPr>
        <w:t>绵阳成瑞招投标代理有限公司</w:t>
      </w:r>
      <w:r>
        <w:rPr>
          <w:b/>
          <w:sz w:val="28"/>
        </w:rPr>
        <w:t>共同编制</w:t>
      </w:r>
    </w:p>
    <w:p>
      <w:pPr>
        <w:pStyle w:val="null3"/>
        <w:jc w:val="center"/>
      </w:pPr>
      <w:r>
        <w:rPr/>
        <w:t>2024年08月15日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绵阳成瑞招投标代理有限公司</w:t>
      </w:r>
      <w:r>
        <w:rPr/>
        <w:t xml:space="preserve"> （以下简称“代理机构”）受 </w:t>
      </w:r>
      <w:r>
        <w:rPr/>
        <w:t>四川绵阳四0四医院</w:t>
      </w:r>
      <w:r>
        <w:rPr/>
        <w:t xml:space="preserve"> 委托，拟对 </w:t>
      </w:r>
      <w:r>
        <w:rPr/>
        <w:t>基因检测外检服务（病理）</w:t>
      </w:r>
      <w:r>
        <w:rPr/>
        <w:t xml:space="preserve"> 采用竞争性磋商采购方式进行采购，兹邀请符合资格条件的供应商参加磋商，本项目为四川省</w:t>
      </w:r>
      <w:r>
        <w:rPr/>
        <w:t>绵阳市市本级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N5107012024000294</w:t>
      </w:r>
    </w:p>
    <w:p>
      <w:pPr>
        <w:pStyle w:val="null3"/>
        <w:jc w:val="left"/>
        <w:outlineLvl w:val="2"/>
      </w:pPr>
      <w:r>
        <w:rPr>
          <w:b/>
          <w:sz w:val="28"/>
        </w:rPr>
        <w:t>1.2.采购项目名称</w:t>
      </w:r>
      <w:r>
        <w:rPr>
          <w:b/>
          <w:sz w:val="28"/>
        </w:rPr>
        <w:t xml:space="preserve">： </w:t>
      </w:r>
      <w:r>
        <w:rPr>
          <w:b/>
          <w:sz w:val="28"/>
        </w:rPr>
        <w:t>基因检测外检服务（病理）</w:t>
      </w:r>
    </w:p>
    <w:p>
      <w:pPr>
        <w:pStyle w:val="null3"/>
        <w:jc w:val="left"/>
        <w:outlineLvl w:val="2"/>
      </w:pPr>
      <w:r>
        <w:rPr>
          <w:b/>
          <w:sz w:val="28"/>
        </w:rPr>
        <w:t>1.3.磋商项目简介</w:t>
      </w:r>
    </w:p>
    <w:p>
      <w:pPr>
        <w:pStyle w:val="null3"/>
        <w:ind w:firstLine="480"/>
        <w:jc w:val="left"/>
      </w:pPr>
      <w:r>
        <w:rPr/>
        <w:t>基因检测外检服务项目</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1、1、供应商须具备中华人民共和国国家卫生健康委员会核发的《医疗机构执业许可证》且在有效期内。 2、供应商须具有临床基因扩增检验实验室技术验收合格证书，或通过省级卫生部门组织的临床基因扩增检验技术审核并提供登记备案相关证明。（描述：1、供应商须具备中华人民共和国国家卫生健康委员会核发的《医疗机构执业许可证》且在有效期内。（提供有效期内的相关许可证扫描件并加盖供应商公章）。 2、供应商须具有临床基因扩增检验实验室技术验收合格证书，或通过省级卫生部门组织的临床基因扩增检验技术审核并提供登记备案相关证明。（提供有效期内的相关证书或备案证明扫描件并加盖供应商公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四川绵阳四0四医院</w:t>
      </w:r>
    </w:p>
    <w:p>
      <w:pPr>
        <w:pStyle w:val="null3"/>
        <w:ind w:firstLine="480"/>
        <w:jc w:val="left"/>
      </w:pPr>
      <w:r>
        <w:rPr/>
        <w:t xml:space="preserve"> 地址： </w:t>
      </w:r>
      <w:r>
        <w:rPr/>
        <w:t>四川省绵阳市涪城区跃进路56号</w:t>
      </w:r>
    </w:p>
    <w:p>
      <w:pPr>
        <w:pStyle w:val="null3"/>
        <w:jc w:val="left"/>
      </w:pPr>
      <w:r>
        <w:rPr/>
        <w:t xml:space="preserve"> 邮编： </w:t>
      </w:r>
      <w:r>
        <w:rPr/>
        <w:t>621000</w:t>
      </w:r>
    </w:p>
    <w:p>
      <w:pPr>
        <w:pStyle w:val="null3"/>
        <w:jc w:val="left"/>
      </w:pPr>
      <w:r>
        <w:rPr/>
        <w:t xml:space="preserve"> 联系人： </w:t>
      </w:r>
      <w:r>
        <w:rPr/>
        <w:t>陈俐巧</w:t>
      </w:r>
    </w:p>
    <w:p>
      <w:pPr>
        <w:pStyle w:val="null3"/>
        <w:jc w:val="left"/>
      </w:pPr>
      <w:r>
        <w:rPr/>
        <w:t xml:space="preserve"> 联系电话： </w:t>
      </w:r>
      <w:r>
        <w:rPr/>
        <w:t>13795957391</w:t>
      </w:r>
    </w:p>
    <w:p>
      <w:pPr>
        <w:pStyle w:val="null3"/>
        <w:ind w:firstLine="480"/>
        <w:jc w:val="left"/>
        <w:outlineLvl w:val="3"/>
      </w:pPr>
      <w:r>
        <w:rPr>
          <w:b/>
          <w:sz w:val="24"/>
        </w:rPr>
        <w:t>代理机构</w:t>
      </w:r>
      <w:r>
        <w:rPr>
          <w:b/>
          <w:sz w:val="24"/>
        </w:rPr>
        <w:t xml:space="preserve">： </w:t>
      </w:r>
      <w:r>
        <w:rPr>
          <w:b/>
          <w:sz w:val="24"/>
        </w:rPr>
        <w:t>绵阳成瑞招投标代理有限公司</w:t>
      </w:r>
    </w:p>
    <w:p>
      <w:pPr>
        <w:pStyle w:val="null3"/>
        <w:ind w:firstLine="480"/>
        <w:jc w:val="left"/>
      </w:pPr>
      <w:r>
        <w:rPr/>
        <w:t xml:space="preserve"> 地址： </w:t>
      </w:r>
      <w:r>
        <w:rPr/>
        <w:t>四川省绵阳市经开区三江西路北段1号富临桃花岛16栋2单元7层1号</w:t>
      </w:r>
    </w:p>
    <w:p>
      <w:pPr>
        <w:pStyle w:val="null3"/>
        <w:jc w:val="left"/>
      </w:pPr>
      <w:r>
        <w:rPr/>
        <w:t xml:space="preserve"> 邮编： </w:t>
      </w:r>
      <w:r>
        <w:rPr/>
        <w:t>621000</w:t>
      </w:r>
    </w:p>
    <w:p>
      <w:pPr>
        <w:pStyle w:val="null3"/>
        <w:jc w:val="left"/>
      </w:pPr>
      <w:r>
        <w:rPr/>
        <w:t xml:space="preserve"> 联系人： </w:t>
      </w:r>
      <w:r>
        <w:rPr/>
        <w:t>刘娟</w:t>
      </w:r>
    </w:p>
    <w:p>
      <w:pPr>
        <w:pStyle w:val="null3"/>
        <w:jc w:val="left"/>
      </w:pPr>
      <w:r>
        <w:rPr/>
        <w:t xml:space="preserve"> 联系电话： </w:t>
      </w:r>
      <w:r>
        <w:rPr/>
        <w:t>0816-2390739</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采购包1：1,000,000.00元</w:t>
            </w:r>
          </w:p>
          <w:p>
            <w:pPr>
              <w:pStyle w:val="null3"/>
              <w:jc w:val="left"/>
            </w:pPr>
            <w:r>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是否为特殊性质项目</w:t>
            </w:r>
          </w:p>
        </w:tc>
        <w:tc>
          <w:tcPr>
            <w:tcW w:type="dxa" w:w="5004"/>
          </w:tcPr>
          <w:p>
            <w:pPr>
              <w:pStyle w:val="null3"/>
              <w:jc w:val="left"/>
            </w:pPr>
            <w:r>
              <w:rPr/>
              <w:t>政府购买服务项目（含政府和社会资本合作项目）：否</w:t>
            </w:r>
          </w:p>
          <w:p>
            <w:pPr>
              <w:pStyle w:val="null3"/>
              <w:jc w:val="left"/>
            </w:pPr>
            <w:r>
              <w:rPr/>
              <w:t>市场竞争不充分的科研项目：否</w:t>
            </w:r>
            <w:r>
              <w:rPr/>
              <w:t>需要扶持的科技成果转化项目：否</w:t>
            </w:r>
          </w:p>
        </w:tc>
      </w:tr>
      <w:tr>
        <w:tc>
          <w:tcPr>
            <w:tcW w:type="dxa" w:w="1051"/>
          </w:tcPr>
          <w:p>
            <w:pPr>
              <w:pStyle w:val="null3"/>
              <w:jc w:val="left"/>
            </w:pPr>
            <w:r>
              <w:rPr/>
              <w:t>5</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6</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本项目代理服务费参照国家计委《招标代理服务收费管理暂行办法》(计价格[2002]1980号)规定和发改办价格[2003]857号文件规定的收费标准下浮30%收取，由成交供应商在领取成交通知书前一次性支付至采购代理机构。</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无</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四川绵阳四0四医院</w:t>
      </w:r>
      <w:r>
        <w:rPr/>
        <w:t xml:space="preserve"> 和 </w:t>
      </w:r>
      <w:r>
        <w:rPr/>
        <w:t>绵阳成瑞招投标代理有限公司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四川绵阳四0四医院</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绵阳成瑞招投标代理有限公司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分段/分期验收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每月检测完成提供检测报告</w:t>
      </w:r>
      <w:r>
        <w:rPr/>
        <w:t xml:space="preserve"> ，达到验收条件起 </w:t>
      </w:r>
      <w:r>
        <w:rPr/>
        <w:t>1</w:t>
      </w:r>
      <w:r>
        <w:rPr/>
        <w:t xml:space="preserve"> 日内，验收合同总金额的 </w:t>
      </w:r>
      <w:r>
        <w:rPr/>
        <w:t>8.33</w:t>
      </w:r>
      <w:r>
        <w:rPr/>
        <w:t>%；</w:t>
      </w:r>
    </w:p>
    <w:p>
      <w:pPr>
        <w:pStyle w:val="null3"/>
        <w:ind w:firstLine="1200"/>
        <w:jc w:val="left"/>
      </w:pPr>
      <w:r>
        <w:rPr/>
        <w:t>2、</w:t>
      </w:r>
      <w:r>
        <w:rPr/>
        <w:t xml:space="preserve"> 验收条件说明： </w:t>
      </w:r>
      <w:r>
        <w:rPr/>
        <w:t>每月检测完成提供检测报告</w:t>
      </w:r>
      <w:r>
        <w:rPr/>
        <w:t xml:space="preserve"> ，达到验收条件起 </w:t>
      </w:r>
      <w:r>
        <w:rPr/>
        <w:t>1</w:t>
      </w:r>
      <w:r>
        <w:rPr/>
        <w:t xml:space="preserve"> 日内，验收合同总金额的 </w:t>
      </w:r>
      <w:r>
        <w:rPr/>
        <w:t>8.33</w:t>
      </w:r>
      <w:r>
        <w:rPr/>
        <w:t>%；</w:t>
      </w:r>
    </w:p>
    <w:p>
      <w:pPr>
        <w:pStyle w:val="null3"/>
        <w:ind w:firstLine="1200"/>
        <w:jc w:val="left"/>
      </w:pPr>
      <w:r>
        <w:rPr/>
        <w:t>3、</w:t>
      </w:r>
      <w:r>
        <w:rPr/>
        <w:t xml:space="preserve"> 验收条件说明： </w:t>
      </w:r>
      <w:r>
        <w:rPr/>
        <w:t>每月检测完成提供检测报告</w:t>
      </w:r>
      <w:r>
        <w:rPr/>
        <w:t xml:space="preserve"> ，达到验收条件起 </w:t>
      </w:r>
      <w:r>
        <w:rPr/>
        <w:t>1</w:t>
      </w:r>
      <w:r>
        <w:rPr/>
        <w:t xml:space="preserve"> 日内，验收合同总金额的 </w:t>
      </w:r>
      <w:r>
        <w:rPr/>
        <w:t>8.33</w:t>
      </w:r>
      <w:r>
        <w:rPr/>
        <w:t>%；</w:t>
      </w:r>
    </w:p>
    <w:p>
      <w:pPr>
        <w:pStyle w:val="null3"/>
        <w:ind w:firstLine="1200"/>
        <w:jc w:val="left"/>
      </w:pPr>
      <w:r>
        <w:rPr/>
        <w:t>4、</w:t>
      </w:r>
      <w:r>
        <w:rPr/>
        <w:t xml:space="preserve"> 验收条件说明： </w:t>
      </w:r>
      <w:r>
        <w:rPr/>
        <w:t>每月检测完成提供检测报告</w:t>
      </w:r>
      <w:r>
        <w:rPr/>
        <w:t xml:space="preserve"> ，达到验收条件起 </w:t>
      </w:r>
      <w:r>
        <w:rPr/>
        <w:t>1</w:t>
      </w:r>
      <w:r>
        <w:rPr/>
        <w:t xml:space="preserve"> 日内，验收合同总金额的 </w:t>
      </w:r>
      <w:r>
        <w:rPr/>
        <w:t>8.33</w:t>
      </w:r>
      <w:r>
        <w:rPr/>
        <w:t>%；</w:t>
      </w:r>
    </w:p>
    <w:p>
      <w:pPr>
        <w:pStyle w:val="null3"/>
        <w:ind w:firstLine="1200"/>
        <w:jc w:val="left"/>
      </w:pPr>
      <w:r>
        <w:rPr/>
        <w:t>5、</w:t>
      </w:r>
      <w:r>
        <w:rPr/>
        <w:t xml:space="preserve"> 验收条件说明： </w:t>
      </w:r>
      <w:r>
        <w:rPr/>
        <w:t>每月检测完成提供检测报告</w:t>
      </w:r>
      <w:r>
        <w:rPr/>
        <w:t xml:space="preserve"> ，达到验收条件起 </w:t>
      </w:r>
      <w:r>
        <w:rPr/>
        <w:t>1</w:t>
      </w:r>
      <w:r>
        <w:rPr/>
        <w:t xml:space="preserve"> 日内，验收合同总金额的 </w:t>
      </w:r>
      <w:r>
        <w:rPr/>
        <w:t>8.33</w:t>
      </w:r>
      <w:r>
        <w:rPr/>
        <w:t>%；</w:t>
      </w:r>
    </w:p>
    <w:p>
      <w:pPr>
        <w:pStyle w:val="null3"/>
        <w:ind w:firstLine="1200"/>
        <w:jc w:val="left"/>
      </w:pPr>
      <w:r>
        <w:rPr/>
        <w:t>6、</w:t>
      </w:r>
      <w:r>
        <w:rPr/>
        <w:t xml:space="preserve"> 验收条件说明： </w:t>
      </w:r>
      <w:r>
        <w:rPr/>
        <w:t>每月检测完成提供检测报告</w:t>
      </w:r>
      <w:r>
        <w:rPr/>
        <w:t xml:space="preserve"> ，达到验收条件起 </w:t>
      </w:r>
      <w:r>
        <w:rPr/>
        <w:t>1</w:t>
      </w:r>
      <w:r>
        <w:rPr/>
        <w:t xml:space="preserve"> 日内，验收合同总金额的 </w:t>
      </w:r>
      <w:r>
        <w:rPr/>
        <w:t>8.33</w:t>
      </w:r>
      <w:r>
        <w:rPr/>
        <w:t>%；</w:t>
      </w:r>
    </w:p>
    <w:p>
      <w:pPr>
        <w:pStyle w:val="null3"/>
        <w:ind w:firstLine="1200"/>
        <w:jc w:val="left"/>
      </w:pPr>
      <w:r>
        <w:rPr/>
        <w:t>7、</w:t>
      </w:r>
      <w:r>
        <w:rPr/>
        <w:t xml:space="preserve"> 验收条件说明： </w:t>
      </w:r>
      <w:r>
        <w:rPr/>
        <w:t>每月检测完成提供检测报告</w:t>
      </w:r>
      <w:r>
        <w:rPr/>
        <w:t xml:space="preserve"> ，达到验收条件起 </w:t>
      </w:r>
      <w:r>
        <w:rPr/>
        <w:t>1</w:t>
      </w:r>
      <w:r>
        <w:rPr/>
        <w:t xml:space="preserve"> 日内，验收合同总金额的 </w:t>
      </w:r>
      <w:r>
        <w:rPr/>
        <w:t>8.33</w:t>
      </w:r>
      <w:r>
        <w:rPr/>
        <w:t>%；</w:t>
      </w:r>
    </w:p>
    <w:p>
      <w:pPr>
        <w:pStyle w:val="null3"/>
        <w:ind w:firstLine="1200"/>
        <w:jc w:val="left"/>
      </w:pPr>
      <w:r>
        <w:rPr/>
        <w:t>8、</w:t>
      </w:r>
      <w:r>
        <w:rPr/>
        <w:t xml:space="preserve"> 验收条件说明： </w:t>
      </w:r>
      <w:r>
        <w:rPr/>
        <w:t>每月检测完成提供检测报告</w:t>
      </w:r>
      <w:r>
        <w:rPr/>
        <w:t xml:space="preserve"> ，达到验收条件起 </w:t>
      </w:r>
      <w:r>
        <w:rPr/>
        <w:t>1</w:t>
      </w:r>
      <w:r>
        <w:rPr/>
        <w:t xml:space="preserve"> 日内，验收合同总金额的 </w:t>
      </w:r>
      <w:r>
        <w:rPr/>
        <w:t>8.33</w:t>
      </w:r>
      <w:r>
        <w:rPr/>
        <w:t>%；</w:t>
      </w:r>
    </w:p>
    <w:p>
      <w:pPr>
        <w:pStyle w:val="null3"/>
        <w:ind w:firstLine="1200"/>
        <w:jc w:val="left"/>
      </w:pPr>
      <w:r>
        <w:rPr/>
        <w:t>9、</w:t>
      </w:r>
      <w:r>
        <w:rPr/>
        <w:t xml:space="preserve"> 验收条件说明： </w:t>
      </w:r>
      <w:r>
        <w:rPr/>
        <w:t>每月检测完成提供检测报告</w:t>
      </w:r>
      <w:r>
        <w:rPr/>
        <w:t xml:space="preserve"> ，达到验收条件起 </w:t>
      </w:r>
      <w:r>
        <w:rPr/>
        <w:t>1</w:t>
      </w:r>
      <w:r>
        <w:rPr/>
        <w:t xml:space="preserve"> 日内，验收合同总金额的 </w:t>
      </w:r>
      <w:r>
        <w:rPr/>
        <w:t>8.33</w:t>
      </w:r>
      <w:r>
        <w:rPr/>
        <w:t>%；</w:t>
      </w:r>
    </w:p>
    <w:p>
      <w:pPr>
        <w:pStyle w:val="null3"/>
        <w:ind w:firstLine="1200"/>
        <w:jc w:val="left"/>
      </w:pPr>
      <w:r>
        <w:rPr/>
        <w:t>10、</w:t>
      </w:r>
      <w:r>
        <w:rPr/>
        <w:t xml:space="preserve"> 验收条件说明： </w:t>
      </w:r>
      <w:r>
        <w:rPr/>
        <w:t>每月检测完成提供检测报告</w:t>
      </w:r>
      <w:r>
        <w:rPr/>
        <w:t xml:space="preserve"> ，达到验收条件起 </w:t>
      </w:r>
      <w:r>
        <w:rPr/>
        <w:t>1</w:t>
      </w:r>
      <w:r>
        <w:rPr/>
        <w:t xml:space="preserve"> 日内，验收合同总金额的 </w:t>
      </w:r>
      <w:r>
        <w:rPr/>
        <w:t>8.33</w:t>
      </w:r>
      <w:r>
        <w:rPr/>
        <w:t>%；</w:t>
      </w:r>
    </w:p>
    <w:p>
      <w:pPr>
        <w:pStyle w:val="null3"/>
        <w:ind w:firstLine="1200"/>
        <w:jc w:val="left"/>
      </w:pPr>
      <w:r>
        <w:rPr/>
        <w:t>11、</w:t>
      </w:r>
      <w:r>
        <w:rPr/>
        <w:t xml:space="preserve"> 验收条件说明： </w:t>
      </w:r>
      <w:r>
        <w:rPr/>
        <w:t>每月检测完成提供检测报告</w:t>
      </w:r>
      <w:r>
        <w:rPr/>
        <w:t xml:space="preserve"> ，达到验收条件起 </w:t>
      </w:r>
      <w:r>
        <w:rPr/>
        <w:t>1</w:t>
      </w:r>
      <w:r>
        <w:rPr/>
        <w:t xml:space="preserve"> 日内，验收合同总金额的 </w:t>
      </w:r>
      <w:r>
        <w:rPr/>
        <w:t>8.33</w:t>
      </w:r>
      <w:r>
        <w:rPr/>
        <w:t>%；</w:t>
      </w:r>
    </w:p>
    <w:p>
      <w:pPr>
        <w:pStyle w:val="null3"/>
        <w:ind w:firstLine="1200"/>
        <w:jc w:val="left"/>
      </w:pPr>
      <w:r>
        <w:rPr/>
        <w:t>12、</w:t>
      </w:r>
      <w:r>
        <w:rPr/>
        <w:t xml:space="preserve"> 验收条件说明： </w:t>
      </w:r>
      <w:r>
        <w:rPr/>
        <w:t>每月检测完成提供检测报告</w:t>
      </w:r>
      <w:r>
        <w:rPr/>
        <w:t xml:space="preserve"> ，达到验收条件起 </w:t>
      </w:r>
      <w:r>
        <w:rPr/>
        <w:t>1</w:t>
      </w:r>
      <w:r>
        <w:rPr/>
        <w:t xml:space="preserve"> 日内，验收合同总金额的 </w:t>
      </w:r>
      <w:r>
        <w:rPr/>
        <w:t>8.37</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根据病人检测项目需求及公司提供基因检测报告内容进行验收</w:t>
      </w:r>
    </w:p>
    <w:p>
      <w:pPr>
        <w:pStyle w:val="null3"/>
        <w:ind w:firstLine="480"/>
        <w:jc w:val="left"/>
      </w:pPr>
      <w:r>
        <w:rPr/>
        <w:t>十、商务履约验收内容：</w:t>
      </w:r>
    </w:p>
    <w:p>
      <w:pPr>
        <w:pStyle w:val="null3"/>
        <w:ind w:firstLine="480"/>
        <w:jc w:val="left"/>
      </w:pPr>
      <w:r>
        <w:rPr/>
        <w:t>采购包1：</w:t>
      </w:r>
      <w:r>
        <w:rPr/>
        <w:t>根据项目要求，提供本次服务的实施方案、质量保证措施、检测时间保障措施、结果报告内容及时限、数据解读与遗传咨询能力等方案和措施，满足医院考核要求。</w:t>
      </w:r>
    </w:p>
    <w:p>
      <w:pPr>
        <w:pStyle w:val="null3"/>
        <w:ind w:firstLine="480"/>
        <w:jc w:val="left"/>
      </w:pPr>
      <w:r>
        <w:rPr/>
        <w:t>十一、履约验收标准：</w:t>
      </w:r>
    </w:p>
    <w:p>
      <w:pPr>
        <w:pStyle w:val="null3"/>
        <w:ind w:firstLine="480"/>
        <w:jc w:val="left"/>
      </w:pPr>
      <w:r>
        <w:rPr/>
        <w:t>采购包1：</w:t>
      </w:r>
      <w:r>
        <w:rPr/>
        <w:t xml:space="preserve"> 按《财政部关于进一步加强政府采购需求和履约验收管理的指导意见》（财库2016〔2016〕和合同要求执行）</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六、向采购人或者代理机构、磋商小组成员行贿或者提供其他不正当利益；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八、未按照磋商文件确定的事项签订政府采购合同；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四川绵阳四0四医院</w:t>
      </w:r>
      <w:r>
        <w:rPr/>
        <w:t xml:space="preserve"> 负责答复；供应商对除采购需求外的磋商文件的询问、质疑由 </w:t>
      </w:r>
      <w:r>
        <w:rPr/>
        <w:t>绵阳成瑞招投标代理有限公司</w:t>
      </w:r>
      <w:r>
        <w:rPr/>
        <w:t xml:space="preserve"> 负责答复；供应商对采购过程、采购结果的询问、质疑由 </w:t>
      </w:r>
      <w:r>
        <w:rPr/>
        <w:t>绵阳成瑞招投标代理有限公司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联系人：刘娟</w:t>
      </w:r>
    </w:p>
    <w:p>
      <w:pPr>
        <w:pStyle w:val="null3"/>
        <w:jc w:val="left"/>
      </w:pPr>
      <w:r>
        <w:rPr/>
        <w:t>联系电话：0816-2390739</w:t>
      </w:r>
    </w:p>
    <w:p>
      <w:pPr>
        <w:pStyle w:val="null3"/>
        <w:jc w:val="left"/>
      </w:pPr>
      <w:r>
        <w:rPr/>
        <w:t>地址：绵阳市经开区三江西路北段1号富临桃花岛16栋2单元7层1号</w:t>
      </w:r>
    </w:p>
    <w:p>
      <w:pPr>
        <w:pStyle w:val="null3"/>
        <w:jc w:val="left"/>
      </w:pPr>
      <w:r>
        <w:rPr/>
        <w:t>邮编：621000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1,000,000.00</w:t>
      </w:r>
    </w:p>
    <w:p>
      <w:pPr>
        <w:pStyle w:val="null3"/>
        <w:jc w:val="left"/>
      </w:pPr>
      <w:r>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其他医疗卫生服务</w:t>
            </w:r>
          </w:p>
        </w:tc>
        <w:tc>
          <w:tcPr>
            <w:tcW w:type="dxa" w:w="821"/>
          </w:tcPr>
          <w:p>
            <w:pPr>
              <w:pStyle w:val="null3"/>
              <w:jc w:val="left"/>
            </w:pPr>
            <w:r>
              <w:rPr/>
              <w:t>基因检测外检服务</w:t>
            </w:r>
          </w:p>
        </w:tc>
        <w:tc>
          <w:tcPr>
            <w:tcW w:type="dxa" w:w="821"/>
          </w:tcPr>
          <w:p>
            <w:pPr>
              <w:pStyle w:val="null3"/>
              <w:jc w:val="right"/>
            </w:pPr>
            <w:r>
              <w:rPr/>
              <w:t>1.00（项）</w:t>
            </w:r>
          </w:p>
        </w:tc>
        <w:tc>
          <w:tcPr>
            <w:tcW w:type="dxa" w:w="821"/>
          </w:tcPr>
          <w:p>
            <w:pPr>
              <w:pStyle w:val="null3"/>
              <w:jc w:val="right"/>
            </w:pPr>
            <w:r>
              <w:rPr/>
              <w:t>1,000,000.00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left"/>
            </w:pPr>
            <w:r>
              <w:rPr/>
              <w:t>序号</w:t>
            </w:r>
          </w:p>
        </w:tc>
        <w:tc>
          <w:tcPr>
            <w:tcW w:type="dxa" w:w="1759"/>
          </w:tcPr>
          <w:p>
            <w:pPr>
              <w:pStyle w:val="null3"/>
              <w:jc w:val="left"/>
            </w:pPr>
            <w:r>
              <w:rPr/>
              <w:t>报价内容</w:t>
            </w:r>
          </w:p>
        </w:tc>
        <w:tc>
          <w:tcPr>
            <w:tcW w:type="dxa" w:w="977"/>
          </w:tcPr>
          <w:p>
            <w:pPr>
              <w:pStyle w:val="null3"/>
              <w:jc w:val="left"/>
            </w:pPr>
            <w:r>
              <w:rPr/>
              <w:t>计量单位</w:t>
            </w:r>
          </w:p>
        </w:tc>
        <w:tc>
          <w:tcPr>
            <w:tcW w:type="dxa" w:w="977"/>
          </w:tcPr>
          <w:p>
            <w:pPr>
              <w:pStyle w:val="null3"/>
              <w:jc w:val="left"/>
            </w:pPr>
            <w:r>
              <w:rPr/>
              <w:t>报价单位</w:t>
            </w:r>
          </w:p>
        </w:tc>
        <w:tc>
          <w:tcPr>
            <w:tcW w:type="dxa" w:w="1466"/>
          </w:tcPr>
          <w:p>
            <w:pPr>
              <w:pStyle w:val="null3"/>
              <w:jc w:val="left"/>
            </w:pPr>
            <w:r>
              <w:rPr/>
              <w:t>最高限价</w:t>
            </w:r>
          </w:p>
        </w:tc>
        <w:tc>
          <w:tcPr>
            <w:tcW w:type="dxa" w:w="977"/>
          </w:tcPr>
          <w:p>
            <w:pPr>
              <w:pStyle w:val="null3"/>
              <w:jc w:val="left"/>
            </w:pPr>
            <w:r>
              <w:rPr/>
              <w:t>价款形式</w:t>
            </w:r>
          </w:p>
        </w:tc>
        <w:tc>
          <w:tcPr>
            <w:tcW w:type="dxa" w:w="1466"/>
          </w:tcPr>
          <w:p>
            <w:pPr>
              <w:pStyle w:val="null3"/>
              <w:jc w:val="left"/>
            </w:pPr>
            <w:r>
              <w:rPr/>
              <w:t>报价说明</w:t>
            </w:r>
          </w:p>
        </w:tc>
      </w:tr>
      <w:tr>
        <w:tc>
          <w:tcPr>
            <w:tcW w:type="dxa" w:w="684"/>
          </w:tcPr>
          <w:p>
            <w:pPr>
              <w:pStyle w:val="null3"/>
              <w:jc w:val="left"/>
            </w:pPr>
            <w:r>
              <w:rPr/>
              <w:t>1</w:t>
            </w:r>
          </w:p>
        </w:tc>
        <w:tc>
          <w:tcPr>
            <w:tcW w:type="dxa" w:w="1759"/>
          </w:tcPr>
          <w:p>
            <w:pPr>
              <w:pStyle w:val="null3"/>
              <w:jc w:val="left"/>
            </w:pPr>
            <w:r>
              <w:rPr/>
              <w:t>基因检测外检服务</w:t>
            </w:r>
          </w:p>
        </w:tc>
        <w:tc>
          <w:tcPr>
            <w:tcW w:type="dxa" w:w="977"/>
          </w:tcPr>
          <w:p>
            <w:pPr>
              <w:pStyle w:val="null3"/>
              <w:jc w:val="left"/>
            </w:pPr>
            <w:r>
              <w:rPr/>
              <w:t>项</w:t>
            </w:r>
          </w:p>
        </w:tc>
        <w:tc>
          <w:tcPr>
            <w:tcW w:type="dxa" w:w="977"/>
          </w:tcPr>
          <w:p>
            <w:pPr>
              <w:pStyle w:val="null3"/>
              <w:jc w:val="left"/>
            </w:pPr>
            <w:r>
              <w:rPr/>
              <w:t>%</w:t>
            </w:r>
          </w:p>
        </w:tc>
        <w:tc>
          <w:tcPr>
            <w:tcW w:type="dxa" w:w="1466"/>
          </w:tcPr>
          <w:p>
            <w:pPr>
              <w:pStyle w:val="null3"/>
              <w:jc w:val="right"/>
            </w:pPr>
            <w:r>
              <w:rPr/>
              <w:t>不设定</w:t>
            </w:r>
          </w:p>
        </w:tc>
        <w:tc>
          <w:tcPr>
            <w:tcW w:type="dxa" w:w="977"/>
          </w:tcPr>
          <w:p>
            <w:pPr>
              <w:pStyle w:val="null3"/>
              <w:jc w:val="left"/>
            </w:pPr>
            <w:r>
              <w:rPr/>
              <w:t>下浮率（%）</w:t>
            </w:r>
          </w:p>
        </w:tc>
        <w:tc>
          <w:tcPr>
            <w:tcW w:type="dxa" w:w="1466"/>
          </w:tcPr>
          <w:p>
            <w:pPr>
              <w:pStyle w:val="null3"/>
              <w:jc w:val="left"/>
            </w:pPr>
            <w:r>
              <w:rPr/>
              <w:t>供应商根据控制单价(医院执行价格）报整体下浮率，所报下浮率＞100%或＜20%均视为无效报价。</w:t>
            </w:r>
          </w:p>
        </w:tc>
      </w:tr>
    </w:tbl>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标的名称：基因检测外检服务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rFonts w:ascii="simsun" w:hAnsi="simsun" w:cs="simsun" w:eastAsia="simsun"/>
                <w:sz w:val="21"/>
              </w:rPr>
              <w:t>1、技术要求</w:t>
            </w:r>
          </w:p>
          <w:tbl>
            <w:tblPr>
              <w:tblInd w:type="dxa" w:w="360"/>
              <w:tblBorders>
                <w:top w:val="none" w:color="000000" w:sz="4"/>
                <w:left w:val="none" w:color="000000" w:sz="4"/>
                <w:bottom w:val="none" w:color="000000" w:sz="4"/>
                <w:right w:val="none" w:color="000000" w:sz="4"/>
                <w:insideH w:val="none"/>
                <w:insideV w:val="none"/>
              </w:tblBorders>
            </w:tblPr>
            <w:tblGrid>
              <w:gridCol w:w="144"/>
              <w:gridCol w:w="297"/>
              <w:gridCol w:w="399"/>
              <w:gridCol w:w="229"/>
              <w:gridCol w:w="1019"/>
              <w:gridCol w:w="365"/>
            </w:tblGrid>
            <w:tr>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序号</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项目名称</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样本类型</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报告周期</w:t>
                  </w:r>
                </w:p>
              </w:tc>
              <w:tc>
                <w:tcPr>
                  <w:tcW w:type="dxa" w:w="10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技术参数</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单项总价不高于以下限价（即控制单价）（元）</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1"/>
                    </w:rPr>
                    <w:t>▲肺癌组织靶向药物基因检测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组织：切片、新鲜组织、蜡块、胸腹水</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w:t>
                  </w:r>
                  <w:r>
                    <w:rPr>
                      <w:rFonts w:ascii="simsun" w:hAnsi="simsun" w:cs="simsun" w:eastAsia="simsun"/>
                      <w:sz w:val="21"/>
                    </w:rPr>
                    <w:t>针对肺癌患者肿瘤组织样</w:t>
                  </w:r>
                  <w:r>
                    <w:rPr>
                      <w:rFonts w:ascii="simsun" w:hAnsi="simsun" w:cs="simsun" w:eastAsia="simsun"/>
                      <w:color w:val="000000"/>
                      <w:sz w:val="21"/>
                    </w:rPr>
                    <w:t>本</w:t>
                  </w:r>
                  <w:r>
                    <w:rPr>
                      <w:rFonts w:ascii="simsun" w:hAnsi="simsun" w:cs="simsun" w:eastAsia="simsun"/>
                      <w:color w:val="000000"/>
                      <w:sz w:val="21"/>
                    </w:rPr>
                    <w:t>检测与肺癌靶向用药相关≥25个基因（包含至少须满足的EGFR、ALK、ROS1、RET、BRAF、MET、KRAS、NTRK等8个基因）。</w:t>
                  </w:r>
                  <w:r>
                    <w:br/>
                  </w:r>
                  <w:r>
                    <w:rPr>
                      <w:rFonts w:ascii="simsun" w:hAnsi="simsun" w:cs="simsun" w:eastAsia="simsun"/>
                      <w:sz w:val="21"/>
                    </w:rPr>
                    <w:t xml:space="preserve"> 2、检测试剂：试剂盒具有NMPA认证，且至少获批EGFR\KRAS\BRAF\ALK\ROS1五个基因。在临床上用于对来源于人体样本的脱氧核糖核酸（DNA）和核糖核酸（RNA）同时进行测序。</w:t>
                  </w:r>
                  <w:r>
                    <w:br/>
                  </w:r>
                  <w:r>
                    <w:rPr>
                      <w:rFonts w:ascii="simsun" w:hAnsi="simsun" w:cs="simsun" w:eastAsia="simsun"/>
                      <w:sz w:val="21"/>
                    </w:rPr>
                    <w:t xml:space="preserve"> 3、检测技术：高通量二代测序法。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7360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w:t>
                  </w:r>
                  <w:r>
                    <w:rPr>
                      <w:rFonts w:ascii="simsun" w:hAnsi="simsun" w:cs="simsun" w:eastAsia="simsun"/>
                      <w:color w:val="000000"/>
                      <w:sz w:val="21"/>
                    </w:rPr>
                    <w:t>ctDNA肺癌靶向药物基因检测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外周血ctDNA</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1、检测肺癌患者外周血中的循环肿瘤DNA，全面检测与肺癌靶向用药相关≥15个基因。</w:t>
                  </w:r>
                </w:p>
                <w:p>
                  <w:pPr>
                    <w:pStyle w:val="null3"/>
                    <w:jc w:val="left"/>
                  </w:pPr>
                  <w:r>
                    <w:rPr>
                      <w:rFonts w:ascii="simsun" w:hAnsi="simsun" w:cs="simsun" w:eastAsia="simsun"/>
                      <w:sz w:val="21"/>
                    </w:rPr>
                    <w:t>2、</w:t>
                  </w:r>
                  <w:r>
                    <w:rPr>
                      <w:rFonts w:ascii="simsun" w:hAnsi="simsun" w:cs="simsun" w:eastAsia="simsun"/>
                      <w:color w:val="000000"/>
                      <w:sz w:val="21"/>
                    </w:rPr>
                    <w:t>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7360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3</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simsun" w:hAnsi="simsun" w:cs="simsun" w:eastAsia="simsun"/>
                      <w:color w:val="000000"/>
                      <w:sz w:val="21"/>
                    </w:rPr>
                    <w:t>▲肠癌组织用药基因检测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组织：切片、新鲜组织、蜡块、胸腹水</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1、针对肠癌患者肿瘤组织样本，检测与肠癌靶向及免疫用药相关≥30个基因（包含至少须满足的KRAS、NRAS、BRAF等3个基因）。</w:t>
                  </w:r>
                </w:p>
                <w:p>
                  <w:pPr>
                    <w:pStyle w:val="null3"/>
                    <w:jc w:val="left"/>
                  </w:pPr>
                  <w:r>
                    <w:rPr>
                      <w:rFonts w:ascii="simsun" w:hAnsi="simsun" w:cs="simsun" w:eastAsia="simsun"/>
                      <w:color w:val="000000"/>
                      <w:sz w:val="21"/>
                    </w:rPr>
                    <w:t>2、检测技术：高通量二代测序法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6080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4</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simsun" w:hAnsi="simsun" w:cs="simsun" w:eastAsia="simsun"/>
                      <w:color w:val="000000"/>
                      <w:sz w:val="21"/>
                    </w:rPr>
                    <w:t>▲ctDNA</w:t>
                  </w:r>
                  <w:r>
                    <w:rPr>
                      <w:rFonts w:ascii="simsun" w:hAnsi="simsun" w:cs="simsun" w:eastAsia="simsun"/>
                      <w:color w:val="000000"/>
                      <w:sz w:val="21"/>
                    </w:rPr>
                    <w:t>肠癌用药基因检测</w:t>
                  </w:r>
                </w:p>
              </w:tc>
              <w:tc>
                <w:tcPr>
                  <w:tcW w:type="dxa" w:w="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simsun" w:hAnsi="simsun" w:cs="simsun" w:eastAsia="simsun"/>
                      <w:color w:val="000000"/>
                      <w:sz w:val="21"/>
                    </w:rPr>
                    <w:t>外周血ctDNA</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1、检测肠癌患者外周血中的循环肿瘤DNA，检测与肠癌靶向及免疫用药相关≥30个基因。</w:t>
                  </w:r>
                </w:p>
                <w:p>
                  <w:pPr>
                    <w:pStyle w:val="null3"/>
                    <w:jc w:val="left"/>
                  </w:pPr>
                  <w:r>
                    <w:rPr>
                      <w:rFonts w:ascii="simsun" w:hAnsi="simsun" w:cs="simsun" w:eastAsia="simsun"/>
                      <w:color w:val="000000"/>
                      <w:sz w:val="21"/>
                    </w:rPr>
                    <w:t>2、检测技术：高通量二代测序法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6080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5</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simsun" w:hAnsi="simsun" w:cs="simsun" w:eastAsia="simsun"/>
                      <w:color w:val="000000"/>
                      <w:sz w:val="21"/>
                    </w:rPr>
                    <w:t>胃癌组织靶向用药基因检测</w:t>
                  </w:r>
                </w:p>
              </w:tc>
              <w:tc>
                <w:tcPr>
                  <w:tcW w:type="dxa" w:w="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simsun" w:hAnsi="simsun" w:cs="simsun" w:eastAsia="simsun"/>
                      <w:color w:val="000000"/>
                      <w:sz w:val="21"/>
                    </w:rPr>
                    <w:t>组织: 新鲜组织、切片、蜡块、胸腹水</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simsun" w:hAnsi="simsun" w:cs="simsun" w:eastAsia="simsun"/>
                      <w:color w:val="000000"/>
                      <w:sz w:val="21"/>
                    </w:rPr>
                    <w:t>1、针对胃癌患者肿瘤组织样本，检测与胃癌靶向用药≥30个基因。</w:t>
                  </w:r>
                </w:p>
                <w:p>
                  <w:pPr>
                    <w:pStyle w:val="null3"/>
                    <w:jc w:val="left"/>
                  </w:pPr>
                  <w:r>
                    <w:rPr>
                      <w:rFonts w:ascii="simsun" w:hAnsi="simsun" w:cs="simsun" w:eastAsia="simsun"/>
                      <w:color w:val="000000"/>
                      <w:sz w:val="21"/>
                    </w:rPr>
                    <w:t>2、检测技术：高通量二代测序法</w:t>
                  </w:r>
                </w:p>
              </w:tc>
              <w:tc>
                <w:tcPr>
                  <w:tcW w:type="dxa" w:w="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simsun" w:hAnsi="simsun" w:cs="simsun" w:eastAsia="simsun"/>
                      <w:color w:val="000000"/>
                      <w:sz w:val="21"/>
                    </w:rPr>
                    <w:t>6080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6</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simsun" w:hAnsi="simsun" w:cs="simsun" w:eastAsia="simsun"/>
                      <w:color w:val="000000"/>
                      <w:sz w:val="21"/>
                    </w:rPr>
                    <w:t>ctDNA胃癌靶向用药基因检测</w:t>
                  </w:r>
                </w:p>
              </w:tc>
              <w:tc>
                <w:tcPr>
                  <w:tcW w:type="dxa" w:w="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simsun" w:hAnsi="simsun" w:cs="simsun" w:eastAsia="simsun"/>
                      <w:color w:val="000000"/>
                      <w:sz w:val="21"/>
                    </w:rPr>
                    <w:t>外周血ctDNA</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simsun" w:hAnsi="simsun" w:cs="simsun" w:eastAsia="simsun"/>
                      <w:color w:val="000000"/>
                      <w:sz w:val="21"/>
                    </w:rPr>
                    <w:t>1、检测胃癌患者外周血中的循环肿瘤DNA，检测与胃癌靶向用药≥30个基因。</w:t>
                  </w:r>
                </w:p>
                <w:p>
                  <w:pPr>
                    <w:pStyle w:val="null3"/>
                    <w:jc w:val="left"/>
                  </w:pPr>
                  <w:r>
                    <w:rPr>
                      <w:rFonts w:ascii="simsun" w:hAnsi="simsun" w:cs="simsun" w:eastAsia="simsun"/>
                      <w:color w:val="000000"/>
                      <w:sz w:val="21"/>
                    </w:rPr>
                    <w:t>2、检测技术：高通量二代测序法</w:t>
                  </w:r>
                </w:p>
              </w:tc>
              <w:tc>
                <w:tcPr>
                  <w:tcW w:type="dxa" w:w="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simsun" w:hAnsi="simsun" w:cs="simsun" w:eastAsia="simsun"/>
                      <w:color w:val="000000"/>
                      <w:sz w:val="21"/>
                    </w:rPr>
                    <w:t>6080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1"/>
                    </w:rPr>
                    <w:t>▲胃肠道间质瘤组织靶向用药基因检测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组织+对照血</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1、针对胃肠道间质瘤患者肿瘤组织样本，检测与胃肠道间质瘤靶向用药相关≥10个基因（包含至少须满足的KIT、PDGFRA、BRAF、KRAS、SDHA、SDHB、SDHC、SDHD、NF1等基因等9个基因）。</w:t>
                  </w:r>
                </w:p>
                <w:p>
                  <w:pPr>
                    <w:pStyle w:val="null3"/>
                    <w:jc w:val="left"/>
                  </w:pPr>
                  <w:r>
                    <w:rPr>
                      <w:rFonts w:ascii="simsun" w:hAnsi="simsun" w:cs="simsun" w:eastAsia="simsun"/>
                      <w:color w:val="000000"/>
                      <w:sz w:val="21"/>
                    </w:rPr>
                    <w:t>2、检测技术：高通量二代测序法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4800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8</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color w:val="000000"/>
                      <w:sz w:val="21"/>
                    </w:rPr>
                    <w:t>▲</w:t>
                  </w:r>
                  <w:r>
                    <w:rPr>
                      <w:rFonts w:ascii="simsun" w:hAnsi="simsun" w:cs="simsun" w:eastAsia="simsun"/>
                      <w:color w:val="000000"/>
                      <w:sz w:val="21"/>
                    </w:rPr>
                    <w:t>乳腺癌21基因复发风险评估检测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 新鲜组织、切片</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1、针对乳腺癌患者检测21个不同基因的表达水平，得到复发风险评分，评估复发风险和辅助化疗必要性。</w:t>
                  </w:r>
                </w:p>
                <w:p>
                  <w:pPr>
                    <w:pStyle w:val="null3"/>
                    <w:jc w:val="left"/>
                  </w:pPr>
                  <w:r>
                    <w:rPr>
                      <w:rFonts w:ascii="simsun" w:hAnsi="simsun" w:cs="simsun" w:eastAsia="simsun"/>
                      <w:sz w:val="21"/>
                    </w:rPr>
                    <w:t>2、检测技术：荧光定量PCR法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6720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9</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1"/>
                    </w:rPr>
                    <w:t>▲脑胶质瘤多基因检测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组织+对照血：切片、新鲜组织</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21"/>
                    </w:rPr>
                    <w:t>1、针对脑胶质瘤患者，检测≥36个基因，变异类型包括：基因突变、融合、扩增、染色体重排、 启动子甲基化。</w:t>
                  </w:r>
                  <w:r>
                    <w:br/>
                  </w:r>
                  <w:r>
                    <w:rPr>
                      <w:rFonts w:ascii="simsun" w:hAnsi="simsun" w:cs="simsun" w:eastAsia="simsun"/>
                      <w:sz w:val="21"/>
                    </w:rPr>
                    <w:t xml:space="preserve"> 2、至少包含IDH1、IDH2、TERT、ATRX、BRAF、TP53、PTEN、MGMT甲基化、1p/19q等基因，能够实现对脑胶质瘤的分子分型、评估预后及用药指导。</w:t>
                  </w:r>
                </w:p>
                <w:p>
                  <w:pPr>
                    <w:pStyle w:val="null3"/>
                    <w:jc w:val="left"/>
                  </w:pPr>
                  <w:r>
                    <w:rPr>
                      <w:rFonts w:ascii="simsun" w:hAnsi="simsun" w:cs="simsun" w:eastAsia="simsun"/>
                      <w:sz w:val="21"/>
                    </w:rPr>
                    <w:t>3、</w:t>
                  </w:r>
                  <w:r>
                    <w:rPr>
                      <w:rFonts w:ascii="simsun" w:hAnsi="simsun" w:cs="simsun" w:eastAsia="simsun"/>
                      <w:color w:val="000000"/>
                      <w:sz w:val="21"/>
                    </w:rPr>
                    <w:t>检测技术：高通量二代测序</w:t>
                  </w:r>
                  <w:r>
                    <w:rPr>
                      <w:rFonts w:ascii="simsun" w:hAnsi="simsun" w:cs="simsun" w:eastAsia="simsun"/>
                      <w:sz w:val="21"/>
                    </w:rPr>
                    <w:t>+甲基化特异性PCR+荧光原位杂交（FISH）技术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8640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10</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1"/>
                    </w:rPr>
                    <w:t>甲状腺癌多基因检测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 新鲜组织、切片</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1、检测与甲状腺癌相关≥30个基因。</w:t>
                  </w:r>
                  <w:r>
                    <w:br/>
                  </w:r>
                  <w:r>
                    <w:rPr>
                      <w:rFonts w:ascii="simsun" w:hAnsi="simsun" w:cs="simsun" w:eastAsia="simsun"/>
                      <w:color w:val="000000"/>
                      <w:sz w:val="21"/>
                    </w:rPr>
                    <w:t>2、</w:t>
                  </w:r>
                  <w:r>
                    <w:rPr>
                      <w:rFonts w:ascii="simsun" w:hAnsi="simsun" w:cs="simsun" w:eastAsia="simsun"/>
                      <w:sz w:val="21"/>
                    </w:rPr>
                    <w:t>在临床上用于对来源于人体样本的脱氧核糖核酸（DNA）和核糖核酸（RNA）进行测序，至少包括BRAF、TERT、RET、RAS、NTRK1、TP53等基因</w:t>
                  </w:r>
                  <w:r>
                    <w:rPr>
                      <w:rFonts w:ascii="simsun" w:hAnsi="simsun" w:cs="simsun" w:eastAsia="simsun"/>
                      <w:color w:val="000000"/>
                      <w:sz w:val="21"/>
                    </w:rPr>
                    <w:t>。</w:t>
                  </w:r>
                </w:p>
                <w:p>
                  <w:pPr>
                    <w:pStyle w:val="null3"/>
                    <w:jc w:val="left"/>
                  </w:pPr>
                  <w:r>
                    <w:rPr>
                      <w:rFonts w:ascii="simsun" w:hAnsi="simsun" w:cs="simsun" w:eastAsia="simsun"/>
                      <w:sz w:val="21"/>
                    </w:rPr>
                    <w:t>3、检测技术：高通量二代测序法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6720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11</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▲子宫内膜癌分子分型基因检测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组织+对照血： 新鲜组织、切片</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1、检测与子宫内膜癌相关≥16个基因。</w:t>
                  </w:r>
                  <w:r>
                    <w:br/>
                  </w:r>
                  <w:r>
                    <w:rPr>
                      <w:rFonts w:ascii="simsun" w:hAnsi="simsun" w:cs="simsun" w:eastAsia="simsun"/>
                      <w:color w:val="000000"/>
                      <w:sz w:val="21"/>
                    </w:rPr>
                    <w:t>2、至少包含TP53、POLE、MSI等基因，能够实现子宫内膜癌分子分型，评估预后、辅助治疗方案选择，遗传风险提示，靶药指导，免疫用药指导，化疗用药指导。</w:t>
                  </w:r>
                </w:p>
                <w:p>
                  <w:pPr>
                    <w:pStyle w:val="null3"/>
                    <w:jc w:val="left"/>
                  </w:pPr>
                  <w:r>
                    <w:rPr>
                      <w:rFonts w:ascii="simsun" w:hAnsi="simsun" w:cs="simsun" w:eastAsia="simsun"/>
                      <w:color w:val="000000"/>
                      <w:sz w:val="21"/>
                    </w:rPr>
                    <w:t>3、检测技术：高通量二代测序法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7680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gBRCA1/2基因检测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外周血</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w:t>
                  </w:r>
                  <w:r>
                    <w:rPr>
                      <w:rFonts w:ascii="simsun" w:hAnsi="simsun" w:cs="simsun" w:eastAsia="simsun"/>
                      <w:color w:val="000000"/>
                      <w:sz w:val="21"/>
                    </w:rPr>
                    <w:t>BRCA1/2基因的全部外显子区域及其上下游20bp，胚系突变。</w:t>
                  </w:r>
                </w:p>
                <w:p>
                  <w:pPr>
                    <w:pStyle w:val="null3"/>
                    <w:jc w:val="left"/>
                  </w:pPr>
                  <w:r>
                    <w:rPr>
                      <w:rFonts w:ascii="simsun" w:hAnsi="simsun" w:cs="simsun" w:eastAsia="simsun"/>
                      <w:color w:val="000000"/>
                      <w:sz w:val="21"/>
                    </w:rPr>
                    <w:t>2、</w:t>
                  </w:r>
                  <w:r>
                    <w:rPr>
                      <w:rFonts w:ascii="simsun" w:hAnsi="simsun" w:cs="simsun" w:eastAsia="simsun"/>
                      <w:color w:val="000000"/>
                      <w:sz w:val="21"/>
                    </w:rPr>
                    <w:t>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3840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13</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sBRCA1/2基因检测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 新鲜组织、切片</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w:t>
                  </w:r>
                  <w:r>
                    <w:rPr>
                      <w:rFonts w:ascii="simsun" w:hAnsi="simsun" w:cs="simsun" w:eastAsia="simsun"/>
                      <w:color w:val="000000"/>
                      <w:sz w:val="21"/>
                    </w:rPr>
                    <w:t>BRCA1/2基因的全部外显子区域及其上下游20bp，体系突变。</w:t>
                  </w:r>
                </w:p>
                <w:p>
                  <w:pPr>
                    <w:pStyle w:val="null3"/>
                    <w:jc w:val="left"/>
                  </w:pPr>
                  <w:r>
                    <w:rPr>
                      <w:rFonts w:ascii="simsun" w:hAnsi="simsun" w:cs="simsun" w:eastAsia="simsun"/>
                      <w:color w:val="000000"/>
                      <w:sz w:val="21"/>
                    </w:rPr>
                    <w:t>2、</w:t>
                  </w:r>
                  <w:r>
                    <w:rPr>
                      <w:rFonts w:ascii="simsun" w:hAnsi="simsun" w:cs="simsun" w:eastAsia="simsun"/>
                      <w:color w:val="000000"/>
                      <w:sz w:val="21"/>
                    </w:rPr>
                    <w:t>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3840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14</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w:t>
                  </w:r>
                  <w:r>
                    <w:rPr>
                      <w:rFonts w:ascii="simsun" w:hAnsi="simsun" w:cs="simsun" w:eastAsia="simsun"/>
                      <w:color w:val="000000"/>
                      <w:sz w:val="21"/>
                    </w:rPr>
                    <w:t>g&amp;sBRCA1/2基因检测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组织+对照血：切片、新鲜组织</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1、BRCA1/2基因的全部外显子区域及其上下游20bp，胚系和体系突变。</w:t>
                  </w:r>
                </w:p>
                <w:p>
                  <w:pPr>
                    <w:pStyle w:val="null3"/>
                    <w:jc w:val="left"/>
                  </w:pPr>
                  <w:r>
                    <w:rPr>
                      <w:rFonts w:ascii="simsun" w:hAnsi="simsun" w:cs="simsun" w:eastAsia="simsun"/>
                      <w:color w:val="000000"/>
                      <w:sz w:val="21"/>
                    </w:rPr>
                    <w:t>2、检测技术：高通量二代测序法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5760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15</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HRD评分同源重组缺陷检测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组织+对照血：切片、新鲜组织</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1、检测实体瘤患者肿瘤组织样本，全基因组范围内通过评估杂合性缺失(LOH)、端粒等位基因不平衡(TAI)、大区段重组异常（LST）三个指标来评估同源重组缺陷。</w:t>
                  </w:r>
                  <w:r>
                    <w:br/>
                  </w:r>
                  <w:r>
                    <w:rPr>
                      <w:rFonts w:ascii="simsun" w:hAnsi="simsun" w:cs="simsun" w:eastAsia="simsun"/>
                      <w:sz w:val="21"/>
                    </w:rPr>
                    <w:t xml:space="preserve"> 2、HRD捕获检测位点数＞5万个</w:t>
                  </w:r>
                </w:p>
                <w:p>
                  <w:pPr>
                    <w:pStyle w:val="null3"/>
                    <w:jc w:val="left"/>
                  </w:pPr>
                  <w:r>
                    <w:rPr>
                      <w:rFonts w:ascii="simsun" w:hAnsi="simsun" w:cs="simsun" w:eastAsia="simsun"/>
                      <w:color w:val="000000"/>
                      <w:sz w:val="21"/>
                    </w:rPr>
                    <w:t>3、检测技术：高通量二代测序法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8640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16</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w:t>
                  </w:r>
                  <w:r>
                    <w:rPr>
                      <w:rFonts w:ascii="simsun" w:hAnsi="simsun" w:cs="simsun" w:eastAsia="simsun"/>
                      <w:color w:val="000000"/>
                      <w:sz w:val="21"/>
                    </w:rPr>
                    <w:t>HRD评分同源重组缺陷检测+ g&amp;sBRCA1/2基因检测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组织+对照血：切片、新鲜组织</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1、检测实体瘤患者肿瘤组织样本，</w:t>
                  </w:r>
                  <w:r>
                    <w:rPr>
                      <w:rFonts w:ascii="simsun" w:hAnsi="simsun" w:cs="simsun" w:eastAsia="simsun"/>
                      <w:sz w:val="21"/>
                    </w:rPr>
                    <w:t>全基因组范围内通过评</w:t>
                  </w:r>
                  <w:r>
                    <w:rPr>
                      <w:rFonts w:ascii="simsun" w:hAnsi="simsun" w:cs="simsun" w:eastAsia="simsun"/>
                      <w:color w:val="000000"/>
                      <w:sz w:val="21"/>
                    </w:rPr>
                    <w:t>估杂合性缺失(LOH)、端粒等位基因不平衡(TAI)、大区段重组异常（LST）三个指标来评估同源重组缺陷。以及BRCA1/2基因的全部外显子区域及其上下游20bp突变（体系及胚系均可检测）。</w:t>
                  </w:r>
                </w:p>
                <w:p>
                  <w:pPr>
                    <w:pStyle w:val="null3"/>
                    <w:jc w:val="left"/>
                  </w:pPr>
                  <w:r>
                    <w:rPr>
                      <w:rFonts w:ascii="simsun" w:hAnsi="simsun" w:cs="simsun" w:eastAsia="simsun"/>
                      <w:color w:val="000000"/>
                      <w:sz w:val="21"/>
                    </w:rPr>
                    <w:t>2、HRD捕获检测位点数＞5万个</w:t>
                  </w:r>
                </w:p>
                <w:p>
                  <w:pPr>
                    <w:pStyle w:val="null3"/>
                    <w:jc w:val="left"/>
                  </w:pPr>
                  <w:r>
                    <w:rPr>
                      <w:rFonts w:ascii="simsun" w:hAnsi="simsun" w:cs="simsun" w:eastAsia="simsun"/>
                      <w:color w:val="000000"/>
                      <w:sz w:val="21"/>
                    </w:rPr>
                    <w:t>3、检测技术：高通量二代测序法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12800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gHRR基因检测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外周血</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1、检测≥20个HRR基因的全部外显子区域及其上下游20bp，胚系突变。</w:t>
                  </w:r>
                </w:p>
                <w:p>
                  <w:pPr>
                    <w:pStyle w:val="null3"/>
                    <w:jc w:val="left"/>
                  </w:pPr>
                  <w:r>
                    <w:rPr>
                      <w:rFonts w:ascii="simsun" w:hAnsi="simsun" w:cs="simsun" w:eastAsia="simsun"/>
                      <w:color w:val="000000"/>
                      <w:sz w:val="21"/>
                    </w:rPr>
                    <w:t>2、检测技术：高通量二代测序法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5760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18</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1"/>
                    </w:rPr>
                    <w:t>▲MSI检测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组织+对照血：切片、新鲜组织</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21"/>
                    </w:rPr>
                    <w:t>1、检测方法主要是指南和专家共识推荐的2B3D Panel或Promega Panel。</w:t>
                  </w:r>
                  <w:r>
                    <w:br/>
                  </w:r>
                  <w:r>
                    <w:rPr>
                      <w:rFonts w:ascii="simsun" w:hAnsi="simsun" w:cs="simsun" w:eastAsia="simsun"/>
                      <w:sz w:val="21"/>
                    </w:rPr>
                    <w:t xml:space="preserve"> 2、检测试剂盒具有NMPA认证。</w:t>
                  </w:r>
                </w:p>
                <w:p>
                  <w:pPr>
                    <w:pStyle w:val="null3"/>
                    <w:jc w:val="left"/>
                  </w:pPr>
                  <w:r>
                    <w:rPr>
                      <w:rFonts w:ascii="simsun" w:hAnsi="simsun" w:cs="simsun" w:eastAsia="simsun"/>
                      <w:color w:val="000000"/>
                      <w:sz w:val="21"/>
                    </w:rPr>
                    <w:t>3、检测技术：多重荧光PCR-毛细管电泳法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2560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19</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MMR外显子突变检测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外周血、唾液</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1、至少包含EPCAM, MLH1, MSH2, MSH6, PMS2基因</w:t>
                  </w:r>
                  <w:r>
                    <w:br/>
                  </w:r>
                  <w:r>
                    <w:rPr>
                      <w:rFonts w:ascii="simsun" w:hAnsi="simsun" w:cs="simsun" w:eastAsia="simsun"/>
                      <w:color w:val="000000"/>
                      <w:sz w:val="21"/>
                    </w:rPr>
                    <w:t>2、检测技术：目标区域多重富集+高通量测序</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4480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20</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肿瘤组织基因个体化诊疗基因检测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组织+对照血：切片、新鲜组织</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w:t>
                  </w:r>
                  <w:r>
                    <w:rPr>
                      <w:rFonts w:ascii="simsun" w:hAnsi="simsun" w:cs="simsun" w:eastAsia="simsun"/>
                      <w:color w:val="000000"/>
                      <w:sz w:val="21"/>
                    </w:rPr>
                    <w:t>检测实体瘤患者肿瘤组织样本，检测与肿瘤诊治相关的基因数量≥100个。</w:t>
                  </w:r>
                </w:p>
                <w:p>
                  <w:pPr>
                    <w:pStyle w:val="null3"/>
                    <w:jc w:val="left"/>
                  </w:pPr>
                  <w:r>
                    <w:rPr>
                      <w:rFonts w:ascii="simsun" w:hAnsi="simsun" w:cs="simsun" w:eastAsia="simsun"/>
                      <w:color w:val="000000"/>
                      <w:sz w:val="21"/>
                    </w:rPr>
                    <w:t>2、检测技术：高通量二代测序法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9920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21</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ctDNA肿瘤基因个体化诊疗基因检测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外周血</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1、检测患者外周血，检测与肿瘤诊治相关的基因数量≥100个。</w:t>
                  </w:r>
                </w:p>
                <w:p>
                  <w:pPr>
                    <w:pStyle w:val="null3"/>
                    <w:jc w:val="left"/>
                  </w:pPr>
                  <w:r>
                    <w:rPr>
                      <w:rFonts w:ascii="simsun" w:hAnsi="simsun" w:cs="simsun" w:eastAsia="simsun"/>
                      <w:color w:val="000000"/>
                      <w:sz w:val="21"/>
                    </w:rPr>
                    <w:t>2、检测技术：高通量二代测序法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9920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22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▲肿瘤组织基因全面诊疗基因检测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组织+对照血：切片、新鲜组织</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1、检测实体瘤患者肿瘤组织样本，，检测与肿瘤诊治相关的基因数量≥550个。</w:t>
                  </w:r>
                </w:p>
                <w:p>
                  <w:pPr>
                    <w:pStyle w:val="null3"/>
                    <w:jc w:val="left"/>
                  </w:pPr>
                  <w:r>
                    <w:rPr>
                      <w:rFonts w:ascii="simsun" w:hAnsi="simsun" w:cs="simsun" w:eastAsia="simsun"/>
                      <w:color w:val="000000"/>
                      <w:sz w:val="21"/>
                    </w:rPr>
                    <w:t>2、检测技术：高通量二代测序法</w:t>
                  </w:r>
                  <w:r>
                    <w:br/>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w:t>
                  </w:r>
                  <w:r>
                    <w:rPr>
                      <w:rFonts w:ascii="simsun" w:hAnsi="simsun" w:cs="simsun" w:eastAsia="simsun"/>
                      <w:color w:val="000000"/>
                      <w:sz w:val="21"/>
                    </w:rPr>
                    <w:t>3440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23</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▲ctDNA肿瘤基因全面诊疗基因检测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外周血</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1、检测患者外周血，检测与肿瘤诊治相关的基因数量≥550个。</w:t>
                  </w:r>
                </w:p>
                <w:p>
                  <w:pPr>
                    <w:pStyle w:val="null3"/>
                    <w:jc w:val="left"/>
                  </w:pPr>
                  <w:r>
                    <w:rPr>
                      <w:rFonts w:ascii="simsun" w:hAnsi="simsun" w:cs="simsun" w:eastAsia="simsun"/>
                      <w:sz w:val="21"/>
                    </w:rPr>
                    <w:t>2、</w:t>
                  </w:r>
                  <w:r>
                    <w:rPr>
                      <w:rFonts w:ascii="simsun" w:hAnsi="simsun" w:cs="simsun" w:eastAsia="simsun"/>
                      <w:color w:val="000000"/>
                      <w:sz w:val="21"/>
                    </w:rPr>
                    <w:t>检测技术：高通量二代测序法</w:t>
                  </w:r>
                  <w:r>
                    <w:br/>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w:t>
                  </w:r>
                  <w:r>
                    <w:rPr>
                      <w:rFonts w:ascii="simsun" w:hAnsi="simsun" w:cs="simsun" w:eastAsia="simsun"/>
                      <w:color w:val="000000"/>
                      <w:sz w:val="21"/>
                    </w:rPr>
                    <w:t>3440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24</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▲胃肠肿瘤ctDNA MRD检测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外周血</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1、检测患者外周血与胃肠肿瘤诊治相</w:t>
                  </w:r>
                  <w:r>
                    <w:rPr>
                      <w:rFonts w:ascii="simsun" w:hAnsi="simsun" w:cs="simsun" w:eastAsia="simsun"/>
                      <w:sz w:val="21"/>
                    </w:rPr>
                    <w:t>关的基因数量≥35个（至少包括Dynamic研究重点监测的15个基因）。</w:t>
                  </w:r>
                  <w:r>
                    <w:br/>
                  </w:r>
                  <w:r>
                    <w:rPr>
                      <w:rFonts w:ascii="simsun" w:hAnsi="simsun" w:cs="simsun" w:eastAsia="simsun"/>
                      <w:sz w:val="21"/>
                    </w:rPr>
                    <w:t xml:space="preserve"> 2、可稳定检测出丰度≥0.02%的ctDNA。</w:t>
                  </w:r>
                </w:p>
                <w:p>
                  <w:pPr>
                    <w:pStyle w:val="null3"/>
                    <w:jc w:val="left"/>
                  </w:pPr>
                  <w:r>
                    <w:rPr>
                      <w:rFonts w:ascii="simsun" w:hAnsi="simsun" w:cs="simsun" w:eastAsia="simsun"/>
                      <w:sz w:val="21"/>
                    </w:rPr>
                    <w:t>3、评估报告中必须包括cfDNA浓度、ctDNA浓度及所检测基因VAF值。</w:t>
                  </w:r>
                </w:p>
                <w:p>
                  <w:pPr>
                    <w:pStyle w:val="null3"/>
                    <w:jc w:val="left"/>
                  </w:pPr>
                  <w:r>
                    <w:rPr>
                      <w:rFonts w:ascii="simsun" w:hAnsi="simsun" w:cs="simsun" w:eastAsia="simsun"/>
                      <w:sz w:val="21"/>
                    </w:rPr>
                    <w:t>4、</w:t>
                  </w:r>
                  <w:r>
                    <w:rPr>
                      <w:rFonts w:ascii="simsun" w:hAnsi="simsun" w:cs="simsun" w:eastAsia="simsun"/>
                      <w:color w:val="000000"/>
                      <w:sz w:val="21"/>
                    </w:rPr>
                    <w:t>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3520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25</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▲ctDNA MRD检测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外周血</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1、检测患者外周血，检测与肿瘤诊治相关的基因数量≥150个。</w:t>
                  </w:r>
                  <w:r>
                    <w:br/>
                  </w:r>
                  <w:r>
                    <w:rPr>
                      <w:rFonts w:ascii="simsun" w:hAnsi="simsun" w:cs="simsun" w:eastAsia="simsun"/>
                      <w:sz w:val="21"/>
                    </w:rPr>
                    <w:t xml:space="preserve"> 2、可稳定检测出丰度≥0.02%的ctDNA。</w:t>
                  </w:r>
                </w:p>
                <w:p>
                  <w:pPr>
                    <w:pStyle w:val="null3"/>
                    <w:jc w:val="left"/>
                  </w:pPr>
                  <w:r>
                    <w:rPr>
                      <w:rFonts w:ascii="simsun" w:hAnsi="simsun" w:cs="simsun" w:eastAsia="simsun"/>
                      <w:sz w:val="21"/>
                    </w:rPr>
                    <w:t>3、评估报告中必须包括cfDNA浓度、ctDNA浓度及所检测基因VAF值。</w:t>
                  </w:r>
                </w:p>
                <w:p>
                  <w:pPr>
                    <w:pStyle w:val="null3"/>
                    <w:jc w:val="left"/>
                  </w:pPr>
                  <w:r>
                    <w:rPr>
                      <w:rFonts w:ascii="simsun" w:hAnsi="simsun" w:cs="simsun" w:eastAsia="simsun"/>
                      <w:sz w:val="21"/>
                    </w:rPr>
                    <w:t>4、</w:t>
                  </w:r>
                  <w:r>
                    <w:rPr>
                      <w:rFonts w:ascii="simsun" w:hAnsi="simsun" w:cs="simsun" w:eastAsia="simsun"/>
                      <w:color w:val="000000"/>
                      <w:sz w:val="21"/>
                    </w:rPr>
                    <w:t>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8</w:t>
                  </w:r>
                  <w:r>
                    <w:rPr>
                      <w:rFonts w:ascii="simsun" w:hAnsi="simsun" w:cs="simsun" w:eastAsia="simsun"/>
                      <w:color w:val="000000"/>
                      <w:sz w:val="21"/>
                    </w:rPr>
                    <w:t>640</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simsun" w:hAnsi="simsun" w:cs="simsun" w:eastAsia="simsun"/>
                      <w:color w:val="000000"/>
                      <w:sz w:val="21"/>
                    </w:rPr>
                    <w:t>26</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simsun" w:hAnsi="simsun" w:cs="simsun" w:eastAsia="simsun"/>
                      <w:color w:val="000000"/>
                      <w:sz w:val="21"/>
                    </w:rPr>
                    <w:t>淋巴瘤多基因检测</w:t>
                  </w:r>
                </w:p>
              </w:tc>
              <w:tc>
                <w:tcPr>
                  <w:tcW w:type="dxa" w:w="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simsun" w:hAnsi="simsun" w:cs="simsun" w:eastAsia="simsun"/>
                      <w:color w:val="000000"/>
                      <w:sz w:val="21"/>
                    </w:rPr>
                    <w:t>组织（切片、新鲜组织、蜡块）或抗凝骨髓液（2-5ml,EDTA抗凝管）</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simsun" w:hAnsi="simsun" w:cs="simsun" w:eastAsia="simsun"/>
                      <w:color w:val="000000"/>
                      <w:sz w:val="21"/>
                    </w:rPr>
                    <w:t>1、检测淋巴瘤辅助诊断、指导用药、预后评估相关≥48个基因的热点变异。</w:t>
                  </w:r>
                </w:p>
                <w:p>
                  <w:pPr>
                    <w:pStyle w:val="null3"/>
                    <w:jc w:val="left"/>
                  </w:pPr>
                  <w:r>
                    <w:rPr>
                      <w:rFonts w:ascii="simsun" w:hAnsi="simsun" w:cs="simsun" w:eastAsia="simsun"/>
                      <w:color w:val="000000"/>
                      <w:sz w:val="21"/>
                    </w:rPr>
                    <w:t>2、检测技术：高通量二代测序法</w:t>
                  </w:r>
                </w:p>
              </w:tc>
              <w:tc>
                <w:tcPr>
                  <w:tcW w:type="dxa" w:w="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simsun" w:hAnsi="simsun" w:cs="simsun" w:eastAsia="simsun"/>
                      <w:color w:val="000000"/>
                      <w:sz w:val="21"/>
                    </w:rPr>
                    <w:t>4800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27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1"/>
                    </w:rPr>
                    <w:t>淋巴瘤全面基因检测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组织（切片、新鲜组织、蜡块）或抗凝骨髓液（2-5ml,EDTA抗凝管）</w:t>
                  </w:r>
                  <w:r>
                    <w:br/>
                  </w:r>
                  <w:r>
                    <w:rPr>
                      <w:rFonts w:ascii="simsun" w:hAnsi="simsun" w:cs="simsun" w:eastAsia="simsun"/>
                      <w:color w:val="000000"/>
                      <w:sz w:val="21"/>
                    </w:rPr>
                    <w:t>+</w:t>
                  </w:r>
                  <w:r>
                    <w:br/>
                  </w:r>
                  <w:r>
                    <w:rPr>
                      <w:rFonts w:ascii="simsun" w:hAnsi="simsun" w:cs="simsun" w:eastAsia="simsun"/>
                      <w:color w:val="000000"/>
                      <w:sz w:val="21"/>
                    </w:rPr>
                    <w:t>口腔拭子样本</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1、针对淋巴瘤患者肿瘤组织样本，检测淋巴瘤相关≥160个基因的</w:t>
                  </w:r>
                  <w:r>
                    <w:rPr>
                      <w:rFonts w:ascii="simsun" w:hAnsi="simsun" w:cs="simsun" w:eastAsia="simsun"/>
                      <w:sz w:val="21"/>
                    </w:rPr>
                    <w:t>体系+胚系变异，为患者提供辅助分型</w:t>
                  </w:r>
                  <w:r>
                    <w:rPr>
                      <w:rFonts w:ascii="simsun" w:hAnsi="simsun" w:cs="simsun" w:eastAsia="simsun"/>
                      <w:color w:val="000000"/>
                      <w:sz w:val="21"/>
                    </w:rPr>
                    <w:t>、预后评估和用药指导等。</w:t>
                  </w:r>
                </w:p>
                <w:p>
                  <w:pPr>
                    <w:pStyle w:val="null3"/>
                    <w:jc w:val="left"/>
                  </w:pPr>
                  <w:r>
                    <w:rPr>
                      <w:rFonts w:ascii="simsun" w:hAnsi="simsun" w:cs="simsun" w:eastAsia="simsun"/>
                      <w:color w:val="000000"/>
                      <w:sz w:val="21"/>
                    </w:rPr>
                    <w:t>2、检测技术：高通量二代测序法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9920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28</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1"/>
                    </w:rPr>
                    <w:t>软组织肉瘤多基因检测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组织+对照血： 新鲜组织、切片</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1、针对软组织肉瘤患者肿瘤组织样本，</w:t>
                  </w:r>
                  <w:r>
                    <w:rPr>
                      <w:rFonts w:ascii="simsun" w:hAnsi="simsun" w:cs="simsun" w:eastAsia="simsun"/>
                      <w:sz w:val="21"/>
                    </w:rPr>
                    <w:t>在临床上用于对来源于人体样本的脱氧核糖核酸（DNA）和核糖核酸（RNA）进行测序，对患者进行分子分型、靶向用药指导，能覆盖≥200种融合类型</w:t>
                  </w:r>
                </w:p>
                <w:p>
                  <w:pPr>
                    <w:pStyle w:val="null3"/>
                    <w:jc w:val="left"/>
                  </w:pPr>
                  <w:r>
                    <w:rPr>
                      <w:rFonts w:ascii="simsun" w:hAnsi="simsun" w:cs="simsun" w:eastAsia="simsun"/>
                      <w:color w:val="000000"/>
                      <w:sz w:val="21"/>
                    </w:rPr>
                    <w:t>2、检测技术：高通量二代测序法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8960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29</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1"/>
                    </w:rPr>
                    <w:t>儿童肿瘤多基因检测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组织+对照血： 新鲜组织、切片</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1、针对儿童肿瘤患者肿瘤组织样本</w:t>
                  </w:r>
                  <w:r>
                    <w:rPr>
                      <w:rFonts w:ascii="simsun" w:hAnsi="simsun" w:cs="simsun" w:eastAsia="simsun"/>
                      <w:sz w:val="21"/>
                    </w:rPr>
                    <w:t>，在临床上用于对来源于人体样本的脱氧核糖核酸（DNA）和核糖核酸（RNA）进行测序，对患者进行分子分型、靶向用药指导，能覆盖儿童脑肿瘤、骨肿瘤、软组织肉瘤、神经母细胞瘤、肾母细胞瘤等常见肿瘤。</w:t>
                  </w:r>
                </w:p>
                <w:p>
                  <w:pPr>
                    <w:pStyle w:val="null3"/>
                    <w:jc w:val="left"/>
                  </w:pPr>
                  <w:r>
                    <w:rPr>
                      <w:rFonts w:ascii="simsun" w:hAnsi="simsun" w:cs="simsun" w:eastAsia="simsun"/>
                      <w:color w:val="000000"/>
                      <w:sz w:val="21"/>
                    </w:rPr>
                    <w:t>2、检测技术：高通量二代测序法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13440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30</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全外显子检测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组织+对照血：切片、新鲜组织</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1、检测实体瘤患者肿瘤组织样本，检测全外显子，并解读和肿瘤诊治相关的生物标志物，包括TMB、MSI等。</w:t>
                  </w:r>
                </w:p>
                <w:p>
                  <w:pPr>
                    <w:pStyle w:val="null3"/>
                    <w:jc w:val="left"/>
                  </w:pPr>
                  <w:r>
                    <w:rPr>
                      <w:rFonts w:ascii="simsun" w:hAnsi="simsun" w:cs="simsun" w:eastAsia="simsun"/>
                      <w:color w:val="000000"/>
                      <w:sz w:val="21"/>
                    </w:rPr>
                    <w:t>2、检测技术：高通量二代测序法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w:t>
                  </w:r>
                  <w:r>
                    <w:rPr>
                      <w:rFonts w:ascii="simsun" w:hAnsi="simsun" w:cs="simsun" w:eastAsia="simsun"/>
                      <w:color w:val="000000"/>
                      <w:sz w:val="21"/>
                    </w:rPr>
                    <w:t>5040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31</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血液病基因检测</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EDTA抗凝全血或骨髓液2-5ml+腔拭子</w:t>
                  </w:r>
                  <w:r>
                    <w:br/>
                  </w:r>
                  <w:r>
                    <w:rPr>
                      <w:rFonts w:ascii="simsun" w:hAnsi="simsun" w:cs="simsun" w:eastAsia="simsun"/>
                      <w:color w:val="000000"/>
                      <w:sz w:val="21"/>
                    </w:rPr>
                    <w:t>或睡液(用作对照样本)</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1、针对血液肿瘤患者，检测血液肿瘤相关≥260个基因的体系+胚系，检测变异类型包括SNV、Fusion、InDel和CNV，辅助临床提供分子分型、预后评估、用药指导和遗传易感基因检测。</w:t>
                  </w:r>
                </w:p>
                <w:p>
                  <w:pPr>
                    <w:pStyle w:val="null3"/>
                    <w:jc w:val="left"/>
                  </w:pPr>
                  <w:r>
                    <w:rPr>
                      <w:rFonts w:ascii="simsun" w:hAnsi="simsun" w:cs="simsun" w:eastAsia="simsun"/>
                      <w:color w:val="000000"/>
                      <w:sz w:val="21"/>
                    </w:rPr>
                    <w:t>2、检测技术：高通量二代测序法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12800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32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遗传性肿瘤基因检测-女性套餐</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外周血、唾液</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1、检测遗传性肿瘤种类至少包含乳腺癌、卵巢癌、结直肠癌、胰腺癌、胃癌、子宫内膜癌、黑色 素瘤、多发性内分泌肿瘤、甲状腺癌、甲状腺旁癌、神经纤维瘤、嗜铬 细胞瘤、视网膜母细胞瘤、多发性骨软骨瘤、VHL 综合征、BLM 综合征，检测≥50个基因的全外显子区域。</w:t>
                  </w:r>
                  <w:r>
                    <w:br/>
                  </w:r>
                  <w:r>
                    <w:rPr>
                      <w:rFonts w:ascii="simsun" w:hAnsi="simsun" w:cs="simsun" w:eastAsia="simsun"/>
                      <w:color w:val="000000"/>
                      <w:sz w:val="21"/>
                    </w:rPr>
                    <w:t>2、检测技术：目标区域多重富集+高通量测序。</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7040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33</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遗传性肿瘤基因检测-男性套餐</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外周血、唾液</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 xml:space="preserve">1、检测遗传性肿瘤种类至少包含结直肠癌、胰腺癌、前列腺癌、胃癌、黑色素瘤、多发性内分泌 肿瘤、甲状腺癌、甲状腺旁癌、神经纤维瘤、嗜铬细胞瘤、视网膜母细 胞瘤、多发性骨软骨瘤、VHL 综合征、BLM 综合征，检测≥50个基因的全外显子区域。 </w:t>
                  </w:r>
                  <w:r>
                    <w:br/>
                  </w:r>
                  <w:r>
                    <w:rPr>
                      <w:rFonts w:ascii="simsun" w:hAnsi="simsun" w:cs="simsun" w:eastAsia="simsun"/>
                      <w:color w:val="000000"/>
                      <w:sz w:val="21"/>
                    </w:rPr>
                    <w:t>2、检测技术：目标区域多重富集+高通量测序。</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7040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34</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▲PD-L1 表达免疫组化（22C3）</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组织：切片、新鲜组织</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7-10个工作日</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color w:val="000000"/>
                      <w:sz w:val="21"/>
                    </w:rPr>
                    <w:t>1、PD-L1表达检测，指导免疫检查点抑制剂用药。</w:t>
                  </w:r>
                </w:p>
                <w:p>
                  <w:pPr>
                    <w:pStyle w:val="null3"/>
                    <w:jc w:val="left"/>
                  </w:pPr>
                  <w:r>
                    <w:rPr>
                      <w:rFonts w:ascii="simsun" w:hAnsi="simsun" w:cs="simsun" w:eastAsia="simsun"/>
                      <w:color w:val="000000"/>
                      <w:sz w:val="21"/>
                    </w:rPr>
                    <w:t>2</w:t>
                  </w:r>
                  <w:r>
                    <w:rPr>
                      <w:rFonts w:ascii="simsun" w:hAnsi="simsun" w:cs="simsun" w:eastAsia="simsun"/>
                      <w:color w:val="000000"/>
                      <w:sz w:val="21"/>
                    </w:rPr>
                    <w:t>、检测技术：免疫组化法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21"/>
                    </w:rPr>
                    <w:t>2105</w:t>
                  </w:r>
                </w:p>
              </w:tc>
            </w:tr>
            <w:tr>
              <w:tc>
                <w:tcPr>
                  <w:tcW w:type="dxa" w:w="24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21"/>
                    </w:rPr>
                    <w:t>★1.本项目不分包和转包（34个检测项目须全部开展）</w:t>
                  </w:r>
                </w:p>
                <w:p>
                  <w:pPr>
                    <w:pStyle w:val="null3"/>
                    <w:jc w:val="left"/>
                  </w:pPr>
                  <w:r>
                    <w:rPr>
                      <w:rFonts w:ascii="simsun" w:hAnsi="simsun" w:cs="simsun" w:eastAsia="simsun"/>
                      <w:sz w:val="21"/>
                    </w:rPr>
                    <w:t>★2.下列参数为实质性要求，若有负偏离视为无效投标。</w:t>
                  </w:r>
                </w:p>
                <w:p>
                  <w:pPr>
                    <w:pStyle w:val="null3"/>
                    <w:ind w:firstLine="200"/>
                    <w:jc w:val="left"/>
                  </w:pPr>
                  <w:r>
                    <w:rPr>
                      <w:rFonts w:ascii="simsun" w:hAnsi="simsun" w:cs="simsun" w:eastAsia="simsun"/>
                      <w:sz w:val="21"/>
                    </w:rPr>
                    <w:t>①肺癌组织靶向药物基因检测至少包括EGFR、ALK、ROS1、RET、BRAF、MET、KRAS、NTRK等基因。</w:t>
                  </w:r>
                </w:p>
                <w:p>
                  <w:pPr>
                    <w:pStyle w:val="null3"/>
                    <w:ind w:firstLine="200"/>
                    <w:jc w:val="left"/>
                  </w:pPr>
                  <w:r>
                    <w:rPr>
                      <w:rFonts w:ascii="simsun" w:hAnsi="simsun" w:cs="simsun" w:eastAsia="simsun"/>
                      <w:sz w:val="21"/>
                    </w:rPr>
                    <w:t>②肠癌组织用药基因检测至少包括KRAS、NRAS、BRAF等基因。</w:t>
                  </w:r>
                </w:p>
                <w:p>
                  <w:pPr>
                    <w:pStyle w:val="null3"/>
                    <w:jc w:val="left"/>
                  </w:pPr>
                  <w:r>
                    <w:rPr>
                      <w:rFonts w:ascii="simsun" w:hAnsi="simsun" w:cs="simsun" w:eastAsia="simsun"/>
                      <w:sz w:val="21"/>
                    </w:rPr>
                    <w:t xml:space="preserve"> ③胃肠道间质瘤组织靶向用药基因检测至少包括KIT、PDGFRA、BRAF、KRAS、SDHA、SDHB、SDHC、SDHD、NF1等基因。</w:t>
                  </w:r>
                </w:p>
                <w:p>
                  <w:pPr>
                    <w:pStyle w:val="null3"/>
                    <w:jc w:val="left"/>
                  </w:pPr>
                  <w:r>
                    <w:rPr>
                      <w:rFonts w:ascii="simsun" w:hAnsi="simsun" w:cs="simsun" w:eastAsia="simsun"/>
                      <w:sz w:val="21"/>
                    </w:rPr>
                    <w:t xml:space="preserve">  ④PD-L1表达免疫组化（22C3）检测试剂盒须具有NMPA认证。</w:t>
                  </w:r>
                </w:p>
              </w:tc>
            </w:tr>
          </w:tbl>
          <w:p>
            <w:pPr>
              <w:pStyle w:val="null3"/>
              <w:ind w:firstLine="643"/>
              <w:jc w:val="both"/>
            </w:pPr>
            <w:r>
              <w:rPr/>
              <w:t xml:space="preserve"> </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商务要求</w:t>
            </w:r>
          </w:p>
        </w:tc>
        <w:tc>
          <w:tcPr>
            <w:tcW w:type="dxa" w:w="2076"/>
          </w:tcPr>
          <w:p>
            <w:pPr>
              <w:pStyle w:val="null3"/>
              <w:ind w:firstLine="64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宋体" w:hAnsi="宋体" w:cs="宋体" w:eastAsia="宋体"/>
                <w:sz w:val="24"/>
              </w:rPr>
              <w:t>服务要求：</w:t>
            </w:r>
          </w:p>
          <w:p>
            <w:pPr>
              <w:pStyle w:val="null3"/>
              <w:ind w:firstLine="480"/>
              <w:jc w:val="left"/>
            </w:pPr>
            <w:r>
              <w:rPr>
                <w:rFonts w:ascii="宋体" w:hAnsi="宋体" w:cs="宋体" w:eastAsia="宋体"/>
                <w:sz w:val="24"/>
              </w:rPr>
              <w:t>1</w:t>
            </w:r>
            <w:r>
              <w:rPr>
                <w:rFonts w:ascii="宋体" w:hAnsi="宋体" w:cs="宋体" w:eastAsia="宋体"/>
                <w:sz w:val="24"/>
              </w:rPr>
              <w:t>）</w:t>
            </w:r>
            <w:r>
              <w:rPr>
                <w:rFonts w:ascii="宋体" w:hAnsi="宋体" w:cs="宋体" w:eastAsia="宋体"/>
                <w:sz w:val="24"/>
              </w:rPr>
              <w:t>质量要求：具备质量控制文件、质量保证方案、危急值报告程序，如质量手册、</w:t>
            </w:r>
            <w:r>
              <w:rPr>
                <w:rFonts w:ascii="宋体" w:hAnsi="宋体" w:cs="宋体" w:eastAsia="宋体"/>
                <w:sz w:val="24"/>
              </w:rPr>
              <w:t>SOP、以及其他涉及质量保证的程序文件等。</w:t>
            </w:r>
          </w:p>
          <w:p>
            <w:pPr>
              <w:pStyle w:val="null3"/>
              <w:ind w:firstLine="480"/>
              <w:jc w:val="both"/>
            </w:pPr>
            <w:r>
              <w:rPr>
                <w:rFonts w:ascii="宋体" w:hAnsi="宋体" w:cs="宋体" w:eastAsia="宋体"/>
                <w:sz w:val="24"/>
              </w:rPr>
              <w:t>2</w:t>
            </w:r>
            <w:r>
              <w:rPr>
                <w:rFonts w:ascii="宋体" w:hAnsi="宋体" w:cs="宋体" w:eastAsia="宋体"/>
                <w:sz w:val="24"/>
              </w:rPr>
              <w:t>）人员要求：供应商拟为本项目提供至少4名实验室检测人员且具备临床基因扩增实验室上岗证和检验</w:t>
            </w:r>
            <w:r>
              <w:rPr>
                <w:rFonts w:ascii="宋体" w:hAnsi="宋体" w:cs="宋体" w:eastAsia="宋体"/>
                <w:sz w:val="24"/>
              </w:rPr>
              <w:t>/病理技师证，提供证书复印件</w:t>
            </w:r>
            <w:r>
              <w:rPr>
                <w:rFonts w:ascii="宋体" w:hAnsi="宋体" w:cs="宋体" w:eastAsia="宋体"/>
                <w:sz w:val="24"/>
              </w:rPr>
              <w:t>、</w:t>
            </w:r>
            <w:r>
              <w:rPr>
                <w:rFonts w:ascii="宋体" w:hAnsi="宋体" w:cs="宋体" w:eastAsia="宋体"/>
                <w:sz w:val="24"/>
              </w:rPr>
              <w:t>提供该人员在投标单位的社保缴纳凭证或有效期内的劳动关系证明，社保缴纳凭证要求如下：若供应商成立时间</w:t>
            </w:r>
            <w:r>
              <w:rPr>
                <w:rFonts w:ascii="宋体" w:hAnsi="宋体" w:cs="宋体" w:eastAsia="宋体"/>
                <w:sz w:val="24"/>
              </w:rPr>
              <w:t>≥4个月，提供2024年1月1日至投标截止日任意三个月的社保缴纳凭证，若供应商成立时间＞1个月，＜4个月的，提供2024年1月1日至投标截止日任意一个月的社保缴纳凭证。若供应商成立时间≤1个月，提供该人员为投标单位人员的承诺函。</w:t>
            </w:r>
          </w:p>
          <w:p>
            <w:pPr>
              <w:pStyle w:val="null3"/>
              <w:ind w:firstLine="480"/>
              <w:jc w:val="left"/>
            </w:pPr>
            <w:r>
              <w:rPr>
                <w:rFonts w:ascii="宋体" w:hAnsi="宋体" w:cs="宋体" w:eastAsia="宋体"/>
                <w:sz w:val="24"/>
              </w:rPr>
              <w:t>3</w:t>
            </w:r>
            <w:r>
              <w:rPr>
                <w:rFonts w:ascii="宋体" w:hAnsi="宋体" w:cs="宋体" w:eastAsia="宋体"/>
                <w:sz w:val="24"/>
              </w:rPr>
              <w:t>）标本收取及报告：标本需及时上门收取（标本需在接到通知后</w:t>
            </w:r>
            <w:r>
              <w:rPr>
                <w:rFonts w:ascii="宋体" w:hAnsi="宋体" w:cs="宋体" w:eastAsia="宋体"/>
                <w:sz w:val="24"/>
              </w:rPr>
              <w:t>4小时内由专人收取，提供承诺函），特</w:t>
            </w:r>
            <w:r>
              <w:rPr>
                <w:rFonts w:ascii="宋体" w:hAnsi="宋体" w:cs="宋体" w:eastAsia="宋体"/>
                <w:sz w:val="24"/>
              </w:rPr>
              <w:t>殊</w:t>
            </w:r>
            <w:r>
              <w:rPr>
                <w:rFonts w:ascii="宋体" w:hAnsi="宋体" w:cs="宋体" w:eastAsia="宋体"/>
                <w:sz w:val="24"/>
              </w:rPr>
              <w:t>情况临时增加一次；收取人员必须当场确认采集量和标本类型是否符合要求，如不符及时和医院病理科及相关项目临床科室人员联系。提供出具检验报告的时限，根据要求提供多种形式（纸质版、电子版）的检测报告。</w:t>
            </w:r>
          </w:p>
          <w:p>
            <w:pPr>
              <w:pStyle w:val="null3"/>
              <w:ind w:firstLine="480"/>
              <w:jc w:val="left"/>
            </w:pPr>
            <w:r>
              <w:rPr>
                <w:rFonts w:ascii="宋体" w:hAnsi="宋体" w:cs="宋体" w:eastAsia="宋体"/>
                <w:sz w:val="24"/>
              </w:rPr>
              <w:t>4</w:t>
            </w:r>
            <w:r>
              <w:rPr>
                <w:rFonts w:ascii="宋体" w:hAnsi="宋体" w:cs="宋体" w:eastAsia="宋体"/>
                <w:sz w:val="24"/>
              </w:rPr>
              <w:t>）标本转运制度：具有标本转运物流流程规章制度（包括标本运输紧急预案及工作各环节操作说明书）。</w:t>
            </w:r>
          </w:p>
          <w:p>
            <w:pPr>
              <w:pStyle w:val="null3"/>
              <w:ind w:firstLine="480"/>
              <w:jc w:val="left"/>
            </w:pPr>
            <w:r>
              <w:rPr>
                <w:rFonts w:ascii="宋体" w:hAnsi="宋体" w:cs="宋体" w:eastAsia="宋体"/>
                <w:sz w:val="24"/>
              </w:rPr>
              <w:t>5</w:t>
            </w:r>
            <w:r>
              <w:rPr>
                <w:rFonts w:ascii="宋体" w:hAnsi="宋体" w:cs="宋体" w:eastAsia="宋体"/>
                <w:sz w:val="24"/>
              </w:rPr>
              <w:t>）运输系统要求：</w:t>
            </w:r>
          </w:p>
          <w:p>
            <w:pPr>
              <w:pStyle w:val="null3"/>
              <w:ind w:firstLine="240"/>
              <w:jc w:val="left"/>
            </w:pPr>
            <w:r>
              <w:rPr>
                <w:rFonts w:ascii="times new roman, times, serif" w:hAnsi="times new roman, times, serif" w:cs="times new roman, times, serif" w:eastAsia="times new roman, times, serif"/>
                <w:sz w:val="21"/>
              </w:rPr>
              <w:t>①</w:t>
            </w:r>
            <w:r>
              <w:rPr>
                <w:rFonts w:ascii="宋体" w:hAnsi="宋体" w:cs="宋体" w:eastAsia="宋体"/>
                <w:sz w:val="24"/>
              </w:rPr>
              <w:t>所有样本的运送必须符合样本运输管理要求，特殊标本运输需采用相应的冷链运送技术。</w:t>
            </w:r>
          </w:p>
          <w:p>
            <w:pPr>
              <w:pStyle w:val="null3"/>
              <w:ind w:firstLine="240"/>
              <w:jc w:val="left"/>
            </w:pPr>
            <w:r>
              <w:rPr>
                <w:rFonts w:ascii="times new roman, times, serif" w:hAnsi="times new roman, times, serif" w:cs="times new roman, times, serif" w:eastAsia="times new roman, times, serif"/>
                <w:sz w:val="21"/>
              </w:rPr>
              <w:t>②</w:t>
            </w:r>
            <w:r>
              <w:rPr>
                <w:rFonts w:ascii="宋体" w:hAnsi="宋体" w:cs="宋体" w:eastAsia="宋体"/>
                <w:sz w:val="24"/>
              </w:rPr>
              <w:t>具有可实时监控物流各个环节的温度的系统和终端设备，能够对物流的全程进行温度监控、报警及记录，能够对整个过程进行溯源管理。</w:t>
            </w:r>
          </w:p>
          <w:p>
            <w:pPr>
              <w:pStyle w:val="null3"/>
              <w:jc w:val="left"/>
            </w:pPr>
            <w:r>
              <w:rPr>
                <w:rFonts w:ascii="宋体" w:hAnsi="宋体" w:cs="宋体" w:eastAsia="宋体"/>
                <w:sz w:val="24"/>
              </w:rPr>
              <w:t>（</w:t>
            </w:r>
            <w:r>
              <w:rPr>
                <w:rFonts w:ascii="宋体" w:hAnsi="宋体" w:cs="宋体" w:eastAsia="宋体"/>
                <w:sz w:val="24"/>
              </w:rPr>
              <w:t>2）</w:t>
            </w:r>
            <w:r>
              <w:rPr>
                <w:rFonts w:ascii="宋体" w:hAnsi="宋体" w:cs="宋体" w:eastAsia="宋体"/>
                <w:sz w:val="24"/>
              </w:rPr>
              <w:t>服务期限：</w:t>
            </w:r>
            <w:r>
              <w:rPr>
                <w:rFonts w:ascii="宋体" w:hAnsi="宋体" w:cs="宋体" w:eastAsia="宋体"/>
                <w:sz w:val="24"/>
              </w:rPr>
              <w:t>合同期限为一年，以合同约定的起止时间为准</w:t>
            </w:r>
            <w:r>
              <w:rPr>
                <w:rFonts w:ascii="宋体" w:hAnsi="宋体" w:cs="宋体" w:eastAsia="宋体"/>
                <w:sz w:val="24"/>
              </w:rPr>
              <w:t>。</w:t>
            </w:r>
          </w:p>
          <w:p>
            <w:pPr>
              <w:pStyle w:val="null3"/>
              <w:jc w:val="left"/>
            </w:pPr>
            <w:r>
              <w:rPr>
                <w:rFonts w:ascii="宋体" w:hAnsi="宋体" w:cs="宋体" w:eastAsia="宋体"/>
                <w:sz w:val="24"/>
              </w:rPr>
              <w:t>（</w:t>
            </w:r>
            <w:r>
              <w:rPr>
                <w:rFonts w:ascii="宋体" w:hAnsi="宋体" w:cs="宋体" w:eastAsia="宋体"/>
                <w:sz w:val="24"/>
              </w:rPr>
              <w:t>3）</w:t>
            </w:r>
            <w:r>
              <w:rPr>
                <w:rFonts w:ascii="宋体" w:hAnsi="宋体" w:cs="宋体" w:eastAsia="宋体"/>
                <w:sz w:val="24"/>
              </w:rPr>
              <w:t>服务范围：病理科及相关项目临床科室。</w:t>
            </w:r>
          </w:p>
          <w:p>
            <w:pPr>
              <w:pStyle w:val="null3"/>
              <w:jc w:val="left"/>
            </w:pPr>
            <w:r>
              <w:rPr>
                <w:rFonts w:ascii="宋体" w:hAnsi="宋体" w:cs="宋体" w:eastAsia="宋体"/>
                <w:sz w:val="24"/>
              </w:rPr>
              <w:t>（</w:t>
            </w:r>
            <w:r>
              <w:rPr>
                <w:rFonts w:ascii="宋体" w:hAnsi="宋体" w:cs="宋体" w:eastAsia="宋体"/>
                <w:sz w:val="24"/>
              </w:rPr>
              <w:t>4）</w:t>
            </w:r>
            <w:r>
              <w:rPr>
                <w:rFonts w:ascii="宋体" w:hAnsi="宋体" w:cs="宋体" w:eastAsia="宋体"/>
                <w:sz w:val="24"/>
              </w:rPr>
              <w:t>付款方式：每月就上个月送检明细进行对账，对账无误后，每月中标人开具发票，采购人收到发票后付款。</w:t>
            </w:r>
          </w:p>
          <w:p>
            <w:pPr>
              <w:pStyle w:val="null3"/>
              <w:jc w:val="left"/>
            </w:pPr>
            <w:r>
              <w:rPr>
                <w:rFonts w:ascii="宋体" w:hAnsi="宋体" w:cs="宋体" w:eastAsia="宋体"/>
                <w:sz w:val="24"/>
              </w:rPr>
              <w:t>（</w:t>
            </w:r>
            <w:r>
              <w:rPr>
                <w:rFonts w:ascii="宋体" w:hAnsi="宋体" w:cs="宋体" w:eastAsia="宋体"/>
                <w:sz w:val="24"/>
              </w:rPr>
              <w:t>5）</w:t>
            </w:r>
            <w:r>
              <w:rPr>
                <w:rFonts w:ascii="宋体" w:hAnsi="宋体" w:cs="宋体" w:eastAsia="宋体"/>
                <w:sz w:val="24"/>
              </w:rPr>
              <w:t>数量：最终结算数量以实际发生数量为准。结算金额不超过年度预算。</w:t>
            </w:r>
          </w:p>
          <w:p>
            <w:pPr>
              <w:pStyle w:val="null3"/>
              <w:jc w:val="left"/>
            </w:pPr>
            <w:r>
              <w:rPr>
                <w:rFonts w:ascii="宋体" w:hAnsi="宋体" w:cs="宋体" w:eastAsia="宋体"/>
                <w:sz w:val="24"/>
              </w:rPr>
              <w:t>（</w:t>
            </w:r>
            <w:r>
              <w:rPr>
                <w:rFonts w:ascii="宋体" w:hAnsi="宋体" w:cs="宋体" w:eastAsia="宋体"/>
                <w:sz w:val="24"/>
              </w:rPr>
              <w:t>6）</w:t>
            </w:r>
            <w:r>
              <w:rPr>
                <w:rFonts w:ascii="宋体" w:hAnsi="宋体" w:cs="宋体" w:eastAsia="宋体"/>
                <w:sz w:val="24"/>
              </w:rPr>
              <w:t>售后服务：</w:t>
            </w:r>
          </w:p>
          <w:p>
            <w:pPr>
              <w:pStyle w:val="null3"/>
              <w:ind w:firstLine="420"/>
              <w:jc w:val="left"/>
            </w:pPr>
            <w:r>
              <w:rPr>
                <w:rFonts w:ascii="宋体" w:hAnsi="宋体" w:cs="宋体" w:eastAsia="宋体"/>
                <w:sz w:val="24"/>
              </w:rPr>
              <w:t>1</w:t>
            </w:r>
            <w:r>
              <w:rPr>
                <w:rFonts w:ascii="宋体" w:hAnsi="宋体" w:cs="宋体" w:eastAsia="宋体"/>
                <w:sz w:val="24"/>
              </w:rPr>
              <w:t>）</w:t>
            </w:r>
            <w:r>
              <w:rPr>
                <w:rFonts w:ascii="宋体" w:hAnsi="宋体" w:cs="宋体" w:eastAsia="宋体"/>
                <w:sz w:val="24"/>
              </w:rPr>
              <w:t>提供售后服务人员名单及联系电话。</w:t>
            </w:r>
          </w:p>
          <w:p>
            <w:pPr>
              <w:pStyle w:val="null3"/>
              <w:ind w:firstLine="420"/>
              <w:jc w:val="left"/>
            </w:pPr>
            <w:r>
              <w:rPr>
                <w:rFonts w:ascii="宋体" w:hAnsi="宋体" w:cs="宋体" w:eastAsia="宋体"/>
                <w:sz w:val="24"/>
              </w:rPr>
              <w:t>2</w:t>
            </w:r>
            <w:r>
              <w:rPr>
                <w:rFonts w:ascii="宋体" w:hAnsi="宋体" w:cs="宋体" w:eastAsia="宋体"/>
                <w:sz w:val="24"/>
              </w:rPr>
              <w:t>）</w:t>
            </w:r>
            <w:r>
              <w:rPr>
                <w:rFonts w:ascii="宋体" w:hAnsi="宋体" w:cs="宋体" w:eastAsia="宋体"/>
                <w:sz w:val="24"/>
              </w:rPr>
              <w:t>服务时效：日常电话及时应答，投诉</w:t>
            </w:r>
            <w:r>
              <w:rPr>
                <w:rFonts w:ascii="宋体" w:hAnsi="宋体" w:cs="宋体" w:eastAsia="宋体"/>
                <w:sz w:val="24"/>
              </w:rPr>
              <w:t>2小时内回复调查进展。</w:t>
            </w:r>
          </w:p>
          <w:p>
            <w:pPr>
              <w:pStyle w:val="null3"/>
              <w:jc w:val="left"/>
            </w:pPr>
            <w:r>
              <w:rPr>
                <w:rFonts w:ascii="宋体" w:hAnsi="宋体" w:cs="宋体" w:eastAsia="宋体"/>
                <w:sz w:val="24"/>
              </w:rPr>
              <w:t>（</w:t>
            </w:r>
            <w:r>
              <w:rPr>
                <w:rFonts w:ascii="宋体" w:hAnsi="宋体" w:cs="宋体" w:eastAsia="宋体"/>
                <w:sz w:val="24"/>
              </w:rPr>
              <w:t>7）</w:t>
            </w:r>
            <w:r>
              <w:rPr>
                <w:rFonts w:ascii="宋体" w:hAnsi="宋体" w:cs="宋体" w:eastAsia="宋体"/>
                <w:sz w:val="24"/>
              </w:rPr>
              <w:t>考核要求：</w:t>
            </w:r>
            <w:r>
              <w:rPr>
                <w:rFonts w:ascii="宋体" w:hAnsi="宋体" w:cs="宋体" w:eastAsia="宋体"/>
                <w:sz w:val="24"/>
              </w:rPr>
              <w:t>合同签订后</w:t>
            </w:r>
            <w:r>
              <w:rPr>
                <w:rFonts w:ascii="宋体" w:hAnsi="宋体" w:cs="宋体" w:eastAsia="宋体"/>
                <w:sz w:val="24"/>
              </w:rPr>
              <w:t>如供应商不履约合同或考核不合格，医院可提前终止合同。（由医院考核，考核方法按医院方法执行）</w:t>
            </w:r>
          </w:p>
          <w:p>
            <w:pPr>
              <w:pStyle w:val="null3"/>
              <w:ind w:firstLine="420"/>
              <w:jc w:val="left"/>
            </w:pPr>
            <w:r>
              <w:rPr>
                <w:rFonts w:ascii="宋体" w:hAnsi="宋体" w:cs="宋体" w:eastAsia="宋体"/>
                <w:sz w:val="24"/>
              </w:rPr>
              <w:t>1）采购人将对中标人检验质控现场检查，根据采购人需求提供检验项目质检报告或溯源证明材料，不合格或无法提供相应材料时，采购人有权单方面终止合同，并不对中标人承担赔偿责任。</w:t>
            </w:r>
          </w:p>
          <w:p>
            <w:pPr>
              <w:pStyle w:val="null3"/>
              <w:ind w:firstLine="435"/>
              <w:jc w:val="left"/>
            </w:pPr>
            <w:r>
              <w:rPr>
                <w:rFonts w:ascii="宋体" w:hAnsi="宋体" w:cs="宋体" w:eastAsia="宋体"/>
                <w:sz w:val="24"/>
              </w:rPr>
              <w:t>2）采购人将对中标人的服务进行</w:t>
            </w:r>
            <w:r>
              <w:rPr>
                <w:rFonts w:ascii="宋体" w:hAnsi="宋体" w:cs="宋体" w:eastAsia="宋体"/>
                <w:sz w:val="24"/>
              </w:rPr>
              <w:t>年度</w:t>
            </w:r>
            <w:r>
              <w:rPr>
                <w:rFonts w:ascii="宋体" w:hAnsi="宋体" w:cs="宋体" w:eastAsia="宋体"/>
                <w:sz w:val="24"/>
              </w:rPr>
              <w:t>考核，考核维度包括物流服务、报告单发放、实验室检测质控等，如中标人考核结果未能达到采购人的要求（</w:t>
            </w:r>
            <w:r>
              <w:rPr>
                <w:rFonts w:ascii="宋体" w:hAnsi="宋体" w:cs="宋体" w:eastAsia="宋体"/>
                <w:sz w:val="24"/>
              </w:rPr>
              <w:t>≤80分），采购人有权提前终止合同并不承担违约责任。</w:t>
            </w:r>
          </w:p>
          <w:p>
            <w:pPr>
              <w:pStyle w:val="null3"/>
              <w:ind w:firstLine="435"/>
              <w:jc w:val="left"/>
            </w:pPr>
            <w:r>
              <w:rPr>
                <w:rFonts w:ascii="宋体" w:hAnsi="宋体" w:cs="宋体" w:eastAsia="宋体"/>
                <w:sz w:val="24"/>
              </w:rPr>
              <w:t>考核表：</w:t>
            </w:r>
          </w:p>
          <w:tbl>
            <w:tblPr>
              <w:tblBorders>
                <w:top w:val="none" w:color="000000" w:sz="4"/>
                <w:left w:val="none" w:color="000000" w:sz="4"/>
                <w:bottom w:val="none" w:color="000000" w:sz="4"/>
                <w:right w:val="none" w:color="000000" w:sz="4"/>
                <w:insideH w:val="none"/>
                <w:insideV w:val="none"/>
              </w:tblBorders>
            </w:tblPr>
            <w:tblGrid>
              <w:gridCol w:w="188"/>
              <w:gridCol w:w="1469"/>
              <w:gridCol w:w="201"/>
            </w:tblGrid>
            <w:tr>
              <w:tc>
                <w:tcPr>
                  <w:tcW w:type="dxa" w:w="188"/>
                  <w:tcBorders>
                    <w:top w:val="outset"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序号</w:t>
                  </w:r>
                </w:p>
              </w:tc>
              <w:tc>
                <w:tcPr>
                  <w:tcW w:type="dxa" w:w="1469"/>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考核标准</w:t>
                  </w:r>
                </w:p>
              </w:tc>
              <w:tc>
                <w:tcPr>
                  <w:tcW w:type="dxa" w:w="201"/>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分值</w:t>
                  </w:r>
                </w:p>
              </w:tc>
            </w:tr>
            <w:tr>
              <w:tc>
                <w:tcPr>
                  <w:tcW w:type="dxa" w:w="188"/>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1</w:t>
                  </w:r>
                </w:p>
              </w:tc>
              <w:tc>
                <w:tcPr>
                  <w:tcW w:type="dxa" w:w="1469"/>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标本收集：供应商应在接到通知后</w:t>
                  </w:r>
                  <w:r>
                    <w:rPr>
                      <w:rFonts w:ascii="宋体" w:hAnsi="宋体" w:cs="宋体" w:eastAsia="宋体"/>
                      <w:sz w:val="24"/>
                    </w:rPr>
                    <w:t>4小时内由专人及时取外送标本。延时一次扣1分。</w:t>
                  </w:r>
                </w:p>
              </w:tc>
              <w:tc>
                <w:tcPr>
                  <w:tcW w:type="dxa" w:w="201"/>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15</w:t>
                  </w:r>
                </w:p>
              </w:tc>
            </w:tr>
            <w:tr>
              <w:tc>
                <w:tcPr>
                  <w:tcW w:type="dxa" w:w="188"/>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2</w:t>
                  </w:r>
                </w:p>
              </w:tc>
              <w:tc>
                <w:tcPr>
                  <w:tcW w:type="dxa" w:w="1469"/>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标本存储及运送：供应商应具有标本存储及运送的工具设施，确保标本在储存及运送过程中不发生变质的情况。出现一次事故扣</w:t>
                  </w:r>
                  <w:r>
                    <w:rPr>
                      <w:rFonts w:ascii="宋体" w:hAnsi="宋体" w:cs="宋体" w:eastAsia="宋体"/>
                      <w:sz w:val="24"/>
                    </w:rPr>
                    <w:t>2分。</w:t>
                  </w:r>
                </w:p>
              </w:tc>
              <w:tc>
                <w:tcPr>
                  <w:tcW w:type="dxa" w:w="201"/>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20</w:t>
                  </w:r>
                </w:p>
              </w:tc>
            </w:tr>
            <w:tr>
              <w:tc>
                <w:tcPr>
                  <w:tcW w:type="dxa" w:w="188"/>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3</w:t>
                  </w:r>
                </w:p>
              </w:tc>
              <w:tc>
                <w:tcPr>
                  <w:tcW w:type="dxa" w:w="1469"/>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标本检验：供应商应当在标本收取后按规定时间出具检验报告。延时一次扣</w:t>
                  </w:r>
                  <w:r>
                    <w:rPr>
                      <w:rFonts w:ascii="宋体" w:hAnsi="宋体" w:cs="宋体" w:eastAsia="宋体"/>
                      <w:sz w:val="24"/>
                    </w:rPr>
                    <w:t>2分。</w:t>
                  </w:r>
                </w:p>
              </w:tc>
              <w:tc>
                <w:tcPr>
                  <w:tcW w:type="dxa" w:w="201"/>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15</w:t>
                  </w:r>
                </w:p>
              </w:tc>
            </w:tr>
            <w:tr>
              <w:tc>
                <w:tcPr>
                  <w:tcW w:type="dxa" w:w="188"/>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4</w:t>
                  </w:r>
                </w:p>
              </w:tc>
              <w:tc>
                <w:tcPr>
                  <w:tcW w:type="dxa" w:w="1469"/>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供应商服务过程中每发生一次标本丢失等恶性事件（一次扣</w:t>
                  </w:r>
                  <w:r>
                    <w:rPr>
                      <w:rFonts w:ascii="宋体" w:hAnsi="宋体" w:cs="宋体" w:eastAsia="宋体"/>
                      <w:sz w:val="24"/>
                    </w:rPr>
                    <w:t>35分）；项目漏检一次性扣10分；检验结果重大偏差等重大事件，一次扣20分。</w:t>
                  </w:r>
                </w:p>
              </w:tc>
              <w:tc>
                <w:tcPr>
                  <w:tcW w:type="dxa" w:w="201"/>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35</w:t>
                  </w:r>
                </w:p>
              </w:tc>
            </w:tr>
            <w:tr>
              <w:tc>
                <w:tcPr>
                  <w:tcW w:type="dxa" w:w="188"/>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5</w:t>
                  </w:r>
                </w:p>
              </w:tc>
              <w:tc>
                <w:tcPr>
                  <w:tcW w:type="dxa" w:w="1469"/>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服务过程中如涉及项目变更的第一时间通知病理科，延期通知导致投诉的，延时一次扣</w:t>
                  </w:r>
                  <w:r>
                    <w:rPr>
                      <w:rFonts w:ascii="宋体" w:hAnsi="宋体" w:cs="宋体" w:eastAsia="宋体"/>
                      <w:sz w:val="24"/>
                    </w:rPr>
                    <w:t>2分。</w:t>
                  </w:r>
                </w:p>
              </w:tc>
              <w:tc>
                <w:tcPr>
                  <w:tcW w:type="dxa" w:w="201"/>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1</w:t>
                  </w:r>
                  <w:r>
                    <w:rPr>
                      <w:rFonts w:ascii="宋体" w:hAnsi="宋体" w:cs="宋体" w:eastAsia="宋体"/>
                      <w:sz w:val="24"/>
                    </w:rPr>
                    <w:t>5</w:t>
                  </w:r>
                </w:p>
              </w:tc>
            </w:tr>
            <w:tr>
              <w:tc>
                <w:tcPr>
                  <w:tcW w:type="dxa" w:w="1657"/>
                  <w:gridSpan w:val="2"/>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合计</w:t>
                  </w:r>
                </w:p>
              </w:tc>
              <w:tc>
                <w:tcPr>
                  <w:tcW w:type="dxa" w:w="201"/>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left"/>
                  </w:pPr>
                  <w:r>
                    <w:rPr>
                      <w:rFonts w:ascii="宋体" w:hAnsi="宋体" w:cs="宋体" w:eastAsia="宋体"/>
                      <w:sz w:val="24"/>
                    </w:rPr>
                    <w:t>100</w:t>
                  </w:r>
                </w:p>
              </w:tc>
            </w:tr>
          </w:tbl>
          <w:p>
            <w:pPr>
              <w:pStyle w:val="null3"/>
              <w:ind w:firstLine="210"/>
              <w:jc w:val="left"/>
            </w:pPr>
            <w:r>
              <w:rPr>
                <w:rFonts w:ascii="宋体" w:hAnsi="宋体" w:cs="宋体" w:eastAsia="宋体"/>
                <w:sz w:val="24"/>
              </w:rPr>
              <w:t>（</w:t>
            </w:r>
            <w:r>
              <w:rPr>
                <w:rFonts w:ascii="宋体" w:hAnsi="宋体" w:cs="宋体" w:eastAsia="宋体"/>
                <w:sz w:val="24"/>
              </w:rPr>
              <w:t>8）</w:t>
            </w:r>
            <w:r>
              <w:rPr>
                <w:rFonts w:ascii="宋体" w:hAnsi="宋体" w:cs="宋体" w:eastAsia="宋体"/>
                <w:sz w:val="24"/>
              </w:rPr>
              <w:t>其他要求：</w:t>
            </w:r>
          </w:p>
          <w:p>
            <w:pPr>
              <w:pStyle w:val="null3"/>
              <w:ind w:firstLine="480"/>
              <w:jc w:val="left"/>
            </w:pPr>
            <w:r>
              <w:rPr>
                <w:rFonts w:ascii="宋体" w:hAnsi="宋体" w:cs="宋体" w:eastAsia="宋体"/>
                <w:sz w:val="24"/>
              </w:rPr>
              <w:t>1）如果医疗服务收费价格发生调整的，相关收费标准下调的，按照调整后的价格执行，相应项目检测费用按照调整后服务价格</w:t>
            </w:r>
            <w:r>
              <w:rPr>
                <w:rFonts w:ascii="宋体" w:hAnsi="宋体" w:cs="宋体" w:eastAsia="宋体"/>
                <w:sz w:val="24"/>
              </w:rPr>
              <w:t>*供应商的成交下浮比例</w:t>
            </w:r>
            <w:r>
              <w:rPr>
                <w:rFonts w:ascii="宋体" w:hAnsi="宋体" w:cs="宋体" w:eastAsia="宋体"/>
                <w:sz w:val="24"/>
              </w:rPr>
              <w:t>进行计算（从收费价格调整之日起开始执行）。如上调收费标准则结算价格不作调整。</w:t>
            </w:r>
          </w:p>
          <w:p>
            <w:pPr>
              <w:pStyle w:val="null3"/>
              <w:ind w:firstLine="480"/>
              <w:jc w:val="left"/>
            </w:pPr>
            <w:r>
              <w:rPr>
                <w:rFonts w:ascii="宋体" w:hAnsi="宋体" w:cs="宋体" w:eastAsia="宋体"/>
                <w:sz w:val="24"/>
              </w:rPr>
              <w:t>2）采购人将不定期组织专家至供应商现场检查、督导并查看试剂、设备等采购相关台账，如发现供应商存在提供虚假信息或未经院方同意私自更改使用试剂的品牌和检验项目的方法学等现象，采购人有权立即终止合同，供应商需按已做项目的收费金额赔偿采购人，并承担所有相关违约责任。</w:t>
            </w:r>
          </w:p>
          <w:p>
            <w:pPr>
              <w:pStyle w:val="null3"/>
              <w:jc w:val="left"/>
            </w:pPr>
            <w:r>
              <w:rPr>
                <w:rFonts w:ascii="宋体" w:hAnsi="宋体" w:cs="宋体" w:eastAsia="宋体"/>
                <w:sz w:val="24"/>
              </w:rPr>
              <w:t>（</w:t>
            </w:r>
            <w:r>
              <w:rPr>
                <w:rFonts w:ascii="宋体" w:hAnsi="宋体" w:cs="宋体" w:eastAsia="宋体"/>
                <w:sz w:val="24"/>
              </w:rPr>
              <w:t>9）</w:t>
            </w:r>
            <w:r>
              <w:rPr>
                <w:rFonts w:ascii="宋体" w:hAnsi="宋体" w:cs="宋体" w:eastAsia="宋体"/>
                <w:sz w:val="24"/>
              </w:rPr>
              <w:t>报价要求：</w:t>
            </w:r>
          </w:p>
          <w:p>
            <w:pPr>
              <w:pStyle w:val="null3"/>
              <w:ind w:firstLine="480"/>
              <w:jc w:val="left"/>
            </w:pPr>
            <w:r>
              <w:rPr>
                <w:rFonts w:ascii="宋体" w:hAnsi="宋体" w:cs="宋体" w:eastAsia="宋体"/>
                <w:sz w:val="24"/>
              </w:rPr>
              <w:t>9</w:t>
            </w:r>
            <w:r>
              <w:rPr>
                <w:rFonts w:ascii="宋体" w:hAnsi="宋体" w:cs="宋体" w:eastAsia="宋体"/>
                <w:sz w:val="24"/>
              </w:rPr>
              <w:t>.1 本次项目中所涉及价格均为人民币价格。本次招标以</w:t>
            </w:r>
            <w:r>
              <w:rPr>
                <w:rFonts w:ascii="宋体" w:hAnsi="宋体" w:cs="宋体" w:eastAsia="宋体"/>
                <w:sz w:val="24"/>
              </w:rPr>
              <w:t>下浮率</w:t>
            </w:r>
            <w:r>
              <w:rPr>
                <w:rFonts w:ascii="宋体" w:hAnsi="宋体" w:cs="宋体" w:eastAsia="宋体"/>
                <w:sz w:val="24"/>
              </w:rPr>
              <w:t>报价。</w:t>
            </w:r>
          </w:p>
          <w:p>
            <w:pPr>
              <w:pStyle w:val="null3"/>
              <w:ind w:firstLine="480"/>
              <w:jc w:val="left"/>
            </w:pPr>
            <w:r>
              <w:rPr>
                <w:rFonts w:ascii="宋体" w:hAnsi="宋体" w:cs="宋体" w:eastAsia="宋体"/>
                <w:sz w:val="24"/>
              </w:rPr>
              <w:t>9</w:t>
            </w:r>
            <w:r>
              <w:rPr>
                <w:rFonts w:ascii="宋体" w:hAnsi="宋体" w:cs="宋体" w:eastAsia="宋体"/>
                <w:sz w:val="24"/>
              </w:rPr>
              <w:t>.2 供应商根据控制单价</w:t>
            </w:r>
            <w:r>
              <w:rPr>
                <w:rFonts w:ascii="宋体" w:hAnsi="宋体" w:cs="宋体" w:eastAsia="宋体"/>
                <w:sz w:val="24"/>
              </w:rPr>
              <w:t>(医院执行价格）</w:t>
            </w:r>
            <w:r>
              <w:rPr>
                <w:rFonts w:ascii="宋体" w:hAnsi="宋体" w:cs="宋体" w:eastAsia="宋体"/>
                <w:sz w:val="24"/>
              </w:rPr>
              <w:t>报整体</w:t>
            </w:r>
            <w:r>
              <w:rPr>
                <w:rFonts w:ascii="宋体" w:hAnsi="宋体" w:cs="宋体" w:eastAsia="宋体"/>
                <w:sz w:val="24"/>
              </w:rPr>
              <w:t>下浮</w:t>
            </w:r>
            <w:r>
              <w:rPr>
                <w:rFonts w:ascii="宋体" w:hAnsi="宋体" w:cs="宋体" w:eastAsia="宋体"/>
                <w:sz w:val="24"/>
              </w:rPr>
              <w:t>率</w:t>
            </w:r>
            <w:r>
              <w:rPr>
                <w:rFonts w:ascii="宋体" w:hAnsi="宋体" w:cs="宋体" w:eastAsia="宋体"/>
                <w:sz w:val="24"/>
              </w:rPr>
              <w:t>，</w:t>
            </w:r>
            <w:r>
              <w:rPr>
                <w:rFonts w:ascii="宋体" w:hAnsi="宋体" w:cs="宋体" w:eastAsia="宋体"/>
                <w:sz w:val="24"/>
              </w:rPr>
              <w:t>所报下浮率＞</w:t>
            </w:r>
            <w:r>
              <w:rPr>
                <w:rFonts w:ascii="宋体" w:hAnsi="宋体" w:cs="宋体" w:eastAsia="宋体"/>
                <w:sz w:val="24"/>
              </w:rPr>
              <w:t>100%或＜20%均视为无效报价。</w:t>
            </w:r>
          </w:p>
          <w:p>
            <w:pPr>
              <w:pStyle w:val="null3"/>
              <w:ind w:firstLine="480"/>
              <w:jc w:val="left"/>
            </w:pPr>
            <w:r>
              <w:rPr>
                <w:rFonts w:ascii="宋体" w:hAnsi="宋体" w:cs="宋体" w:eastAsia="宋体"/>
                <w:sz w:val="24"/>
              </w:rPr>
              <w:t>9</w:t>
            </w:r>
            <w:r>
              <w:rPr>
                <w:rFonts w:ascii="宋体" w:hAnsi="宋体" w:cs="宋体" w:eastAsia="宋体"/>
                <w:sz w:val="24"/>
              </w:rPr>
              <w:t>.3 供应商的磋商</w:t>
            </w:r>
            <w:r>
              <w:rPr>
                <w:rFonts w:ascii="宋体" w:hAnsi="宋体" w:cs="宋体" w:eastAsia="宋体"/>
                <w:sz w:val="24"/>
              </w:rPr>
              <w:t>下浮</w:t>
            </w:r>
            <w:r>
              <w:rPr>
                <w:rFonts w:ascii="宋体" w:hAnsi="宋体" w:cs="宋体" w:eastAsia="宋体"/>
                <w:sz w:val="24"/>
              </w:rPr>
              <w:t>率必须为唯一的固定数值，在合同执行进程中不得以任何理由增加，不接受区间报价和多个报价，否则其响应文件将按无效响应文件处理。</w:t>
            </w:r>
          </w:p>
          <w:p>
            <w:pPr>
              <w:pStyle w:val="null3"/>
              <w:ind w:firstLine="480"/>
              <w:jc w:val="left"/>
            </w:pPr>
            <w:r>
              <w:rPr>
                <w:rFonts w:ascii="宋体" w:hAnsi="宋体" w:cs="宋体" w:eastAsia="宋体"/>
                <w:sz w:val="24"/>
              </w:rPr>
              <w:t>9</w:t>
            </w:r>
            <w:r>
              <w:rPr>
                <w:rFonts w:ascii="宋体" w:hAnsi="宋体" w:cs="宋体" w:eastAsia="宋体"/>
                <w:sz w:val="24"/>
              </w:rPr>
              <w:t>.4 报价应是供应商响应采购项目要求的全部工作内容的价格体现，包括供应商完成本项目所需的一切费用以及采购文件规定的其他费用。</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合同期限为一年，以合同约定的起止时间为准。</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病理科及相关项目临床科室。</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按《财政部关于进一步加强政府采购需求和履约验收管理的指导意见》（财库2016〔2016〕和合同要求执行），具体详见2.6.6.履约验收方案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tc>
        <w:tc>
          <w:tcPr>
            <w:tcW w:type="dxa" w:w="2076"/>
          </w:tcPr>
          <w:p>
            <w:pPr>
              <w:pStyle w:val="null3"/>
              <w:jc w:val="left"/>
            </w:pPr>
            <w:r>
              <w:rPr/>
              <w:t>付款进度安排</w:t>
            </w:r>
          </w:p>
        </w:tc>
        <w:tc>
          <w:tcPr>
            <w:tcW w:type="dxa" w:w="2076"/>
          </w:tcPr>
          <w:p>
            <w:pPr>
              <w:pStyle w:val="null3"/>
              <w:jc w:val="left"/>
            </w:pPr>
            <w:r>
              <w:rPr/>
              <w:t>1、合同第一个月末就上个月送检明细进行对账，对账无误，付款手续完备后，达到付款条件起10日内，据实情况说明为最终结算数量以实际发生数量为准</w:t>
            </w:r>
          </w:p>
          <w:p>
            <w:pPr>
              <w:pStyle w:val="null3"/>
              <w:jc w:val="left"/>
            </w:pPr>
            <w:r>
              <w:rPr/>
              <w:t>2、合同第二个月末就上个月送检明细进行对账，对账无误，付款手续完备后，达到付款条件起10日内，据实情况说明为最终结算数量以实际发生数量为准</w:t>
            </w:r>
          </w:p>
          <w:p>
            <w:pPr>
              <w:pStyle w:val="null3"/>
              <w:jc w:val="left"/>
            </w:pPr>
            <w:r>
              <w:rPr/>
              <w:t>3、合同第三个月末就上个月送检明细进行对账，对账无误，付款手续完备后，达到付款条件起10日内，据实情况说明为最终结算数量以实际发生数量为准</w:t>
            </w:r>
          </w:p>
          <w:p>
            <w:pPr>
              <w:pStyle w:val="null3"/>
              <w:jc w:val="left"/>
            </w:pPr>
            <w:r>
              <w:rPr/>
              <w:t>4、合同第四个月末就上个月送检明细进行对账，对账无误，付款手续完备后，达到付款条件起10日内，据实情况说明为最终结算数量以实际发生数量为准</w:t>
            </w:r>
          </w:p>
          <w:p>
            <w:pPr>
              <w:pStyle w:val="null3"/>
              <w:jc w:val="left"/>
            </w:pPr>
            <w:r>
              <w:rPr/>
              <w:t>5、 合同第五个月末就上个月送检明细进行对账，对账无误，付款手续完备后，达到付款条件起10日内，据实情况说明为最终结算数量以实际发生数量为准</w:t>
            </w:r>
          </w:p>
          <w:p>
            <w:pPr>
              <w:pStyle w:val="null3"/>
              <w:jc w:val="left"/>
            </w:pPr>
            <w:r>
              <w:rPr/>
              <w:t>6、 合同第六个月末就上个月送检明细进行对账，对账无误，付款手续完备后，达到付款条件起10日内，据实情况说明为最终结算数量以实际发生数量为准</w:t>
            </w:r>
          </w:p>
          <w:p>
            <w:pPr>
              <w:pStyle w:val="null3"/>
              <w:jc w:val="left"/>
            </w:pPr>
            <w:r>
              <w:rPr/>
              <w:t>7、合同第七个月末就上个月送检明细进行对账，对账无误，付款手续完备后，达到付款条件起10日内，据实情况说明为最终结算数量以实际发生数量为准</w:t>
            </w:r>
          </w:p>
          <w:p>
            <w:pPr>
              <w:pStyle w:val="null3"/>
              <w:jc w:val="left"/>
            </w:pPr>
            <w:r>
              <w:rPr/>
              <w:t>8、合同第八个月末就上个月送检明细进行对账，对账无误，付款手续完备后，达到付款条件起10日内，据实情况说明为最终结算数量以实际发生数量为准</w:t>
            </w:r>
          </w:p>
          <w:p>
            <w:pPr>
              <w:pStyle w:val="null3"/>
              <w:jc w:val="left"/>
            </w:pPr>
            <w:r>
              <w:rPr/>
              <w:t>9、合同第九个月末就上个月送检明细进行对账，对账无误，付款手续完备后，达到付款条件起10日内，据实情况说明为最终结算数量以实际发生数量为准</w:t>
            </w:r>
          </w:p>
          <w:p>
            <w:pPr>
              <w:pStyle w:val="null3"/>
              <w:jc w:val="left"/>
            </w:pPr>
            <w:r>
              <w:rPr/>
              <w:t>10、合同第十个月末就上个月送检明细进行对账，对账无误，付款手续完备后，达到付款条件起10日内，据实情况说明为最终结算数量以实际发生数量为准</w:t>
            </w:r>
          </w:p>
          <w:p>
            <w:pPr>
              <w:pStyle w:val="null3"/>
              <w:jc w:val="left"/>
            </w:pPr>
            <w:r>
              <w:rPr/>
              <w:t>11、合同第十一个月末就上个月送检明细进行对账，对账无误，付款手续完备后，达到付款条件起10日内，据实情况说明为最终结算数量以实际发生数量为准</w:t>
            </w:r>
          </w:p>
          <w:p>
            <w:pPr>
              <w:pStyle w:val="null3"/>
              <w:jc w:val="left"/>
            </w:pPr>
            <w:r>
              <w:rPr/>
              <w:t>12、合同第十二个月末就上个月送检明细进行对账，对账无误，付款手续完备后，达到付款条件起10日内，据实情况说明为最终结算数量以实际发生数量为准</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在执行本合同中发生的或与本合同有关的争端，双方应通过友好协商解决，经协商不能达成 协议时，应提交合同履行地人民法院诉讼解决</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1、投标人根据项目要求，提供本次服务的质量保证措施：内容包含①服务质量承诺、②样本安全性保障、③错误率控制、④质控评价方案、⑤数据解读与遗传咨询方案。 2、3.3.1服务内容要求与3.3.2.商务要求存在相同但描述不一致的，以3.3.1服务内容要求为准。本项目对3.3.2.商务要求不作实质性要求。</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一、第三章“技术、服务及其他要求”中“3.2.技术要求”，“3.3.服务要求”：</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t>二、第七章“拟签订采购合同文本”：</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二、评审工作由代理机构组织，具体评审事务由依法组建的磋商小组负责。磋商小组由采购人代表和评审专家组成。</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四、磋商小组应当履行下列职责：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一、磋商文件的规定存在歧义、重大缺陷，导致评审工作无法进行的；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供应商为企业（包括合伙企业）、个体工商户的,应提供工商营业执照或提供由市场监管部门核发的法人或者其他组织统一社会信用代码的营业执照（扫描件）；2.供应商属于银行、保险、石油石化、电力、电信等有行业特殊情况的，提供企业分支机构营业执照或统一社会信用代码的营业执照（扫描件）；3.供应商为其他组织的，提供事业单位法人证书或执业许可证等证明文件（扫描件）；4.如为自然人的提供《中华人民共和国居民身份证》（扫描件）。</w:t>
            </w:r>
          </w:p>
        </w:tc>
        <w:tc>
          <w:tcPr>
            <w:tcW w:type="dxa" w:w="1910"/>
          </w:tcPr>
          <w:p>
            <w:pPr>
              <w:pStyle w:val="null3"/>
              <w:jc w:val="left"/>
            </w:pPr>
            <w:r>
              <w:rPr/>
              <w:t>响应文件封面 供应商应提交的相关资格证明材料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提供以下任一证明材料：{①可提供2021年至今任一年度经审计的财务报告（扫描件加盖供应商公章），②也可提供2021年至今任一年度的内部财务报表（扫描件加盖供应商公章），③也可提供银行的资信证明（扫描件加盖供应商公章），④供应商注册时间至文件递交截止日不足一年的，也可提供在工商备案的公司章程（扫描件加盖供应商公章）}</w:t>
            </w:r>
          </w:p>
        </w:tc>
        <w:tc>
          <w:tcPr>
            <w:tcW w:type="dxa" w:w="1910"/>
          </w:tcPr>
          <w:p>
            <w:pPr>
              <w:pStyle w:val="null3"/>
              <w:jc w:val="left"/>
            </w:pPr>
            <w:r>
              <w:rPr/>
              <w:t>供应商应提交的相关资格证明材料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1、供应商须具备中华人民共和国国家卫生健康委员会核发的《医疗机构执业许可证》且在有效期内。 2、供应商须具有临床基因扩增检验实验室技术验收合格证书，或通过省级卫生部门组织的临床基因扩增检验技术审核并提供登记备案相关证明。</w:t>
            </w:r>
          </w:p>
        </w:tc>
        <w:tc>
          <w:tcPr>
            <w:tcW w:type="dxa" w:w="3322"/>
          </w:tcPr>
          <w:p>
            <w:pPr>
              <w:pStyle w:val="null3"/>
              <w:jc w:val="left"/>
            </w:pPr>
            <w:r>
              <w:rPr/>
              <w:t>1、供应商须具备中华人民共和国国家卫生健康委员会核发的《医疗机构执业许可证》且在有效期内。（提供有效期内的相关许可证扫描件并加盖供应商公章）。 2、供应商须具有临床基因扩增检验实验室技术验收合格证书，或通过省级卫生部门组织的临床基因扩增检验技术审核并提供登记备案相关证明。（提供有效期内的相关证书或备案证明扫描件并加盖供应商公章）。</w:t>
            </w:r>
          </w:p>
        </w:tc>
        <w:tc>
          <w:tcPr>
            <w:tcW w:type="dxa" w:w="1910"/>
          </w:tcPr>
          <w:p>
            <w:pPr>
              <w:pStyle w:val="null3"/>
              <w:jc w:val="left"/>
            </w:pPr>
            <w:r>
              <w:rPr/>
              <w:t>供应商应提交的相关资格证明材料</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在符合性审查过程中，如果出现磋商小组成员意见不一致的情况，按照少数服从多数的原则确定，但不得违反政府采购基本原则和磋商文件规定。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供应商对“3.2技术要求和3.3服务要求中3.3.1服务内容要求中”带★条款进行如实应答。（若需提供证明材料的按要求提供证明材料，未提供或提供的证明材料无法佐证的视为负偏离；只需应答的条款若提供单独的承诺函视为已应答，若承诺函与应答表内容描述不一致，无法判定是否响应的视为该项条款负偏离，应答漏项或应答不满足的均为负偏离，视为未实质性响应采购文件要求。）</w:t>
            </w:r>
          </w:p>
        </w:tc>
        <w:tc>
          <w:tcPr>
            <w:tcW w:type="dxa" w:w="1910"/>
          </w:tcPr>
          <w:p>
            <w:pPr>
              <w:pStyle w:val="null3"/>
              <w:jc w:val="left"/>
            </w:pPr>
            <w:r>
              <w:rPr/>
              <w:t>应答表</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w:t>
      </w:r>
    </w:p>
    <w:p>
      <w:pPr>
        <w:pStyle w:val="null3"/>
        <w:ind w:firstLine="480"/>
        <w:jc w:val="left"/>
      </w:pPr>
      <w:r>
        <w:rPr/>
        <w:t>三、磋商小组可以根据磋商文件和磋商情况实质性变动第四章约定的内容，但不得变动磋商文件中的其他内容。实质性变动的内容，须经采购人代表确认。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六、最后报价出现下列情况的，除磋商文件另有规定外，按以下原则处理：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质量保证措施</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技术响应</w:t>
            </w:r>
          </w:p>
        </w:tc>
        <w:tc>
          <w:tcPr>
            <w:tcW w:type="dxa" w:w="2575"/>
          </w:tcPr>
          <w:p>
            <w:pPr>
              <w:pStyle w:val="null3"/>
              <w:jc w:val="left"/>
            </w:pPr>
            <w:r>
              <w:rPr/>
              <w:t>供应商完全满足或优于技术参数要求的得41分。 1、带“★”号项条款为实质性要求，不满足作无效响应处理。 2、带“▲”号项条款为重要条款，每有一项存在负偏离在32分基础上扣2分（共16项，合计32分）； 3、不带“▲、★”号项条款为一般条款，每有一项存在负偏离在9分基础上扣0.5分（共18项，合计9分）。 注： （1）需提供相关证明材料进行佐证，证明材料如设备购置合同、说明书、医疗器械注册证/备案证、报告模板、高通量测序备案证等能直接佐证技术参数要求的材料； （2）以项目名称为一项，若一项条款中有一条或一条以上不满足，按一项进行扣分。</w:t>
            </w:r>
          </w:p>
        </w:tc>
        <w:tc>
          <w:tcPr>
            <w:tcW w:type="dxa" w:w="831"/>
          </w:tcPr>
          <w:p>
            <w:pPr>
              <w:pStyle w:val="null3"/>
              <w:jc w:val="center"/>
            </w:pPr>
            <w:r>
              <w:rPr/>
              <w:t>41.00</w:t>
            </w:r>
          </w:p>
        </w:tc>
        <w:tc>
          <w:tcPr>
            <w:tcW w:type="dxa" w:w="748"/>
          </w:tcPr>
          <w:p>
            <w:pPr>
              <w:pStyle w:val="null3"/>
              <w:jc w:val="center"/>
            </w:pPr>
            <w:r>
              <w:rPr/>
              <w:t>客观</w:t>
            </w:r>
          </w:p>
        </w:tc>
        <w:tc>
          <w:tcPr>
            <w:tcW w:type="dxa" w:w="1661"/>
          </w:tcPr>
          <w:p>
            <w:pPr>
              <w:pStyle w:val="null3"/>
              <w:jc w:val="left"/>
            </w:pPr>
            <w:r>
              <w:rPr/>
              <w:t>应答表</w:t>
            </w:r>
          </w:p>
        </w:tc>
      </w:tr>
      <w:tr>
        <w:tc>
          <w:tcPr>
            <w:tcW w:type="dxa" w:w="831"/>
            <w:vMerge/>
          </w:tcPr>
          <w:p/>
        </w:tc>
        <w:tc>
          <w:tcPr>
            <w:tcW w:type="dxa" w:w="1661"/>
          </w:tcPr>
          <w:p>
            <w:pPr>
              <w:pStyle w:val="null3"/>
              <w:jc w:val="left"/>
            </w:pPr>
            <w:r>
              <w:rPr/>
              <w:t>履约能力</w:t>
            </w:r>
          </w:p>
        </w:tc>
        <w:tc>
          <w:tcPr>
            <w:tcW w:type="dxa" w:w="2575"/>
          </w:tcPr>
          <w:p>
            <w:pPr>
              <w:pStyle w:val="null3"/>
              <w:jc w:val="left"/>
            </w:pPr>
            <w:r>
              <w:rPr/>
              <w:t>1、实验室要求（4分）：具有ISO 15189医学实验室质量体系认可证书的得4分。（投标时需提供有效证书扫描件并加盖公章，否则不得分） 2、人员要求（4分）： （1）拟投入本项目的人员每具有一名高级（副高及以上）职称的得2分，本项最多得2分。 （2）拟投入本项目的人员每具有一名中级职称的得1分，本项最多得2分。 （注：投标时提供上述人员职称证书扫描件及在职证明材料并加盖公章） 3、室间质评（6分）： 供应商具有国家卫生健康委临床检验中心颁发的2021-2023年任一年度全国实体肿瘤体细胞突变高通量测序检测、全国肿瘤体细胞突变高通量测序检测生物信息学分析、全国肿瘤游离DNA基因突变高通量测序检测室间质评证书，每提供一项得2分，满分6分，未提供或不符合要求不得分。（注：投标时提供相关证明材料予以佐证。）</w:t>
            </w:r>
          </w:p>
        </w:tc>
        <w:tc>
          <w:tcPr>
            <w:tcW w:type="dxa" w:w="831"/>
          </w:tcPr>
          <w:p>
            <w:pPr>
              <w:pStyle w:val="null3"/>
              <w:jc w:val="center"/>
            </w:pPr>
            <w:r>
              <w:rPr/>
              <w:t>14.00</w:t>
            </w:r>
          </w:p>
        </w:tc>
        <w:tc>
          <w:tcPr>
            <w:tcW w:type="dxa" w:w="748"/>
          </w:tcPr>
          <w:p>
            <w:pPr>
              <w:pStyle w:val="null3"/>
              <w:jc w:val="center"/>
            </w:pPr>
            <w:r>
              <w:rPr/>
              <w:t>客观</w:t>
            </w:r>
          </w:p>
        </w:tc>
        <w:tc>
          <w:tcPr>
            <w:tcW w:type="dxa" w:w="1661"/>
          </w:tcPr>
          <w:p>
            <w:pPr>
              <w:pStyle w:val="null3"/>
              <w:jc w:val="left"/>
            </w:pPr>
            <w:r>
              <w:rPr/>
              <w:t>评审标准</w:t>
            </w:r>
          </w:p>
        </w:tc>
      </w:tr>
      <w:tr>
        <w:tc>
          <w:tcPr>
            <w:tcW w:type="dxa" w:w="831"/>
            <w:vMerge/>
          </w:tcPr>
          <w:p/>
        </w:tc>
        <w:tc>
          <w:tcPr>
            <w:tcW w:type="dxa" w:w="1661"/>
          </w:tcPr>
          <w:p>
            <w:pPr>
              <w:pStyle w:val="null3"/>
              <w:jc w:val="left"/>
            </w:pPr>
            <w:r>
              <w:rPr/>
              <w:t>质量保证措施</w:t>
            </w:r>
          </w:p>
        </w:tc>
        <w:tc>
          <w:tcPr>
            <w:tcW w:type="dxa" w:w="2575"/>
          </w:tcPr>
          <w:p>
            <w:pPr>
              <w:pStyle w:val="null3"/>
              <w:jc w:val="left"/>
            </w:pPr>
            <w:r>
              <w:rPr/>
              <w:t>供应商应提出针对本项目的质量保证措施，包括①服务质量承诺、②样本安全性保障、③错误率控制、④质控评价方案、⑤数据解读与遗传咨询方案。以上5项内容完整且满足采购需求的得13分，每缺少一项内容扣2.6分，每有一项内容存在缺陷或不满足采购需求的扣1.3分。 注：缺少具体是指：对应单项中的内容缺失、仅有标题无具体实施内容等上述任意一种情形；缺陷具体是指：单项方案各小项描述不完整、内容缺少重要关键节点，仅有框架无具体实施内容、仅有复制招标内容的要求、涉及内容无重点、套用其他项目方案或内容、内容中出现前后描述不一致现象、内容交叉混乱、语言描述出现有错误、内容涉及适用的规范及标准（方法）出现错误、实施地点区域错误等上述任意一种情形。</w:t>
            </w:r>
          </w:p>
        </w:tc>
        <w:tc>
          <w:tcPr>
            <w:tcW w:type="dxa" w:w="831"/>
          </w:tcPr>
          <w:p>
            <w:pPr>
              <w:pStyle w:val="null3"/>
              <w:jc w:val="center"/>
            </w:pPr>
            <w:r>
              <w:rPr/>
              <w:t>13.00</w:t>
            </w:r>
          </w:p>
        </w:tc>
        <w:tc>
          <w:tcPr>
            <w:tcW w:type="dxa" w:w="748"/>
          </w:tcPr>
          <w:p>
            <w:pPr>
              <w:pStyle w:val="null3"/>
              <w:jc w:val="center"/>
            </w:pPr>
            <w:r>
              <w:rPr/>
              <w:t>主观</w:t>
            </w:r>
          </w:p>
        </w:tc>
        <w:tc>
          <w:tcPr>
            <w:tcW w:type="dxa" w:w="1661"/>
          </w:tcPr>
          <w:p>
            <w:pPr>
              <w:pStyle w:val="null3"/>
              <w:jc w:val="left"/>
            </w:pPr>
            <w:r>
              <w:rPr/>
              <w:t>评审标准</w:t>
            </w:r>
          </w:p>
        </w:tc>
      </w:tr>
      <w:tr>
        <w:tc>
          <w:tcPr>
            <w:tcW w:type="dxa" w:w="831"/>
            <w:vMerge/>
          </w:tcPr>
          <w:p/>
        </w:tc>
        <w:tc>
          <w:tcPr>
            <w:tcW w:type="dxa" w:w="1661"/>
          </w:tcPr>
          <w:p>
            <w:pPr>
              <w:pStyle w:val="null3"/>
              <w:jc w:val="left"/>
            </w:pPr>
            <w:r>
              <w:rPr/>
              <w:t>综合实力</w:t>
            </w:r>
          </w:p>
        </w:tc>
        <w:tc>
          <w:tcPr>
            <w:tcW w:type="dxa" w:w="2575"/>
          </w:tcPr>
          <w:p>
            <w:pPr>
              <w:pStyle w:val="null3"/>
              <w:jc w:val="left"/>
            </w:pPr>
            <w:r>
              <w:rPr/>
              <w:t>1、技术实力认可及行业认可（3分）：投标人提供高通量二代测序检测技术实力证明，每提供一项国家级的奖项及证书得 1分，每提供一项省级奖项及证书得0.5分，满分3分。（提供获奖证书扫描件并加盖供应商公章） 2、领域贡献（8分）： 参与行业专家共识编写。提供近3年国内肿瘤基因检测相关专家共识的，每提供一份专家共识得 2分，满分 8 分。专家共识中必须出现供应商或其母公司/子公司的名称。（提供纸质材料、截屏等佐证资料并加盖供应商公章） 3、科研成果（7分）： 提供供应商独立或合作发表肿瘤相关文章：SCI影响因子分数：100分以上每篇得4分、30-100分每篇得2分、10-30分每篇得1分，满分7分。（提供论文的统计列表及肿瘤文章简述，包含题目、署名及单位、发表日期、发表期刊、影响因子及摘要中文译文，并加盖供应商公章）</w:t>
            </w:r>
          </w:p>
        </w:tc>
        <w:tc>
          <w:tcPr>
            <w:tcW w:type="dxa" w:w="831"/>
          </w:tcPr>
          <w:p>
            <w:pPr>
              <w:pStyle w:val="null3"/>
              <w:jc w:val="center"/>
            </w:pPr>
            <w:r>
              <w:rPr/>
              <w:t>18.00</w:t>
            </w:r>
          </w:p>
        </w:tc>
        <w:tc>
          <w:tcPr>
            <w:tcW w:type="dxa" w:w="748"/>
          </w:tcPr>
          <w:p>
            <w:pPr>
              <w:pStyle w:val="null3"/>
              <w:jc w:val="center"/>
            </w:pPr>
            <w:r>
              <w:rPr/>
              <w:t>客观</w:t>
            </w:r>
          </w:p>
        </w:tc>
        <w:tc>
          <w:tcPr>
            <w:tcW w:type="dxa" w:w="1661"/>
          </w:tcPr>
          <w:p>
            <w:pPr>
              <w:pStyle w:val="null3"/>
              <w:jc w:val="left"/>
            </w:pPr>
            <w:r>
              <w:rPr/>
              <w:t>评审标准</w:t>
            </w:r>
          </w:p>
        </w:tc>
      </w:tr>
      <w:tr>
        <w:tc>
          <w:tcPr>
            <w:tcW w:type="dxa" w:w="831"/>
            <w:vMerge/>
          </w:tcPr>
          <w:p/>
        </w:tc>
        <w:tc>
          <w:tcPr>
            <w:tcW w:type="dxa" w:w="1661"/>
          </w:tcPr>
          <w:p>
            <w:pPr>
              <w:pStyle w:val="null3"/>
              <w:jc w:val="left"/>
            </w:pPr>
            <w:r>
              <w:rPr/>
              <w:t>业绩</w:t>
            </w:r>
          </w:p>
        </w:tc>
        <w:tc>
          <w:tcPr>
            <w:tcW w:type="dxa" w:w="2575"/>
          </w:tcPr>
          <w:p>
            <w:pPr>
              <w:pStyle w:val="null3"/>
              <w:jc w:val="left"/>
            </w:pPr>
            <w:r>
              <w:rPr/>
              <w:t>提供2021年1月1日（含）至今同类项目业绩，每提供1份得1分，满分4分。 注：同类项目是指：含有本项目任一检测项；投标时提供合同或中标通知书扫描件进行佐证，佐证材料需能体现含有本项目的任一检测项；未提供或提供的材料未能佐证的不得分。</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评审标准</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以满足磋商文件要求且最后下浮最多的有效报价为磋商基准价，其他供应商的价格分统一按照下列公式计算：磋商报价得分=（1-磋商基准价）/（1-最后磋商报价）*10%*100。注：1.评分的取值按四舍五入法，保留小数点后两位。</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b/>
          <w:sz w:val="28"/>
        </w:rPr>
        <w:t>5.6.确定成交供应商</w:t>
      </w:r>
    </w:p>
    <w:p>
      <w:pPr>
        <w:pStyle w:val="null3"/>
        <w:ind w:firstLine="480"/>
        <w:jc w:val="left"/>
      </w:pPr>
      <w:r>
        <w:rPr/>
        <w:t>一、评审结束后，代理机构在评审结束后2个工作日内将磋商报告送采购人。</w:t>
      </w:r>
    </w:p>
    <w:p>
      <w:pPr>
        <w:pStyle w:val="null3"/>
        <w:jc w:val="left"/>
      </w:pPr>
      <w:r>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详见附件：报价表</w:t>
      </w:r>
    </w:p>
    <w:p>
      <w:pPr>
        <w:pStyle w:val="null3"/>
        <w:ind w:firstLine="960"/>
        <w:jc w:val="left"/>
      </w:pPr>
      <w:r>
        <w:rPr/>
        <w:t>详见附件：供应商应提交的相关资格证明材料</w:t>
      </w:r>
    </w:p>
    <w:p>
      <w:pPr>
        <w:pStyle w:val="null3"/>
        <w:ind w:firstLine="960"/>
        <w:jc w:val="left"/>
      </w:pPr>
      <w:r>
        <w:rPr/>
        <w:t>详见附件：应答表</w:t>
      </w:r>
    </w:p>
    <w:p>
      <w:pPr>
        <w:pStyle w:val="null3"/>
        <w:ind w:firstLine="960"/>
        <w:jc w:val="left"/>
      </w:pPr>
      <w:r>
        <w:rPr/>
        <w:t>详见附件：评审标准</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