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版本号：N513330202600007920260703001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德格县2026年卧圈种草牧草种子采购项目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N5133302026000079</w:t>
      </w:r>
    </w:p>
    <w:p>
      <w:pPr>
        <w:pStyle w:val="null3"/>
        <w:jc w:val="left"/>
        <w:outlineLvl w:val="2"/>
      </w:pPr>
      <w:r>
        <w:rPr>
          <w:rFonts w:ascii="仿宋_GB2312" w:hAnsi="仿宋_GB2312" w:cs="仿宋_GB2312" w:eastAsia="仿宋_GB2312"/>
          <w:sz w:val="28"/>
          <w:b/>
        </w:rPr>
        <w:t>德格县农牧农村和科技局</w:t>
      </w:r>
    </w:p>
    <w:p>
      <w:pPr>
        <w:pStyle w:val="null3"/>
        <w:jc w:val="center"/>
        <w:outlineLvl w:val="2"/>
      </w:pPr>
      <w:r>
        <w:rPr>
          <w:rFonts w:ascii="仿宋_GB2312" w:hAnsi="仿宋_GB2312" w:cs="仿宋_GB2312" w:eastAsia="仿宋_GB2312"/>
          <w:sz w:val="28"/>
          <w:b/>
        </w:rPr>
        <w:t>四川顺安工程管理咨询有限公司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四川顺安工程管理咨询有限公司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德格县农牧农村和科技局</w:t>
      </w:r>
      <w:r>
        <w:rPr>
          <w:rFonts w:ascii="仿宋_GB2312" w:hAnsi="仿宋_GB2312" w:cs="仿宋_GB2312" w:eastAsia="仿宋_GB2312"/>
        </w:rPr>
        <w:t xml:space="preserve"> 委托，拟对 </w:t>
      </w:r>
      <w:r>
        <w:rPr>
          <w:rFonts w:ascii="仿宋_GB2312" w:hAnsi="仿宋_GB2312" w:cs="仿宋_GB2312" w:eastAsia="仿宋_GB2312"/>
        </w:rPr>
        <w:t>德格县2026年卧圈种草牧草种子采购项目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甘孜藏族自治州德格县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N5133302026000079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德格县2026年卧圈种草牧草种子采购项目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通过实施卧圈种草牧草种子采购项目，统一采购适宜高寒牧区种植的燕麦种子，支持德格县卧圈种草农户开展饲草种植，进一步提高农牧户饲草自给能力，缓解冬春季节饲草供给不足问题，促进草畜配套、以草定畜和高原畜牧业稳定发展。 项目实施后，拟覆盖德格县10个乡镇约4649户卧圈种草农户，推动农户利用卧圈及适宜地块开展牧草种植，增加优质饲草供给，提升牲畜补饲保障能力。</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有效的《林草种子生产经营许可证》（生产经营种类含草种子）（注：如还未更换新证的可提供有效的《草种生产许可证》或《草种经营许可证》，若为依法办理经营备案的可提供草种经营备案证明）（描述：投标人具有有效的《林草种子生产经营许可证》（生产经营种类含草种子）（注：如还未更换新证的可提供有效的《草种生产许可证》或《草种经营许可证》，若为依法办理经营备案的可提供草种经营备案证明）。提供相关证书复印/扫描件加盖投标人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德格县农牧农村和科技局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四川省甘孜藏族自治州德格县康巴文都步行街三楼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627250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0836-8221880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四川顺安工程管理咨询有限公司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四川省成都市武侯区中国(四川)自由贸易试验区成都高新区天府大道北段1700号9栋1单元19层1921号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028-62529925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按照委托代理协议及成本加合理利润的原则收取代理服务费，由中标人在领取中标通知书前向采购代理机构一次性交纳代理服务费。代理服务费以实际中标金额为计费基数，按差额定率累进法计算后收取。差额定率累进计算标准为：实际中标金额在100万以下部分按1.5%费率</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德格县农牧农村和科技局</w:t>
      </w:r>
      <w:r>
        <w:rPr>
          <w:rFonts w:ascii="仿宋_GB2312" w:hAnsi="仿宋_GB2312" w:cs="仿宋_GB2312" w:eastAsia="仿宋_GB2312"/>
        </w:rPr>
        <w:t xml:space="preserve"> 和 </w:t>
      </w:r>
      <w:r>
        <w:rPr>
          <w:rFonts w:ascii="仿宋_GB2312" w:hAnsi="仿宋_GB2312" w:cs="仿宋_GB2312" w:eastAsia="仿宋_GB2312"/>
        </w:rPr>
        <w:t>四川顺安工程管理咨询有限公司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德格县农牧农村和科技局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四川顺安工程管理咨询有限公司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技术要求的全部内容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商务要求的全部内容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德格县农牧农村和科技局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四川顺安工程管理咨询有限公司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四川顺安工程管理咨询有限公司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联系人：朱女士</w:t>
      </w:r>
    </w:p>
    <w:p>
      <w:pPr>
        <w:pStyle w:val="null3"/>
        <w:jc w:val="left"/>
      </w:pPr>
      <w:r>
        <w:rPr>
          <w:rFonts w:ascii="仿宋_GB2312" w:hAnsi="仿宋_GB2312" w:cs="仿宋_GB2312" w:eastAsia="仿宋_GB2312"/>
        </w:rPr>
        <w:t>联系电话：028-62529925</w:t>
      </w:r>
    </w:p>
    <w:p>
      <w:pPr>
        <w:pStyle w:val="null3"/>
        <w:jc w:val="left"/>
      </w:pPr>
      <w:r>
        <w:rPr>
          <w:rFonts w:ascii="仿宋_GB2312" w:hAnsi="仿宋_GB2312" w:cs="仿宋_GB2312" w:eastAsia="仿宋_GB2312"/>
        </w:rPr>
        <w:t>地址：成都市高新区天府大道北段1700号环球中心W1区19楼 9-1-1921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850,000.00</w:t>
      </w:r>
    </w:p>
    <w:p>
      <w:pPr>
        <w:pStyle w:val="null3"/>
        <w:jc w:val="left"/>
      </w:pPr>
      <w:r>
        <w:rPr>
          <w:rFonts w:ascii="仿宋_GB2312" w:hAnsi="仿宋_GB2312" w:cs="仿宋_GB2312" w:eastAsia="仿宋_GB2312"/>
        </w:rPr>
        <w:t>采购包最高限价（元）: 830,000.00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A07030107 燕麦</w:t>
            </w:r>
          </w:p>
        </w:tc>
        <w:tc>
          <w:tcPr>
            <w:tcW w:type="dxa" w:w="821"/>
          </w:tcPr>
          <w:p>
            <w:pPr>
              <w:pStyle w:val="null3"/>
              <w:jc w:val="left"/>
            </w:pPr>
            <w:r>
              <w:rPr>
                <w:rFonts w:ascii="仿宋_GB2312" w:hAnsi="仿宋_GB2312" w:cs="仿宋_GB2312" w:eastAsia="仿宋_GB2312"/>
              </w:rPr>
              <w:t>燕麦种子</w:t>
            </w:r>
          </w:p>
        </w:tc>
        <w:tc>
          <w:tcPr>
            <w:tcW w:type="dxa" w:w="821"/>
          </w:tcPr>
          <w:p>
            <w:pPr>
              <w:pStyle w:val="null3"/>
              <w:jc w:val="right"/>
            </w:pPr>
            <w:r>
              <w:rPr>
                <w:rFonts w:ascii="仿宋_GB2312" w:hAnsi="仿宋_GB2312" w:cs="仿宋_GB2312" w:eastAsia="仿宋_GB2312"/>
              </w:rPr>
              <w:t>103,755.00（公斤）</w:t>
            </w:r>
          </w:p>
        </w:tc>
        <w:tc>
          <w:tcPr>
            <w:tcW w:type="dxa" w:w="821"/>
          </w:tcPr>
          <w:p>
            <w:pPr>
              <w:pStyle w:val="null3"/>
              <w:jc w:val="right"/>
            </w:pPr>
            <w:r>
              <w:rPr>
                <w:rFonts w:ascii="仿宋_GB2312" w:hAnsi="仿宋_GB2312" w:cs="仿宋_GB2312" w:eastAsia="仿宋_GB2312"/>
              </w:rPr>
              <w:t>830,000.00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燕麦种子</w:t>
            </w:r>
          </w:p>
        </w:tc>
        <w:tc>
          <w:tcPr>
            <w:tcW w:type="dxa" w:w="1138"/>
          </w:tcPr>
          <w:p>
            <w:pPr>
              <w:pStyle w:val="null3"/>
              <w:jc w:val="center"/>
            </w:pPr>
            <w:r>
              <w:rPr>
                <w:rFonts w:ascii="仿宋_GB2312" w:hAnsi="仿宋_GB2312" w:cs="仿宋_GB2312" w:eastAsia="仿宋_GB2312"/>
              </w:rPr>
              <w:t>103,755.00（公斤）</w:t>
            </w:r>
          </w:p>
        </w:tc>
        <w:tc>
          <w:tcPr>
            <w:tcW w:type="dxa" w:w="1365"/>
          </w:tcPr>
          <w:p>
            <w:pPr>
              <w:pStyle w:val="null3"/>
              <w:jc w:val="center"/>
            </w:pPr>
            <w:r>
              <w:rPr>
                <w:rFonts w:ascii="仿宋_GB2312" w:hAnsi="仿宋_GB2312" w:cs="仿宋_GB2312" w:eastAsia="仿宋_GB2312"/>
              </w:rPr>
              <w:t>830,000.00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A07030107 燕麦</w:t>
            </w:r>
          </w:p>
        </w:tc>
        <w:tc>
          <w:tcPr>
            <w:tcW w:type="dxa" w:w="2492"/>
          </w:tcPr>
          <w:p>
            <w:pPr>
              <w:pStyle w:val="null3"/>
              <w:jc w:val="left"/>
            </w:pPr>
            <w:r>
              <w:rPr>
                <w:rFonts w:ascii="仿宋_GB2312" w:hAnsi="仿宋_GB2312" w:cs="仿宋_GB2312" w:eastAsia="仿宋_GB2312"/>
              </w:rPr>
              <w:t>燕麦种子</w:t>
            </w:r>
          </w:p>
        </w:tc>
        <w:tc>
          <w:tcPr>
            <w:tcW w:type="dxa" w:w="2492"/>
          </w:tcPr>
          <w:p>
            <w:pPr>
              <w:pStyle w:val="null3"/>
              <w:jc w:val="left"/>
            </w:pPr>
            <w:r>
              <w:rPr>
                <w:rFonts w:ascii="仿宋_GB2312" w:hAnsi="仿宋_GB2312" w:cs="仿宋_GB2312" w:eastAsia="仿宋_GB2312"/>
              </w:rPr>
              <w:t>燕麦种子</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标的名称：燕麦种子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燕麦种子</w:t>
            </w:r>
          </w:p>
        </w:tc>
        <w:tc>
          <w:tcPr>
            <w:tcW w:type="dxa" w:w="5814"/>
          </w:tcPr>
          <w:p>
            <w:pPr>
              <w:pStyle w:val="null3"/>
              <w:jc w:val="left"/>
            </w:pPr>
            <w:r>
              <w:rPr>
                <w:rFonts w:ascii="仿宋_GB2312" w:hAnsi="仿宋_GB2312" w:cs="仿宋_GB2312" w:eastAsia="仿宋_GB2312"/>
                <w:sz w:val="24"/>
                <w:b/>
              </w:rPr>
              <w:t>★1、</w:t>
            </w:r>
            <w:r>
              <w:rPr>
                <w:rFonts w:ascii="仿宋_GB2312" w:hAnsi="仿宋_GB2312" w:cs="仿宋_GB2312" w:eastAsia="仿宋_GB2312"/>
                <w:sz w:val="24"/>
              </w:rPr>
              <w:t>种子质量执行《</w:t>
            </w:r>
            <w:r>
              <w:rPr>
                <w:rFonts w:ascii="仿宋_GB2312" w:hAnsi="仿宋_GB2312" w:cs="仿宋_GB2312" w:eastAsia="仿宋_GB2312"/>
                <w:sz w:val="24"/>
              </w:rPr>
              <w:t>GB 6142-2008 禾本科草种子质量分级》要求，质量等级不低于国家二级标准，净度≥95%，发芽率≥85%。（提供国家认可的第三方检测机构出具的有效的检验/测报告加盖供应商公章）</w:t>
            </w:r>
          </w:p>
          <w:p>
            <w:pPr>
              <w:pStyle w:val="null3"/>
              <w:jc w:val="left"/>
            </w:pPr>
            <w:r>
              <w:rPr>
                <w:rFonts w:ascii="仿宋_GB2312" w:hAnsi="仿宋_GB2312" w:cs="仿宋_GB2312" w:eastAsia="仿宋_GB2312"/>
                <w:sz w:val="24"/>
              </w:rPr>
              <w:t>2、规格要求：50kg/袋。</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64"/>
              <w:jc w:val="left"/>
            </w:pPr>
            <w:r>
              <w:rPr>
                <w:rFonts w:ascii="仿宋_GB2312" w:hAnsi="仿宋_GB2312" w:cs="仿宋_GB2312" w:eastAsia="仿宋_GB2312"/>
                <w:sz w:val="24"/>
              </w:rPr>
              <w:t>（一）送货要求</w:t>
            </w:r>
          </w:p>
          <w:p>
            <w:pPr>
              <w:pStyle w:val="null3"/>
              <w:ind w:firstLine="464"/>
              <w:jc w:val="left"/>
            </w:pPr>
            <w:r>
              <w:rPr>
                <w:rFonts w:ascii="仿宋_GB2312" w:hAnsi="仿宋_GB2312" w:cs="仿宋_GB2312" w:eastAsia="仿宋_GB2312"/>
                <w:sz w:val="24"/>
              </w:rPr>
              <w:t>中标人负责按采购人要求将项目种子送达至浪多乡、汪布顶乡、竹庆镇、马尼干戈镇、阿须镇、亚丁乡、年古乡、柯洛洞乡、麦宿镇、玉隆乡</w:t>
            </w:r>
            <w:r>
              <w:rPr>
                <w:rFonts w:ascii="仿宋_GB2312" w:hAnsi="仿宋_GB2312" w:cs="仿宋_GB2312" w:eastAsia="仿宋_GB2312"/>
                <w:sz w:val="24"/>
              </w:rPr>
              <w:t>10个乡镇。各乡镇配送数量如下：</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2475"/>
              <w:gridCol w:w="2588"/>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乡镇</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配送种子数量（公斤）</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浪多乡</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14520</w:t>
                  </w:r>
                  <w:r>
                    <w:rPr>
                      <w:rFonts w:ascii="仿宋_GB2312" w:hAnsi="仿宋_GB2312" w:cs="仿宋_GB2312" w:eastAsia="仿宋_GB2312"/>
                      <w:sz w:val="24"/>
                    </w:rPr>
                    <w:t>.00</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汪布顶乡</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4416</w:t>
                  </w:r>
                  <w:r>
                    <w:rPr>
                      <w:rFonts w:ascii="仿宋_GB2312" w:hAnsi="仿宋_GB2312" w:cs="仿宋_GB2312" w:eastAsia="仿宋_GB2312"/>
                      <w:sz w:val="24"/>
                    </w:rPr>
                    <w:t>.00</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竹庆镇</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18432</w:t>
                  </w:r>
                  <w:r>
                    <w:rPr>
                      <w:rFonts w:ascii="仿宋_GB2312" w:hAnsi="仿宋_GB2312" w:cs="仿宋_GB2312" w:eastAsia="仿宋_GB2312"/>
                      <w:sz w:val="24"/>
                    </w:rPr>
                    <w:t>.00</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马尼干戈镇</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13152</w:t>
                  </w:r>
                  <w:r>
                    <w:rPr>
                      <w:rFonts w:ascii="仿宋_GB2312" w:hAnsi="仿宋_GB2312" w:cs="仿宋_GB2312" w:eastAsia="仿宋_GB2312"/>
                      <w:sz w:val="24"/>
                    </w:rPr>
                    <w:t>.00</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阿须镇</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6672</w:t>
                  </w:r>
                  <w:r>
                    <w:rPr>
                      <w:rFonts w:ascii="仿宋_GB2312" w:hAnsi="仿宋_GB2312" w:cs="仿宋_GB2312" w:eastAsia="仿宋_GB2312"/>
                      <w:sz w:val="24"/>
                    </w:rPr>
                    <w:t>.00</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亚丁乡</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17088</w:t>
                  </w:r>
                  <w:r>
                    <w:rPr>
                      <w:rFonts w:ascii="仿宋_GB2312" w:hAnsi="仿宋_GB2312" w:cs="仿宋_GB2312" w:eastAsia="仿宋_GB2312"/>
                      <w:sz w:val="24"/>
                    </w:rPr>
                    <w:t>.00</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年古乡</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12672</w:t>
                  </w:r>
                  <w:r>
                    <w:rPr>
                      <w:rFonts w:ascii="仿宋_GB2312" w:hAnsi="仿宋_GB2312" w:cs="仿宋_GB2312" w:eastAsia="仿宋_GB2312"/>
                      <w:sz w:val="24"/>
                    </w:rPr>
                    <w:t>.00</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柯洛洞乡</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7224</w:t>
                  </w:r>
                  <w:r>
                    <w:rPr>
                      <w:rFonts w:ascii="仿宋_GB2312" w:hAnsi="仿宋_GB2312" w:cs="仿宋_GB2312" w:eastAsia="仿宋_GB2312"/>
                      <w:sz w:val="24"/>
                    </w:rPr>
                    <w:t>.00</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麦宿镇</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7272</w:t>
                  </w:r>
                  <w:r>
                    <w:rPr>
                      <w:rFonts w:ascii="仿宋_GB2312" w:hAnsi="仿宋_GB2312" w:cs="仿宋_GB2312" w:eastAsia="仿宋_GB2312"/>
                      <w:sz w:val="24"/>
                    </w:rPr>
                    <w:t>.00</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4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玉隆乡</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2307</w:t>
                  </w:r>
                  <w:r>
                    <w:rPr>
                      <w:rFonts w:ascii="仿宋_GB2312" w:hAnsi="仿宋_GB2312" w:cs="仿宋_GB2312" w:eastAsia="仿宋_GB2312"/>
                      <w:sz w:val="24"/>
                    </w:rPr>
                    <w:t>.00</w:t>
                  </w:r>
                </w:p>
              </w:tc>
            </w:tr>
            <w:tr>
              <w:tc>
                <w:tcPr>
                  <w:tcW w:type="dxa" w:w="30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103755</w:t>
                  </w:r>
                  <w:r>
                    <w:rPr>
                      <w:rFonts w:ascii="仿宋_GB2312" w:hAnsi="仿宋_GB2312" w:cs="仿宋_GB2312" w:eastAsia="仿宋_GB2312"/>
                      <w:sz w:val="24"/>
                    </w:rPr>
                    <w:t>.00</w:t>
                  </w:r>
                </w:p>
              </w:tc>
            </w:tr>
          </w:tbl>
          <w:p>
            <w:pPr>
              <w:pStyle w:val="null3"/>
              <w:ind w:firstLine="464"/>
              <w:jc w:val="left"/>
            </w:pPr>
            <w:r>
              <w:rPr>
                <w:rFonts w:ascii="仿宋_GB2312" w:hAnsi="仿宋_GB2312" w:cs="仿宋_GB2312" w:eastAsia="仿宋_GB2312"/>
                <w:sz w:val="24"/>
              </w:rPr>
              <w:t>（二）质量要求</w:t>
            </w:r>
          </w:p>
          <w:p>
            <w:pPr>
              <w:pStyle w:val="null3"/>
              <w:ind w:firstLine="464"/>
              <w:jc w:val="left"/>
            </w:pPr>
            <w:r>
              <w:rPr>
                <w:rFonts w:ascii="仿宋_GB2312" w:hAnsi="仿宋_GB2312" w:cs="仿宋_GB2312" w:eastAsia="仿宋_GB2312"/>
                <w:sz w:val="24"/>
              </w:rPr>
              <w:t>1、投标人所提供的所有产品须是全新的出厂后未开封使用过的产品，且权属清楚，不得侵害他人的知识产权；</w:t>
            </w:r>
          </w:p>
          <w:p>
            <w:pPr>
              <w:pStyle w:val="null3"/>
              <w:ind w:firstLine="464"/>
              <w:jc w:val="left"/>
            </w:pPr>
            <w:r>
              <w:rPr>
                <w:rFonts w:ascii="仿宋_GB2312" w:hAnsi="仿宋_GB2312" w:cs="仿宋_GB2312" w:eastAsia="仿宋_GB2312"/>
                <w:sz w:val="24"/>
              </w:rPr>
              <w:t>2、质保期内货物质量出现问题，供应商应负责包换、包退，费用由投标人承担。</w:t>
            </w:r>
          </w:p>
          <w:p>
            <w:pPr>
              <w:pStyle w:val="null3"/>
              <w:ind w:firstLine="464"/>
              <w:jc w:val="left"/>
            </w:pPr>
            <w:r>
              <w:rPr>
                <w:rFonts w:ascii="仿宋_GB2312" w:hAnsi="仿宋_GB2312" w:cs="仿宋_GB2312" w:eastAsia="仿宋_GB2312"/>
                <w:sz w:val="24"/>
              </w:rPr>
              <w:t>3、投标人应保证交付的草种检疫合格。若因外来草种未经检疫引起当地病害发生，则中标人须按合同总价的30%向采购人支付违约金并赔偿因此给采购人造成的一切损失。</w:t>
            </w:r>
          </w:p>
          <w:p>
            <w:pPr>
              <w:pStyle w:val="null3"/>
              <w:ind w:firstLine="464"/>
              <w:jc w:val="left"/>
            </w:pPr>
            <w:r>
              <w:rPr>
                <w:rFonts w:ascii="仿宋_GB2312" w:hAnsi="仿宋_GB2312" w:cs="仿宋_GB2312" w:eastAsia="仿宋_GB2312"/>
                <w:sz w:val="24"/>
              </w:rPr>
              <w:t>4、在供应草种过程中，采购人有权对所供应草种进行抽样送检，抽样送检的所有费用由中标人全部承担，包含在本次报价中，采购人不再另行支付。如送检结果不满足招标文件及投标文件响应和采购合同要求，采购人有权拒收并要求更换不合格草种同时追究相应违约责任。</w:t>
            </w:r>
          </w:p>
          <w:p>
            <w:pPr>
              <w:pStyle w:val="null3"/>
              <w:ind w:firstLine="464"/>
              <w:jc w:val="left"/>
            </w:pPr>
            <w:r>
              <w:rPr>
                <w:rFonts w:ascii="仿宋_GB2312" w:hAnsi="仿宋_GB2312" w:cs="仿宋_GB2312" w:eastAsia="仿宋_GB2312"/>
                <w:sz w:val="24"/>
              </w:rPr>
              <w:t>（三）中标供应商负责本项目实施过程中的人身安全、财产安全等一切安全责任。在项目实施过程中造成的直接或间接损失，均由中标供应商自行承担。</w:t>
            </w:r>
          </w:p>
          <w:p>
            <w:pPr>
              <w:pStyle w:val="null3"/>
              <w:ind w:firstLine="464"/>
              <w:jc w:val="left"/>
            </w:pPr>
            <w:r>
              <w:rPr>
                <w:rFonts w:ascii="仿宋_GB2312" w:hAnsi="仿宋_GB2312" w:cs="仿宋_GB2312" w:eastAsia="仿宋_GB2312"/>
                <w:sz w:val="24"/>
              </w:rPr>
              <w:t>（四）如中标，不可因未了解项目现场情况而放弃中标不履行中标人义务。如因投标人不能正常履约，给采购人造成任何损失的，采购人将保留进一步追溯的权利，并要求投标人赔偿由此带来的所有损失；如放弃中标，所产生的后果按照政府采购相关法律法规执行。</w:t>
            </w:r>
          </w:p>
          <w:p>
            <w:pPr>
              <w:pStyle w:val="null3"/>
              <w:ind w:firstLine="464"/>
              <w:jc w:val="left"/>
            </w:pPr>
            <w:r>
              <w:rPr>
                <w:rFonts w:ascii="仿宋_GB2312" w:hAnsi="仿宋_GB2312" w:cs="仿宋_GB2312" w:eastAsia="仿宋_GB2312"/>
                <w:sz w:val="24"/>
              </w:rPr>
              <w:t>（五）投标人须自行考虑本项目的地理环境等所有不利因素，本次采购项目投标人的报价包括货物、包装、运输、二次转运、装卸、技术指导、质保期内的售后服务、人员、保险、检测、税费、利润等完成本项目的所有费用，采购人不再支付其他任何费用，如出现因投标报价估算错误等引起的损失由投标人自行承担。</w:t>
            </w:r>
          </w:p>
          <w:p>
            <w:pPr>
              <w:pStyle w:val="null3"/>
              <w:ind w:firstLine="464"/>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1、供应商针对本项目提供实施方案，内容包含：</w:t>
            </w:r>
            <w:r>
              <w:rPr>
                <w:rFonts w:ascii="仿宋_GB2312" w:hAnsi="仿宋_GB2312" w:cs="仿宋_GB2312" w:eastAsia="仿宋_GB2312"/>
                <w:sz w:val="24"/>
              </w:rPr>
              <w:t>①备货、</w:t>
            </w:r>
            <w:r>
              <w:rPr>
                <w:rFonts w:ascii="仿宋_GB2312" w:hAnsi="仿宋_GB2312" w:cs="仿宋_GB2312" w:eastAsia="仿宋_GB2312"/>
                <w:sz w:val="24"/>
              </w:rPr>
              <w:t>包装、运输</w:t>
            </w:r>
            <w:r>
              <w:rPr>
                <w:rFonts w:ascii="仿宋_GB2312" w:hAnsi="仿宋_GB2312" w:cs="仿宋_GB2312" w:eastAsia="仿宋_GB2312"/>
                <w:sz w:val="24"/>
              </w:rPr>
              <w:t>方案；</w:t>
            </w:r>
            <w:r>
              <w:rPr>
                <w:rFonts w:ascii="仿宋_GB2312" w:hAnsi="仿宋_GB2312" w:cs="仿宋_GB2312" w:eastAsia="仿宋_GB2312"/>
                <w:sz w:val="24"/>
              </w:rPr>
              <w:t>②实施人员配置及安排；③进度计划及保障方案；④产品质量保障措施；⑤产品储存方案（含防鼠防潮防霉防火措施）；⑥安全保障措施；⑦应急预案</w:t>
            </w:r>
            <w:r>
              <w:rPr>
                <w:rFonts w:ascii="仿宋_GB2312" w:hAnsi="仿宋_GB2312" w:cs="仿宋_GB2312" w:eastAsia="仿宋_GB2312"/>
              </w:rPr>
              <w:t>。</w:t>
            </w:r>
          </w:p>
          <w:p>
            <w:pPr>
              <w:pStyle w:val="null3"/>
              <w:jc w:val="left"/>
            </w:pPr>
            <w:r>
              <w:rPr>
                <w:rFonts w:ascii="仿宋_GB2312" w:hAnsi="仿宋_GB2312" w:cs="仿宋_GB2312" w:eastAsia="仿宋_GB2312"/>
              </w:rPr>
              <w:t>2、供应商针对本项目提供售后服务方案，内容包含：</w:t>
            </w:r>
            <w:r>
              <w:rPr>
                <w:rFonts w:ascii="仿宋_GB2312" w:hAnsi="仿宋_GB2312" w:cs="仿宋_GB2312" w:eastAsia="仿宋_GB2312"/>
                <w:sz w:val="24"/>
              </w:rPr>
              <w:t>①售后服务体系(包括售后服务电话、售后服务网点等）；②项目专职售后服务人员安排；③售后服务流程；④售后服务响应时间；⑤燕麦种植技术培训及跟踪指导服务</w:t>
            </w:r>
            <w:r>
              <w:rPr>
                <w:rFonts w:ascii="仿宋_GB2312" w:hAnsi="仿宋_GB2312" w:cs="仿宋_GB2312" w:eastAsia="仿宋_GB2312"/>
              </w:rPr>
              <w:t>。</w:t>
            </w:r>
          </w:p>
          <w:p>
            <w:pPr>
              <w:pStyle w:val="null3"/>
              <w:jc w:val="left"/>
            </w:pPr>
            <w:r>
              <w:rPr>
                <w:rFonts w:ascii="仿宋_GB2312" w:hAnsi="仿宋_GB2312" w:cs="仿宋_GB2312" w:eastAsia="仿宋_GB2312"/>
              </w:rPr>
              <w:t>3、供应商自行配备其他有利于项目实施的人员、设备等。</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合同签订之日起10日内完成全部内容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采购人指定地点，中标人负责按采购人要求将项目种子送达至浪多乡、汪布顶乡、竹庆镇、马尼干戈镇、阿须镇、亚丁乡、年古乡、柯洛洞乡、麦宿镇、玉隆乡10个乡镇。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1、合同签订生效后，达到付款条件起7日内，支付合同总金额的40.00%</w:t>
            </w:r>
          </w:p>
          <w:p>
            <w:pPr>
              <w:pStyle w:val="null3"/>
              <w:jc w:val="left"/>
            </w:pPr>
            <w:r>
              <w:rPr>
                <w:rFonts w:ascii="仿宋_GB2312" w:hAnsi="仿宋_GB2312" w:cs="仿宋_GB2312" w:eastAsia="仿宋_GB2312"/>
              </w:rPr>
              <w:t>2、货物交付完毕经采购人验收合格后，供应商向采购人提供具有合法有效完整的完税发票及凭证资料，达到付款条件起7日内，支付合同总金额的60.00%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严格按照《财政部关于进一步加强政府采购需求和履约验收管理的指导意见》（财库〔2016〕205号）、《政府采购需求管理办法》（财库〔2021〕22号）</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1、质保期：产品验收合格之日起整体质保1年，国家规定或投标人承诺质保期长于1年的产品，按其规定执行。 2、中标人提供7*24小时电话技术支持和售后服务。中标人应有专人负责与采购人联系技术咨询、售后服务事宜，具有专门的服务电话，并能提供本地化服务。售后问题处理后24小时内，向采购人提交问题处理报告，说明问题种类、问题原因、问题解决中使用的方法及造成的损失等情况。</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如招标文件中所引用相关法律制度规定及相关国家、行业、地方标准存在过期、废止、变更的情况下(包含实质性要求)，那么招标文件中已过期、废止或变更的法律依据及标准仅作为参考依据，无实际意义；按照最新变化后的相关法律制度规定及相关国家、行业、地方标准制作响应文件； 2.本章带“★”号条款为实质性要求，有具体要求的须按文件要求提供证明材料，无要求的响应即可。 3.本国产品价格扣除：本项目不适用于《国务院办公厅关于在政府采购中实施本国产品标准及相关政策的通知》（国办发〔2025〕34号）。 4.招标文件中所列技术指标仅用作描述产品功能、性能，如与特定品牌型号相匹配不代表指向特定产品，名称如有与品牌相一致的仅作为参考，投标人应提供等于或优于所设定的技术指标的产品。 5.为扶持不发达地区和少数民族地区，同等条件下，评标委员会优先推荐企业注册地在不发达地区和少数民族地区的供应商。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提供具有独立承担民事责任能力的证明材料，根据实际情况提供以下材料之一：①企业法人：提供统一社会信用代码的营业执照（未换证的提供营业执照、组织机构代码证、税务登记证）复印件；②事业法人：提供统一社会信用代码法人登记证书（未换证的提供事业法人登记证书、组织机构代码证）复印件；③其他组织：提供对应主管部门颁发的准许执业证明文件或营业执照复印件；④自然人：提供自然人身份证明复印件。若以无独立法人资格的分支机构参加投标，需提供总公司授权其独立开展业务的证明材料。供应商需在项目电子化交易系统中按要求上传相应证明文件并加盖供应商公章。</w:t>
            </w:r>
          </w:p>
        </w:tc>
        <w:tc>
          <w:tcPr>
            <w:tcW w:type="dxa" w:w="1661"/>
          </w:tcPr>
          <w:p>
            <w:pPr>
              <w:pStyle w:val="null3"/>
              <w:jc w:val="left"/>
            </w:pPr>
            <w:r>
              <w:rPr>
                <w:rFonts w:ascii="仿宋_GB2312" w:hAnsi="仿宋_GB2312" w:cs="仿宋_GB2312" w:eastAsia="仿宋_GB2312"/>
              </w:rPr>
              <w:t>01投标人应提交的相关资格证明材料.docx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投标人具有有效的《林草种子生产经营许可证》（生产经营种类含草种子）（注：如还未更换新证的可提供有效的《草种生产许可证》或《草种经营许可证》，若为依法办理经营备案的可提供草种经营备案证明）</w:t>
            </w:r>
          </w:p>
        </w:tc>
        <w:tc>
          <w:tcPr>
            <w:tcW w:type="dxa" w:w="3322"/>
          </w:tcPr>
          <w:p>
            <w:pPr>
              <w:pStyle w:val="null3"/>
              <w:jc w:val="left"/>
            </w:pPr>
            <w:r>
              <w:rPr>
                <w:rFonts w:ascii="仿宋_GB2312" w:hAnsi="仿宋_GB2312" w:cs="仿宋_GB2312" w:eastAsia="仿宋_GB2312"/>
              </w:rPr>
              <w:t>投标人具有有效的《林草种子生产经营许可证》（生产经营种类含草种子）（注：如还未更换新证的可提供有效的《草种生产许可证》或《草种经营许可证》，若为依法办理经营备案的可提供草种经营备案证明）。提供相关证书复印/扫描件加盖投标人公章。</w:t>
            </w:r>
          </w:p>
        </w:tc>
        <w:tc>
          <w:tcPr>
            <w:tcW w:type="dxa" w:w="1661"/>
          </w:tcPr>
          <w:p>
            <w:pPr>
              <w:pStyle w:val="null3"/>
              <w:jc w:val="left"/>
            </w:pPr>
            <w:r>
              <w:rPr>
                <w:rFonts w:ascii="仿宋_GB2312" w:hAnsi="仿宋_GB2312" w:cs="仿宋_GB2312" w:eastAsia="仿宋_GB2312"/>
              </w:rPr>
              <w:t>01投标人应提交的相关资格证明材料.docx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招标文件规定的其他实质性内容。</w:t>
            </w:r>
          </w:p>
        </w:tc>
        <w:tc>
          <w:tcPr>
            <w:tcW w:type="dxa" w:w="3322"/>
          </w:tcPr>
          <w:p>
            <w:pPr>
              <w:pStyle w:val="null3"/>
              <w:jc w:val="left"/>
            </w:pPr>
            <w:r>
              <w:rPr>
                <w:rFonts w:ascii="仿宋_GB2312" w:hAnsi="仿宋_GB2312" w:cs="仿宋_GB2312" w:eastAsia="仿宋_GB2312"/>
              </w:rPr>
              <w:t>投标文件是否符合招标文件规定的其他实质性内容要求。</w:t>
            </w:r>
          </w:p>
        </w:tc>
        <w:tc>
          <w:tcPr>
            <w:tcW w:type="dxa" w:w="1661"/>
          </w:tcPr>
          <w:p>
            <w:pPr>
              <w:pStyle w:val="null3"/>
              <w:jc w:val="left"/>
            </w:pPr>
            <w:r>
              <w:rPr>
                <w:rFonts w:ascii="仿宋_GB2312" w:hAnsi="仿宋_GB2312" w:cs="仿宋_GB2312" w:eastAsia="仿宋_GB2312"/>
              </w:rPr>
              <w:t>02技术、服务要求应答表.docx,报价表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w:t>
            </w:r>
          </w:p>
        </w:tc>
        <w:tc>
          <w:tcPr>
            <w:tcW w:type="dxa" w:w="2575"/>
          </w:tcPr>
          <w:p>
            <w:pPr>
              <w:pStyle w:val="null3"/>
              <w:jc w:val="left"/>
            </w:pPr>
            <w:r>
              <w:rPr>
                <w:rFonts w:ascii="仿宋_GB2312" w:hAnsi="仿宋_GB2312" w:cs="仿宋_GB2312" w:eastAsia="仿宋_GB2312"/>
              </w:rPr>
              <w:t>完全符合招标文件第三章3.2“燕麦种子”-“技术参数与性能指标”非“★”无负偏离的得2分；非“★”参数（共1条）有负偏离的扣2分。 注：1.本项目技术参数以招标文件第三章3.2“燕麦种子”-“技术参数与性能指标”列下编号“1、”、“2、”计数。</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02技术、服务要求应答表.docx</w:t>
            </w:r>
          </w:p>
          <w:p>
            <w:pPr>
              <w:pStyle w:val="null3"/>
              <w:jc w:val="left"/>
            </w:pPr>
            <w:r>
              <w:rPr>
                <w:rFonts w:ascii="仿宋_GB2312" w:hAnsi="仿宋_GB2312" w:cs="仿宋_GB2312" w:eastAsia="仿宋_GB2312"/>
              </w:rPr>
              <w:t>05投标人认为需要提供的其他文件和资料.docx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拟为本项目配备的技术人员，每有一人具备农业类或草业类相关专业中级及以上技术职称的得4分，本项最多得8分。 注：提供人员职称证书复印/扫描件加盖供应商公章。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03实施本项目的主要人员情况表.docx</w:t>
            </w:r>
          </w:p>
          <w:p>
            <w:pPr>
              <w:pStyle w:val="null3"/>
              <w:jc w:val="left"/>
            </w:pPr>
            <w:r>
              <w:rPr>
                <w:rFonts w:ascii="仿宋_GB2312" w:hAnsi="仿宋_GB2312" w:cs="仿宋_GB2312" w:eastAsia="仿宋_GB2312"/>
              </w:rPr>
              <w:t>05投标人认为需要提供的其他文件和资料.docx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根据本项目特点，制定针对本项目的实施方案，包括：①备货、包装、运输方案；②实施人员配置及安排；③进度计划及保障方案；④产品质量保障措施；⑤产品储存方案（含防鼠防潮防霉防火措施）；⑥安全保障措施；⑦应急预案。上述7项内容齐全且无缺陷得35分；在此基础上，每缺少一项内容扣5分，扣完为止；单项内容每存在一处缺陷扣2.5分，单项内容分扣完为止。（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04服务方案.docx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根据本项目特点，制定针对本项目的售后服务方案，包括：①售后服务体系(包括售后服务电话、售后服务网点等）；②项目专职售后服务人员安排；③售后服务流程；④售后服务响应时间；⑤燕麦种植技术培训及跟踪指导服务。上述5项内容齐全且无缺陷得25分；在此基础上，每缺少一项内容扣5分，扣完为止；单项内容每存在一处缺陷扣2.5分，单项内容分扣完为止。（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04服务方案.docx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满足招标文件要求且投标报价最低的投标人的价格为评标基准价，其价格分为满分。其他投标人的价格分统一按照下列公式计算：报价得分=（评标基准价／投标报价）×30。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详见附件：01投标人应提交的相关资格证明材料.docx</w:t>
      </w:r>
    </w:p>
    <w:p>
      <w:pPr>
        <w:pStyle w:val="null3"/>
        <w:ind w:firstLine="960"/>
        <w:jc w:val="left"/>
      </w:pPr>
      <w:r>
        <w:rPr>
          <w:rFonts w:ascii="仿宋_GB2312" w:hAnsi="仿宋_GB2312" w:cs="仿宋_GB2312" w:eastAsia="仿宋_GB2312"/>
        </w:rPr>
        <w:t>详见附件：02技术、服务要求应答表.docx</w:t>
      </w:r>
    </w:p>
    <w:p>
      <w:pPr>
        <w:pStyle w:val="null3"/>
        <w:ind w:firstLine="960"/>
        <w:jc w:val="left"/>
      </w:pPr>
      <w:r>
        <w:rPr>
          <w:rFonts w:ascii="仿宋_GB2312" w:hAnsi="仿宋_GB2312" w:cs="仿宋_GB2312" w:eastAsia="仿宋_GB2312"/>
        </w:rPr>
        <w:t>详见附件：03实施本项目的主要人员情况表.docx</w:t>
      </w:r>
    </w:p>
    <w:p>
      <w:pPr>
        <w:pStyle w:val="null3"/>
        <w:ind w:firstLine="960"/>
        <w:jc w:val="left"/>
      </w:pPr>
      <w:r>
        <w:rPr>
          <w:rFonts w:ascii="仿宋_GB2312" w:hAnsi="仿宋_GB2312" w:cs="仿宋_GB2312" w:eastAsia="仿宋_GB2312"/>
        </w:rPr>
        <w:t>详见附件：04服务方案.docx</w:t>
      </w:r>
    </w:p>
    <w:p>
      <w:pPr>
        <w:pStyle w:val="null3"/>
        <w:ind w:firstLine="960"/>
        <w:jc w:val="left"/>
      </w:pPr>
      <w:r>
        <w:rPr>
          <w:rFonts w:ascii="仿宋_GB2312" w:hAnsi="仿宋_GB2312" w:cs="仿宋_GB2312" w:eastAsia="仿宋_GB2312"/>
        </w:rPr>
        <w:t>详见附件：05投标人认为需要提供的其他文件和资料.docx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