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DF2A5C">
      <w:pPr>
        <w:keepNext w:val="0"/>
        <w:keepLines w:val="0"/>
        <w:pageBreakBefore w:val="0"/>
        <w:widowControl w:val="0"/>
        <w:kinsoku/>
        <w:wordWrap w:val="0"/>
        <w:overflowPunct/>
        <w:topLinePunct w:val="0"/>
        <w:autoSpaceDE/>
        <w:autoSpaceDN/>
        <w:bidi w:val="0"/>
        <w:adjustRightInd/>
        <w:snapToGrid/>
        <w:spacing w:before="469" w:beforeLines="150" w:line="360" w:lineRule="auto"/>
        <w:jc w:val="center"/>
        <w:textAlignment w:val="auto"/>
        <w:outlineLvl w:val="9"/>
        <w:rPr>
          <w:rFonts w:hint="eastAsia" w:ascii="宋体" w:hAnsi="宋体" w:eastAsia="宋体" w:cs="宋体"/>
          <w:b/>
          <w:bCs/>
          <w:color w:val="auto"/>
          <w:sz w:val="36"/>
          <w:szCs w:val="36"/>
          <w:highlight w:val="none"/>
          <w:lang w:val="en-US" w:eastAsia="zh-CN"/>
        </w:rPr>
      </w:pPr>
      <w:r>
        <w:rPr>
          <w:rFonts w:hint="eastAsia" w:ascii="宋体" w:hAnsi="宋体" w:cs="宋体"/>
          <w:b/>
          <w:bCs/>
          <w:color w:val="auto"/>
          <w:sz w:val="48"/>
          <w:szCs w:val="48"/>
          <w:highlight w:val="none"/>
          <w:lang w:val="en-US" w:eastAsia="zh-CN"/>
        </w:rPr>
        <w:t>金顶街道办福坪村二组供水管网改造工程</w:t>
      </w:r>
    </w:p>
    <w:p w14:paraId="7197648E">
      <w:pPr>
        <w:pageBreakBefore w:val="0"/>
        <w:kinsoku/>
        <w:wordWrap w:val="0"/>
        <w:overflowPunct/>
        <w:bidi w:val="0"/>
        <w:jc w:val="center"/>
        <w:outlineLvl w:val="9"/>
        <w:rPr>
          <w:rFonts w:hint="eastAsia" w:ascii="宋体" w:hAnsi="宋体" w:eastAsia="宋体" w:cs="宋体"/>
          <w:b/>
          <w:bCs/>
          <w:color w:val="auto"/>
          <w:sz w:val="52"/>
          <w:szCs w:val="52"/>
          <w:highlight w:val="none"/>
        </w:rPr>
      </w:pPr>
    </w:p>
    <w:p w14:paraId="274BFD13">
      <w:pPr>
        <w:pageBreakBefore w:val="0"/>
        <w:kinsoku/>
        <w:wordWrap w:val="0"/>
        <w:overflowPunct/>
        <w:bidi w:val="0"/>
        <w:jc w:val="center"/>
        <w:outlineLvl w:val="9"/>
        <w:rPr>
          <w:rFonts w:hint="eastAsia" w:ascii="宋体" w:hAnsi="宋体" w:eastAsia="宋体" w:cs="宋体"/>
          <w:b/>
          <w:bCs/>
          <w:color w:val="auto"/>
          <w:sz w:val="52"/>
          <w:szCs w:val="52"/>
          <w:highlight w:val="none"/>
        </w:rPr>
      </w:pPr>
      <w:bookmarkStart w:id="0" w:name="_Toc14908"/>
    </w:p>
    <w:p w14:paraId="50A0725B">
      <w:pPr>
        <w:pageBreakBefore w:val="0"/>
        <w:kinsoku/>
        <w:wordWrap w:val="0"/>
        <w:overflowPunct/>
        <w:bidi w:val="0"/>
        <w:jc w:val="center"/>
        <w:outlineLvl w:val="9"/>
        <w:rPr>
          <w:rFonts w:hint="eastAsia" w:ascii="宋体" w:hAnsi="宋体" w:eastAsia="宋体" w:cs="宋体"/>
          <w:b/>
          <w:bCs/>
          <w:color w:val="auto"/>
          <w:sz w:val="52"/>
          <w:szCs w:val="52"/>
          <w:highlight w:val="none"/>
        </w:rPr>
      </w:pPr>
    </w:p>
    <w:p w14:paraId="00984462">
      <w:pPr>
        <w:pStyle w:val="38"/>
        <w:pageBreakBefore w:val="0"/>
        <w:kinsoku/>
        <w:wordWrap w:val="0"/>
        <w:overflowPunct/>
        <w:bidi w:val="0"/>
        <w:outlineLvl w:val="9"/>
        <w:rPr>
          <w:rFonts w:hint="eastAsia" w:ascii="宋体" w:hAnsi="宋体" w:eastAsia="宋体" w:cs="宋体"/>
          <w:color w:val="auto"/>
          <w:highlight w:val="none"/>
        </w:rPr>
      </w:pPr>
    </w:p>
    <w:p w14:paraId="0E2A9B32">
      <w:pPr>
        <w:rPr>
          <w:rFonts w:hint="eastAsia"/>
          <w:color w:val="auto"/>
          <w:highlight w:val="none"/>
        </w:rPr>
      </w:pPr>
    </w:p>
    <w:p w14:paraId="001B0D0A">
      <w:pPr>
        <w:pageBreakBefore w:val="0"/>
        <w:kinsoku/>
        <w:wordWrap w:val="0"/>
        <w:overflowPunct/>
        <w:bidi w:val="0"/>
        <w:outlineLvl w:val="9"/>
        <w:rPr>
          <w:rFonts w:hint="eastAsia"/>
          <w:color w:val="auto"/>
          <w:highlight w:val="none"/>
        </w:rPr>
      </w:pPr>
    </w:p>
    <w:p w14:paraId="01AEE3C6">
      <w:pPr>
        <w:pageBreakBefore w:val="0"/>
        <w:kinsoku/>
        <w:wordWrap w:val="0"/>
        <w:overflowPunct/>
        <w:bidi w:val="0"/>
        <w:outlineLvl w:val="9"/>
        <w:rPr>
          <w:rFonts w:hint="eastAsia"/>
          <w:color w:val="auto"/>
          <w:highlight w:val="none"/>
        </w:rPr>
      </w:pPr>
    </w:p>
    <w:p w14:paraId="07AA1D95">
      <w:pPr>
        <w:pageBreakBefore w:val="0"/>
        <w:kinsoku/>
        <w:wordWrap w:val="0"/>
        <w:overflowPunct/>
        <w:bidi w:val="0"/>
        <w:jc w:val="center"/>
        <w:outlineLvl w:val="9"/>
        <w:rPr>
          <w:rFonts w:hint="eastAsia" w:ascii="宋体" w:hAnsi="宋体" w:eastAsia="宋体" w:cs="宋体"/>
          <w:b/>
          <w:bCs/>
          <w:color w:val="auto"/>
          <w:sz w:val="52"/>
          <w:szCs w:val="52"/>
          <w:highlight w:val="none"/>
        </w:rPr>
      </w:pPr>
    </w:p>
    <w:p w14:paraId="278B54FF">
      <w:pPr>
        <w:pageBreakBefore w:val="0"/>
        <w:kinsoku/>
        <w:wordWrap w:val="0"/>
        <w:overflowPunct/>
        <w:bidi w:val="0"/>
        <w:jc w:val="center"/>
        <w:outlineLvl w:val="9"/>
        <w:rPr>
          <w:rFonts w:hint="eastAsia" w:ascii="宋体" w:hAnsi="宋体" w:eastAsia="宋体" w:cs="宋体"/>
          <w:b/>
          <w:bCs/>
          <w:color w:val="auto"/>
          <w:sz w:val="72"/>
          <w:szCs w:val="72"/>
          <w:highlight w:val="none"/>
        </w:rPr>
      </w:pPr>
      <w:r>
        <w:rPr>
          <w:rFonts w:hint="eastAsia" w:ascii="宋体" w:hAnsi="宋体" w:eastAsia="宋体" w:cs="宋体"/>
          <w:b/>
          <w:bCs/>
          <w:color w:val="auto"/>
          <w:spacing w:val="180"/>
          <w:w w:val="100"/>
          <w:kern w:val="0"/>
          <w:sz w:val="72"/>
          <w:szCs w:val="72"/>
          <w:highlight w:val="none"/>
          <w:fitText w:val="7200" w:id="1766420525"/>
        </w:rPr>
        <w:t>竞争性磋商文</w:t>
      </w:r>
      <w:r>
        <w:rPr>
          <w:rFonts w:hint="eastAsia" w:ascii="宋体" w:hAnsi="宋体" w:eastAsia="宋体" w:cs="宋体"/>
          <w:b/>
          <w:bCs/>
          <w:color w:val="auto"/>
          <w:spacing w:val="0"/>
          <w:w w:val="100"/>
          <w:kern w:val="0"/>
          <w:sz w:val="72"/>
          <w:szCs w:val="72"/>
          <w:highlight w:val="none"/>
          <w:fitText w:val="7200" w:id="1766420525"/>
        </w:rPr>
        <w:t>件</w:t>
      </w:r>
      <w:bookmarkEnd w:id="0"/>
    </w:p>
    <w:p w14:paraId="60373E0C">
      <w:pPr>
        <w:pageBreakBefore w:val="0"/>
        <w:tabs>
          <w:tab w:val="left" w:pos="5850"/>
        </w:tabs>
        <w:kinsoku/>
        <w:wordWrap w:val="0"/>
        <w:overflowPunct/>
        <w:bidi w:val="0"/>
        <w:ind w:firstLine="1303" w:firstLineChars="543"/>
        <w:outlineLvl w:val="9"/>
        <w:rPr>
          <w:rFonts w:hint="eastAsia" w:ascii="宋体" w:hAnsi="宋体" w:eastAsia="宋体" w:cs="宋体"/>
          <w:color w:val="auto"/>
          <w:highlight w:val="none"/>
        </w:rPr>
      </w:pPr>
      <w:r>
        <w:rPr>
          <w:rFonts w:hint="eastAsia" w:ascii="宋体" w:hAnsi="宋体" w:eastAsia="宋体" w:cs="宋体"/>
          <w:bCs/>
          <w:color w:val="auto"/>
          <w:sz w:val="24"/>
          <w:highlight w:val="none"/>
        </w:rPr>
        <w:tab/>
      </w:r>
    </w:p>
    <w:p w14:paraId="250537DC">
      <w:pPr>
        <w:keepNext w:val="0"/>
        <w:keepLines w:val="0"/>
        <w:pageBreakBefore w:val="0"/>
        <w:widowControl w:val="0"/>
        <w:numPr>
          <w:ilvl w:val="3"/>
          <w:numId w:val="0"/>
        </w:numPr>
        <w:tabs>
          <w:tab w:val="left" w:pos="2155"/>
        </w:tabs>
        <w:kinsoku/>
        <w:wordWrap w:val="0"/>
        <w:overflowPunct/>
        <w:topLinePunct w:val="0"/>
        <w:autoSpaceDE/>
        <w:autoSpaceDN/>
        <w:bidi w:val="0"/>
        <w:adjustRightInd/>
        <w:snapToGrid/>
        <w:spacing w:before="157" w:beforeLines="50" w:line="480" w:lineRule="auto"/>
        <w:jc w:val="center"/>
        <w:textAlignment w:val="auto"/>
        <w:outlineLvl w:val="9"/>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项目编号：</w:t>
      </w:r>
      <w:r>
        <w:rPr>
          <w:rFonts w:hint="eastAsia" w:ascii="宋体" w:hAnsi="宋体" w:cs="宋体"/>
          <w:b/>
          <w:color w:val="auto"/>
          <w:sz w:val="28"/>
          <w:szCs w:val="28"/>
          <w:highlight w:val="none"/>
          <w:lang w:eastAsia="zh-CN"/>
        </w:rPr>
        <w:t>NJZC2026-C2-00162-YNDB-0016</w:t>
      </w:r>
    </w:p>
    <w:p w14:paraId="4BFC8B11">
      <w:pPr>
        <w:keepNext w:val="0"/>
        <w:keepLines w:val="0"/>
        <w:pageBreakBefore w:val="0"/>
        <w:widowControl w:val="0"/>
        <w:kinsoku/>
        <w:wordWrap w:val="0"/>
        <w:overflowPunct/>
        <w:topLinePunct w:val="0"/>
        <w:autoSpaceDE/>
        <w:autoSpaceDN/>
        <w:bidi w:val="0"/>
        <w:adjustRightInd/>
        <w:snapToGrid/>
        <w:spacing w:line="480" w:lineRule="auto"/>
        <w:textAlignment w:val="auto"/>
        <w:outlineLvl w:val="9"/>
        <w:rPr>
          <w:rFonts w:hint="eastAsia" w:ascii="宋体" w:hAnsi="宋体" w:eastAsia="宋体" w:cs="宋体"/>
          <w:b/>
          <w:color w:val="auto"/>
          <w:sz w:val="30"/>
          <w:szCs w:val="30"/>
          <w:highlight w:val="none"/>
        </w:rPr>
      </w:pPr>
    </w:p>
    <w:p w14:paraId="05896C09">
      <w:pPr>
        <w:pageBreakBefore w:val="0"/>
        <w:kinsoku/>
        <w:wordWrap w:val="0"/>
        <w:overflowPunct/>
        <w:bidi w:val="0"/>
        <w:outlineLvl w:val="9"/>
        <w:rPr>
          <w:rFonts w:hint="eastAsia" w:ascii="宋体" w:hAnsi="宋体" w:eastAsia="宋体" w:cs="宋体"/>
          <w:b/>
          <w:color w:val="auto"/>
          <w:sz w:val="30"/>
          <w:szCs w:val="30"/>
          <w:highlight w:val="none"/>
        </w:rPr>
      </w:pPr>
      <w:bookmarkStart w:id="1" w:name="_Toc2173"/>
    </w:p>
    <w:p w14:paraId="250DA8FE">
      <w:pPr>
        <w:pageBreakBefore w:val="0"/>
        <w:kinsoku/>
        <w:wordWrap w:val="0"/>
        <w:overflowPunct/>
        <w:bidi w:val="0"/>
        <w:outlineLvl w:val="9"/>
        <w:rPr>
          <w:rFonts w:hint="eastAsia" w:ascii="宋体" w:hAnsi="宋体" w:eastAsia="宋体" w:cs="宋体"/>
          <w:color w:val="auto"/>
          <w:highlight w:val="none"/>
        </w:rPr>
      </w:pPr>
    </w:p>
    <w:p w14:paraId="13ADD37C">
      <w:pPr>
        <w:pStyle w:val="38"/>
        <w:pageBreakBefore w:val="0"/>
        <w:kinsoku/>
        <w:wordWrap w:val="0"/>
        <w:overflowPunct/>
        <w:bidi w:val="0"/>
        <w:outlineLvl w:val="9"/>
        <w:rPr>
          <w:rFonts w:hint="eastAsia" w:ascii="宋体" w:hAnsi="宋体" w:eastAsia="宋体" w:cs="宋体"/>
          <w:color w:val="auto"/>
          <w:highlight w:val="none"/>
        </w:rPr>
      </w:pPr>
    </w:p>
    <w:p w14:paraId="085405B8">
      <w:pPr>
        <w:pageBreakBefore w:val="0"/>
        <w:kinsoku/>
        <w:wordWrap w:val="0"/>
        <w:overflowPunct/>
        <w:bidi w:val="0"/>
        <w:outlineLvl w:val="9"/>
        <w:rPr>
          <w:rFonts w:hint="eastAsia" w:ascii="宋体" w:hAnsi="宋体" w:eastAsia="宋体" w:cs="宋体"/>
          <w:color w:val="auto"/>
          <w:highlight w:val="none"/>
        </w:rPr>
      </w:pPr>
    </w:p>
    <w:p w14:paraId="175E5157">
      <w:pPr>
        <w:pStyle w:val="57"/>
        <w:pageBreakBefore w:val="0"/>
        <w:kinsoku/>
        <w:wordWrap w:val="0"/>
        <w:overflowPunct/>
        <w:bidi w:val="0"/>
        <w:rPr>
          <w:rFonts w:hint="eastAsia"/>
          <w:color w:val="auto"/>
          <w:highlight w:val="none"/>
        </w:rPr>
      </w:pPr>
    </w:p>
    <w:p w14:paraId="0F9F3CE3">
      <w:pPr>
        <w:pStyle w:val="57"/>
        <w:pageBreakBefore w:val="0"/>
        <w:kinsoku/>
        <w:wordWrap w:val="0"/>
        <w:overflowPunct/>
        <w:bidi w:val="0"/>
        <w:rPr>
          <w:rFonts w:hint="eastAsia"/>
          <w:color w:val="auto"/>
          <w:highlight w:val="none"/>
        </w:rPr>
      </w:pPr>
    </w:p>
    <w:p w14:paraId="6F5BE717">
      <w:pPr>
        <w:pStyle w:val="38"/>
        <w:pageBreakBefore w:val="0"/>
        <w:kinsoku/>
        <w:wordWrap w:val="0"/>
        <w:overflowPunct/>
        <w:bidi w:val="0"/>
        <w:outlineLvl w:val="9"/>
        <w:rPr>
          <w:rFonts w:hint="eastAsia" w:ascii="宋体" w:hAnsi="宋体" w:eastAsia="宋体" w:cs="宋体"/>
          <w:color w:val="auto"/>
          <w:highlight w:val="none"/>
        </w:rPr>
      </w:pPr>
    </w:p>
    <w:bookmarkEnd w:id="1"/>
    <w:p w14:paraId="7191A210">
      <w:pPr>
        <w:keepNext w:val="0"/>
        <w:keepLines w:val="0"/>
        <w:pageBreakBefore w:val="0"/>
        <w:widowControl w:val="0"/>
        <w:kinsoku/>
        <w:wordWrap w:val="0"/>
        <w:overflowPunct/>
        <w:topLinePunct w:val="0"/>
        <w:autoSpaceDE/>
        <w:autoSpaceDN/>
        <w:bidi w:val="0"/>
        <w:adjustRightInd/>
        <w:snapToGrid/>
        <w:spacing w:line="360" w:lineRule="auto"/>
        <w:ind w:firstLine="301" w:firstLineChars="100"/>
        <w:textAlignment w:val="auto"/>
        <w:outlineLvl w:val="9"/>
        <w:rPr>
          <w:rFonts w:hint="eastAsia" w:ascii="宋体" w:hAnsi="宋体" w:eastAsia="宋体" w:cs="宋体"/>
          <w:b/>
          <w:color w:val="auto"/>
          <w:sz w:val="30"/>
          <w:szCs w:val="30"/>
          <w:highlight w:val="none"/>
        </w:rPr>
      </w:pPr>
    </w:p>
    <w:p w14:paraId="74F76F19">
      <w:pPr>
        <w:keepNext w:val="0"/>
        <w:keepLines w:val="0"/>
        <w:pageBreakBefore w:val="0"/>
        <w:widowControl w:val="0"/>
        <w:kinsoku/>
        <w:wordWrap w:val="0"/>
        <w:overflowPunct/>
        <w:topLinePunct w:val="0"/>
        <w:autoSpaceDE/>
        <w:autoSpaceDN/>
        <w:bidi w:val="0"/>
        <w:adjustRightInd/>
        <w:snapToGrid/>
        <w:spacing w:line="600" w:lineRule="auto"/>
        <w:jc w:val="left"/>
        <w:textAlignment w:val="auto"/>
        <w:outlineLvl w:val="9"/>
        <w:rPr>
          <w:rFonts w:hint="eastAsia" w:ascii="宋体" w:hAnsi="宋体" w:cs="宋体"/>
          <w:b/>
          <w:color w:val="auto"/>
          <w:sz w:val="28"/>
          <w:szCs w:val="28"/>
          <w:highlight w:val="none"/>
          <w:lang w:eastAsia="zh-CN"/>
        </w:rPr>
      </w:pPr>
      <w:r>
        <w:rPr>
          <w:rFonts w:hint="eastAsia" w:ascii="宋体" w:hAnsi="宋体" w:eastAsia="宋体" w:cs="宋体"/>
          <w:b/>
          <w:color w:val="auto"/>
          <w:spacing w:val="140"/>
          <w:kern w:val="0"/>
          <w:sz w:val="28"/>
          <w:szCs w:val="28"/>
          <w:highlight w:val="none"/>
          <w:fitText w:val="1960" w:id="2126017566"/>
        </w:rPr>
        <w:t>采购单</w:t>
      </w:r>
      <w:r>
        <w:rPr>
          <w:rFonts w:hint="eastAsia" w:ascii="宋体" w:hAnsi="宋体" w:eastAsia="宋体" w:cs="宋体"/>
          <w:b/>
          <w:color w:val="auto"/>
          <w:spacing w:val="0"/>
          <w:kern w:val="0"/>
          <w:sz w:val="28"/>
          <w:szCs w:val="28"/>
          <w:highlight w:val="none"/>
          <w:fitText w:val="1960" w:id="2126017566"/>
        </w:rPr>
        <w:t>位</w:t>
      </w:r>
      <w:r>
        <w:rPr>
          <w:rFonts w:hint="eastAsia"/>
          <w:color w:val="auto"/>
          <w:sz w:val="28"/>
          <w:szCs w:val="28"/>
          <w:highlight w:val="none"/>
          <w:lang w:eastAsia="zh-CN"/>
        </w:rPr>
        <w:t>：</w:t>
      </w:r>
      <w:r>
        <w:rPr>
          <w:rFonts w:hint="eastAsia" w:ascii="宋体" w:hAnsi="宋体" w:cs="宋体"/>
          <w:b/>
          <w:color w:val="auto"/>
          <w:sz w:val="28"/>
          <w:szCs w:val="28"/>
          <w:highlight w:val="none"/>
          <w:lang w:eastAsia="zh-CN"/>
        </w:rPr>
        <w:t>兰坪白族普米族自治县水利局</w:t>
      </w:r>
    </w:p>
    <w:p w14:paraId="0172577E">
      <w:pPr>
        <w:keepNext w:val="0"/>
        <w:keepLines w:val="0"/>
        <w:pageBreakBefore w:val="0"/>
        <w:widowControl w:val="0"/>
        <w:kinsoku/>
        <w:wordWrap w:val="0"/>
        <w:overflowPunct/>
        <w:topLinePunct w:val="0"/>
        <w:autoSpaceDE/>
        <w:autoSpaceDN/>
        <w:bidi w:val="0"/>
        <w:adjustRightInd/>
        <w:snapToGrid/>
        <w:spacing w:line="600" w:lineRule="auto"/>
        <w:jc w:val="left"/>
        <w:textAlignment w:val="auto"/>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pacing w:val="28"/>
          <w:kern w:val="0"/>
          <w:sz w:val="28"/>
          <w:szCs w:val="28"/>
          <w:highlight w:val="none"/>
          <w:fitText w:val="1960" w:id="2126017566"/>
        </w:rPr>
        <w:t>采购代理机</w:t>
      </w:r>
      <w:r>
        <w:rPr>
          <w:rFonts w:hint="eastAsia" w:ascii="宋体" w:hAnsi="宋体" w:eastAsia="宋体" w:cs="宋体"/>
          <w:b/>
          <w:color w:val="auto"/>
          <w:spacing w:val="0"/>
          <w:kern w:val="0"/>
          <w:sz w:val="28"/>
          <w:szCs w:val="28"/>
          <w:highlight w:val="none"/>
          <w:fitText w:val="1960" w:id="2126017566"/>
        </w:rPr>
        <w:t>构</w:t>
      </w:r>
      <w:r>
        <w:rPr>
          <w:rFonts w:hint="eastAsia" w:ascii="宋体" w:hAnsi="宋体" w:eastAsia="宋体" w:cs="宋体"/>
          <w:b/>
          <w:color w:val="auto"/>
          <w:sz w:val="28"/>
          <w:szCs w:val="28"/>
          <w:highlight w:val="none"/>
          <w:lang w:eastAsia="zh-CN"/>
        </w:rPr>
        <w:t>：云南鼎邦招标代理有限公司</w:t>
      </w:r>
    </w:p>
    <w:p w14:paraId="5D5CD913">
      <w:pPr>
        <w:pStyle w:val="38"/>
        <w:keepNext w:val="0"/>
        <w:keepLines w:val="0"/>
        <w:pageBreakBefore w:val="0"/>
        <w:widowControl w:val="0"/>
        <w:kinsoku/>
        <w:wordWrap w:val="0"/>
        <w:overflowPunct/>
        <w:topLinePunct w:val="0"/>
        <w:autoSpaceDE/>
        <w:autoSpaceDN/>
        <w:bidi w:val="0"/>
        <w:adjustRightInd/>
        <w:snapToGrid/>
        <w:spacing w:after="0" w:line="360" w:lineRule="auto"/>
        <w:ind w:left="0" w:leftChars="0" w:firstLine="0" w:firstLineChars="0"/>
        <w:jc w:val="left"/>
        <w:textAlignment w:val="auto"/>
        <w:outlineLvl w:val="9"/>
        <w:rPr>
          <w:rFonts w:hint="eastAsia" w:ascii="宋体" w:hAnsi="宋体" w:eastAsia="宋体" w:cs="宋体"/>
          <w:b/>
          <w:color w:val="auto"/>
          <w:sz w:val="28"/>
          <w:szCs w:val="28"/>
          <w:highlight w:val="none"/>
          <w:lang w:eastAsia="zh-CN"/>
        </w:rPr>
      </w:pPr>
      <w:r>
        <w:rPr>
          <w:rFonts w:hint="eastAsia" w:ascii="宋体" w:hAnsi="宋体" w:eastAsia="宋体" w:cs="宋体"/>
          <w:b/>
          <w:color w:val="auto"/>
          <w:spacing w:val="700"/>
          <w:kern w:val="0"/>
          <w:sz w:val="28"/>
          <w:szCs w:val="28"/>
          <w:highlight w:val="none"/>
          <w:fitText w:val="1960" w:id="99044884"/>
          <w:lang w:eastAsia="zh-CN"/>
        </w:rPr>
        <w:t>日</w:t>
      </w:r>
      <w:r>
        <w:rPr>
          <w:rFonts w:hint="eastAsia" w:ascii="宋体" w:hAnsi="宋体" w:eastAsia="宋体" w:cs="宋体"/>
          <w:b/>
          <w:color w:val="auto"/>
          <w:spacing w:val="0"/>
          <w:kern w:val="0"/>
          <w:sz w:val="28"/>
          <w:szCs w:val="28"/>
          <w:highlight w:val="none"/>
          <w:fitText w:val="1960" w:id="99044884"/>
          <w:lang w:eastAsia="zh-CN"/>
        </w:rPr>
        <w:t>期</w:t>
      </w:r>
      <w:r>
        <w:rPr>
          <w:rFonts w:hint="eastAsia" w:ascii="宋体" w:hAnsi="宋体" w:eastAsia="宋体" w:cs="宋体"/>
          <w:b/>
          <w:color w:val="auto"/>
          <w:sz w:val="28"/>
          <w:szCs w:val="28"/>
          <w:highlight w:val="none"/>
          <w:lang w:eastAsia="zh-CN"/>
        </w:rPr>
        <w:t>：二〇二六年四月</w:t>
      </w:r>
    </w:p>
    <w:p w14:paraId="111491FC">
      <w:pPr>
        <w:pageBreakBefore w:val="0"/>
        <w:kinsoku/>
        <w:wordWrap w:val="0"/>
        <w:overflowPunct/>
        <w:bidi w:val="0"/>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br w:type="page"/>
      </w:r>
    </w:p>
    <w:sdt>
      <w:sdtPr>
        <w:rPr>
          <w:rFonts w:ascii="宋体" w:hAnsi="宋体" w:eastAsia="宋体" w:cs="Times New Roman"/>
          <w:color w:val="auto"/>
          <w:kern w:val="2"/>
          <w:sz w:val="21"/>
          <w:highlight w:val="none"/>
          <w:lang w:val="en-US" w:eastAsia="zh-CN" w:bidi="ar-SA"/>
        </w:rPr>
        <w:id w:val="147462946"/>
        <w15:color w:val="DBDBDB"/>
        <w:docPartObj>
          <w:docPartGallery w:val="Table of Contents"/>
          <w:docPartUnique/>
        </w:docPartObj>
      </w:sdtPr>
      <w:sdtEndPr>
        <w:rPr>
          <w:rFonts w:hint="eastAsia" w:ascii="宋体" w:hAnsi="宋体" w:eastAsia="宋体" w:cs="宋体"/>
          <w:color w:val="auto"/>
          <w:kern w:val="2"/>
          <w:sz w:val="21"/>
          <w:szCs w:val="21"/>
          <w:highlight w:val="none"/>
          <w:lang w:val="en-US" w:eastAsia="zh-CN" w:bidi="ar-SA"/>
        </w:rPr>
      </w:sdtEndPr>
      <w:sdtContent>
        <w:p w14:paraId="2673E45A">
          <w:pPr>
            <w:keepNext w:val="0"/>
            <w:keepLines w:val="0"/>
            <w:pageBreakBefore w:val="0"/>
            <w:widowControl w:val="0"/>
            <w:kinsoku/>
            <w:wordWrap w:val="0"/>
            <w:overflowPunct/>
            <w:topLinePunct w:val="0"/>
            <w:autoSpaceDE/>
            <w:autoSpaceDN/>
            <w:bidi w:val="0"/>
            <w:adjustRightInd/>
            <w:snapToGrid/>
            <w:spacing w:before="0" w:beforeLines="0" w:after="0" w:afterLines="0" w:line="240" w:lineRule="auto"/>
            <w:ind w:left="0" w:leftChars="0" w:right="0" w:rightChars="0" w:firstLine="0" w:firstLineChars="0"/>
            <w:jc w:val="center"/>
            <w:textAlignment w:val="auto"/>
            <w:rPr>
              <w:rFonts w:hint="eastAsia" w:ascii="宋体" w:hAnsi="宋体" w:eastAsia="宋体" w:cs="宋体"/>
              <w:b/>
              <w:bCs/>
              <w:color w:val="auto"/>
              <w:sz w:val="21"/>
              <w:szCs w:val="21"/>
              <w:highlight w:val="none"/>
            </w:rPr>
          </w:pPr>
          <w:r>
            <w:rPr>
              <w:rFonts w:ascii="宋体" w:hAnsi="宋体" w:eastAsia="宋体"/>
              <w:b/>
              <w:bCs/>
              <w:color w:val="auto"/>
              <w:sz w:val="32"/>
              <w:szCs w:val="32"/>
              <w:highlight w:val="none"/>
            </w:rPr>
            <w:t>目</w:t>
          </w:r>
          <w:r>
            <w:rPr>
              <w:rFonts w:hint="eastAsia" w:ascii="宋体" w:hAnsi="宋体" w:eastAsia="宋体"/>
              <w:b/>
              <w:bCs/>
              <w:color w:val="auto"/>
              <w:sz w:val="32"/>
              <w:szCs w:val="32"/>
              <w:highlight w:val="none"/>
              <w:lang w:val="en-US" w:eastAsia="zh-CN"/>
            </w:rPr>
            <w:t xml:space="preserve">   </w:t>
          </w:r>
          <w:r>
            <w:rPr>
              <w:rFonts w:ascii="宋体" w:hAnsi="宋体" w:eastAsia="宋体"/>
              <w:b/>
              <w:bCs/>
              <w:color w:val="auto"/>
              <w:sz w:val="32"/>
              <w:szCs w:val="32"/>
              <w:highlight w:val="none"/>
            </w:rPr>
            <w:t>录</w:t>
          </w:r>
        </w:p>
        <w:p w14:paraId="17DEAE05">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TOC \o "1-3" \h \u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_Toc7749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aps/>
              <w:color w:val="auto"/>
              <w:sz w:val="21"/>
              <w:szCs w:val="21"/>
              <w:highlight w:val="none"/>
            </w:rPr>
            <w:t xml:space="preserve">第一章  </w:t>
          </w:r>
          <w:r>
            <w:rPr>
              <w:rFonts w:hint="eastAsia" w:ascii="宋体" w:hAnsi="宋体" w:eastAsia="宋体" w:cs="宋体"/>
              <w:bCs/>
              <w:caps/>
              <w:color w:val="auto"/>
              <w:sz w:val="21"/>
              <w:szCs w:val="21"/>
              <w:highlight w:val="none"/>
              <w:lang w:eastAsia="zh-CN"/>
            </w:rPr>
            <w:t>竞争性磋商公告</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_Toc7749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A9295CE">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_Toc4323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一、项目基本情况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_Toc4323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1C4312C">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_Toc6168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二、</w:t>
          </w:r>
          <w:r>
            <w:rPr>
              <w:rFonts w:hint="eastAsia" w:ascii="宋体" w:hAnsi="宋体" w:eastAsia="宋体" w:cs="宋体"/>
              <w:bCs/>
              <w:color w:val="auto"/>
              <w:sz w:val="21"/>
              <w:szCs w:val="21"/>
              <w:highlight w:val="none"/>
              <w:lang w:eastAsia="zh-CN"/>
            </w:rPr>
            <w:t>申请人资格要求</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_Toc6168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8BADBDC">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_Toc21565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三、获取采购文件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_Toc21565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838DADF">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_Toc7604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四、响应文件提交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_Toc7604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674B95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_Toc11786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五、开启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_Toc11786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944A1A4">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_Toc17287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六、公告期限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_Toc17287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D172EF4">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_Toc18823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七、其他补充事宜</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_Toc18823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2DFA587">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_Toc22097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八、对本次采购提出询问，请按以下方式联系</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_Toc22097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4D625EF">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_Toc15617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aps/>
              <w:color w:val="auto"/>
              <w:sz w:val="21"/>
              <w:szCs w:val="21"/>
              <w:highlight w:val="none"/>
            </w:rPr>
            <w:t>第二章</w:t>
          </w:r>
          <w:r>
            <w:rPr>
              <w:rFonts w:hint="eastAsia" w:ascii="宋体" w:hAnsi="宋体" w:eastAsia="宋体" w:cs="宋体"/>
              <w:caps/>
              <w:color w:val="auto"/>
              <w:sz w:val="21"/>
              <w:szCs w:val="21"/>
              <w:highlight w:val="none"/>
              <w:lang w:val="en-US" w:eastAsia="zh-CN"/>
            </w:rPr>
            <w:t xml:space="preserve">  </w:t>
          </w:r>
          <w:r>
            <w:rPr>
              <w:rFonts w:hint="eastAsia" w:ascii="宋体" w:hAnsi="宋体" w:eastAsia="宋体" w:cs="宋体"/>
              <w:caps/>
              <w:color w:val="auto"/>
              <w:sz w:val="21"/>
              <w:szCs w:val="21"/>
              <w:highlight w:val="none"/>
            </w:rPr>
            <w:t>供应商须知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_Toc15617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D6A2D19">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_Toc25977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供应商须知前附表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_Toc25977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AE7632A">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供应商须知正文部分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5B6AFE0">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_Toc23752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总则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_Toc23752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359A93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_Toc31635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1.1</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项目概况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_Toc31635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8918FB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_Toc4385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1.2</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资金来源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_Toc4385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F55DA02">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_Toc15000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1.3</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招标范围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_Toc15000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3A638C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_Toc32766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1.4 供应商资格要求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_Toc32766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F4B00F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_Toc10720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1.5 费用承担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_Toc10720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3C53ED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_Toc16300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1.6 保密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_Toc16300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183E18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_Toc32481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1.7 语言文字</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_Toc32481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FB2C7A4">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_Toc20132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1.8 计量单位</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_Toc20132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D3197CA">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2．磋商文件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_Toc18853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475FB5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_Toc8820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2.1 </w:t>
          </w:r>
          <w:r>
            <w:rPr>
              <w:rFonts w:hint="eastAsia" w:ascii="宋体" w:hAnsi="宋体" w:eastAsia="宋体" w:cs="宋体"/>
              <w:bCs/>
              <w:color w:val="auto"/>
              <w:sz w:val="21"/>
              <w:szCs w:val="21"/>
              <w:highlight w:val="none"/>
              <w:lang w:eastAsia="zh-CN"/>
            </w:rPr>
            <w:t>磋商</w:t>
          </w:r>
          <w:r>
            <w:rPr>
              <w:rFonts w:hint="eastAsia" w:ascii="宋体" w:hAnsi="宋体" w:eastAsia="宋体" w:cs="宋体"/>
              <w:bCs/>
              <w:color w:val="auto"/>
              <w:sz w:val="21"/>
              <w:szCs w:val="21"/>
              <w:highlight w:val="none"/>
            </w:rPr>
            <w:t>文件的组成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_Toc8820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405CF02">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_Toc24707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 xml:space="preserve">2.2 </w:t>
          </w:r>
          <w:r>
            <w:rPr>
              <w:rFonts w:hint="eastAsia" w:ascii="宋体" w:hAnsi="宋体" w:eastAsia="宋体" w:cs="宋体"/>
              <w:bCs/>
              <w:color w:val="auto"/>
              <w:sz w:val="21"/>
              <w:szCs w:val="21"/>
              <w:highlight w:val="none"/>
              <w:lang w:eastAsia="zh-CN"/>
            </w:rPr>
            <w:t>竞争性磋商</w:t>
          </w:r>
          <w:r>
            <w:rPr>
              <w:rFonts w:hint="eastAsia" w:ascii="宋体" w:hAnsi="宋体" w:eastAsia="宋体" w:cs="宋体"/>
              <w:bCs/>
              <w:color w:val="auto"/>
              <w:sz w:val="21"/>
              <w:szCs w:val="21"/>
              <w:highlight w:val="none"/>
            </w:rPr>
            <w:t>文件的</w:t>
          </w:r>
          <w:r>
            <w:rPr>
              <w:rFonts w:hint="eastAsia" w:ascii="宋体" w:hAnsi="宋体" w:eastAsia="宋体" w:cs="宋体"/>
              <w:bCs/>
              <w:color w:val="auto"/>
              <w:sz w:val="21"/>
              <w:szCs w:val="21"/>
              <w:highlight w:val="none"/>
              <w:lang w:eastAsia="zh-CN"/>
            </w:rPr>
            <w:t>询问、</w:t>
          </w:r>
          <w:r>
            <w:rPr>
              <w:rFonts w:hint="eastAsia" w:ascii="宋体" w:hAnsi="宋体" w:eastAsia="宋体" w:cs="宋体"/>
              <w:bCs/>
              <w:color w:val="auto"/>
              <w:sz w:val="21"/>
              <w:szCs w:val="21"/>
              <w:highlight w:val="none"/>
            </w:rPr>
            <w:t>澄清</w:t>
          </w:r>
          <w:r>
            <w:rPr>
              <w:rFonts w:hint="eastAsia" w:ascii="宋体" w:hAnsi="宋体" w:eastAsia="宋体" w:cs="宋体"/>
              <w:bCs/>
              <w:color w:val="auto"/>
              <w:sz w:val="21"/>
              <w:szCs w:val="21"/>
              <w:highlight w:val="none"/>
              <w:lang w:eastAsia="zh-CN"/>
            </w:rPr>
            <w:t>、修改</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_Toc24707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0E96C3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_Toc6925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3．响应文件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_Toc6925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9004EA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_Toc25277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3.1 响应文件编写注意事项</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_Toc25277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171105F">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_Toc25975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3.2 响应文件</w:t>
          </w:r>
          <w:bookmarkStart w:id="335" w:name="_GoBack"/>
          <w:bookmarkEnd w:id="335"/>
          <w:r>
            <w:rPr>
              <w:rFonts w:hint="eastAsia" w:ascii="宋体" w:hAnsi="宋体" w:eastAsia="宋体" w:cs="宋体"/>
              <w:bCs/>
              <w:color w:val="auto"/>
              <w:sz w:val="21"/>
              <w:szCs w:val="21"/>
              <w:highlight w:val="none"/>
              <w:lang w:val="en-US" w:eastAsia="zh-CN"/>
            </w:rPr>
            <w:t>的组成</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_Toc25975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ABA71F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_Toc20696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3.3 响应文件的格式要求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_Toc20696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45586C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_Toc28988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3.4 响应文件有效期</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_Toc28988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2A7D3C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_Toc28904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3.5 磋商保证金缴纳及退还</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_Toc28904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A0B874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_Toc30215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3.6 响应文件的编制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_Toc30215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502A70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_Toc9780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3.7 报价和报价货币</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_Toc9780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C9EE38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_Toc13122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4. 响应文件的递交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_Toc13122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7E6B4D9">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_Toc24268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4.1 响应文件的要求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_Toc24268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B35A38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_Toc8643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4.2 开标地点</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_Toc8643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F2D02E9">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_Toc3855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4.3 响应文件的补充、修改或者撤回</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_Toc3855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D09699E">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_Toc20423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 磋商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_Toc20423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FCBB94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_Toc12857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5.1 磋商小组的组建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_Toc12857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A382964">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_Toc8645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5.2 磋商小组成员有下列情形之一的，应当回避：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_Toc8645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712F77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_Toc16486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5.3 磋商小组</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_Toc16486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294C6B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_Toc18150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5.4 评审原则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_Toc18150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28A485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_Toc19889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5.5 评审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_Toc19889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AEF6328">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_Toc26141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6.成交结果</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_Toc26141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05B0C31">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_Toc25438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6.1成交供应商的确定</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_Toc25438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73F04D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_Toc28990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6.2成交通知书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_Toc28990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75A69E4">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_Toc27432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6.3 签订合同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_Toc27432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BB6083D">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_Toc13694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7．重新招标和不再招标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_Toc13694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6BC8EE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_Toc1579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.1 重新招标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_Toc1579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19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99C2E9A">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_Toc15685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7</w:t>
          </w:r>
          <w:r>
            <w:rPr>
              <w:rFonts w:hint="eastAsia" w:ascii="宋体" w:hAnsi="宋体" w:eastAsia="宋体" w:cs="宋体"/>
              <w:bCs/>
              <w:color w:val="auto"/>
              <w:sz w:val="21"/>
              <w:szCs w:val="21"/>
              <w:highlight w:val="none"/>
            </w:rPr>
            <w:t>.2 不再招标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_Toc15685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890D895">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_Toc13320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8．纪律和监督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_Toc13320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8C65BE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_Toc30008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8.1 对采购人的纪律要求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_Toc30008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D360D8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_Toc5168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8.2 对供应商的纪律要求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_Toc5168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D84124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_Toc22240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8.3 对磋商小组成员的纪律要求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_Toc22240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F191C0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_Toc6776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8.4 对与评审活动有关的工作人员的纪律要求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_Toc6776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F0A4B31">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_Toc11622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8.5 投诉</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_Toc11622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54A412A">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_Toc6503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9．知识产权</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_Toc6503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0412AA4">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_Toc27953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10．重新招标的其他情形</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_Toc27953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B09D08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_Toc22494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11．监  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_Toc22494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AB13CE5">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_Toc7529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12．解释权</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_Toc7529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A3B88A4">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_Toc21764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13．政府采购政策</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_Toc21764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6D7A4A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_Toc2736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13.1中小企业</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_Toc2736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399043D">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_Toc13474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14.2监狱企业</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_Toc13474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417AE9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_Toc29845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14.3残疾人福利性单位</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_Toc29845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5C936B9">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_Toc24405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附件一：问题澄清通知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_Toc24405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0C17CB1">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_Toc13182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附表二：问题的澄清</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_Toc13182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AA5C2BC">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_Toc32054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第三章  采购需求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_Toc32054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E696FE9">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_Toc809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sz w:val="21"/>
              <w:szCs w:val="21"/>
              <w:highlight w:val="none"/>
              <w:lang w:val="en-US" w:eastAsia="zh-CN"/>
            </w:rPr>
            <w:t>一、项目基本情况</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_Toc809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AB5D4F4">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_Toc26349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sz w:val="21"/>
              <w:szCs w:val="21"/>
              <w:highlight w:val="none"/>
              <w:lang w:val="en-US" w:eastAsia="zh-CN"/>
            </w:rPr>
            <w:t>二、技术标准及要求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_Toc26349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D53B890">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_Toc15862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sz w:val="21"/>
              <w:szCs w:val="21"/>
              <w:highlight w:val="none"/>
              <w:lang w:val="en-US" w:eastAsia="zh-CN"/>
            </w:rPr>
            <w:t>三、招标工程量清单及图纸</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_Toc15862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1168397">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_Toc18515 </w:instrText>
          </w:r>
          <w:r>
            <w:rPr>
              <w:rFonts w:hint="eastAsia" w:ascii="宋体" w:hAnsi="宋体" w:eastAsia="宋体" w:cs="宋体"/>
              <w:color w:val="auto"/>
              <w:sz w:val="21"/>
              <w:szCs w:val="21"/>
              <w:highlight w:val="none"/>
            </w:rPr>
            <w:fldChar w:fldCharType="separate"/>
          </w:r>
          <w:r>
            <w:rPr>
              <w:rFonts w:hint="eastAsia" w:ascii="宋体" w:hAnsi="宋体" w:eastAsia="宋体" w:cs="宋体"/>
              <w:caps/>
              <w:color w:val="auto"/>
              <w:sz w:val="21"/>
              <w:szCs w:val="21"/>
              <w:highlight w:val="none"/>
            </w:rPr>
            <w:t xml:space="preserve">第四章  </w:t>
          </w:r>
          <w:r>
            <w:rPr>
              <w:rFonts w:hint="eastAsia" w:ascii="宋体" w:hAnsi="宋体" w:eastAsia="宋体" w:cs="宋体"/>
              <w:caps/>
              <w:color w:val="auto"/>
              <w:sz w:val="21"/>
              <w:szCs w:val="21"/>
              <w:highlight w:val="none"/>
              <w:lang w:eastAsia="zh-CN"/>
            </w:rPr>
            <w:t>评审</w:t>
          </w:r>
          <w:r>
            <w:rPr>
              <w:rFonts w:hint="eastAsia" w:ascii="宋体" w:hAnsi="宋体" w:eastAsia="宋体" w:cs="宋体"/>
              <w:caps/>
              <w:color w:val="auto"/>
              <w:sz w:val="21"/>
              <w:szCs w:val="21"/>
              <w:highlight w:val="none"/>
            </w:rPr>
            <w:t>办法</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_Toc18515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3E11E2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_Toc30597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一、磋商小组</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_Toc30597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973522C">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_Toc18689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二、采购人或者采购代理机构职责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_Toc18689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EE179C6">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_Toc6532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三、磋商小组职责</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_Toc6532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870CC8A">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_Toc29317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四、评审纪律</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_Toc29317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B4A11AB">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_Toc31639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五、评审原则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_Toc31639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E090BD7">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_Toc2322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六、评审程序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_Toc2322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2B63DAB">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_Toc30650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七、评审方法</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_Toc30650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ADED48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_Toc29417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10"/>
              <w:sz w:val="21"/>
              <w:szCs w:val="21"/>
              <w:highlight w:val="none"/>
              <w:lang w:eastAsia="zh-CN"/>
            </w:rPr>
            <w:t>评审</w:t>
          </w:r>
          <w:r>
            <w:rPr>
              <w:rFonts w:hint="eastAsia" w:ascii="宋体" w:hAnsi="宋体" w:eastAsia="宋体" w:cs="宋体"/>
              <w:color w:val="auto"/>
              <w:kern w:val="10"/>
              <w:sz w:val="21"/>
              <w:szCs w:val="21"/>
              <w:highlight w:val="none"/>
            </w:rPr>
            <w:t>办法附表一（资格评审指标表）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_Toc29417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28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4B1F89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_Toc18071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10"/>
              <w:sz w:val="21"/>
              <w:szCs w:val="21"/>
              <w:highlight w:val="none"/>
              <w:lang w:eastAsia="zh-CN"/>
            </w:rPr>
            <w:t>评审办法附表二（符合性评审指标表）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_Toc18071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423394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_Toc27596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10"/>
              <w:sz w:val="21"/>
              <w:szCs w:val="21"/>
              <w:highlight w:val="none"/>
              <w:lang w:eastAsia="zh-CN"/>
            </w:rPr>
            <w:t>评审办法附表三（综合评分指标）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_Toc27596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80F47DB">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_Toc2976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八、得分汇总</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_Toc2976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687500E">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_Toc27957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九、评审结果</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_Toc27957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01C66D1">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_Toc30452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十、评审报告编写</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_Toc30452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7BABED7">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_Toc14639 </w:instrText>
          </w:r>
          <w:r>
            <w:rPr>
              <w:rFonts w:hint="eastAsia" w:ascii="宋体" w:hAnsi="宋体" w:eastAsia="宋体" w:cs="宋体"/>
              <w:color w:val="auto"/>
              <w:sz w:val="21"/>
              <w:szCs w:val="21"/>
              <w:highlight w:val="none"/>
            </w:rPr>
            <w:fldChar w:fldCharType="separate"/>
          </w:r>
          <w:r>
            <w:rPr>
              <w:rFonts w:hint="eastAsia" w:ascii="宋体" w:hAnsi="宋体" w:eastAsia="宋体" w:cs="宋体"/>
              <w:caps/>
              <w:color w:val="auto"/>
              <w:sz w:val="21"/>
              <w:szCs w:val="21"/>
              <w:highlight w:val="none"/>
            </w:rPr>
            <w:t>第五章  合同条款及合同书样式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_Toc14639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A352A11">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_Toc21324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第一节  通用合同条款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_Toc21324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36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95E8710">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_Toc9466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0"/>
              <w:sz w:val="21"/>
              <w:szCs w:val="21"/>
              <w:highlight w:val="none"/>
            </w:rPr>
            <w:t>第二节 专用合同条款</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_Toc9466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10AAF4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_Toc18574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1．一般约定</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_Toc18574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75</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0DC8EE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_Toc27116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2  发包人义务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_Toc27116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973266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_Toc8115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3  监理人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_Toc8115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B6F100A">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_Toc13862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4  承包人</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_Toc13862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76</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22EF3A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_Toc31525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5  材料和工程设备</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_Toc31525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4677E1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_Toc17426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6  施工设备和临时设施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_Toc17426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77</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30B962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_Toc20159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7.交通运输</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_Toc20159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3340F3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_Toc14029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8 测量放线</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_Toc14029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6030A3A">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_Toc32017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9 施工安全、治安保卫和环境保护</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_Toc32017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78</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2243FC1">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_Toc10985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11  开工和竣工（完工）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_Toc10985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79</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988CB1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_Toc27554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12  暂停施工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_Toc27554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213190F">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_Toc9769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13. 工程质量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_Toc9769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9C83A7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_Toc11828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14. 试验和检验</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_Toc11828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9D1F4E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_Toc9758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15  变更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_Toc9758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80</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25BCC2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_Toc10601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16 价格调整</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_Toc10601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324BD5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_Toc19679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17  计量与支付</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_Toc19679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81</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E2A56D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_Toc20270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18  竣工验收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_Toc20270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82</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50986AC">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_Toc25633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19 缺陷责任与保修责任</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_Toc25633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4A587B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_Toc27604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20  保险</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_Toc27604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83</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3ECBC9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_Toc29315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24. 争议的解决</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_Toc29315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84</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E60AEB3">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_Toc28879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0"/>
              <w:sz w:val="21"/>
              <w:szCs w:val="21"/>
              <w:highlight w:val="none"/>
            </w:rPr>
            <w:t>第三节 合同附件格式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_Toc28879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- 85 -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B15B15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_Toc15308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附件一:   合同协议书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_Toc15308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- 86 -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104446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_Toc21093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附件二:履约担保格式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_Toc21093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- 87 -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AE3006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_Toc3167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0"/>
              <w:sz w:val="21"/>
              <w:szCs w:val="21"/>
              <w:highlight w:val="none"/>
            </w:rPr>
            <w:t>附件三：预付款担保格式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_Toc3167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- 88 -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B4099C4">
          <w:pPr>
            <w:pStyle w:val="27"/>
            <w:tabs>
              <w:tab w:val="right" w:leader="dot" w:pos="9173"/>
              <w:tab w:val="clear" w:pos="8280"/>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_Toc30674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aps/>
              <w:color w:val="auto"/>
              <w:sz w:val="21"/>
              <w:szCs w:val="21"/>
              <w:highlight w:val="none"/>
            </w:rPr>
            <w:t>第六章</w:t>
          </w:r>
          <w:r>
            <w:rPr>
              <w:rFonts w:hint="eastAsia" w:ascii="宋体" w:hAnsi="宋体" w:eastAsia="宋体" w:cs="宋体"/>
              <w:bCs w:val="0"/>
              <w:caps/>
              <w:color w:val="auto"/>
              <w:sz w:val="21"/>
              <w:szCs w:val="21"/>
              <w:highlight w:val="none"/>
              <w:lang w:val="en-US" w:eastAsia="zh-CN"/>
            </w:rPr>
            <w:t xml:space="preserve">  </w:t>
          </w:r>
          <w:r>
            <w:rPr>
              <w:rFonts w:hint="eastAsia" w:ascii="宋体" w:hAnsi="宋体" w:eastAsia="宋体" w:cs="宋体"/>
              <w:bCs w:val="0"/>
              <w:caps/>
              <w:color w:val="auto"/>
              <w:sz w:val="21"/>
              <w:szCs w:val="21"/>
              <w:highlight w:val="none"/>
            </w:rPr>
            <w:t>响应文件格式</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_Toc30674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- 89 -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31C8AEC">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_Toc28997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 xml:space="preserve">第一部分  </w:t>
          </w:r>
          <w:r>
            <w:rPr>
              <w:rFonts w:hint="eastAsia" w:ascii="宋体" w:hAnsi="宋体" w:cs="宋体"/>
              <w:bCs/>
              <w:color w:val="auto"/>
              <w:sz w:val="21"/>
              <w:szCs w:val="21"/>
              <w:highlight w:val="none"/>
              <w:lang w:val="en-US" w:eastAsia="zh-CN"/>
            </w:rPr>
            <w:t>资格文件部分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_Toc28997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- 90 -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3127206">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_Toc31159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一、</w:t>
          </w:r>
          <w:r>
            <w:rPr>
              <w:rFonts w:hint="eastAsia" w:ascii="宋体" w:hAnsi="宋体" w:eastAsia="宋体" w:cs="宋体"/>
              <w:bCs/>
              <w:color w:val="auto"/>
              <w:kern w:val="2"/>
              <w:sz w:val="21"/>
              <w:szCs w:val="21"/>
              <w:highlight w:val="none"/>
              <w:lang w:val="en-US" w:eastAsia="zh-CN" w:bidi="ar-SA"/>
            </w:rPr>
            <w:t>供应商信息表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_Toc31159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- 90 -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16641B4">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_Toc18800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二、具有良好的商业信誉：</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_Toc18800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- 91 -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CD6337F">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_Toc2248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三、具有健全的财务会计制度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_Toc2248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- 92 -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0058104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_Toc16933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四、有依法缴纳税收和社会保障资金的良好记录：</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_Toc16933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- 92 -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F1C3C7B">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_Toc26385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五、具有履行合同所必需的设备和专业技术能力</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_Toc26385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- 92 -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AA206E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_Toc8114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六、无重大违法记录声明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_Toc8114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- 93 -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FCE931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_Toc28754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七、法律、行政法规规定的其他条件</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_Toc28754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- 94 -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13A8A20">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_Toc31962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val="0"/>
              <w:color w:val="auto"/>
              <w:w w:val="100"/>
              <w:kern w:val="2"/>
              <w:sz w:val="21"/>
              <w:szCs w:val="21"/>
              <w:highlight w:val="none"/>
              <w:lang w:val="en-US" w:eastAsia="zh-CN" w:bidi="ar-SA"/>
            </w:rPr>
            <w:t>八、特定资格要求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_Toc31962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- 95 -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9D712C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_Toc16030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2"/>
              <w:sz w:val="21"/>
              <w:szCs w:val="21"/>
              <w:highlight w:val="none"/>
              <w:lang w:val="en-US" w:eastAsia="zh-CN" w:bidi="ar-SA"/>
            </w:rPr>
            <w:t>九、中小企业声明函(小微企业需提供)</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_Toc16030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- 96 -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2509CE2">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_Toc23443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 xml:space="preserve">第二部分  </w:t>
          </w:r>
          <w:r>
            <w:rPr>
              <w:rFonts w:hint="eastAsia" w:ascii="宋体" w:hAnsi="宋体" w:cs="宋体"/>
              <w:bCs/>
              <w:color w:val="auto"/>
              <w:sz w:val="21"/>
              <w:szCs w:val="21"/>
              <w:highlight w:val="none"/>
              <w:lang w:val="en-US" w:eastAsia="zh-CN"/>
            </w:rPr>
            <w:t>报价文件部分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_Toc23443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- 99 -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446403D">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_Toc10058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kern w:val="2"/>
              <w:sz w:val="21"/>
              <w:szCs w:val="21"/>
              <w:highlight w:val="none"/>
              <w:lang w:val="en-US" w:eastAsia="zh-CN" w:bidi="ar-SA"/>
            </w:rPr>
            <w:t>一、报价编制说明</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_Toc10058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- 99 -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76C847FA">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_Toc16784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eastAsia="zh-CN"/>
            </w:rPr>
            <w:t>二、初次报价</w:t>
          </w:r>
          <w:r>
            <w:rPr>
              <w:rFonts w:hint="eastAsia" w:ascii="宋体" w:hAnsi="宋体" w:eastAsia="宋体" w:cs="宋体"/>
              <w:color w:val="auto"/>
              <w:sz w:val="21"/>
              <w:szCs w:val="21"/>
              <w:highlight w:val="none"/>
            </w:rPr>
            <w:t>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_Toc16784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- 100 -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6967E1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_Toc2800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lang w:val="en-US" w:eastAsia="zh-CN"/>
            </w:rPr>
            <w:t>三、预算书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_Toc2800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- 101 -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A649489">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_Toc29925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val="en-US" w:eastAsia="zh-CN"/>
            </w:rPr>
            <w:t xml:space="preserve">第三部分  </w:t>
          </w:r>
          <w:r>
            <w:rPr>
              <w:rFonts w:hint="eastAsia" w:ascii="宋体" w:hAnsi="宋体" w:cs="宋体"/>
              <w:bCs/>
              <w:color w:val="auto"/>
              <w:sz w:val="21"/>
              <w:szCs w:val="21"/>
              <w:highlight w:val="none"/>
              <w:lang w:val="en-US" w:eastAsia="zh-CN"/>
            </w:rPr>
            <w:t>商务技术文件部分</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_Toc29925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- 102 -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0E2734F">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_Toc30904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lang w:eastAsia="zh-CN"/>
            </w:rPr>
            <w:t>一、法定代表人身份证明书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_Toc30904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- 102 -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37CCC53">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_Toc11349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二、法定代表人授权书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_Toc11349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- 103 -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33A87415">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_Toc1965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三、磋商函</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_Toc1965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- 104 -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2035C79E">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_Toc14539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四、项目负责人（项目经理）简历表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_Toc14539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- 105 -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AE37DE2">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_Toc10988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五、项目管理机构组成表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_Toc10988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- 106 -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65C68C7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_Toc5961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六、施工组织设计</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_Toc5961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- 107 -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40D24A67">
          <w:pPr>
            <w:pStyle w:val="20"/>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_Toc20581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kern w:val="2"/>
              <w:sz w:val="21"/>
              <w:szCs w:val="21"/>
              <w:highlight w:val="none"/>
              <w:lang w:val="en-US" w:eastAsia="zh-CN" w:bidi="ar-SA"/>
            </w:rPr>
            <w:t>七、其他要求</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_Toc20581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- 114 -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1BD46AA8">
          <w:pPr>
            <w:pStyle w:val="33"/>
            <w:tabs>
              <w:tab w:val="right" w:leader="dot" w:pos="9173"/>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_Toc5928 </w:instrText>
          </w:r>
          <w:r>
            <w:rPr>
              <w:rFonts w:hint="eastAsia" w:ascii="宋体" w:hAnsi="宋体" w:eastAsia="宋体" w:cs="宋体"/>
              <w:color w:val="auto"/>
              <w:sz w:val="21"/>
              <w:szCs w:val="21"/>
              <w:highlight w:val="none"/>
            </w:rPr>
            <w:fldChar w:fldCharType="separate"/>
          </w:r>
          <w:r>
            <w:rPr>
              <w:rFonts w:hint="eastAsia" w:ascii="宋体" w:hAnsi="宋体" w:eastAsia="宋体" w:cs="宋体"/>
              <w:bCs/>
              <w:color w:val="auto"/>
              <w:sz w:val="21"/>
              <w:szCs w:val="21"/>
              <w:highlight w:val="none"/>
            </w:rPr>
            <w:t>最终报价及承诺表</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PAGEREF _Toc5928 \h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- 115 -</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fldChar w:fldCharType="end"/>
          </w:r>
        </w:p>
        <w:p w14:paraId="50D34602">
          <w:pPr>
            <w:pStyle w:val="38"/>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fldChar w:fldCharType="end"/>
          </w:r>
        </w:p>
      </w:sdtContent>
    </w:sdt>
    <w:p w14:paraId="6A07DDC3">
      <w:pPr>
        <w:pageBreakBefore w:val="0"/>
        <w:kinsoku/>
        <w:wordWrap w:val="0"/>
        <w:overflowPunct/>
        <w:bidi w:val="0"/>
        <w:rPr>
          <w:rFonts w:hint="eastAsia"/>
          <w:color w:val="auto"/>
          <w:sz w:val="21"/>
          <w:szCs w:val="21"/>
          <w:highlight w:val="none"/>
        </w:rPr>
      </w:pPr>
    </w:p>
    <w:p w14:paraId="5BB4DCC3">
      <w:pPr>
        <w:pageBreakBefore w:val="0"/>
        <w:tabs>
          <w:tab w:val="left" w:pos="3274"/>
        </w:tabs>
        <w:kinsoku/>
        <w:wordWrap w:val="0"/>
        <w:overflowPunct/>
        <w:bidi w:val="0"/>
        <w:jc w:val="left"/>
        <w:rPr>
          <w:rFonts w:hint="eastAsia" w:ascii="宋体" w:hAnsi="宋体" w:eastAsia="宋体" w:cs="宋体"/>
          <w:color w:val="auto"/>
          <w:sz w:val="21"/>
          <w:szCs w:val="21"/>
          <w:highlight w:val="none"/>
        </w:rPr>
        <w:sectPr>
          <w:footerReference r:id="rId5" w:type="first"/>
          <w:headerReference r:id="rId3" w:type="default"/>
          <w:footerReference r:id="rId4" w:type="default"/>
          <w:pgSz w:w="11905" w:h="16838"/>
          <w:pgMar w:top="1440" w:right="1366" w:bottom="1440" w:left="1366" w:header="720" w:footer="850" w:gutter="0"/>
          <w:pgBorders>
            <w:top w:val="none" w:sz="0" w:space="0"/>
            <w:left w:val="none" w:sz="0" w:space="0"/>
            <w:bottom w:val="none" w:sz="0" w:space="0"/>
            <w:right w:val="none" w:sz="0" w:space="0"/>
          </w:pgBorders>
          <w:pgNumType w:fmt="numberInDash" w:start="1"/>
          <w:cols w:space="0" w:num="1"/>
          <w:rtlGutter w:val="0"/>
          <w:docGrid w:linePitch="312" w:charSpace="0"/>
        </w:sectPr>
      </w:pPr>
    </w:p>
    <w:p w14:paraId="60E8790B">
      <w:pPr>
        <w:keepNext w:val="0"/>
        <w:keepLines w:val="0"/>
        <w:pageBreakBefore w:val="0"/>
        <w:widowControl w:val="0"/>
        <w:kinsoku/>
        <w:wordWrap w:val="0"/>
        <w:overflowPunct/>
        <w:topLinePunct w:val="0"/>
        <w:autoSpaceDE/>
        <w:autoSpaceDN/>
        <w:bidi w:val="0"/>
        <w:adjustRightInd/>
        <w:snapToGrid w:val="0"/>
        <w:spacing w:line="360" w:lineRule="auto"/>
        <w:jc w:val="center"/>
        <w:textAlignment w:val="auto"/>
        <w:outlineLvl w:val="0"/>
        <w:rPr>
          <w:rFonts w:hint="eastAsia" w:ascii="宋体" w:hAnsi="宋体" w:eastAsia="宋体" w:cs="宋体"/>
          <w:b/>
          <w:bCs/>
          <w:caps/>
          <w:color w:val="auto"/>
          <w:sz w:val="40"/>
          <w:szCs w:val="40"/>
          <w:highlight w:val="none"/>
          <w:lang w:val="en-US" w:eastAsia="zh-CN"/>
        </w:rPr>
      </w:pPr>
      <w:bookmarkStart w:id="2" w:name="_Toc2197"/>
      <w:bookmarkStart w:id="3" w:name="_Toc7749"/>
      <w:bookmarkStart w:id="4" w:name="_Toc204749319"/>
      <w:bookmarkStart w:id="5" w:name="_Toc21644"/>
      <w:bookmarkStart w:id="6" w:name="_Toc277776488"/>
      <w:bookmarkStart w:id="7" w:name="_Toc427678298"/>
      <w:r>
        <w:rPr>
          <w:rFonts w:hint="eastAsia" w:ascii="宋体" w:hAnsi="宋体" w:eastAsia="宋体" w:cs="宋体"/>
          <w:b/>
          <w:bCs/>
          <w:caps/>
          <w:color w:val="auto"/>
          <w:sz w:val="40"/>
          <w:szCs w:val="40"/>
          <w:highlight w:val="none"/>
        </w:rPr>
        <w:t xml:space="preserve">第一章  </w:t>
      </w:r>
      <w:bookmarkEnd w:id="2"/>
      <w:r>
        <w:rPr>
          <w:rFonts w:hint="eastAsia" w:ascii="宋体" w:hAnsi="宋体" w:eastAsia="宋体" w:cs="宋体"/>
          <w:b/>
          <w:bCs/>
          <w:caps/>
          <w:color w:val="auto"/>
          <w:sz w:val="40"/>
          <w:szCs w:val="40"/>
          <w:highlight w:val="none"/>
          <w:lang w:eastAsia="zh-CN"/>
        </w:rPr>
        <w:t>竞争性磋商公告</w:t>
      </w:r>
      <w:bookmarkEnd w:id="3"/>
    </w:p>
    <w:p w14:paraId="7C135B13">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bidi w:val="0"/>
        <w:adjustRightInd/>
        <w:snapToGrid/>
        <w:spacing w:line="360" w:lineRule="auto"/>
        <w:textAlignment w:val="auto"/>
        <w:rPr>
          <w:rFonts w:hint="eastAsia" w:ascii="宋体" w:hAnsi="宋体" w:eastAsia="宋体" w:cs="宋体"/>
          <w:caps/>
          <w:color w:val="auto"/>
          <w:sz w:val="21"/>
          <w:szCs w:val="21"/>
          <w:highlight w:val="none"/>
        </w:rPr>
      </w:pPr>
      <w:bookmarkStart w:id="8" w:name="_Toc9497710"/>
      <w:bookmarkEnd w:id="8"/>
      <w:bookmarkStart w:id="9" w:name="_Toc2100"/>
      <w:bookmarkStart w:id="10" w:name="_Toc35393629"/>
      <w:bookmarkStart w:id="11" w:name="_Toc17079"/>
      <w:bookmarkStart w:id="12" w:name="_Toc28359089"/>
      <w:bookmarkStart w:id="13" w:name="_Toc28359012"/>
      <w:bookmarkStart w:id="14" w:name="_Toc35393798"/>
      <w:bookmarkStart w:id="15" w:name="_Toc22089"/>
      <w:r>
        <w:rPr>
          <w:rFonts w:hint="eastAsia" w:ascii="宋体" w:hAnsi="宋体" w:eastAsia="宋体" w:cs="宋体"/>
          <w:caps/>
          <w:color w:val="auto"/>
          <w:sz w:val="21"/>
          <w:szCs w:val="21"/>
          <w:highlight w:val="none"/>
        </w:rPr>
        <w:t>项目概况:</w:t>
      </w:r>
    </w:p>
    <w:p w14:paraId="6F8F03EA">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cs="宋体"/>
          <w:b/>
          <w:bCs w:val="0"/>
          <w:color w:val="auto"/>
          <w:sz w:val="21"/>
          <w:szCs w:val="21"/>
          <w:highlight w:val="none"/>
          <w:u w:val="single"/>
          <w:lang w:val="en-US" w:eastAsia="zh-CN"/>
        </w:rPr>
        <w:t>金顶街道办福坪村二组供水管网改造工程</w:t>
      </w:r>
      <w:r>
        <w:rPr>
          <w:rFonts w:hint="eastAsia" w:ascii="宋体" w:hAnsi="宋体" w:eastAsia="宋体" w:cs="宋体"/>
          <w:b/>
          <w:bCs w:val="0"/>
          <w:color w:val="auto"/>
          <w:sz w:val="21"/>
          <w:szCs w:val="21"/>
          <w:highlight w:val="none"/>
          <w:u w:val="single"/>
          <w:lang w:val="en-US" w:eastAsia="zh-CN"/>
        </w:rPr>
        <w:t xml:space="preserve"> </w:t>
      </w:r>
      <w:r>
        <w:rPr>
          <w:rFonts w:hint="eastAsia" w:ascii="宋体" w:hAnsi="宋体" w:eastAsia="宋体" w:cs="宋体"/>
          <w:caps/>
          <w:color w:val="auto"/>
          <w:sz w:val="21"/>
          <w:szCs w:val="21"/>
          <w:highlight w:val="none"/>
          <w:lang w:val="en-US" w:eastAsia="zh-CN"/>
        </w:rPr>
        <w:t>的潜在供应商应在</w:t>
      </w:r>
      <w:r>
        <w:rPr>
          <w:rFonts w:hint="eastAsia" w:ascii="宋体" w:hAnsi="宋体" w:eastAsia="宋体" w:cs="宋体"/>
          <w:b/>
          <w:bCs/>
          <w:caps/>
          <w:color w:val="auto"/>
          <w:sz w:val="21"/>
          <w:szCs w:val="21"/>
          <w:highlight w:val="none"/>
          <w:u w:val="single"/>
          <w:lang w:val="en-US" w:eastAsia="zh-CN"/>
        </w:rPr>
        <w:t xml:space="preserve"> “政府采购云平台”（</w:t>
      </w:r>
      <w:r>
        <w:rPr>
          <w:rFonts w:hint="eastAsia" w:ascii="宋体" w:hAnsi="宋体" w:eastAsia="宋体" w:cs="宋体"/>
          <w:b/>
          <w:bCs/>
          <w:color w:val="auto"/>
          <w:sz w:val="21"/>
          <w:szCs w:val="21"/>
          <w:highlight w:val="none"/>
          <w:u w:val="single"/>
          <w:lang w:val="en-US" w:eastAsia="zh-CN"/>
        </w:rPr>
        <w:t xml:space="preserve">https://www.zcygov.cn/) </w:t>
      </w:r>
      <w:r>
        <w:rPr>
          <w:rFonts w:hint="eastAsia" w:ascii="宋体" w:hAnsi="宋体" w:eastAsia="宋体" w:cs="宋体"/>
          <w:color w:val="auto"/>
          <w:sz w:val="21"/>
          <w:szCs w:val="21"/>
          <w:highlight w:val="none"/>
        </w:rPr>
        <w:t>获取</w:t>
      </w:r>
      <w:r>
        <w:rPr>
          <w:rFonts w:hint="eastAsia" w:ascii="宋体" w:hAnsi="宋体" w:eastAsia="宋体" w:cs="宋体"/>
          <w:color w:val="auto"/>
          <w:sz w:val="21"/>
          <w:szCs w:val="21"/>
          <w:highlight w:val="none"/>
          <w:lang w:eastAsia="zh-CN"/>
        </w:rPr>
        <w:t>（下载）</w:t>
      </w:r>
      <w:r>
        <w:rPr>
          <w:rFonts w:hint="eastAsia" w:ascii="宋体" w:hAnsi="宋体" w:eastAsia="宋体" w:cs="宋体"/>
          <w:color w:val="auto"/>
          <w:sz w:val="21"/>
          <w:szCs w:val="21"/>
          <w:highlight w:val="none"/>
        </w:rPr>
        <w:t>采购文件，并于</w:t>
      </w:r>
      <w:r>
        <w:rPr>
          <w:rFonts w:hint="eastAsia" w:ascii="宋体" w:hAnsi="宋体" w:cs="宋体"/>
          <w:b/>
          <w:bCs/>
          <w:color w:val="auto"/>
          <w:sz w:val="21"/>
          <w:szCs w:val="21"/>
          <w:highlight w:val="none"/>
          <w:u w:val="single"/>
          <w:lang w:val="en-US" w:eastAsia="zh-CN"/>
        </w:rPr>
        <w:t xml:space="preserve"> 2026年05月12日09:00分</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（北京时间）前递交响应文件</w:t>
      </w:r>
      <w:r>
        <w:rPr>
          <w:rFonts w:hint="eastAsia" w:ascii="宋体" w:hAnsi="宋体" w:eastAsia="宋体" w:cs="宋体"/>
          <w:color w:val="auto"/>
          <w:sz w:val="21"/>
          <w:szCs w:val="21"/>
          <w:highlight w:val="none"/>
        </w:rPr>
        <w:t>。</w:t>
      </w:r>
    </w:p>
    <w:p w14:paraId="0B7A17B5">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16" w:name="_Toc4323"/>
      <w:r>
        <w:rPr>
          <w:rFonts w:hint="eastAsia" w:ascii="黑体" w:hAnsi="黑体" w:eastAsia="黑体" w:cs="黑体"/>
          <w:b/>
          <w:bCs/>
          <w:color w:val="auto"/>
          <w:sz w:val="24"/>
          <w:szCs w:val="24"/>
          <w:highlight w:val="none"/>
        </w:rPr>
        <w:t>一、项目基本情况</w:t>
      </w:r>
      <w:bookmarkEnd w:id="9"/>
      <w:bookmarkEnd w:id="10"/>
      <w:bookmarkEnd w:id="11"/>
      <w:bookmarkEnd w:id="12"/>
      <w:bookmarkEnd w:id="13"/>
      <w:bookmarkEnd w:id="14"/>
      <w:bookmarkEnd w:id="15"/>
      <w:bookmarkEnd w:id="16"/>
    </w:p>
    <w:p w14:paraId="7B4B53E6">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bookmarkStart w:id="17" w:name="_Toc4581"/>
      <w:bookmarkStart w:id="18" w:name="_Toc35393799"/>
      <w:bookmarkStart w:id="19" w:name="_Toc21051"/>
      <w:bookmarkStart w:id="20" w:name="_Toc28359090"/>
      <w:bookmarkStart w:id="21" w:name="_Toc1953"/>
      <w:bookmarkStart w:id="22" w:name="_Toc35393630"/>
      <w:bookmarkStart w:id="23" w:name="_Toc28359013"/>
      <w:r>
        <w:rPr>
          <w:rFonts w:hint="eastAsia" w:ascii="宋体" w:hAnsi="宋体" w:eastAsia="宋体" w:cs="宋体"/>
          <w:color w:val="auto"/>
          <w:sz w:val="21"/>
          <w:szCs w:val="21"/>
          <w:highlight w:val="none"/>
          <w:lang w:val="en-US" w:eastAsia="zh-CN"/>
        </w:rPr>
        <w:t>1.项目编号：</w:t>
      </w:r>
      <w:r>
        <w:rPr>
          <w:rFonts w:hint="eastAsia" w:ascii="宋体" w:hAnsi="宋体" w:cs="宋体"/>
          <w:color w:val="auto"/>
          <w:sz w:val="21"/>
          <w:szCs w:val="21"/>
          <w:highlight w:val="none"/>
          <w:lang w:val="en-US" w:eastAsia="zh-CN"/>
        </w:rPr>
        <w:t>NJZC2026-C2-00162-YNDB-0016</w:t>
      </w:r>
      <w:r>
        <w:rPr>
          <w:rFonts w:hint="eastAsia" w:ascii="宋体" w:hAnsi="宋体" w:eastAsia="宋体" w:cs="宋体"/>
          <w:color w:val="auto"/>
          <w:sz w:val="21"/>
          <w:szCs w:val="21"/>
          <w:highlight w:val="none"/>
          <w:lang w:val="en-US" w:eastAsia="zh-CN"/>
        </w:rPr>
        <w:t>；</w:t>
      </w:r>
    </w:p>
    <w:p w14:paraId="48055A8D">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2.项目名称：</w:t>
      </w:r>
      <w:r>
        <w:rPr>
          <w:rFonts w:hint="eastAsia" w:ascii="宋体" w:hAnsi="宋体" w:cs="宋体"/>
          <w:b w:val="0"/>
          <w:bCs/>
          <w:color w:val="auto"/>
          <w:sz w:val="21"/>
          <w:szCs w:val="21"/>
          <w:highlight w:val="none"/>
          <w:lang w:val="en-US" w:eastAsia="zh-CN"/>
        </w:rPr>
        <w:t>金顶街道办福坪村二组供水管网改造工程</w:t>
      </w:r>
      <w:r>
        <w:rPr>
          <w:rFonts w:hint="eastAsia" w:ascii="宋体" w:hAnsi="宋体" w:eastAsia="宋体" w:cs="宋体"/>
          <w:color w:val="auto"/>
          <w:sz w:val="21"/>
          <w:szCs w:val="21"/>
          <w:highlight w:val="none"/>
          <w:lang w:val="en-US" w:eastAsia="zh-CN"/>
        </w:rPr>
        <w:t>；</w:t>
      </w:r>
    </w:p>
    <w:p w14:paraId="1AAEEB8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3.采购方式：竞争性磋商；</w:t>
      </w:r>
    </w:p>
    <w:p w14:paraId="194625BC">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4.预算金额</w:t>
      </w:r>
      <w:r>
        <w:rPr>
          <w:rFonts w:hint="eastAsia" w:ascii="宋体" w:hAnsi="宋体" w:cs="宋体"/>
          <w:color w:val="auto"/>
          <w:sz w:val="21"/>
          <w:szCs w:val="21"/>
          <w:highlight w:val="none"/>
          <w:lang w:val="en-US" w:eastAsia="zh-CN"/>
        </w:rPr>
        <w:t>（万元）</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27.963065</w:t>
      </w:r>
      <w:r>
        <w:rPr>
          <w:rFonts w:hint="eastAsia" w:ascii="宋体" w:hAnsi="宋体" w:eastAsia="宋体" w:cs="宋体"/>
          <w:color w:val="auto"/>
          <w:sz w:val="21"/>
          <w:szCs w:val="21"/>
          <w:highlight w:val="none"/>
          <w:lang w:val="en-US" w:eastAsia="zh-CN"/>
        </w:rPr>
        <w:t>；</w:t>
      </w:r>
    </w:p>
    <w:p w14:paraId="61DC9A48">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5.最高限价</w:t>
      </w:r>
      <w:r>
        <w:rPr>
          <w:rFonts w:hint="eastAsia" w:ascii="宋体" w:hAnsi="宋体" w:cs="宋体"/>
          <w:color w:val="auto"/>
          <w:sz w:val="21"/>
          <w:szCs w:val="21"/>
          <w:highlight w:val="none"/>
          <w:lang w:val="en-US" w:eastAsia="zh-CN"/>
        </w:rPr>
        <w:t>（万元）</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27.963065</w:t>
      </w:r>
      <w:r>
        <w:rPr>
          <w:rFonts w:hint="eastAsia" w:ascii="宋体" w:hAnsi="宋体" w:eastAsia="宋体" w:cs="宋体"/>
          <w:color w:val="auto"/>
          <w:sz w:val="21"/>
          <w:szCs w:val="21"/>
          <w:highlight w:val="none"/>
          <w:lang w:val="en-US" w:eastAsia="zh-CN"/>
        </w:rPr>
        <w:t>；</w:t>
      </w:r>
    </w:p>
    <w:p w14:paraId="49EC496A">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6.采购需求：本工程主要建设内容为：新建DN65镀锌钢管输水管1754m,DN65平焊法兰310套，DN25热轧镀锌钢管(DN25×3.25)180m,DN20热轧镀锌钢管(DN25×2.75)390m以及配件安装</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详见施工图纸及工程量清单所列内容。</w:t>
      </w:r>
    </w:p>
    <w:p w14:paraId="592FB3E9">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r>
        <w:rPr>
          <w:rFonts w:hint="eastAsia" w:ascii="宋体" w:hAnsi="宋体" w:cs="宋体"/>
          <w:color w:val="auto"/>
          <w:sz w:val="21"/>
          <w:szCs w:val="21"/>
          <w:highlight w:val="none"/>
          <w:lang w:val="en-US" w:eastAsia="zh-CN"/>
        </w:rPr>
        <w:t>合同履行期限（工期）</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60日历天</w:t>
      </w:r>
      <w:r>
        <w:rPr>
          <w:rFonts w:hint="eastAsia" w:ascii="宋体" w:hAnsi="宋体" w:eastAsia="宋体" w:cs="宋体"/>
          <w:color w:val="auto"/>
          <w:sz w:val="21"/>
          <w:szCs w:val="21"/>
          <w:highlight w:val="none"/>
          <w:lang w:val="en-US" w:eastAsia="zh-CN"/>
        </w:rPr>
        <w:t>；</w:t>
      </w:r>
    </w:p>
    <w:p w14:paraId="47D6E5A2">
      <w:pPr>
        <w:keepNext w:val="0"/>
        <w:keepLines w:val="0"/>
        <w:pageBreakBefore w:val="0"/>
        <w:widowControl w:val="0"/>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8.本项目不接受联合体投标。</w:t>
      </w:r>
    </w:p>
    <w:p w14:paraId="31D3C155">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24" w:name="_Toc6168"/>
      <w:r>
        <w:rPr>
          <w:rFonts w:hint="eastAsia" w:ascii="黑体" w:hAnsi="黑体" w:eastAsia="黑体" w:cs="黑体"/>
          <w:b/>
          <w:bCs/>
          <w:color w:val="auto"/>
          <w:sz w:val="24"/>
          <w:szCs w:val="24"/>
          <w:highlight w:val="none"/>
        </w:rPr>
        <w:t>二、</w:t>
      </w:r>
      <w:r>
        <w:rPr>
          <w:rFonts w:hint="eastAsia" w:ascii="黑体" w:hAnsi="黑体" w:eastAsia="黑体" w:cs="黑体"/>
          <w:b/>
          <w:bCs/>
          <w:color w:val="auto"/>
          <w:sz w:val="24"/>
          <w:szCs w:val="24"/>
          <w:highlight w:val="none"/>
          <w:lang w:eastAsia="zh-CN"/>
        </w:rPr>
        <w:t>申请人资格要求</w:t>
      </w:r>
      <w:r>
        <w:rPr>
          <w:rFonts w:hint="eastAsia" w:ascii="黑体" w:hAnsi="黑体" w:eastAsia="黑体" w:cs="黑体"/>
          <w:b/>
          <w:bCs/>
          <w:color w:val="auto"/>
          <w:sz w:val="24"/>
          <w:szCs w:val="24"/>
          <w:highlight w:val="none"/>
        </w:rPr>
        <w:t>：</w:t>
      </w:r>
      <w:bookmarkEnd w:id="17"/>
      <w:bookmarkEnd w:id="18"/>
      <w:bookmarkEnd w:id="19"/>
      <w:bookmarkEnd w:id="20"/>
      <w:bookmarkEnd w:id="21"/>
      <w:bookmarkEnd w:id="22"/>
      <w:bookmarkEnd w:id="23"/>
      <w:bookmarkEnd w:id="24"/>
    </w:p>
    <w:p w14:paraId="14BB2683">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eastAsia="宋体" w:cs="宋体"/>
          <w:b/>
          <w:bCs/>
          <w:color w:val="auto"/>
          <w:spacing w:val="1"/>
          <w:w w:val="100"/>
          <w:sz w:val="21"/>
          <w:szCs w:val="21"/>
          <w:highlight w:val="none"/>
        </w:rPr>
      </w:pPr>
      <w:bookmarkStart w:id="25" w:name="_Toc35393792"/>
      <w:bookmarkStart w:id="26" w:name="_Toc35393623"/>
      <w:r>
        <w:rPr>
          <w:rFonts w:hint="eastAsia" w:ascii="宋体" w:hAnsi="宋体" w:eastAsia="宋体" w:cs="宋体"/>
          <w:b/>
          <w:bCs/>
          <w:color w:val="auto"/>
          <w:spacing w:val="1"/>
          <w:w w:val="100"/>
          <w:sz w:val="21"/>
          <w:szCs w:val="21"/>
          <w:highlight w:val="none"/>
          <w:lang w:val="en-US"/>
        </w:rPr>
        <w:t>1.</w:t>
      </w:r>
      <w:r>
        <w:rPr>
          <w:rFonts w:hint="eastAsia" w:ascii="宋体" w:hAnsi="宋体" w:cs="宋体"/>
          <w:b/>
          <w:bCs/>
          <w:color w:val="auto"/>
          <w:spacing w:val="1"/>
          <w:w w:val="100"/>
          <w:sz w:val="21"/>
          <w:szCs w:val="21"/>
          <w:highlight w:val="none"/>
          <w:lang w:eastAsia="zh-CN"/>
        </w:rPr>
        <w:t>满足《中华人民共和国政府采购法》第二十二条规定</w:t>
      </w:r>
      <w:r>
        <w:rPr>
          <w:rFonts w:hint="eastAsia" w:ascii="宋体" w:hAnsi="宋体" w:eastAsia="宋体" w:cs="宋体"/>
          <w:b/>
          <w:bCs/>
          <w:color w:val="auto"/>
          <w:spacing w:val="1"/>
          <w:w w:val="100"/>
          <w:sz w:val="21"/>
          <w:szCs w:val="21"/>
          <w:highlight w:val="none"/>
        </w:rPr>
        <w:t>：</w:t>
      </w:r>
    </w:p>
    <w:p w14:paraId="0F6D2B40">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eastAsia="宋体" w:cs="宋体"/>
          <w:color w:val="auto"/>
          <w:spacing w:val="1"/>
          <w:w w:val="100"/>
          <w:sz w:val="21"/>
          <w:szCs w:val="21"/>
          <w:highlight w:val="none"/>
        </w:rPr>
      </w:pPr>
      <w:r>
        <w:rPr>
          <w:rFonts w:hint="eastAsia" w:ascii="宋体" w:hAnsi="宋体" w:cs="宋体"/>
          <w:b/>
          <w:bCs/>
          <w:color w:val="auto"/>
          <w:spacing w:val="1"/>
          <w:w w:val="100"/>
          <w:sz w:val="21"/>
          <w:szCs w:val="21"/>
          <w:highlight w:val="none"/>
          <w:lang w:val="en-US" w:eastAsia="zh-CN"/>
        </w:rPr>
        <w:t>1.1</w:t>
      </w:r>
      <w:r>
        <w:rPr>
          <w:rFonts w:hint="eastAsia" w:ascii="宋体" w:hAnsi="宋体" w:eastAsia="宋体" w:cs="宋体"/>
          <w:b/>
          <w:bCs/>
          <w:color w:val="auto"/>
          <w:spacing w:val="1"/>
          <w:w w:val="100"/>
          <w:sz w:val="21"/>
          <w:szCs w:val="21"/>
          <w:highlight w:val="none"/>
        </w:rPr>
        <w:t>具有独立承担民事责任的能力</w:t>
      </w:r>
      <w:r>
        <w:rPr>
          <w:rFonts w:hint="eastAsia" w:ascii="宋体" w:hAnsi="宋体" w:cs="宋体"/>
          <w:color w:val="auto"/>
          <w:spacing w:val="1"/>
          <w:w w:val="100"/>
          <w:sz w:val="21"/>
          <w:szCs w:val="21"/>
          <w:highlight w:val="none"/>
          <w:lang w:eastAsia="zh-CN"/>
        </w:rPr>
        <w:t>：提供有效的营业执照或事业单位法人证书或其他类似的法定证明文件</w:t>
      </w:r>
      <w:r>
        <w:rPr>
          <w:rFonts w:hint="eastAsia" w:ascii="宋体" w:hAnsi="宋体" w:eastAsia="宋体" w:cs="宋体"/>
          <w:color w:val="auto"/>
          <w:spacing w:val="1"/>
          <w:w w:val="100"/>
          <w:sz w:val="21"/>
          <w:szCs w:val="21"/>
          <w:highlight w:val="none"/>
        </w:rPr>
        <w:t>；</w:t>
      </w:r>
    </w:p>
    <w:p w14:paraId="2BAE229A">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cs="宋体"/>
          <w:b/>
          <w:bCs/>
          <w:color w:val="auto"/>
          <w:spacing w:val="1"/>
          <w:w w:val="100"/>
          <w:sz w:val="21"/>
          <w:szCs w:val="21"/>
          <w:highlight w:val="none"/>
          <w:lang w:val="en-US" w:eastAsia="zh-CN"/>
        </w:rPr>
      </w:pPr>
      <w:r>
        <w:rPr>
          <w:rFonts w:hint="eastAsia" w:ascii="宋体" w:hAnsi="宋体" w:cs="宋体"/>
          <w:b/>
          <w:bCs/>
          <w:color w:val="auto"/>
          <w:spacing w:val="1"/>
          <w:w w:val="100"/>
          <w:sz w:val="21"/>
          <w:szCs w:val="21"/>
          <w:highlight w:val="none"/>
          <w:lang w:val="en-US" w:eastAsia="zh-CN"/>
        </w:rPr>
        <w:t>1.2具有良好的商业信誉和健全的财务会计制度：</w:t>
      </w:r>
    </w:p>
    <w:p w14:paraId="287F5E39">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cs="宋体"/>
          <w:b w:val="0"/>
          <w:bCs w:val="0"/>
          <w:color w:val="auto"/>
          <w:spacing w:val="1"/>
          <w:w w:val="100"/>
          <w:sz w:val="21"/>
          <w:szCs w:val="21"/>
          <w:highlight w:val="none"/>
          <w:lang w:val="en-US" w:eastAsia="zh-CN"/>
        </w:rPr>
      </w:pPr>
      <w:r>
        <w:rPr>
          <w:rFonts w:hint="eastAsia" w:ascii="宋体" w:hAnsi="宋体" w:cs="宋体"/>
          <w:b w:val="0"/>
          <w:bCs w:val="0"/>
          <w:color w:val="auto"/>
          <w:spacing w:val="1"/>
          <w:w w:val="100"/>
          <w:sz w:val="21"/>
          <w:szCs w:val="21"/>
          <w:highlight w:val="none"/>
          <w:lang w:val="en-US" w:eastAsia="zh-CN"/>
        </w:rPr>
        <w:t>（1）具有良好的商业信誉：投标人在中国执行信息公开网（https://zxgk.court.gov.cn/）中未被列入失信被执行人；投标人未被列入信用中国（www.creditchina.gov.cn）严重失信主体名单、重大税收违法失信主体名单，在中国政府采购网（www.ccgp.gov.cn）未被列入政府采购严重违法失信行为记录名单（被禁止在一定期限内参加政府采购活动但期限届满的除外）。由采购人或采购代理机构在资格审查时查询，若投标人有失信行为，视为不满足资格要求，为无效投标。</w:t>
      </w:r>
    </w:p>
    <w:p w14:paraId="6F728E21">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cs="宋体"/>
          <w:b w:val="0"/>
          <w:bCs w:val="0"/>
          <w:color w:val="auto"/>
          <w:spacing w:val="1"/>
          <w:w w:val="100"/>
          <w:sz w:val="21"/>
          <w:szCs w:val="21"/>
          <w:highlight w:val="none"/>
          <w:lang w:val="en-US" w:eastAsia="zh-CN"/>
        </w:rPr>
      </w:pPr>
      <w:r>
        <w:rPr>
          <w:rFonts w:hint="eastAsia" w:ascii="宋体" w:hAnsi="宋体" w:cs="宋体"/>
          <w:b w:val="0"/>
          <w:bCs w:val="0"/>
          <w:color w:val="auto"/>
          <w:spacing w:val="1"/>
          <w:w w:val="100"/>
          <w:sz w:val="21"/>
          <w:szCs w:val="21"/>
          <w:highlight w:val="none"/>
          <w:lang w:val="en-US" w:eastAsia="zh-CN"/>
        </w:rPr>
        <w:t>（2）具有健全的财务会计制度：提供2024年或2025年任意年度的财务报表，新成立的公司（成立不满1年）提供自成立之日至响应文件提交截止时间前1个月公司自行编制的财务报表，无法提供上述材料的，可提供财务情况说明或银行存款证明或相关承诺书。</w:t>
      </w:r>
    </w:p>
    <w:p w14:paraId="4B8017A4">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eastAsia="宋体" w:cs="宋体"/>
          <w:b/>
          <w:bCs/>
          <w:color w:val="auto"/>
          <w:spacing w:val="1"/>
          <w:w w:val="100"/>
          <w:sz w:val="21"/>
          <w:szCs w:val="21"/>
          <w:highlight w:val="none"/>
          <w:lang w:val="en-US" w:eastAsia="zh-CN"/>
        </w:rPr>
      </w:pPr>
      <w:r>
        <w:rPr>
          <w:rFonts w:hint="eastAsia" w:ascii="宋体" w:hAnsi="宋体" w:eastAsia="宋体" w:cs="宋体"/>
          <w:b/>
          <w:bCs/>
          <w:color w:val="auto"/>
          <w:spacing w:val="1"/>
          <w:w w:val="100"/>
          <w:sz w:val="21"/>
          <w:szCs w:val="21"/>
          <w:highlight w:val="none"/>
          <w:lang w:val="en-US" w:eastAsia="zh-CN"/>
        </w:rPr>
        <w:t>1.3有依法缴纳税收和社会保障资金的良好记录：</w:t>
      </w:r>
    </w:p>
    <w:p w14:paraId="79A719FD">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eastAsia="宋体" w:cs="宋体"/>
          <w:b w:val="0"/>
          <w:bCs w:val="0"/>
          <w:color w:val="auto"/>
          <w:spacing w:val="1"/>
          <w:w w:val="100"/>
          <w:sz w:val="21"/>
          <w:szCs w:val="21"/>
          <w:highlight w:val="none"/>
          <w:lang w:val="en-US" w:eastAsia="zh-CN"/>
        </w:rPr>
        <w:t>（1）依法缴纳税收：投标供应商须提供缴费所属时间在2026年1月至本项目响应文件提交截止时间前任意1个月的税收缴纳凭证（新成立未产生税务缴纳的单位提供情况说明）或提供依法缴纳税收的书面声明；</w:t>
      </w:r>
    </w:p>
    <w:p w14:paraId="3B6BAF05">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eastAsia="宋体" w:cs="宋体"/>
          <w:b w:val="0"/>
          <w:bCs w:val="0"/>
          <w:color w:val="auto"/>
          <w:spacing w:val="1"/>
          <w:w w:val="100"/>
          <w:sz w:val="21"/>
          <w:szCs w:val="21"/>
          <w:highlight w:val="none"/>
          <w:lang w:val="en-US" w:eastAsia="zh-CN"/>
        </w:rPr>
        <w:t>（2）供依法缴纳社会保障资金：投标供应商须提供缴费所属时间在2026年1月至本项目响应文件提交截止时间前任意1个月的社保资金缴纳凭证（新成立尚未缴纳社保的单位提供情况说明）或提供依法缴纳社会保障资金的书面声明。</w:t>
      </w:r>
    </w:p>
    <w:p w14:paraId="3646905E">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eastAsia="宋体" w:cs="宋体"/>
          <w:color w:val="auto"/>
          <w:spacing w:val="1"/>
          <w:w w:val="100"/>
          <w:sz w:val="21"/>
          <w:szCs w:val="21"/>
          <w:highlight w:val="none"/>
        </w:rPr>
      </w:pPr>
      <w:r>
        <w:rPr>
          <w:rFonts w:hint="eastAsia" w:ascii="宋体" w:hAnsi="宋体" w:cs="宋体"/>
          <w:b/>
          <w:bCs/>
          <w:color w:val="auto"/>
          <w:spacing w:val="1"/>
          <w:w w:val="100"/>
          <w:sz w:val="21"/>
          <w:szCs w:val="21"/>
          <w:highlight w:val="none"/>
          <w:lang w:val="en-US" w:eastAsia="zh-CN"/>
        </w:rPr>
        <w:t>1.4</w:t>
      </w:r>
      <w:r>
        <w:rPr>
          <w:rFonts w:hint="eastAsia" w:ascii="宋体" w:hAnsi="宋体" w:cs="宋体"/>
          <w:b/>
          <w:bCs/>
          <w:color w:val="auto"/>
          <w:w w:val="100"/>
          <w:sz w:val="21"/>
          <w:szCs w:val="21"/>
          <w:highlight w:val="none"/>
          <w:lang w:eastAsia="zh-CN"/>
        </w:rPr>
        <w:t>具有履行合同所必需的设备和专业技术能力</w:t>
      </w:r>
      <w:r>
        <w:rPr>
          <w:rFonts w:hint="eastAsia" w:ascii="宋体" w:hAnsi="宋体" w:eastAsia="宋体" w:cs="宋体"/>
          <w:b/>
          <w:bCs/>
          <w:color w:val="auto"/>
          <w:w w:val="100"/>
          <w:sz w:val="21"/>
          <w:szCs w:val="21"/>
          <w:highlight w:val="none"/>
        </w:rPr>
        <w:t>：</w:t>
      </w:r>
      <w:r>
        <w:rPr>
          <w:rFonts w:hint="eastAsia" w:ascii="宋体" w:hAnsi="宋体" w:cs="宋体"/>
          <w:color w:val="auto"/>
          <w:w w:val="100"/>
          <w:sz w:val="21"/>
          <w:szCs w:val="21"/>
          <w:highlight w:val="none"/>
          <w:lang w:eastAsia="zh-CN"/>
        </w:rPr>
        <w:t>提供书面声明或证明材料</w:t>
      </w:r>
      <w:r>
        <w:rPr>
          <w:rFonts w:hint="eastAsia" w:ascii="宋体" w:hAnsi="宋体" w:eastAsia="宋体" w:cs="宋体"/>
          <w:color w:val="auto"/>
          <w:w w:val="100"/>
          <w:sz w:val="21"/>
          <w:szCs w:val="21"/>
          <w:highlight w:val="none"/>
        </w:rPr>
        <w:t>；</w:t>
      </w:r>
    </w:p>
    <w:p w14:paraId="13CE1F08">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rPr>
          <w:rFonts w:hint="eastAsia" w:ascii="宋体" w:hAnsi="宋体" w:eastAsia="宋体" w:cs="宋体"/>
          <w:color w:val="auto"/>
          <w:spacing w:val="1"/>
          <w:w w:val="100"/>
          <w:sz w:val="21"/>
          <w:szCs w:val="21"/>
          <w:highlight w:val="none"/>
        </w:rPr>
      </w:pPr>
      <w:r>
        <w:rPr>
          <w:rFonts w:hint="eastAsia" w:ascii="宋体" w:hAnsi="宋体" w:cs="宋体"/>
          <w:b/>
          <w:bCs/>
          <w:color w:val="auto"/>
          <w:spacing w:val="1"/>
          <w:w w:val="100"/>
          <w:sz w:val="21"/>
          <w:szCs w:val="21"/>
          <w:highlight w:val="none"/>
          <w:lang w:val="en-US" w:eastAsia="zh-CN"/>
        </w:rPr>
        <w:t>1.5</w:t>
      </w:r>
      <w:r>
        <w:rPr>
          <w:rFonts w:hint="eastAsia" w:ascii="宋体" w:hAnsi="宋体" w:cs="宋体"/>
          <w:b/>
          <w:bCs/>
          <w:color w:val="auto"/>
          <w:spacing w:val="1"/>
          <w:w w:val="100"/>
          <w:sz w:val="21"/>
          <w:szCs w:val="21"/>
          <w:highlight w:val="none"/>
          <w:lang w:eastAsia="zh-CN"/>
        </w:rPr>
        <w:t>参加政府采购活动前三年内，在经营活动中没有重大违法记录</w:t>
      </w:r>
      <w:r>
        <w:rPr>
          <w:rFonts w:hint="eastAsia" w:ascii="宋体" w:hAnsi="宋体" w:eastAsia="宋体" w:cs="宋体"/>
          <w:b/>
          <w:bCs/>
          <w:color w:val="auto"/>
          <w:spacing w:val="1"/>
          <w:w w:val="100"/>
          <w:sz w:val="21"/>
          <w:szCs w:val="21"/>
          <w:highlight w:val="none"/>
        </w:rPr>
        <w:t>：</w:t>
      </w:r>
      <w:r>
        <w:rPr>
          <w:rFonts w:hint="eastAsia" w:ascii="宋体" w:hAnsi="宋体" w:eastAsia="宋体" w:cs="宋体"/>
          <w:color w:val="auto"/>
          <w:spacing w:val="1"/>
          <w:w w:val="100"/>
          <w:sz w:val="21"/>
          <w:szCs w:val="21"/>
          <w:highlight w:val="none"/>
        </w:rPr>
        <w:t>提供参加政府采购活动前3年内在经营活动中没有重大违法记录的书面声明（重大违法记录，是指供应商因违法经营受到刑事处罚或者责令停产停业、吊销许可证或者执照、较大数额罚款等行政处罚）；</w:t>
      </w:r>
    </w:p>
    <w:p w14:paraId="00ABA9B8">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6" w:firstLineChars="200"/>
        <w:textAlignment w:val="auto"/>
        <w:outlineLvl w:val="9"/>
        <w:rPr>
          <w:rFonts w:hint="eastAsia" w:ascii="宋体" w:hAnsi="宋体" w:eastAsia="宋体" w:cs="宋体"/>
          <w:b w:val="0"/>
          <w:bCs w:val="0"/>
          <w:color w:val="auto"/>
          <w:sz w:val="21"/>
          <w:szCs w:val="21"/>
          <w:highlight w:val="none"/>
          <w:lang w:val="en-US" w:eastAsia="zh-CN"/>
        </w:rPr>
      </w:pPr>
      <w:bookmarkStart w:id="27" w:name="_Toc24791"/>
      <w:r>
        <w:rPr>
          <w:rFonts w:hint="eastAsia" w:ascii="宋体" w:hAnsi="宋体" w:cs="宋体"/>
          <w:b/>
          <w:bCs/>
          <w:color w:val="auto"/>
          <w:spacing w:val="1"/>
          <w:w w:val="100"/>
          <w:kern w:val="0"/>
          <w:sz w:val="21"/>
          <w:szCs w:val="21"/>
          <w:highlight w:val="none"/>
          <w:lang w:val="en-US" w:eastAsia="zh-CN" w:bidi="ar-SA"/>
        </w:rPr>
        <w:t>1.6</w:t>
      </w:r>
      <w:r>
        <w:rPr>
          <w:rFonts w:hint="eastAsia" w:ascii="宋体" w:hAnsi="宋体" w:eastAsia="宋体" w:cs="宋体"/>
          <w:b/>
          <w:bCs/>
          <w:color w:val="auto"/>
          <w:spacing w:val="1"/>
          <w:w w:val="100"/>
          <w:kern w:val="0"/>
          <w:sz w:val="21"/>
          <w:szCs w:val="21"/>
          <w:highlight w:val="none"/>
          <w:lang w:val="en-US" w:eastAsia="zh-CN" w:bidi="ar-SA"/>
        </w:rPr>
        <w:t>法律、行政法规规定的其他条件：</w:t>
      </w:r>
      <w:bookmarkEnd w:id="27"/>
      <w:r>
        <w:rPr>
          <w:rFonts w:hint="eastAsia" w:ascii="宋体" w:hAnsi="宋体" w:eastAsia="宋体" w:cs="宋体"/>
          <w:b w:val="0"/>
          <w:bCs w:val="0"/>
          <w:color w:val="auto"/>
          <w:spacing w:val="1"/>
          <w:w w:val="100"/>
          <w:kern w:val="0"/>
          <w:sz w:val="21"/>
          <w:szCs w:val="21"/>
          <w:highlight w:val="none"/>
          <w:lang w:val="en-US" w:eastAsia="zh-CN" w:bidi="ar-SA"/>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宋体" w:hAnsi="宋体" w:eastAsia="宋体" w:cs="宋体"/>
          <w:b w:val="0"/>
          <w:bCs w:val="0"/>
          <w:color w:val="auto"/>
          <w:sz w:val="21"/>
          <w:szCs w:val="21"/>
          <w:highlight w:val="none"/>
          <w:lang w:val="en-US" w:eastAsia="zh-CN"/>
        </w:rPr>
        <w:t>。</w:t>
      </w:r>
    </w:p>
    <w:p w14:paraId="6E54E362">
      <w:pPr>
        <w:pStyle w:val="15"/>
        <w:keepNext w:val="0"/>
        <w:keepLines w:val="0"/>
        <w:pageBreakBefore w:val="0"/>
        <w:widowControl w:val="0"/>
        <w:kinsoku/>
        <w:wordWrap w:val="0"/>
        <w:overflowPunct/>
        <w:topLinePunct w:val="0"/>
        <w:autoSpaceDE/>
        <w:autoSpaceDN/>
        <w:bidi w:val="0"/>
        <w:adjustRightInd/>
        <w:snapToGrid/>
        <w:spacing w:before="157" w:beforeLines="50" w:after="0" w:line="360" w:lineRule="auto"/>
        <w:ind w:right="0" w:rightChars="0" w:firstLine="426" w:firstLineChars="200"/>
        <w:textAlignment w:val="auto"/>
        <w:rPr>
          <w:rFonts w:hint="eastAsia" w:ascii="宋体" w:hAnsi="宋体" w:eastAsia="宋体" w:cs="宋体"/>
          <w:b/>
          <w:bCs/>
          <w:color w:val="auto"/>
          <w:spacing w:val="1"/>
          <w:w w:val="100"/>
          <w:sz w:val="21"/>
          <w:szCs w:val="21"/>
          <w:highlight w:val="none"/>
          <w:lang w:val="en-US"/>
        </w:rPr>
      </w:pPr>
      <w:r>
        <w:rPr>
          <w:rFonts w:hint="eastAsia" w:ascii="宋体" w:hAnsi="宋体" w:eastAsia="宋体" w:cs="宋体"/>
          <w:b/>
          <w:bCs/>
          <w:color w:val="auto"/>
          <w:spacing w:val="1"/>
          <w:w w:val="100"/>
          <w:sz w:val="21"/>
          <w:szCs w:val="21"/>
          <w:highlight w:val="none"/>
          <w:lang w:val="en-US"/>
        </w:rPr>
        <w:t>2.落实政府采购政策需满足的资格要求：</w:t>
      </w:r>
      <w:r>
        <w:rPr>
          <w:rFonts w:hint="eastAsia" w:ascii="宋体" w:hAnsi="宋体" w:eastAsia="宋体" w:cs="宋体"/>
          <w:b w:val="0"/>
          <w:bCs w:val="0"/>
          <w:color w:val="auto"/>
          <w:spacing w:val="1"/>
          <w:w w:val="100"/>
          <w:sz w:val="21"/>
          <w:szCs w:val="21"/>
          <w:highlight w:val="none"/>
          <w:lang w:val="en-US"/>
        </w:rPr>
        <w:t>本项目专门面向中小</w:t>
      </w:r>
      <w:r>
        <w:rPr>
          <w:rFonts w:hint="eastAsia" w:ascii="宋体" w:hAnsi="宋体" w:eastAsia="宋体" w:cs="宋体"/>
          <w:b w:val="0"/>
          <w:bCs w:val="0"/>
          <w:color w:val="auto"/>
          <w:spacing w:val="1"/>
          <w:w w:val="100"/>
          <w:sz w:val="21"/>
          <w:szCs w:val="21"/>
          <w:highlight w:val="none"/>
          <w:lang w:val="en-US" w:eastAsia="zh-CN"/>
        </w:rPr>
        <w:t>微</w:t>
      </w:r>
      <w:r>
        <w:rPr>
          <w:rFonts w:hint="eastAsia" w:ascii="宋体" w:hAnsi="宋体" w:eastAsia="宋体" w:cs="宋体"/>
          <w:b w:val="0"/>
          <w:bCs w:val="0"/>
          <w:color w:val="auto"/>
          <w:spacing w:val="1"/>
          <w:w w:val="100"/>
          <w:sz w:val="21"/>
          <w:szCs w:val="21"/>
          <w:highlight w:val="none"/>
          <w:lang w:val="en-US"/>
        </w:rPr>
        <w:t>企业采购</w:t>
      </w:r>
    </w:p>
    <w:p w14:paraId="1DFFDC07">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val="0"/>
          <w:bCs w:val="0"/>
          <w:color w:val="auto"/>
          <w:spacing w:val="1"/>
          <w:w w:val="100"/>
          <w:sz w:val="21"/>
          <w:szCs w:val="21"/>
          <w:highlight w:val="none"/>
          <w:lang w:val="en-US"/>
        </w:rPr>
      </w:pPr>
      <w:r>
        <w:rPr>
          <w:rFonts w:hint="eastAsia" w:ascii="宋体" w:hAnsi="宋体" w:eastAsia="宋体" w:cs="宋体"/>
          <w:b w:val="0"/>
          <w:bCs w:val="0"/>
          <w:color w:val="auto"/>
          <w:spacing w:val="1"/>
          <w:w w:val="100"/>
          <w:sz w:val="21"/>
          <w:szCs w:val="21"/>
          <w:highlight w:val="none"/>
          <w:lang w:val="en-US"/>
        </w:rPr>
        <w:t>（1）根据《政府采购促进中小企业发展管理办法》（财库〔2020〕46号）文件规定，本项目专门面向中小</w:t>
      </w:r>
      <w:r>
        <w:rPr>
          <w:rFonts w:hint="eastAsia" w:ascii="宋体" w:hAnsi="宋体" w:eastAsia="宋体" w:cs="宋体"/>
          <w:b w:val="0"/>
          <w:bCs w:val="0"/>
          <w:color w:val="auto"/>
          <w:spacing w:val="1"/>
          <w:w w:val="100"/>
          <w:sz w:val="21"/>
          <w:szCs w:val="21"/>
          <w:highlight w:val="none"/>
          <w:lang w:val="en-US" w:eastAsia="zh-CN"/>
        </w:rPr>
        <w:t>微</w:t>
      </w:r>
      <w:r>
        <w:rPr>
          <w:rFonts w:hint="eastAsia" w:ascii="宋体" w:hAnsi="宋体" w:eastAsia="宋体" w:cs="宋体"/>
          <w:b w:val="0"/>
          <w:bCs w:val="0"/>
          <w:color w:val="auto"/>
          <w:spacing w:val="1"/>
          <w:w w:val="100"/>
          <w:sz w:val="21"/>
          <w:szCs w:val="21"/>
          <w:highlight w:val="none"/>
          <w:lang w:val="en-US"/>
        </w:rPr>
        <w:t>企业采购，不再执行价格评审优惠的扶持政策。</w:t>
      </w:r>
    </w:p>
    <w:p w14:paraId="3B28097E">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val="0"/>
          <w:bCs w:val="0"/>
          <w:color w:val="auto"/>
          <w:spacing w:val="1"/>
          <w:w w:val="100"/>
          <w:sz w:val="21"/>
          <w:szCs w:val="21"/>
          <w:highlight w:val="none"/>
          <w:lang w:val="en-US"/>
        </w:rPr>
      </w:pPr>
      <w:r>
        <w:rPr>
          <w:rFonts w:hint="eastAsia" w:ascii="宋体" w:hAnsi="宋体" w:eastAsia="宋体" w:cs="宋体"/>
          <w:b w:val="0"/>
          <w:bCs w:val="0"/>
          <w:color w:val="auto"/>
          <w:spacing w:val="1"/>
          <w:w w:val="100"/>
          <w:sz w:val="21"/>
          <w:szCs w:val="21"/>
          <w:highlight w:val="none"/>
          <w:lang w:val="en-US"/>
        </w:rPr>
        <w:t>（2）根据《关于印发中小企业划型标准规定的通知》（工信部联企业〔2011〕300号）文件规定的划分标准，本项目对应的中小企业划分标准所属行业为：</w:t>
      </w:r>
      <w:r>
        <w:rPr>
          <w:rFonts w:hint="eastAsia" w:ascii="宋体" w:hAnsi="宋体" w:eastAsia="宋体" w:cs="宋体"/>
          <w:b/>
          <w:bCs/>
          <w:color w:val="auto"/>
          <w:spacing w:val="1"/>
          <w:w w:val="100"/>
          <w:sz w:val="21"/>
          <w:szCs w:val="21"/>
          <w:highlight w:val="none"/>
          <w:u w:val="single"/>
          <w:lang w:val="en-US"/>
        </w:rPr>
        <w:t>建筑业</w:t>
      </w:r>
      <w:r>
        <w:rPr>
          <w:rFonts w:hint="eastAsia" w:ascii="宋体" w:hAnsi="宋体" w:eastAsia="宋体" w:cs="宋体"/>
          <w:b w:val="0"/>
          <w:bCs w:val="0"/>
          <w:color w:val="auto"/>
          <w:spacing w:val="1"/>
          <w:w w:val="100"/>
          <w:sz w:val="21"/>
          <w:szCs w:val="21"/>
          <w:highlight w:val="none"/>
          <w:lang w:val="en-US"/>
        </w:rPr>
        <w:t>。</w:t>
      </w:r>
    </w:p>
    <w:p w14:paraId="7EF5C87A">
      <w:pPr>
        <w:pStyle w:val="15"/>
        <w:keepNext w:val="0"/>
        <w:keepLines w:val="0"/>
        <w:pageBreakBefore w:val="0"/>
        <w:widowControl w:val="0"/>
        <w:kinsoku/>
        <w:wordWrap w:val="0"/>
        <w:overflowPunct/>
        <w:topLinePunct w:val="0"/>
        <w:autoSpaceDE/>
        <w:autoSpaceDN/>
        <w:bidi w:val="0"/>
        <w:adjustRightInd/>
        <w:snapToGrid/>
        <w:spacing w:before="157" w:beforeLines="50" w:after="0" w:line="360" w:lineRule="auto"/>
        <w:ind w:right="0" w:rightChars="0" w:firstLine="426" w:firstLineChars="200"/>
        <w:textAlignment w:val="auto"/>
        <w:rPr>
          <w:rFonts w:hint="eastAsia" w:ascii="宋体" w:hAnsi="宋体" w:eastAsia="宋体" w:cs="宋体"/>
          <w:b/>
          <w:bCs/>
          <w:color w:val="auto"/>
          <w:spacing w:val="1"/>
          <w:w w:val="100"/>
          <w:sz w:val="21"/>
          <w:szCs w:val="21"/>
          <w:highlight w:val="none"/>
          <w:lang w:val="en-US"/>
        </w:rPr>
      </w:pPr>
      <w:r>
        <w:rPr>
          <w:rFonts w:hint="eastAsia" w:ascii="宋体" w:hAnsi="宋体" w:eastAsia="宋体" w:cs="宋体"/>
          <w:b/>
          <w:bCs/>
          <w:color w:val="auto"/>
          <w:spacing w:val="1"/>
          <w:w w:val="100"/>
          <w:sz w:val="21"/>
          <w:szCs w:val="21"/>
          <w:highlight w:val="none"/>
          <w:lang w:val="en-US"/>
        </w:rPr>
        <w:t>3.本项目的特定资格要求：</w:t>
      </w:r>
    </w:p>
    <w:p w14:paraId="53C53EBA">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eastAsia="宋体" w:cs="宋体"/>
          <w:b w:val="0"/>
          <w:bCs w:val="0"/>
          <w:color w:val="auto"/>
          <w:spacing w:val="1"/>
          <w:w w:val="100"/>
          <w:sz w:val="21"/>
          <w:szCs w:val="21"/>
          <w:highlight w:val="none"/>
          <w:lang w:val="en-US" w:eastAsia="zh-CN"/>
        </w:rPr>
        <w:t>（1）</w:t>
      </w:r>
      <w:r>
        <w:rPr>
          <w:rFonts w:hint="eastAsia" w:ascii="宋体" w:hAnsi="宋体" w:cs="宋体"/>
          <w:b w:val="0"/>
          <w:bCs w:val="0"/>
          <w:color w:val="auto"/>
          <w:spacing w:val="1"/>
          <w:w w:val="100"/>
          <w:sz w:val="21"/>
          <w:szCs w:val="21"/>
          <w:highlight w:val="none"/>
          <w:lang w:val="en-US" w:eastAsia="zh-CN"/>
        </w:rPr>
        <w:t>具备行政主管部门颁发的</w:t>
      </w:r>
      <w:r>
        <w:rPr>
          <w:rFonts w:hint="eastAsia" w:ascii="宋体" w:hAnsi="宋体" w:cs="宋体"/>
          <w:b/>
          <w:bCs/>
          <w:color w:val="auto"/>
          <w:spacing w:val="1"/>
          <w:w w:val="100"/>
          <w:sz w:val="21"/>
          <w:szCs w:val="21"/>
          <w:highlight w:val="none"/>
          <w:u w:val="single"/>
          <w:lang w:val="en-US" w:eastAsia="zh-CN"/>
        </w:rPr>
        <w:t>水利水电工程施工总承包叁级（含叁级）及以上</w:t>
      </w:r>
      <w:r>
        <w:rPr>
          <w:rFonts w:hint="eastAsia" w:ascii="宋体" w:hAnsi="宋体" w:cs="宋体"/>
          <w:b w:val="0"/>
          <w:bCs w:val="0"/>
          <w:color w:val="auto"/>
          <w:spacing w:val="1"/>
          <w:w w:val="100"/>
          <w:sz w:val="21"/>
          <w:szCs w:val="21"/>
          <w:highlight w:val="none"/>
          <w:lang w:val="en-US" w:eastAsia="zh-CN"/>
        </w:rPr>
        <w:t>资质证书，并具备有效的安全生产许可证</w:t>
      </w:r>
      <w:r>
        <w:rPr>
          <w:rFonts w:hint="eastAsia" w:ascii="宋体" w:hAnsi="宋体" w:eastAsia="宋体" w:cs="宋体"/>
          <w:b w:val="0"/>
          <w:bCs w:val="0"/>
          <w:color w:val="auto"/>
          <w:spacing w:val="1"/>
          <w:w w:val="100"/>
          <w:sz w:val="21"/>
          <w:szCs w:val="21"/>
          <w:highlight w:val="none"/>
          <w:lang w:val="en-US" w:eastAsia="zh-CN"/>
        </w:rPr>
        <w:t>。</w:t>
      </w:r>
    </w:p>
    <w:p w14:paraId="3998D10A">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4" w:firstLineChars="200"/>
        <w:textAlignment w:val="auto"/>
        <w:rPr>
          <w:rFonts w:hint="eastAsia" w:ascii="宋体" w:hAnsi="宋体" w:eastAsia="宋体" w:cs="宋体"/>
          <w:b/>
          <w:bCs/>
          <w:color w:val="auto"/>
          <w:spacing w:val="1"/>
          <w:w w:val="100"/>
          <w:sz w:val="21"/>
          <w:szCs w:val="21"/>
          <w:highlight w:val="none"/>
          <w:lang w:val="en-US" w:eastAsia="zh-CN"/>
        </w:rPr>
      </w:pPr>
      <w:r>
        <w:rPr>
          <w:rFonts w:hint="eastAsia" w:ascii="宋体" w:hAnsi="宋体" w:eastAsia="宋体" w:cs="宋体"/>
          <w:b w:val="0"/>
          <w:bCs w:val="0"/>
          <w:color w:val="auto"/>
          <w:spacing w:val="1"/>
          <w:w w:val="100"/>
          <w:sz w:val="21"/>
          <w:szCs w:val="21"/>
          <w:highlight w:val="none"/>
          <w:lang w:val="en-US" w:eastAsia="zh-CN"/>
        </w:rPr>
        <w:t>（2）</w:t>
      </w:r>
      <w:r>
        <w:rPr>
          <w:rFonts w:hint="eastAsia" w:ascii="宋体" w:hAnsi="宋体" w:cs="宋体"/>
          <w:b w:val="0"/>
          <w:bCs w:val="0"/>
          <w:color w:val="auto"/>
          <w:spacing w:val="1"/>
          <w:w w:val="100"/>
          <w:sz w:val="21"/>
          <w:szCs w:val="21"/>
          <w:highlight w:val="none"/>
          <w:lang w:val="en-US" w:eastAsia="zh-CN"/>
        </w:rPr>
        <w:t>拟投入本工程的项目经理必须具备</w:t>
      </w:r>
      <w:r>
        <w:rPr>
          <w:rFonts w:hint="eastAsia" w:ascii="宋体" w:hAnsi="宋体" w:cs="宋体"/>
          <w:b/>
          <w:bCs/>
          <w:color w:val="auto"/>
          <w:spacing w:val="1"/>
          <w:w w:val="100"/>
          <w:sz w:val="21"/>
          <w:szCs w:val="21"/>
          <w:highlight w:val="none"/>
          <w:u w:val="single"/>
          <w:lang w:val="en-US" w:eastAsia="zh-CN"/>
        </w:rPr>
        <w:t>水利水电工程专业贰级以上（含贰级）建造师</w:t>
      </w:r>
      <w:r>
        <w:rPr>
          <w:rFonts w:hint="eastAsia" w:ascii="宋体" w:hAnsi="宋体" w:cs="宋体"/>
          <w:b w:val="0"/>
          <w:bCs w:val="0"/>
          <w:color w:val="auto"/>
          <w:spacing w:val="1"/>
          <w:w w:val="100"/>
          <w:sz w:val="21"/>
          <w:szCs w:val="21"/>
          <w:highlight w:val="none"/>
          <w:lang w:val="en-US" w:eastAsia="zh-CN"/>
        </w:rPr>
        <w:t>资格和有效的</w:t>
      </w:r>
      <w:r>
        <w:rPr>
          <w:rFonts w:hint="eastAsia" w:ascii="宋体" w:hAnsi="宋体" w:cs="宋体"/>
          <w:b/>
          <w:bCs/>
          <w:color w:val="auto"/>
          <w:spacing w:val="1"/>
          <w:w w:val="100"/>
          <w:sz w:val="21"/>
          <w:szCs w:val="21"/>
          <w:highlight w:val="none"/>
          <w:u w:val="single"/>
          <w:lang w:val="en-US" w:eastAsia="zh-CN"/>
        </w:rPr>
        <w:t>安全生产考核合格证（B证）</w:t>
      </w:r>
      <w:r>
        <w:rPr>
          <w:rFonts w:hint="eastAsia" w:ascii="宋体" w:hAnsi="宋体" w:cs="宋体"/>
          <w:b w:val="0"/>
          <w:bCs w:val="0"/>
          <w:color w:val="auto"/>
          <w:spacing w:val="1"/>
          <w:w w:val="100"/>
          <w:sz w:val="21"/>
          <w:szCs w:val="21"/>
          <w:highlight w:val="none"/>
          <w:lang w:val="en-US" w:eastAsia="zh-CN"/>
        </w:rPr>
        <w:t>。提供为本单位人员的社保证明，提供项目经理无在建承诺</w:t>
      </w:r>
      <w:r>
        <w:rPr>
          <w:rFonts w:hint="eastAsia" w:ascii="宋体" w:hAnsi="宋体" w:eastAsia="宋体" w:cs="宋体"/>
          <w:b w:val="0"/>
          <w:bCs w:val="0"/>
          <w:color w:val="auto"/>
          <w:spacing w:val="1"/>
          <w:w w:val="100"/>
          <w:sz w:val="21"/>
          <w:szCs w:val="21"/>
          <w:highlight w:val="none"/>
          <w:lang w:val="en-US" w:eastAsia="zh-CN"/>
        </w:rPr>
        <w:t>。</w:t>
      </w:r>
    </w:p>
    <w:p w14:paraId="5F709C03">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28" w:name="_Toc21565"/>
      <w:r>
        <w:rPr>
          <w:rFonts w:hint="eastAsia" w:ascii="黑体" w:hAnsi="黑体" w:eastAsia="黑体" w:cs="黑体"/>
          <w:b/>
          <w:bCs/>
          <w:color w:val="auto"/>
          <w:sz w:val="24"/>
          <w:szCs w:val="24"/>
          <w:highlight w:val="none"/>
        </w:rPr>
        <w:t>三、获取采购文件</w:t>
      </w:r>
      <w:bookmarkEnd w:id="25"/>
      <w:bookmarkEnd w:id="26"/>
      <w:bookmarkEnd w:id="28"/>
    </w:p>
    <w:p w14:paraId="5D935906">
      <w:pPr>
        <w:keepNext w:val="0"/>
        <w:keepLines w:val="0"/>
        <w:pageBreakBefore w:val="0"/>
        <w:widowControl w:val="0"/>
        <w:kinsoku/>
        <w:wordWrap w:val="0"/>
        <w:overflowPunct/>
        <w:topLinePunct w:val="0"/>
        <w:autoSpaceDE/>
        <w:autoSpaceDN/>
        <w:bidi w:val="0"/>
        <w:adjustRightInd/>
        <w:snapToGrid/>
        <w:spacing w:after="157" w:afterLines="50" w:line="360" w:lineRule="auto"/>
        <w:ind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1.时间：</w:t>
      </w:r>
      <w:r>
        <w:rPr>
          <w:rFonts w:hint="eastAsia" w:ascii="宋体" w:hAnsi="宋体" w:cs="宋体"/>
          <w:color w:val="auto"/>
          <w:sz w:val="21"/>
          <w:szCs w:val="21"/>
          <w:highlight w:val="none"/>
          <w:lang w:eastAsia="zh-CN"/>
        </w:rPr>
        <w:t>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年</w:t>
      </w:r>
      <w:r>
        <w:rPr>
          <w:rFonts w:hint="eastAsia" w:ascii="宋体" w:hAnsi="宋体" w:cs="宋体"/>
          <w:color w:val="auto"/>
          <w:sz w:val="21"/>
          <w:szCs w:val="21"/>
          <w:highlight w:val="none"/>
          <w:lang w:val="en-US" w:eastAsia="zh-CN"/>
        </w:rPr>
        <w:t>04月29日</w:t>
      </w:r>
      <w:r>
        <w:rPr>
          <w:rFonts w:hint="eastAsia" w:ascii="宋体" w:hAnsi="宋体" w:eastAsia="宋体" w:cs="宋体"/>
          <w:color w:val="auto"/>
          <w:sz w:val="21"/>
          <w:szCs w:val="21"/>
          <w:highlight w:val="none"/>
        </w:rPr>
        <w:t>至</w:t>
      </w:r>
      <w:r>
        <w:rPr>
          <w:rFonts w:hint="eastAsia" w:ascii="宋体" w:hAnsi="宋体" w:cs="宋体"/>
          <w:color w:val="auto"/>
          <w:sz w:val="21"/>
          <w:szCs w:val="21"/>
          <w:highlight w:val="none"/>
          <w:lang w:eastAsia="zh-CN"/>
        </w:rPr>
        <w:t>202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eastAsia="zh-CN"/>
        </w:rPr>
        <w:t>年0</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月</w:t>
      </w:r>
      <w:r>
        <w:rPr>
          <w:rFonts w:hint="eastAsia" w:ascii="宋体" w:hAnsi="宋体" w:cs="宋体"/>
          <w:color w:val="auto"/>
          <w:sz w:val="21"/>
          <w:szCs w:val="21"/>
          <w:highlight w:val="none"/>
          <w:lang w:val="en-US" w:eastAsia="zh-CN"/>
        </w:rPr>
        <w:t>09</w:t>
      </w:r>
      <w:r>
        <w:rPr>
          <w:rFonts w:hint="eastAsia" w:ascii="宋体" w:hAnsi="宋体" w:cs="宋体"/>
          <w:color w:val="auto"/>
          <w:sz w:val="21"/>
          <w:szCs w:val="21"/>
          <w:highlight w:val="none"/>
          <w:lang w:eastAsia="zh-CN"/>
        </w:rPr>
        <w:t>日</w:t>
      </w: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59</w:t>
      </w:r>
      <w:r>
        <w:rPr>
          <w:rFonts w:hint="eastAsia" w:ascii="宋体" w:hAnsi="宋体" w:eastAsia="宋体" w:cs="宋体"/>
          <w:color w:val="auto"/>
          <w:sz w:val="21"/>
          <w:szCs w:val="21"/>
          <w:highlight w:val="none"/>
        </w:rPr>
        <w:t>分，（北京时间，法定节假日除外）。</w:t>
      </w:r>
    </w:p>
    <w:p w14:paraId="7B0D6063">
      <w:pPr>
        <w:keepNext w:val="0"/>
        <w:keepLines w:val="0"/>
        <w:pageBreakBefore w:val="0"/>
        <w:widowControl w:val="0"/>
        <w:kinsoku/>
        <w:wordWrap w:val="0"/>
        <w:overflowPunct/>
        <w:topLinePunct w:val="0"/>
        <w:autoSpaceDE/>
        <w:autoSpaceDN/>
        <w:bidi w:val="0"/>
        <w:adjustRightInd/>
        <w:snapToGrid/>
        <w:spacing w:after="0" w:line="360" w:lineRule="auto"/>
        <w:ind w:firstLine="422"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z w:val="21"/>
          <w:szCs w:val="21"/>
          <w:highlight w:val="none"/>
        </w:rPr>
        <w:t>2.地点：</w:t>
      </w:r>
      <w:r>
        <w:rPr>
          <w:rFonts w:hint="eastAsia" w:ascii="宋体" w:hAnsi="宋体" w:eastAsia="宋体" w:cs="宋体"/>
          <w:color w:val="auto"/>
          <w:spacing w:val="1"/>
          <w:w w:val="100"/>
          <w:kern w:val="2"/>
          <w:sz w:val="21"/>
          <w:szCs w:val="21"/>
          <w:highlight w:val="none"/>
          <w:lang w:val="en-US" w:eastAsia="zh-CN" w:bidi="ar-SA"/>
        </w:rPr>
        <w:t>政府采购云平台线上（网址：https://www.zcygov.cn/)。</w:t>
      </w:r>
    </w:p>
    <w:p w14:paraId="5EDFABFF">
      <w:pPr>
        <w:keepNext w:val="0"/>
        <w:keepLines w:val="0"/>
        <w:pageBreakBefore w:val="0"/>
        <w:widowControl w:val="0"/>
        <w:kinsoku/>
        <w:wordWrap w:val="0"/>
        <w:overflowPunct/>
        <w:topLinePunct w:val="0"/>
        <w:autoSpaceDE/>
        <w:autoSpaceDN/>
        <w:bidi w:val="0"/>
        <w:adjustRightInd/>
        <w:snapToGrid/>
        <w:spacing w:after="0" w:line="360" w:lineRule="auto"/>
        <w:ind w:firstLine="426" w:firstLineChars="20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pacing w:val="1"/>
          <w:w w:val="100"/>
          <w:kern w:val="2"/>
          <w:sz w:val="21"/>
          <w:szCs w:val="21"/>
          <w:highlight w:val="none"/>
          <w:lang w:val="en-US" w:eastAsia="zh-CN" w:bidi="ar-SA"/>
        </w:rPr>
        <w:t>本项目采购文件及相关资料仅通过线上获取，不发放纸质采购文件</w:t>
      </w:r>
      <w:r>
        <w:rPr>
          <w:rFonts w:hint="eastAsia" w:ascii="宋体" w:hAnsi="宋体" w:eastAsia="宋体" w:cs="宋体"/>
          <w:color w:val="auto"/>
          <w:spacing w:val="1"/>
          <w:w w:val="100"/>
          <w:kern w:val="2"/>
          <w:sz w:val="21"/>
          <w:szCs w:val="21"/>
          <w:highlight w:val="none"/>
          <w:lang w:val="en-US" w:eastAsia="zh-CN" w:bidi="ar-SA"/>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41C50804">
      <w:pPr>
        <w:keepNext w:val="0"/>
        <w:keepLines w:val="0"/>
        <w:pageBreakBefore w:val="0"/>
        <w:widowControl w:val="0"/>
        <w:numPr>
          <w:ilvl w:val="0"/>
          <w:numId w:val="0"/>
        </w:numPr>
        <w:kinsoku/>
        <w:wordWrap w:val="0"/>
        <w:overflowPunct/>
        <w:topLinePunct w:val="0"/>
        <w:autoSpaceDE/>
        <w:autoSpaceDN/>
        <w:bidi w:val="0"/>
        <w:adjustRightInd/>
        <w:snapToGrid/>
        <w:spacing w:before="157" w:beforeLines="50" w:after="0" w:line="360" w:lineRule="auto"/>
        <w:ind w:firstLine="426" w:firstLineChars="200"/>
        <w:textAlignment w:val="auto"/>
        <w:outlineLvl w:val="9"/>
        <w:rPr>
          <w:rFonts w:hint="eastAsia" w:ascii="宋体" w:hAnsi="宋体" w:eastAsia="宋体" w:cs="宋体"/>
          <w:b/>
          <w:bCs/>
          <w:color w:val="auto"/>
          <w:spacing w:val="1"/>
          <w:w w:val="100"/>
          <w:kern w:val="2"/>
          <w:sz w:val="21"/>
          <w:szCs w:val="21"/>
          <w:highlight w:val="none"/>
          <w:lang w:val="en-US" w:eastAsia="zh-CN" w:bidi="ar-SA"/>
        </w:rPr>
      </w:pPr>
      <w:bookmarkStart w:id="29" w:name="_Toc2377"/>
      <w:r>
        <w:rPr>
          <w:rFonts w:hint="eastAsia" w:ascii="宋体" w:hAnsi="宋体" w:eastAsia="宋体" w:cs="宋体"/>
          <w:b/>
          <w:bCs/>
          <w:color w:val="auto"/>
          <w:spacing w:val="1"/>
          <w:w w:val="100"/>
          <w:kern w:val="2"/>
          <w:sz w:val="21"/>
          <w:szCs w:val="21"/>
          <w:highlight w:val="none"/>
          <w:lang w:val="en-US" w:eastAsia="zh-CN" w:bidi="ar-SA"/>
        </w:rPr>
        <w:t>3.获取方式：</w:t>
      </w:r>
      <w:bookmarkEnd w:id="29"/>
    </w:p>
    <w:p w14:paraId="0BCE2A8D">
      <w:pPr>
        <w:keepNext w:val="0"/>
        <w:keepLines w:val="0"/>
        <w:pageBreakBefore w:val="0"/>
        <w:widowControl w:val="0"/>
        <w:numPr>
          <w:ilvl w:val="0"/>
          <w:numId w:val="0"/>
        </w:numPr>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rtl w:val="0"/>
          <w:lang w:val="en-US" w:eastAsia="zh-CN" w:bidi="ar-SA"/>
        </w:rPr>
      </w:pPr>
      <w:r>
        <w:rPr>
          <w:rFonts w:hint="eastAsia" w:ascii="宋体" w:hAnsi="宋体" w:eastAsia="宋体" w:cs="宋体"/>
          <w:color w:val="auto"/>
          <w:spacing w:val="1"/>
          <w:w w:val="100"/>
          <w:kern w:val="2"/>
          <w:sz w:val="21"/>
          <w:szCs w:val="21"/>
          <w:highlight w:val="none"/>
          <w:rtl w:val="0"/>
          <w:lang w:val="en-US" w:eastAsia="zh-CN" w:bidi="ar-SA"/>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34F7007D">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rtl w:val="0"/>
          <w:lang w:val="en-US" w:eastAsia="zh-CN" w:bidi="ar-SA"/>
        </w:rPr>
        <w:t>（2）按上述要求获取文件的供应商视为合法获取了本项目采购文件，具备本项目的投标资格。</w:t>
      </w:r>
    </w:p>
    <w:p w14:paraId="60499DC2">
      <w:pPr>
        <w:keepNext w:val="0"/>
        <w:keepLines w:val="0"/>
        <w:pageBreakBefore w:val="0"/>
        <w:widowControl w:val="0"/>
        <w:numPr>
          <w:ilvl w:val="0"/>
          <w:numId w:val="0"/>
        </w:numPr>
        <w:kinsoku/>
        <w:wordWrap w:val="0"/>
        <w:overflowPunct/>
        <w:topLinePunct w:val="0"/>
        <w:autoSpaceDE/>
        <w:autoSpaceDN/>
        <w:bidi w:val="0"/>
        <w:adjustRightInd/>
        <w:snapToGrid/>
        <w:spacing w:before="157" w:beforeLines="50" w:after="0" w:line="360" w:lineRule="auto"/>
        <w:ind w:firstLine="426" w:firstLineChars="200"/>
        <w:textAlignment w:val="auto"/>
        <w:outlineLvl w:val="9"/>
        <w:rPr>
          <w:rFonts w:hint="eastAsia" w:ascii="宋体" w:hAnsi="宋体" w:eastAsia="宋体" w:cs="宋体"/>
          <w:b/>
          <w:bCs/>
          <w:color w:val="auto"/>
          <w:spacing w:val="1"/>
          <w:w w:val="100"/>
          <w:kern w:val="2"/>
          <w:sz w:val="21"/>
          <w:szCs w:val="21"/>
          <w:highlight w:val="none"/>
          <w:lang w:val="en-US" w:eastAsia="zh-CN" w:bidi="ar-SA"/>
        </w:rPr>
      </w:pPr>
      <w:bookmarkStart w:id="30" w:name="_Toc1135"/>
      <w:r>
        <w:rPr>
          <w:rFonts w:hint="eastAsia" w:ascii="宋体" w:hAnsi="宋体" w:eastAsia="宋体" w:cs="宋体"/>
          <w:b/>
          <w:bCs/>
          <w:color w:val="auto"/>
          <w:spacing w:val="1"/>
          <w:w w:val="100"/>
          <w:kern w:val="2"/>
          <w:sz w:val="21"/>
          <w:szCs w:val="21"/>
          <w:highlight w:val="none"/>
          <w:lang w:val="en-US" w:eastAsia="zh-CN" w:bidi="ar-SA"/>
        </w:rPr>
        <w:t>4.网上获取说明</w:t>
      </w:r>
      <w:bookmarkEnd w:id="30"/>
    </w:p>
    <w:p w14:paraId="71F9814D">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（1）有意参加磋商者，须注册政采云平台账号并登录办理数字证书（CA），若供应商未办理数字证书（CA）的，可选择办理云南壹证通CA。CA申领链接：https://middle.zcygov.cn/ca/apply/edit?certType=32 或http://yzt.ynsmartcert.cn/cms/yzthhzb.html。云南壹证通CA 可支持线上、线下两种办理方式，并提供7*24小时客户服务支持，客服热线0871-67276028。（紧急CA办理电话：19988166369）政采云平台支持多家CA服务商，供应商可自行选择办理。</w:t>
      </w:r>
    </w:p>
    <w:p w14:paraId="1A65DD51">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（2）数字证书（CA）申领完成后进入政采云平台，企业账号与数字证书（CA）进行绑定，凭企业数字证书（CA）进行项目报名及免费下载磋商文件。</w:t>
      </w:r>
    </w:p>
    <w:p w14:paraId="0A682890">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（3）按上述要求获取文件的供应商视为已合法获取本项目采购文件，具备本项目的磋商资格。</w:t>
      </w:r>
    </w:p>
    <w:p w14:paraId="74BB78C6">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（4）如有问题可拨打政采云客户服务热线95763进行咨询。</w:t>
      </w:r>
    </w:p>
    <w:p w14:paraId="52649531">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注：供应商如已在云南 CA办理过企业数字证书（CA）的，直接绑定即可，无需重复办理（2022年1月1日前在云南省公共资源交易平台办理云南CA证书的需到原办理点进行升级后方可使用）。</w:t>
      </w:r>
      <w:bookmarkStart w:id="31" w:name="_Toc28359085"/>
      <w:bookmarkStart w:id="32" w:name="_Toc35393627"/>
      <w:bookmarkStart w:id="33" w:name="_Toc28359008"/>
      <w:bookmarkStart w:id="34" w:name="_Toc35393796"/>
    </w:p>
    <w:p w14:paraId="7D48DC3A">
      <w:pPr>
        <w:keepNext w:val="0"/>
        <w:keepLines w:val="0"/>
        <w:pageBreakBefore w:val="0"/>
        <w:widowControl w:val="0"/>
        <w:kinsoku/>
        <w:wordWrap w:val="0"/>
        <w:overflowPunct/>
        <w:topLinePunct w:val="0"/>
        <w:autoSpaceDE/>
        <w:autoSpaceDN/>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bookmarkStart w:id="35" w:name="_Toc11291"/>
      <w:r>
        <w:rPr>
          <w:rFonts w:hint="eastAsia" w:ascii="宋体" w:hAnsi="宋体" w:eastAsia="宋体" w:cs="宋体"/>
          <w:color w:val="auto"/>
          <w:spacing w:val="1"/>
          <w:w w:val="100"/>
          <w:kern w:val="2"/>
          <w:sz w:val="21"/>
          <w:szCs w:val="21"/>
          <w:highlight w:val="none"/>
          <w:lang w:val="en-US" w:eastAsia="zh-CN" w:bidi="ar-SA"/>
        </w:rPr>
        <w:t>5.售价：0元。</w:t>
      </w:r>
      <w:bookmarkEnd w:id="35"/>
    </w:p>
    <w:p w14:paraId="4C263FB2">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36" w:name="_Toc7604"/>
      <w:r>
        <w:rPr>
          <w:rFonts w:hint="eastAsia" w:ascii="黑体" w:hAnsi="黑体" w:eastAsia="黑体" w:cs="黑体"/>
          <w:b/>
          <w:bCs/>
          <w:color w:val="auto"/>
          <w:sz w:val="24"/>
          <w:szCs w:val="24"/>
          <w:highlight w:val="none"/>
        </w:rPr>
        <w:t>四、响应文件提交</w:t>
      </w:r>
      <w:bookmarkEnd w:id="36"/>
    </w:p>
    <w:p w14:paraId="220F7641">
      <w:pPr>
        <w:keepNext w:val="0"/>
        <w:keepLines w:val="0"/>
        <w:pageBreakBefore w:val="0"/>
        <w:widowControl w:val="0"/>
        <w:kinsoku/>
        <w:wordWrap w:val="0"/>
        <w:overflowPunct/>
        <w:topLinePunct w:val="0"/>
        <w:autoSpaceDE/>
        <w:autoSpaceDN/>
        <w:bidi w:val="0"/>
        <w:adjustRightInd/>
        <w:snapToGrid/>
        <w:spacing w:after="157" w:afterLines="50" w:line="360" w:lineRule="auto"/>
        <w:ind w:firstLine="211" w:firstLineChars="100"/>
        <w:textAlignment w:val="auto"/>
        <w:outlineLvl w:val="9"/>
        <w:rPr>
          <w:rFonts w:hint="eastAsia" w:ascii="宋体" w:hAnsi="宋体" w:eastAsia="宋体" w:cs="宋体"/>
          <w:color w:val="auto"/>
          <w:sz w:val="21"/>
          <w:szCs w:val="21"/>
          <w:highlight w:val="none"/>
        </w:rPr>
      </w:pPr>
      <w:bookmarkStart w:id="37" w:name="_Toc26977"/>
      <w:r>
        <w:rPr>
          <w:rFonts w:hint="eastAsia" w:ascii="宋体" w:hAnsi="宋体" w:eastAsia="宋体" w:cs="宋体"/>
          <w:b/>
          <w:bCs/>
          <w:color w:val="auto"/>
          <w:kern w:val="0"/>
          <w:sz w:val="21"/>
          <w:szCs w:val="21"/>
          <w:highlight w:val="none"/>
        </w:rPr>
        <w:t>1.截止</w:t>
      </w:r>
      <w:r>
        <w:rPr>
          <w:rFonts w:hint="eastAsia" w:ascii="宋体" w:hAnsi="宋体" w:eastAsia="宋体" w:cs="宋体"/>
          <w:b/>
          <w:bCs/>
          <w:color w:val="auto"/>
          <w:sz w:val="21"/>
          <w:szCs w:val="21"/>
          <w:highlight w:val="none"/>
        </w:rPr>
        <w:t>时间：</w:t>
      </w:r>
      <w:r>
        <w:rPr>
          <w:rFonts w:hint="eastAsia" w:ascii="宋体" w:hAnsi="宋体" w:cs="宋体"/>
          <w:color w:val="auto"/>
          <w:sz w:val="21"/>
          <w:szCs w:val="21"/>
          <w:highlight w:val="none"/>
          <w:lang w:eastAsia="zh-CN"/>
        </w:rPr>
        <w:t>2026年05月12日09:00分</w:t>
      </w:r>
      <w:r>
        <w:rPr>
          <w:rFonts w:hint="eastAsia" w:ascii="宋体" w:hAnsi="宋体" w:eastAsia="宋体" w:cs="宋体"/>
          <w:color w:val="auto"/>
          <w:sz w:val="21"/>
          <w:szCs w:val="21"/>
          <w:highlight w:val="none"/>
        </w:rPr>
        <w:t>；</w:t>
      </w:r>
      <w:bookmarkEnd w:id="37"/>
    </w:p>
    <w:p w14:paraId="2CC3F477">
      <w:pPr>
        <w:keepNext w:val="0"/>
        <w:keepLines w:val="0"/>
        <w:pageBreakBefore w:val="0"/>
        <w:widowControl w:val="0"/>
        <w:kinsoku/>
        <w:wordWrap w:val="0"/>
        <w:overflowPunct/>
        <w:topLinePunct w:val="0"/>
        <w:bidi w:val="0"/>
        <w:adjustRightInd/>
        <w:snapToGrid/>
        <w:spacing w:after="0" w:line="360" w:lineRule="auto"/>
        <w:ind w:firstLine="211" w:firstLineChars="1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z w:val="21"/>
          <w:szCs w:val="21"/>
          <w:highlight w:val="none"/>
        </w:rPr>
        <w:t>2.地点：</w:t>
      </w:r>
      <w:r>
        <w:rPr>
          <w:rFonts w:hint="eastAsia" w:ascii="宋体" w:hAnsi="宋体" w:eastAsia="宋体" w:cs="宋体"/>
          <w:color w:val="auto"/>
          <w:spacing w:val="1"/>
          <w:w w:val="100"/>
          <w:kern w:val="2"/>
          <w:sz w:val="21"/>
          <w:szCs w:val="21"/>
          <w:highlight w:val="none"/>
          <w:lang w:val="en-US" w:eastAsia="zh-CN" w:bidi="ar-SA"/>
        </w:rPr>
        <w:t>政府采购云平台（网址：https://www.zcygov.cn/)。</w:t>
      </w:r>
    </w:p>
    <w:p w14:paraId="3F4F3836">
      <w:pPr>
        <w:keepNext w:val="0"/>
        <w:keepLines w:val="0"/>
        <w:pageBreakBefore w:val="0"/>
        <w:widowControl w:val="0"/>
        <w:kinsoku/>
        <w:wordWrap w:val="0"/>
        <w:overflowPunct/>
        <w:topLinePunct w:val="0"/>
        <w:bidi w:val="0"/>
        <w:adjustRightInd/>
        <w:snapToGrid/>
        <w:spacing w:after="0" w:line="360" w:lineRule="auto"/>
        <w:ind w:firstLine="424" w:firstLineChars="200"/>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color w:val="auto"/>
          <w:spacing w:val="1"/>
          <w:w w:val="100"/>
          <w:kern w:val="2"/>
          <w:sz w:val="21"/>
          <w:szCs w:val="21"/>
          <w:highlight w:val="none"/>
          <w:lang w:val="en-US" w:eastAsia="zh-CN" w:bidi="ar-SA"/>
        </w:rPr>
        <w:t>注：①供应商应按照本项目采购文件和“政府采购云平台”的要求编制、加密响应文件，并在响应文件提交截止时间前上传至“政府采购云平台”，响应文件提交截止时间前未完成响应文件上传的，视为撤回响应文件；②供应商在“政府采购云平台”提交电子版响应文件时，请填写参加远程采购活动经办人联系方式。并于开标当日在系统上等待代理机构通知最后报价。</w:t>
      </w:r>
    </w:p>
    <w:p w14:paraId="6453D66A">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38" w:name="_Toc11786"/>
      <w:r>
        <w:rPr>
          <w:rFonts w:hint="eastAsia" w:ascii="黑体" w:hAnsi="黑体" w:eastAsia="黑体" w:cs="黑体"/>
          <w:b/>
          <w:bCs/>
          <w:color w:val="auto"/>
          <w:sz w:val="24"/>
          <w:szCs w:val="24"/>
          <w:highlight w:val="none"/>
        </w:rPr>
        <w:t>五、开启</w:t>
      </w:r>
      <w:bookmarkEnd w:id="38"/>
    </w:p>
    <w:p w14:paraId="312FCE1D">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宋体"/>
          <w:color w:val="auto"/>
          <w:sz w:val="21"/>
          <w:szCs w:val="21"/>
          <w:highlight w:val="none"/>
        </w:rPr>
      </w:pPr>
      <w:bookmarkStart w:id="39" w:name="_Toc32334"/>
      <w:r>
        <w:rPr>
          <w:rFonts w:hint="eastAsia" w:ascii="宋体" w:hAnsi="宋体" w:eastAsia="宋体" w:cs="宋体"/>
          <w:b/>
          <w:bCs/>
          <w:color w:val="auto"/>
          <w:sz w:val="21"/>
          <w:szCs w:val="21"/>
          <w:highlight w:val="none"/>
        </w:rPr>
        <w:t>1.时间：</w:t>
      </w:r>
      <w:r>
        <w:rPr>
          <w:rFonts w:hint="eastAsia" w:ascii="宋体" w:hAnsi="宋体" w:cs="宋体"/>
          <w:color w:val="auto"/>
          <w:sz w:val="21"/>
          <w:szCs w:val="21"/>
          <w:highlight w:val="none"/>
          <w:lang w:eastAsia="zh-CN"/>
        </w:rPr>
        <w:t>2026年05月12日09:00分</w:t>
      </w:r>
      <w:r>
        <w:rPr>
          <w:rFonts w:hint="eastAsia" w:ascii="宋体" w:hAnsi="宋体" w:eastAsia="宋体" w:cs="宋体"/>
          <w:color w:val="auto"/>
          <w:sz w:val="21"/>
          <w:szCs w:val="21"/>
          <w:highlight w:val="none"/>
        </w:rPr>
        <w:t>；</w:t>
      </w:r>
      <w:bookmarkEnd w:id="39"/>
    </w:p>
    <w:p w14:paraId="4BE97E82">
      <w:pPr>
        <w:keepNext w:val="0"/>
        <w:keepLines w:val="0"/>
        <w:pageBreakBefore w:val="0"/>
        <w:widowControl w:val="0"/>
        <w:kinsoku/>
        <w:wordWrap w:val="0"/>
        <w:overflowPunct/>
        <w:topLinePunct w:val="0"/>
        <w:autoSpaceDE/>
        <w:autoSpaceDN/>
        <w:bidi w:val="0"/>
        <w:adjustRightInd/>
        <w:snapToGrid/>
        <w:spacing w:line="360" w:lineRule="auto"/>
        <w:ind w:firstLine="422"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2.地点：</w:t>
      </w:r>
      <w:r>
        <w:rPr>
          <w:rFonts w:hint="eastAsia" w:ascii="宋体" w:hAnsi="宋体" w:eastAsia="宋体" w:cs="宋体"/>
          <w:color w:val="auto"/>
          <w:sz w:val="21"/>
          <w:szCs w:val="21"/>
          <w:highlight w:val="none"/>
          <w:lang w:eastAsia="zh-CN"/>
        </w:rPr>
        <w:t>云南鼎邦招标代理有限公司</w:t>
      </w:r>
      <w:r>
        <w:rPr>
          <w:rFonts w:hint="eastAsia" w:ascii="宋体" w:hAnsi="宋体" w:cs="宋体"/>
          <w:color w:val="auto"/>
          <w:sz w:val="21"/>
          <w:szCs w:val="21"/>
          <w:highlight w:val="none"/>
          <w:lang w:eastAsia="zh-CN"/>
        </w:rPr>
        <w:t>（云南省怒江州兰坪县财富天地3幢4号）</w:t>
      </w:r>
      <w:r>
        <w:rPr>
          <w:rFonts w:hint="eastAsia" w:ascii="宋体" w:hAnsi="宋体" w:eastAsia="宋体" w:cs="宋体"/>
          <w:b w:val="0"/>
          <w:bCs w:val="0"/>
          <w:color w:val="auto"/>
          <w:kern w:val="2"/>
          <w:sz w:val="21"/>
          <w:szCs w:val="21"/>
          <w:highlight w:val="none"/>
          <w:lang w:val="en-US" w:eastAsia="zh-CN" w:bidi="ar-SA"/>
        </w:rPr>
        <w:t>。</w:t>
      </w:r>
      <w:r>
        <w:rPr>
          <w:rFonts w:hint="eastAsia" w:ascii="宋体" w:hAnsi="宋体" w:eastAsia="宋体" w:cs="宋体"/>
          <w:color w:val="auto"/>
          <w:sz w:val="21"/>
          <w:szCs w:val="21"/>
          <w:highlight w:val="none"/>
        </w:rPr>
        <w:t xml:space="preserve">  </w:t>
      </w:r>
    </w:p>
    <w:bookmarkEnd w:id="31"/>
    <w:bookmarkEnd w:id="32"/>
    <w:bookmarkEnd w:id="33"/>
    <w:bookmarkEnd w:id="34"/>
    <w:p w14:paraId="7EBD823D">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40" w:name="_Toc17287"/>
      <w:r>
        <w:rPr>
          <w:rFonts w:hint="eastAsia" w:ascii="黑体" w:hAnsi="黑体" w:eastAsia="黑体" w:cs="黑体"/>
          <w:b/>
          <w:bCs/>
          <w:color w:val="auto"/>
          <w:sz w:val="24"/>
          <w:szCs w:val="24"/>
          <w:highlight w:val="none"/>
        </w:rPr>
        <w:t>六、公告期限</w:t>
      </w:r>
      <w:bookmarkEnd w:id="40"/>
    </w:p>
    <w:p w14:paraId="36F88EB3">
      <w:pPr>
        <w:keepNext w:val="0"/>
        <w:keepLines w:val="0"/>
        <w:pageBreakBefore w:val="0"/>
        <w:widowControl w:val="0"/>
        <w:kinsoku/>
        <w:wordWrap w:val="0"/>
        <w:overflowPunct/>
        <w:topLinePunct w:val="0"/>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自本公告发布之日起</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个工作日。</w:t>
      </w:r>
    </w:p>
    <w:p w14:paraId="2885C4AF">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41" w:name="_Toc18823"/>
      <w:r>
        <w:rPr>
          <w:rFonts w:hint="eastAsia" w:ascii="黑体" w:hAnsi="黑体" w:eastAsia="黑体" w:cs="黑体"/>
          <w:b/>
          <w:bCs/>
          <w:color w:val="auto"/>
          <w:sz w:val="24"/>
          <w:szCs w:val="24"/>
          <w:highlight w:val="none"/>
        </w:rPr>
        <w:t>七、其他补充事宜</w:t>
      </w:r>
      <w:bookmarkEnd w:id="41"/>
    </w:p>
    <w:p w14:paraId="48714695">
      <w:pPr>
        <w:pStyle w:val="15"/>
        <w:keepNext w:val="0"/>
        <w:keepLines w:val="0"/>
        <w:pageBreakBefore w:val="0"/>
        <w:widowControl w:val="0"/>
        <w:kinsoku/>
        <w:wordWrap w:val="0"/>
        <w:overflowPunct/>
        <w:topLinePunct w:val="0"/>
        <w:bidi w:val="0"/>
        <w:adjustRightInd/>
        <w:snapToGrid/>
        <w:spacing w:after="0" w:line="360" w:lineRule="auto"/>
        <w:ind w:right="0" w:rightChars="0" w:firstLine="426" w:firstLineChars="200"/>
        <w:textAlignment w:val="auto"/>
        <w:outlineLvl w:val="9"/>
        <w:rPr>
          <w:rFonts w:hint="eastAsia" w:ascii="宋体" w:hAnsi="宋体" w:eastAsia="宋体" w:cs="宋体"/>
          <w:color w:val="auto"/>
          <w:spacing w:val="1"/>
          <w:w w:val="100"/>
          <w:sz w:val="21"/>
          <w:szCs w:val="21"/>
          <w:highlight w:val="none"/>
          <w:lang w:val="en-US" w:eastAsia="zh-CN"/>
        </w:rPr>
      </w:pPr>
      <w:r>
        <w:rPr>
          <w:rFonts w:hint="eastAsia" w:ascii="宋体" w:hAnsi="宋体" w:eastAsia="宋体" w:cs="宋体"/>
          <w:b/>
          <w:bCs/>
          <w:color w:val="auto"/>
          <w:spacing w:val="1"/>
          <w:w w:val="100"/>
          <w:sz w:val="21"/>
          <w:szCs w:val="21"/>
          <w:highlight w:val="none"/>
          <w:lang w:val="en-US" w:eastAsia="zh-CN"/>
        </w:rPr>
        <w:t>开标方式：</w:t>
      </w:r>
      <w:r>
        <w:rPr>
          <w:rFonts w:hint="eastAsia" w:ascii="宋体" w:hAnsi="宋体" w:eastAsia="宋体" w:cs="宋体"/>
          <w:color w:val="auto"/>
          <w:spacing w:val="1"/>
          <w:w w:val="100"/>
          <w:sz w:val="21"/>
          <w:szCs w:val="21"/>
          <w:highlight w:val="none"/>
          <w:lang w:val="en-US" w:eastAsia="zh-CN"/>
        </w:rPr>
        <w:t>网上开标</w:t>
      </w:r>
    </w:p>
    <w:p w14:paraId="6ACBA04F">
      <w:pPr>
        <w:pStyle w:val="15"/>
        <w:keepNext w:val="0"/>
        <w:keepLines w:val="0"/>
        <w:pageBreakBefore w:val="0"/>
        <w:widowControl w:val="0"/>
        <w:kinsoku/>
        <w:wordWrap w:val="0"/>
        <w:overflowPunct/>
        <w:topLinePunct w:val="0"/>
        <w:autoSpaceDE/>
        <w:autoSpaceDN/>
        <w:bidi w:val="0"/>
        <w:adjustRightInd/>
        <w:snapToGrid/>
        <w:spacing w:before="157" w:beforeLines="50" w:after="0" w:line="360" w:lineRule="auto"/>
        <w:ind w:right="0" w:rightChars="0" w:firstLine="426" w:firstLineChars="200"/>
        <w:textAlignment w:val="auto"/>
        <w:outlineLvl w:val="9"/>
        <w:rPr>
          <w:rFonts w:hint="eastAsia" w:ascii="宋体" w:hAnsi="宋体" w:eastAsia="宋体" w:cs="宋体"/>
          <w:color w:val="auto"/>
          <w:spacing w:val="1"/>
          <w:w w:val="100"/>
          <w:sz w:val="21"/>
          <w:szCs w:val="21"/>
          <w:highlight w:val="none"/>
          <w:lang w:val="en-US" w:eastAsia="zh-CN"/>
        </w:rPr>
      </w:pPr>
      <w:r>
        <w:rPr>
          <w:rFonts w:hint="eastAsia" w:ascii="宋体" w:hAnsi="宋体" w:eastAsia="宋体" w:cs="宋体"/>
          <w:b/>
          <w:bCs/>
          <w:color w:val="auto"/>
          <w:spacing w:val="1"/>
          <w:w w:val="100"/>
          <w:sz w:val="21"/>
          <w:szCs w:val="21"/>
          <w:highlight w:val="none"/>
          <w:lang w:val="en-US" w:eastAsia="zh-CN"/>
        </w:rPr>
        <w:t>是否需要缴纳投标保证金：</w:t>
      </w:r>
      <w:r>
        <w:rPr>
          <w:rFonts w:hint="eastAsia" w:ascii="宋体" w:hAnsi="宋体" w:cs="宋体"/>
          <w:color w:val="auto"/>
          <w:spacing w:val="1"/>
          <w:w w:val="100"/>
          <w:sz w:val="21"/>
          <w:szCs w:val="21"/>
          <w:highlight w:val="none"/>
          <w:lang w:val="en-US" w:eastAsia="zh-CN"/>
        </w:rPr>
        <w:t>否</w:t>
      </w:r>
    </w:p>
    <w:p w14:paraId="115C4592">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6" w:firstLineChars="200"/>
        <w:textAlignment w:val="auto"/>
        <w:outlineLvl w:val="9"/>
        <w:rPr>
          <w:rFonts w:hint="eastAsia" w:ascii="宋体" w:hAnsi="宋体" w:eastAsia="宋体" w:cs="宋体"/>
          <w:b w:val="0"/>
          <w:bCs w:val="0"/>
          <w:color w:val="auto"/>
          <w:sz w:val="21"/>
          <w:szCs w:val="21"/>
          <w:highlight w:val="none"/>
        </w:rPr>
      </w:pPr>
      <w:bookmarkStart w:id="42" w:name="_Toc19991"/>
      <w:r>
        <w:rPr>
          <w:rFonts w:hint="eastAsia" w:ascii="宋体" w:hAnsi="宋体" w:eastAsia="宋体" w:cs="宋体"/>
          <w:b/>
          <w:bCs/>
          <w:color w:val="auto"/>
          <w:spacing w:val="1"/>
          <w:w w:val="100"/>
          <w:sz w:val="21"/>
          <w:szCs w:val="21"/>
          <w:highlight w:val="none"/>
          <w:lang w:val="en-US" w:eastAsia="zh-CN"/>
        </w:rPr>
        <w:t>其他：</w:t>
      </w:r>
      <w:r>
        <w:rPr>
          <w:rFonts w:hint="eastAsia" w:ascii="宋体" w:hAnsi="宋体" w:cs="宋体"/>
          <w:b w:val="0"/>
          <w:bCs w:val="0"/>
          <w:color w:val="auto"/>
          <w:spacing w:val="1"/>
          <w:w w:val="100"/>
          <w:sz w:val="21"/>
          <w:szCs w:val="21"/>
          <w:highlight w:val="none"/>
          <w:lang w:val="en-US" w:eastAsia="zh-CN"/>
        </w:rPr>
        <w:t>1.</w:t>
      </w:r>
      <w:r>
        <w:rPr>
          <w:rFonts w:hint="eastAsia" w:ascii="宋体" w:hAnsi="宋体" w:eastAsia="宋体" w:cs="宋体"/>
          <w:b w:val="0"/>
          <w:bCs w:val="0"/>
          <w:color w:val="auto"/>
          <w:spacing w:val="1"/>
          <w:w w:val="100"/>
          <w:sz w:val="21"/>
          <w:szCs w:val="21"/>
          <w:highlight w:val="none"/>
        </w:rPr>
        <w:t>采购信息发布及结果公告网站</w:t>
      </w:r>
      <w:bookmarkEnd w:id="42"/>
      <w:r>
        <w:rPr>
          <w:rFonts w:hint="eastAsia" w:ascii="宋体" w:hAnsi="宋体" w:cs="宋体"/>
          <w:b w:val="0"/>
          <w:bCs w:val="0"/>
          <w:color w:val="auto"/>
          <w:spacing w:val="1"/>
          <w:w w:val="100"/>
          <w:sz w:val="21"/>
          <w:szCs w:val="21"/>
          <w:highlight w:val="none"/>
          <w:lang w:eastAsia="zh-CN"/>
        </w:rPr>
        <w:t>：本项目公告信息</w:t>
      </w:r>
      <w:r>
        <w:rPr>
          <w:rFonts w:hint="eastAsia" w:ascii="宋体" w:hAnsi="宋体" w:eastAsia="宋体" w:cs="宋体"/>
          <w:b w:val="0"/>
          <w:bCs w:val="0"/>
          <w:color w:val="auto"/>
          <w:spacing w:val="1"/>
          <w:w w:val="100"/>
          <w:sz w:val="21"/>
          <w:szCs w:val="21"/>
          <w:highlight w:val="none"/>
        </w:rPr>
        <w:t>在“云南省政府采购网”上发布，供应商应在递交</w:t>
      </w:r>
      <w:r>
        <w:rPr>
          <w:rFonts w:hint="eastAsia" w:ascii="宋体" w:hAnsi="宋体" w:cs="宋体"/>
          <w:b w:val="0"/>
          <w:bCs w:val="0"/>
          <w:color w:val="auto"/>
          <w:spacing w:val="1"/>
          <w:w w:val="100"/>
          <w:sz w:val="21"/>
          <w:szCs w:val="21"/>
          <w:highlight w:val="none"/>
          <w:lang w:eastAsia="zh-CN"/>
        </w:rPr>
        <w:t>响应文件</w:t>
      </w:r>
      <w:r>
        <w:rPr>
          <w:rFonts w:hint="eastAsia" w:ascii="宋体" w:hAnsi="宋体" w:eastAsia="宋体" w:cs="宋体"/>
          <w:b w:val="0"/>
          <w:bCs w:val="0"/>
          <w:color w:val="auto"/>
          <w:spacing w:val="1"/>
          <w:w w:val="100"/>
          <w:sz w:val="21"/>
          <w:szCs w:val="21"/>
          <w:highlight w:val="none"/>
        </w:rPr>
        <w:t>前随时查看，以获取最新信息。因供应商未及时查看网站信息导致的一切不利后果由供应商自负。对其他网站或媒体转载的公告内容采购人和采购代理机构不承担任何责任</w:t>
      </w:r>
      <w:r>
        <w:rPr>
          <w:rFonts w:hint="eastAsia" w:ascii="宋体" w:hAnsi="宋体" w:eastAsia="宋体" w:cs="宋体"/>
          <w:b w:val="0"/>
          <w:bCs w:val="0"/>
          <w:color w:val="auto"/>
          <w:spacing w:val="1"/>
          <w:w w:val="100"/>
          <w:sz w:val="21"/>
          <w:szCs w:val="21"/>
          <w:highlight w:val="none"/>
          <w:lang w:eastAsia="zh-CN"/>
        </w:rPr>
        <w:t>。</w:t>
      </w:r>
      <w:bookmarkStart w:id="43" w:name="_Toc25514"/>
      <w:r>
        <w:rPr>
          <w:rFonts w:hint="eastAsia" w:ascii="宋体" w:hAnsi="宋体" w:cs="宋体"/>
          <w:b w:val="0"/>
          <w:bCs w:val="0"/>
          <w:color w:val="auto"/>
          <w:spacing w:val="1"/>
          <w:w w:val="100"/>
          <w:sz w:val="21"/>
          <w:szCs w:val="21"/>
          <w:highlight w:val="none"/>
          <w:lang w:val="en-US" w:eastAsia="zh-CN"/>
        </w:rPr>
        <w:t>2.</w:t>
      </w:r>
      <w:r>
        <w:rPr>
          <w:rFonts w:hint="eastAsia" w:ascii="宋体" w:hAnsi="宋体" w:eastAsia="宋体" w:cs="宋体"/>
          <w:b w:val="0"/>
          <w:bCs w:val="0"/>
          <w:color w:val="auto"/>
          <w:spacing w:val="1"/>
          <w:w w:val="100"/>
          <w:sz w:val="21"/>
          <w:szCs w:val="21"/>
          <w:highlight w:val="none"/>
          <w:lang w:val="en-US" w:eastAsia="zh-CN"/>
        </w:rPr>
        <w:t>监督部门电话</w:t>
      </w:r>
      <w:bookmarkEnd w:id="43"/>
      <w:r>
        <w:rPr>
          <w:rFonts w:hint="eastAsia" w:ascii="宋体" w:hAnsi="宋体" w:cs="宋体"/>
          <w:b w:val="0"/>
          <w:bCs w:val="0"/>
          <w:color w:val="auto"/>
          <w:spacing w:val="1"/>
          <w:w w:val="100"/>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行业监督部门及联系电话：兰坪县财政局政府采购监督管理股</w:t>
      </w:r>
      <w:r>
        <w:rPr>
          <w:rFonts w:hint="eastAsia" w:ascii="宋体" w:hAnsi="宋体" w:cs="宋体"/>
          <w:b w:val="0"/>
          <w:bCs w:val="0"/>
          <w:color w:val="auto"/>
          <w:sz w:val="21"/>
          <w:szCs w:val="21"/>
          <w:highlight w:val="none"/>
          <w:lang w:val="en-US" w:eastAsia="zh-CN"/>
        </w:rPr>
        <w:t>0</w:t>
      </w:r>
      <w:r>
        <w:rPr>
          <w:rFonts w:hint="eastAsia" w:ascii="宋体" w:hAnsi="宋体" w:eastAsia="宋体" w:cs="宋体"/>
          <w:b w:val="0"/>
          <w:bCs w:val="0"/>
          <w:color w:val="auto"/>
          <w:sz w:val="21"/>
          <w:szCs w:val="21"/>
          <w:highlight w:val="none"/>
          <w:lang w:val="en-US" w:eastAsia="zh-CN"/>
        </w:rPr>
        <w:t>886-3211642；纪检监督联系电话：0886-3211588。</w:t>
      </w:r>
    </w:p>
    <w:p w14:paraId="596C8E1F">
      <w:pPr>
        <w:pStyle w:val="4"/>
        <w:keepNext w:val="0"/>
        <w:keepLines w:val="0"/>
        <w:pageBreakBefore w:val="0"/>
        <w:widowControl w:val="0"/>
        <w:kinsoku/>
        <w:wordWrap w:val="0"/>
        <w:overflowPunct/>
        <w:topLinePunct w:val="0"/>
        <w:autoSpaceDE/>
        <w:autoSpaceDN/>
        <w:bidi w:val="0"/>
        <w:adjustRightInd/>
        <w:snapToGrid/>
        <w:spacing w:before="157" w:beforeLines="50" w:after="0" w:line="360" w:lineRule="auto"/>
        <w:ind w:firstLine="0" w:firstLineChars="0"/>
        <w:textAlignment w:val="auto"/>
        <w:rPr>
          <w:rFonts w:hint="eastAsia" w:ascii="黑体" w:hAnsi="黑体" w:eastAsia="黑体" w:cs="黑体"/>
          <w:b/>
          <w:bCs/>
          <w:color w:val="auto"/>
          <w:sz w:val="24"/>
          <w:szCs w:val="24"/>
          <w:highlight w:val="none"/>
        </w:rPr>
      </w:pPr>
      <w:bookmarkStart w:id="44" w:name="_Toc22097"/>
      <w:r>
        <w:rPr>
          <w:rFonts w:hint="eastAsia" w:ascii="黑体" w:hAnsi="黑体" w:eastAsia="黑体" w:cs="黑体"/>
          <w:b/>
          <w:bCs/>
          <w:color w:val="auto"/>
          <w:sz w:val="24"/>
          <w:szCs w:val="24"/>
          <w:highlight w:val="none"/>
        </w:rPr>
        <w:t>八、对本次采购提出询问，请按以下方式联系</w:t>
      </w:r>
      <w:bookmarkEnd w:id="44"/>
    </w:p>
    <w:p w14:paraId="28686876">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b/>
          <w:bCs/>
          <w:color w:val="auto"/>
          <w:sz w:val="21"/>
          <w:szCs w:val="21"/>
          <w:highlight w:val="none"/>
          <w:u w:val="none"/>
        </w:rPr>
      </w:pPr>
      <w:bookmarkStart w:id="45" w:name="_Toc5760"/>
      <w:bookmarkStart w:id="46" w:name="_Toc35393808"/>
      <w:r>
        <w:rPr>
          <w:rFonts w:hint="eastAsia" w:ascii="宋体" w:hAnsi="宋体" w:eastAsia="宋体" w:cs="宋体"/>
          <w:b/>
          <w:bCs/>
          <w:color w:val="auto"/>
          <w:sz w:val="21"/>
          <w:szCs w:val="21"/>
          <w:highlight w:val="none"/>
          <w:u w:val="none"/>
        </w:rPr>
        <w:t>1.采购人信息</w:t>
      </w:r>
      <w:bookmarkEnd w:id="45"/>
    </w:p>
    <w:p w14:paraId="156589C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名称：</w:t>
      </w:r>
      <w:r>
        <w:rPr>
          <w:rFonts w:hint="eastAsia" w:ascii="宋体" w:hAnsi="宋体" w:cs="宋体"/>
          <w:b w:val="0"/>
          <w:bCs w:val="0"/>
          <w:color w:val="auto"/>
          <w:sz w:val="21"/>
          <w:szCs w:val="21"/>
          <w:highlight w:val="none"/>
          <w:lang w:eastAsia="zh-CN"/>
        </w:rPr>
        <w:t>兰坪白族普米族自治县水利局</w:t>
      </w:r>
    </w:p>
    <w:p w14:paraId="405F168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地址：</w:t>
      </w:r>
      <w:r>
        <w:rPr>
          <w:rFonts w:hint="eastAsia" w:ascii="宋体" w:hAnsi="宋体" w:cs="宋体"/>
          <w:b w:val="0"/>
          <w:bCs w:val="0"/>
          <w:color w:val="auto"/>
          <w:sz w:val="21"/>
          <w:szCs w:val="21"/>
          <w:highlight w:val="none"/>
          <w:lang w:val="en-US" w:eastAsia="zh-CN"/>
        </w:rPr>
        <w:t>怒江州兰坪县团结路11号</w:t>
      </w:r>
    </w:p>
    <w:p w14:paraId="6261011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联系方式：</w:t>
      </w:r>
      <w:r>
        <w:rPr>
          <w:rFonts w:hint="eastAsia" w:ascii="宋体" w:hAnsi="宋体" w:cs="宋体"/>
          <w:color w:val="auto"/>
          <w:sz w:val="21"/>
          <w:szCs w:val="21"/>
          <w:highlight w:val="none"/>
          <w:lang w:val="en-US" w:eastAsia="zh-CN"/>
        </w:rPr>
        <w:t>余师</w:t>
      </w:r>
      <w:r>
        <w:rPr>
          <w:rFonts w:hint="eastAsia" w:ascii="宋体" w:hAnsi="宋体" w:cs="宋体"/>
          <w:b w:val="0"/>
          <w:bCs w:val="0"/>
          <w:color w:val="auto"/>
          <w:sz w:val="21"/>
          <w:szCs w:val="21"/>
          <w:highlight w:val="none"/>
          <w:lang w:val="en-US" w:eastAsia="zh-CN"/>
        </w:rPr>
        <w:t>0886-3211783</w:t>
      </w:r>
      <w:r>
        <w:rPr>
          <w:rFonts w:hint="eastAsia" w:ascii="宋体" w:hAnsi="宋体" w:eastAsia="宋体" w:cs="宋体"/>
          <w:b w:val="0"/>
          <w:bCs w:val="0"/>
          <w:color w:val="auto"/>
          <w:sz w:val="21"/>
          <w:szCs w:val="21"/>
          <w:highlight w:val="none"/>
          <w:lang w:val="en-US" w:eastAsia="zh-CN"/>
        </w:rPr>
        <w:t xml:space="preserve"> </w:t>
      </w:r>
    </w:p>
    <w:p w14:paraId="7B8B72F0">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422" w:firstLineChars="200"/>
        <w:textAlignment w:val="auto"/>
        <w:outlineLvl w:val="9"/>
        <w:rPr>
          <w:rFonts w:hint="eastAsia" w:ascii="宋体" w:hAnsi="宋体" w:eastAsia="宋体" w:cs="宋体"/>
          <w:b/>
          <w:bCs/>
          <w:color w:val="auto"/>
          <w:sz w:val="21"/>
          <w:szCs w:val="21"/>
          <w:highlight w:val="none"/>
          <w:lang w:val="en-US" w:eastAsia="zh-CN"/>
        </w:rPr>
      </w:pPr>
      <w:bookmarkStart w:id="47" w:name="_Toc10147"/>
      <w:r>
        <w:rPr>
          <w:rFonts w:hint="eastAsia" w:ascii="宋体" w:hAnsi="宋体" w:eastAsia="宋体" w:cs="宋体"/>
          <w:b/>
          <w:bCs/>
          <w:color w:val="auto"/>
          <w:sz w:val="21"/>
          <w:szCs w:val="21"/>
          <w:highlight w:val="none"/>
          <w:lang w:val="en-US" w:eastAsia="zh-CN"/>
        </w:rPr>
        <w:t>2.采购代理机构信息</w:t>
      </w:r>
      <w:bookmarkEnd w:id="47"/>
    </w:p>
    <w:p w14:paraId="040CB6B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名称：云南鼎邦招标代理有限公司 </w:t>
      </w:r>
    </w:p>
    <w:p w14:paraId="08CD911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地址：云南省怒江州兰坪县财富天地3幢4号</w:t>
      </w:r>
    </w:p>
    <w:p w14:paraId="28CDE37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联系方式：杨晓柱0886-3219999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15096947392</w:t>
      </w:r>
    </w:p>
    <w:p w14:paraId="7B084496">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422" w:firstLineChars="200"/>
        <w:textAlignment w:val="auto"/>
        <w:outlineLvl w:val="9"/>
        <w:rPr>
          <w:rFonts w:hint="eastAsia" w:ascii="宋体" w:hAnsi="宋体" w:eastAsia="宋体" w:cs="宋体"/>
          <w:b/>
          <w:bCs/>
          <w:color w:val="auto"/>
          <w:sz w:val="21"/>
          <w:szCs w:val="21"/>
          <w:highlight w:val="none"/>
          <w:lang w:val="en-US" w:eastAsia="zh-CN"/>
        </w:rPr>
      </w:pPr>
      <w:bookmarkStart w:id="48" w:name="_Toc28907"/>
      <w:r>
        <w:rPr>
          <w:rFonts w:hint="eastAsia" w:ascii="宋体" w:hAnsi="宋体" w:eastAsia="宋体" w:cs="宋体"/>
          <w:b/>
          <w:bCs/>
          <w:color w:val="auto"/>
          <w:sz w:val="21"/>
          <w:szCs w:val="21"/>
          <w:highlight w:val="none"/>
          <w:lang w:val="en-US" w:eastAsia="zh-CN"/>
        </w:rPr>
        <w:fldChar w:fldCharType="begin"/>
      </w:r>
      <w:r>
        <w:rPr>
          <w:rFonts w:hint="eastAsia" w:ascii="宋体" w:hAnsi="宋体" w:eastAsia="宋体" w:cs="宋体"/>
          <w:b/>
          <w:bCs/>
          <w:color w:val="auto"/>
          <w:sz w:val="21"/>
          <w:szCs w:val="21"/>
          <w:highlight w:val="none"/>
          <w:lang w:val="en-US" w:eastAsia="zh-CN"/>
        </w:rPr>
        <w:instrText xml:space="preserve"> HYPERLINK "http:///" </w:instrText>
      </w:r>
      <w:r>
        <w:rPr>
          <w:rFonts w:hint="eastAsia" w:ascii="宋体" w:hAnsi="宋体" w:eastAsia="宋体" w:cs="宋体"/>
          <w:b/>
          <w:bCs/>
          <w:color w:val="auto"/>
          <w:sz w:val="21"/>
          <w:szCs w:val="21"/>
          <w:highlight w:val="none"/>
          <w:lang w:val="en-US" w:eastAsia="zh-CN"/>
        </w:rPr>
        <w:fldChar w:fldCharType="separate"/>
      </w:r>
      <w:bookmarkEnd w:id="46"/>
      <w:r>
        <w:rPr>
          <w:rFonts w:hint="eastAsia" w:ascii="宋体" w:hAnsi="宋体" w:eastAsia="宋体" w:cs="宋体"/>
          <w:b/>
          <w:bCs/>
          <w:color w:val="auto"/>
          <w:sz w:val="21"/>
          <w:szCs w:val="21"/>
          <w:highlight w:val="none"/>
          <w:lang w:val="en-US" w:eastAsia="zh-CN"/>
        </w:rPr>
        <w:fldChar w:fldCharType="end"/>
      </w:r>
      <w:bookmarkStart w:id="49" w:name="_Toc28359098"/>
      <w:r>
        <w:rPr>
          <w:rFonts w:hint="eastAsia" w:ascii="宋体" w:hAnsi="宋体" w:eastAsia="宋体" w:cs="宋体"/>
          <w:b/>
          <w:bCs/>
          <w:color w:val="auto"/>
          <w:sz w:val="21"/>
          <w:szCs w:val="21"/>
          <w:highlight w:val="none"/>
          <w:lang w:val="en-US" w:eastAsia="zh-CN"/>
        </w:rPr>
        <w:fldChar w:fldCharType="begin"/>
      </w:r>
      <w:r>
        <w:rPr>
          <w:rFonts w:hint="eastAsia" w:ascii="宋体" w:hAnsi="宋体" w:eastAsia="宋体" w:cs="宋体"/>
          <w:b/>
          <w:bCs/>
          <w:color w:val="auto"/>
          <w:sz w:val="21"/>
          <w:szCs w:val="21"/>
          <w:highlight w:val="none"/>
          <w:lang w:val="en-US" w:eastAsia="zh-CN"/>
        </w:rPr>
        <w:instrText xml:space="preserve"> HYPERLINK "http:///" </w:instrText>
      </w:r>
      <w:r>
        <w:rPr>
          <w:rFonts w:hint="eastAsia" w:ascii="宋体" w:hAnsi="宋体" w:eastAsia="宋体" w:cs="宋体"/>
          <w:b/>
          <w:bCs/>
          <w:color w:val="auto"/>
          <w:sz w:val="21"/>
          <w:szCs w:val="21"/>
          <w:highlight w:val="none"/>
          <w:lang w:val="en-US" w:eastAsia="zh-CN"/>
        </w:rPr>
        <w:fldChar w:fldCharType="separate"/>
      </w:r>
      <w:bookmarkEnd w:id="49"/>
      <w:r>
        <w:rPr>
          <w:rFonts w:hint="eastAsia" w:ascii="宋体" w:hAnsi="宋体" w:eastAsia="宋体" w:cs="宋体"/>
          <w:b/>
          <w:bCs/>
          <w:color w:val="auto"/>
          <w:sz w:val="21"/>
          <w:szCs w:val="21"/>
          <w:highlight w:val="none"/>
          <w:lang w:val="en-US" w:eastAsia="zh-CN"/>
        </w:rPr>
        <w:fldChar w:fldCharType="end"/>
      </w:r>
      <w:bookmarkStart w:id="50" w:name="_Toc28359021"/>
      <w:r>
        <w:rPr>
          <w:rFonts w:hint="eastAsia" w:ascii="宋体" w:hAnsi="宋体" w:eastAsia="宋体" w:cs="宋体"/>
          <w:b/>
          <w:bCs/>
          <w:color w:val="auto"/>
          <w:sz w:val="21"/>
          <w:szCs w:val="21"/>
          <w:highlight w:val="none"/>
          <w:lang w:val="en-US" w:eastAsia="zh-CN"/>
        </w:rPr>
        <w:fldChar w:fldCharType="begin"/>
      </w:r>
      <w:r>
        <w:rPr>
          <w:rFonts w:hint="eastAsia" w:ascii="宋体" w:hAnsi="宋体" w:eastAsia="宋体" w:cs="宋体"/>
          <w:b/>
          <w:bCs/>
          <w:color w:val="auto"/>
          <w:sz w:val="21"/>
          <w:szCs w:val="21"/>
          <w:highlight w:val="none"/>
          <w:lang w:val="en-US" w:eastAsia="zh-CN"/>
        </w:rPr>
        <w:instrText xml:space="preserve"> HYPERLINK "http:///" </w:instrText>
      </w:r>
      <w:r>
        <w:rPr>
          <w:rFonts w:hint="eastAsia" w:ascii="宋体" w:hAnsi="宋体" w:eastAsia="宋体" w:cs="宋体"/>
          <w:b/>
          <w:bCs/>
          <w:color w:val="auto"/>
          <w:sz w:val="21"/>
          <w:szCs w:val="21"/>
          <w:highlight w:val="none"/>
          <w:lang w:val="en-US" w:eastAsia="zh-CN"/>
        </w:rPr>
        <w:fldChar w:fldCharType="separate"/>
      </w:r>
      <w:bookmarkEnd w:id="50"/>
      <w:r>
        <w:rPr>
          <w:rFonts w:hint="eastAsia" w:ascii="宋体" w:hAnsi="宋体" w:eastAsia="宋体" w:cs="宋体"/>
          <w:b/>
          <w:bCs/>
          <w:color w:val="auto"/>
          <w:sz w:val="21"/>
          <w:szCs w:val="21"/>
          <w:highlight w:val="none"/>
          <w:lang w:val="en-US" w:eastAsia="zh-CN"/>
        </w:rPr>
        <w:fldChar w:fldCharType="end"/>
      </w:r>
      <w:r>
        <w:rPr>
          <w:rFonts w:hint="eastAsia" w:ascii="宋体" w:hAnsi="宋体" w:eastAsia="宋体" w:cs="宋体"/>
          <w:b/>
          <w:bCs/>
          <w:color w:val="auto"/>
          <w:sz w:val="21"/>
          <w:szCs w:val="21"/>
          <w:highlight w:val="none"/>
          <w:lang w:val="en-US" w:eastAsia="zh-CN"/>
        </w:rPr>
        <w:t>3.项目联系方式</w:t>
      </w:r>
      <w:bookmarkEnd w:id="48"/>
    </w:p>
    <w:p w14:paraId="7EA5E9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项目联系人：</w:t>
      </w:r>
      <w:r>
        <w:rPr>
          <w:rFonts w:hint="eastAsia" w:ascii="宋体" w:hAnsi="宋体" w:cs="宋体"/>
          <w:color w:val="auto"/>
          <w:sz w:val="21"/>
          <w:szCs w:val="21"/>
          <w:highlight w:val="none"/>
          <w:lang w:val="en-US" w:eastAsia="zh-CN"/>
        </w:rPr>
        <w:t>余师，杨晓柱</w:t>
      </w:r>
    </w:p>
    <w:p w14:paraId="57B9767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电话：</w:t>
      </w:r>
      <w:r>
        <w:rPr>
          <w:rFonts w:hint="eastAsia" w:ascii="宋体" w:hAnsi="宋体" w:cs="宋体"/>
          <w:color w:val="auto"/>
          <w:sz w:val="21"/>
          <w:szCs w:val="21"/>
          <w:highlight w:val="none"/>
          <w:lang w:val="en-US" w:eastAsia="zh-CN"/>
        </w:rPr>
        <w:t>0886-3211783，</w:t>
      </w:r>
      <w:r>
        <w:rPr>
          <w:rFonts w:hint="eastAsia" w:ascii="宋体" w:hAnsi="宋体" w:eastAsia="宋体" w:cs="宋体"/>
          <w:color w:val="auto"/>
          <w:sz w:val="21"/>
          <w:szCs w:val="21"/>
          <w:highlight w:val="none"/>
          <w:lang w:val="en-US" w:eastAsia="zh-CN"/>
        </w:rPr>
        <w:t>0886-3219999</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15096947392</w:t>
      </w:r>
    </w:p>
    <w:p w14:paraId="3910190A">
      <w:pPr>
        <w:pageBreakBefore w:val="0"/>
        <w:kinsoku/>
        <w:wordWrap w:val="0"/>
        <w:overflowPunct/>
        <w:bidi w:val="0"/>
        <w:rPr>
          <w:rFonts w:hint="eastAsia" w:ascii="宋体" w:hAnsi="宋体" w:eastAsia="宋体" w:cs="宋体"/>
          <w:color w:val="auto"/>
          <w:sz w:val="21"/>
          <w:szCs w:val="21"/>
          <w:highlight w:val="none"/>
        </w:rPr>
      </w:pPr>
    </w:p>
    <w:p w14:paraId="08E5470E">
      <w:pPr>
        <w:pageBreakBefore w:val="0"/>
        <w:kinsoku/>
        <w:wordWrap w:val="0"/>
        <w:overflowPunct/>
        <w:bidi w:val="0"/>
        <w:rPr>
          <w:rFonts w:hint="eastAsia" w:ascii="宋体" w:hAnsi="宋体" w:eastAsia="宋体" w:cs="宋体"/>
          <w:color w:val="auto"/>
          <w:highlight w:val="none"/>
        </w:rPr>
      </w:pPr>
    </w:p>
    <w:p w14:paraId="40347DB4">
      <w:pPr>
        <w:pageBreakBefore w:val="0"/>
        <w:kinsoku/>
        <w:wordWrap w:val="0"/>
        <w:overflowPunct/>
        <w:bidi w:val="0"/>
        <w:rPr>
          <w:rFonts w:hint="eastAsia" w:ascii="宋体" w:hAnsi="宋体" w:eastAsia="宋体" w:cs="宋体"/>
          <w:caps/>
          <w:color w:val="auto"/>
          <w:sz w:val="32"/>
          <w:szCs w:val="32"/>
          <w:highlight w:val="none"/>
        </w:rPr>
      </w:pPr>
      <w:bookmarkStart w:id="51" w:name="_Toc17803"/>
      <w:r>
        <w:rPr>
          <w:rFonts w:hint="eastAsia" w:ascii="宋体" w:hAnsi="宋体" w:eastAsia="宋体" w:cs="宋体"/>
          <w:caps/>
          <w:color w:val="auto"/>
          <w:sz w:val="32"/>
          <w:szCs w:val="32"/>
          <w:highlight w:val="none"/>
        </w:rPr>
        <w:br w:type="page"/>
      </w:r>
    </w:p>
    <w:p w14:paraId="0CA8DBBB">
      <w:pPr>
        <w:pStyle w:val="3"/>
        <w:pageBreakBefore w:val="0"/>
        <w:kinsoku/>
        <w:wordWrap w:val="0"/>
        <w:overflowPunct/>
        <w:bidi w:val="0"/>
        <w:snapToGrid w:val="0"/>
        <w:spacing w:before="0" w:line="360" w:lineRule="auto"/>
        <w:jc w:val="center"/>
        <w:rPr>
          <w:rFonts w:hint="eastAsia" w:ascii="宋体" w:hAnsi="宋体" w:eastAsia="宋体" w:cs="宋体"/>
          <w:bCs/>
          <w:color w:val="auto"/>
          <w:sz w:val="40"/>
          <w:szCs w:val="40"/>
          <w:highlight w:val="none"/>
        </w:rPr>
      </w:pPr>
      <w:bookmarkStart w:id="52" w:name="_Toc15617"/>
      <w:r>
        <w:rPr>
          <w:rFonts w:hint="eastAsia" w:ascii="宋体" w:hAnsi="宋体" w:eastAsia="宋体" w:cs="宋体"/>
          <w:caps/>
          <w:color w:val="auto"/>
          <w:sz w:val="40"/>
          <w:szCs w:val="40"/>
          <w:highlight w:val="none"/>
        </w:rPr>
        <w:t>第二章</w:t>
      </w:r>
      <w:r>
        <w:rPr>
          <w:rFonts w:hint="eastAsia" w:ascii="宋体" w:hAnsi="宋体" w:eastAsia="宋体" w:cs="宋体"/>
          <w:caps/>
          <w:color w:val="auto"/>
          <w:sz w:val="40"/>
          <w:szCs w:val="40"/>
          <w:highlight w:val="none"/>
          <w:lang w:val="en-US" w:eastAsia="zh-CN"/>
        </w:rPr>
        <w:t xml:space="preserve">  </w:t>
      </w:r>
      <w:r>
        <w:rPr>
          <w:rFonts w:hint="eastAsia" w:ascii="宋体" w:hAnsi="宋体" w:eastAsia="宋体" w:cs="宋体"/>
          <w:caps/>
          <w:color w:val="auto"/>
          <w:sz w:val="40"/>
          <w:szCs w:val="40"/>
          <w:highlight w:val="none"/>
        </w:rPr>
        <w:t>供应商须知</w:t>
      </w:r>
      <w:bookmarkEnd w:id="4"/>
      <w:bookmarkEnd w:id="5"/>
      <w:bookmarkEnd w:id="6"/>
      <w:bookmarkEnd w:id="7"/>
      <w:bookmarkEnd w:id="51"/>
      <w:bookmarkEnd w:id="52"/>
      <w:bookmarkStart w:id="53" w:name="_Toc16738"/>
      <w:bookmarkStart w:id="54" w:name="_Toc19039"/>
      <w:bookmarkStart w:id="55" w:name="_Toc427678316"/>
      <w:bookmarkStart w:id="56" w:name="_Toc427678424"/>
      <w:bookmarkStart w:id="57" w:name="_Toc204749332"/>
      <w:bookmarkStart w:id="58" w:name="_Toc277776501"/>
    </w:p>
    <w:p w14:paraId="736B889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outlineLvl w:val="1"/>
        <w:rPr>
          <w:rFonts w:hint="eastAsia" w:ascii="宋体" w:hAnsi="宋体" w:eastAsia="宋体" w:cs="宋体"/>
          <w:b/>
          <w:color w:val="auto"/>
          <w:sz w:val="28"/>
          <w:szCs w:val="28"/>
          <w:highlight w:val="none"/>
        </w:rPr>
      </w:pPr>
      <w:bookmarkStart w:id="59" w:name="_Toc25977"/>
      <w:r>
        <w:rPr>
          <w:rFonts w:hint="eastAsia" w:ascii="宋体" w:hAnsi="宋体" w:eastAsia="宋体" w:cs="宋体"/>
          <w:b/>
          <w:color w:val="auto"/>
          <w:sz w:val="28"/>
          <w:szCs w:val="28"/>
          <w:highlight w:val="none"/>
        </w:rPr>
        <w:t>供应商须知前附表</w:t>
      </w:r>
      <w:bookmarkEnd w:id="59"/>
    </w:p>
    <w:tbl>
      <w:tblPr>
        <w:tblStyle w:val="39"/>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2234"/>
        <w:gridCol w:w="6305"/>
      </w:tblGrid>
      <w:tr w14:paraId="65991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988" w:type="dxa"/>
            <w:vAlign w:val="center"/>
          </w:tcPr>
          <w:p w14:paraId="7FAD721B">
            <w:pPr>
              <w:keepLines w:val="0"/>
              <w:pageBreakBefore w:val="0"/>
              <w:kinsoku/>
              <w:wordWrap w:val="0"/>
              <w:overflowPunct/>
              <w:bidi w:val="0"/>
              <w:adjustRightInd/>
              <w:snapToGrid/>
              <w:spacing w:line="400" w:lineRule="exact"/>
              <w:jc w:val="center"/>
              <w:textAlignment w:val="auto"/>
              <w:outlineLvl w:val="9"/>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条款号</w:t>
            </w:r>
          </w:p>
        </w:tc>
        <w:tc>
          <w:tcPr>
            <w:tcW w:w="2234" w:type="dxa"/>
            <w:vAlign w:val="center"/>
          </w:tcPr>
          <w:p w14:paraId="581F39F5">
            <w:pPr>
              <w:keepLines w:val="0"/>
              <w:pageBreakBefore w:val="0"/>
              <w:kinsoku/>
              <w:wordWrap w:val="0"/>
              <w:overflowPunct/>
              <w:bidi w:val="0"/>
              <w:adjustRightInd/>
              <w:snapToGrid/>
              <w:spacing w:line="400" w:lineRule="exact"/>
              <w:jc w:val="center"/>
              <w:textAlignment w:val="auto"/>
              <w:outlineLvl w:val="9"/>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条款名称</w:t>
            </w:r>
          </w:p>
        </w:tc>
        <w:tc>
          <w:tcPr>
            <w:tcW w:w="6305" w:type="dxa"/>
            <w:vAlign w:val="center"/>
          </w:tcPr>
          <w:p w14:paraId="2027472D">
            <w:pPr>
              <w:keepLines w:val="0"/>
              <w:pageBreakBefore w:val="0"/>
              <w:kinsoku/>
              <w:wordWrap w:val="0"/>
              <w:overflowPunct/>
              <w:bidi w:val="0"/>
              <w:adjustRightInd/>
              <w:snapToGrid/>
              <w:spacing w:line="400" w:lineRule="exact"/>
              <w:jc w:val="center"/>
              <w:textAlignment w:val="auto"/>
              <w:outlineLvl w:val="9"/>
              <w:rPr>
                <w:rFonts w:hint="eastAsia" w:ascii="黑体" w:hAnsi="黑体" w:eastAsia="黑体" w:cs="黑体"/>
                <w:color w:val="auto"/>
                <w:sz w:val="21"/>
                <w:szCs w:val="21"/>
                <w:highlight w:val="none"/>
              </w:rPr>
            </w:pPr>
            <w:r>
              <w:rPr>
                <w:rFonts w:hint="eastAsia" w:ascii="黑体" w:hAnsi="黑体" w:eastAsia="黑体" w:cs="黑体"/>
                <w:color w:val="auto"/>
                <w:sz w:val="21"/>
                <w:szCs w:val="21"/>
                <w:highlight w:val="none"/>
              </w:rPr>
              <w:t>编列内容</w:t>
            </w:r>
          </w:p>
        </w:tc>
      </w:tr>
      <w:tr w14:paraId="58754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3B9D8E4">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w:t>
            </w:r>
          </w:p>
        </w:tc>
        <w:tc>
          <w:tcPr>
            <w:tcW w:w="2234" w:type="dxa"/>
            <w:vAlign w:val="center"/>
          </w:tcPr>
          <w:p w14:paraId="022C8509">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6305" w:type="dxa"/>
            <w:vAlign w:val="center"/>
          </w:tcPr>
          <w:p w14:paraId="50071FED">
            <w:pPr>
              <w:keepNext w:val="0"/>
              <w:keepLines w:val="0"/>
              <w:pageBreakBefore w:val="0"/>
              <w:kinsoku/>
              <w:wordWrap w:val="0"/>
              <w:overflowPunct/>
              <w:topLinePunct w:val="0"/>
              <w:autoSpaceDE/>
              <w:autoSpaceDN/>
              <w:bidi w:val="0"/>
              <w:adjustRightInd/>
              <w:snapToGrid/>
              <w:spacing w:line="400" w:lineRule="exact"/>
              <w:textAlignment w:val="auto"/>
              <w:outlineLvl w:val="9"/>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名称：</w:t>
            </w:r>
            <w:r>
              <w:rPr>
                <w:rFonts w:hint="eastAsia" w:ascii="宋体" w:hAnsi="宋体" w:cs="宋体"/>
                <w:bCs/>
                <w:color w:val="auto"/>
                <w:sz w:val="21"/>
                <w:szCs w:val="21"/>
                <w:highlight w:val="none"/>
                <w:lang w:val="en-US" w:eastAsia="zh-CN"/>
              </w:rPr>
              <w:t>兰坪白族普米族自治县水利局</w:t>
            </w:r>
          </w:p>
          <w:p w14:paraId="00C0FC41">
            <w:pPr>
              <w:keepNext w:val="0"/>
              <w:keepLines w:val="0"/>
              <w:pageBreakBefore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地址：</w:t>
            </w:r>
            <w:r>
              <w:rPr>
                <w:rFonts w:hint="eastAsia" w:ascii="宋体" w:hAnsi="宋体" w:cs="宋体"/>
                <w:b w:val="0"/>
                <w:bCs w:val="0"/>
                <w:color w:val="auto"/>
                <w:sz w:val="21"/>
                <w:szCs w:val="21"/>
                <w:highlight w:val="none"/>
                <w:lang w:val="en-US" w:eastAsia="zh-CN"/>
              </w:rPr>
              <w:t>怒江州兰坪县团结路11号</w:t>
            </w:r>
          </w:p>
          <w:p w14:paraId="187CD918">
            <w:pPr>
              <w:keepNext w:val="0"/>
              <w:keepLines w:val="0"/>
              <w:pageBreakBefore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联系人</w:t>
            </w:r>
            <w:r>
              <w:rPr>
                <w:rFonts w:hint="eastAsia" w:ascii="宋体" w:hAnsi="宋体" w:cs="宋体"/>
                <w:bCs/>
                <w:color w:val="auto"/>
                <w:sz w:val="21"/>
                <w:szCs w:val="21"/>
                <w:highlight w:val="none"/>
                <w:lang w:val="en-US" w:eastAsia="zh-CN"/>
              </w:rPr>
              <w:t>：</w:t>
            </w:r>
            <w:r>
              <w:rPr>
                <w:rFonts w:hint="eastAsia" w:ascii="宋体" w:hAnsi="宋体" w:cs="宋体"/>
                <w:b w:val="0"/>
                <w:bCs w:val="0"/>
                <w:color w:val="auto"/>
                <w:sz w:val="21"/>
                <w:szCs w:val="21"/>
                <w:highlight w:val="none"/>
                <w:lang w:val="en-US" w:eastAsia="zh-CN"/>
              </w:rPr>
              <w:t>余师</w:t>
            </w:r>
          </w:p>
          <w:p w14:paraId="2820818F">
            <w:pPr>
              <w:keepNext w:val="0"/>
              <w:keepLines w:val="0"/>
              <w:pageBreakBefore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lang w:val="en-US" w:eastAsia="zh-CN"/>
              </w:rPr>
              <w:t>联系方式：</w:t>
            </w:r>
            <w:r>
              <w:rPr>
                <w:rFonts w:hint="eastAsia" w:ascii="宋体" w:hAnsi="宋体" w:cs="宋体"/>
                <w:b w:val="0"/>
                <w:bCs w:val="0"/>
                <w:color w:val="auto"/>
                <w:sz w:val="21"/>
                <w:szCs w:val="21"/>
                <w:highlight w:val="none"/>
                <w:lang w:val="en-US" w:eastAsia="zh-CN"/>
              </w:rPr>
              <w:t>0886-3211783</w:t>
            </w:r>
            <w:r>
              <w:rPr>
                <w:rFonts w:hint="eastAsia" w:ascii="宋体" w:hAnsi="宋体" w:eastAsia="宋体" w:cs="宋体"/>
                <w:b w:val="0"/>
                <w:bCs w:val="0"/>
                <w:color w:val="auto"/>
                <w:sz w:val="21"/>
                <w:szCs w:val="21"/>
                <w:highlight w:val="none"/>
                <w:lang w:val="en-US" w:eastAsia="zh-CN"/>
              </w:rPr>
              <w:t xml:space="preserve"> </w:t>
            </w:r>
          </w:p>
        </w:tc>
      </w:tr>
      <w:tr w14:paraId="7CFA9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988" w:type="dxa"/>
            <w:vAlign w:val="center"/>
          </w:tcPr>
          <w:p w14:paraId="7ADD54D3">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w:t>
            </w:r>
          </w:p>
        </w:tc>
        <w:tc>
          <w:tcPr>
            <w:tcW w:w="2234" w:type="dxa"/>
            <w:vAlign w:val="center"/>
          </w:tcPr>
          <w:p w14:paraId="31F64476">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6305" w:type="dxa"/>
            <w:vAlign w:val="center"/>
          </w:tcPr>
          <w:p w14:paraId="147C80F5">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代理机构：</w:t>
            </w:r>
            <w:r>
              <w:rPr>
                <w:rFonts w:hint="eastAsia" w:ascii="宋体" w:hAnsi="宋体" w:eastAsia="宋体" w:cs="宋体"/>
                <w:bCs/>
                <w:color w:val="auto"/>
                <w:sz w:val="21"/>
                <w:szCs w:val="21"/>
                <w:highlight w:val="none"/>
                <w:lang w:eastAsia="zh-CN"/>
              </w:rPr>
              <w:t>云南鼎邦招标代理有限公司</w:t>
            </w:r>
            <w:r>
              <w:rPr>
                <w:rFonts w:hint="eastAsia" w:ascii="宋体" w:hAnsi="宋体" w:eastAsia="宋体" w:cs="宋体"/>
                <w:bCs/>
                <w:color w:val="auto"/>
                <w:sz w:val="21"/>
                <w:szCs w:val="21"/>
                <w:highlight w:val="none"/>
              </w:rPr>
              <w:t xml:space="preserve"> </w:t>
            </w:r>
          </w:p>
          <w:p w14:paraId="1BE389BB">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地址：</w:t>
            </w:r>
            <w:r>
              <w:rPr>
                <w:rFonts w:hint="eastAsia" w:ascii="宋体" w:hAnsi="宋体" w:eastAsia="宋体" w:cs="宋体"/>
                <w:color w:val="auto"/>
                <w:sz w:val="21"/>
                <w:szCs w:val="21"/>
                <w:highlight w:val="none"/>
                <w:lang w:val="en-US" w:eastAsia="zh-CN"/>
              </w:rPr>
              <w:t>云南省怒江州兰坪县财富天地3幢4号</w:t>
            </w:r>
          </w:p>
          <w:p w14:paraId="277F0E50">
            <w:pPr>
              <w:pStyle w:val="21"/>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联系人</w:t>
            </w:r>
            <w:r>
              <w:rPr>
                <w:rFonts w:hint="eastAsia" w:hAnsi="宋体" w:cs="宋体"/>
                <w:bCs/>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杨晓柱 </w:t>
            </w:r>
          </w:p>
          <w:p w14:paraId="1B191BAF">
            <w:pPr>
              <w:pStyle w:val="21"/>
              <w:keepLines w:val="0"/>
              <w:pageBreakBefore w:val="0"/>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rPr>
              <w:t>联系方式：</w:t>
            </w:r>
            <w:r>
              <w:rPr>
                <w:rFonts w:hint="eastAsia" w:ascii="宋体" w:hAnsi="宋体" w:eastAsia="宋体" w:cs="宋体"/>
                <w:color w:val="auto"/>
                <w:sz w:val="21"/>
                <w:szCs w:val="21"/>
                <w:highlight w:val="none"/>
                <w:u w:val="none"/>
                <w:lang w:val="en-US" w:eastAsia="zh-CN"/>
              </w:rPr>
              <w:t>0886-3219999 15096947392</w:t>
            </w:r>
          </w:p>
        </w:tc>
      </w:tr>
      <w:tr w14:paraId="08F6A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88" w:type="dxa"/>
            <w:vAlign w:val="center"/>
          </w:tcPr>
          <w:p w14:paraId="4BD99FC9">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w:t>
            </w:r>
          </w:p>
        </w:tc>
        <w:tc>
          <w:tcPr>
            <w:tcW w:w="2234" w:type="dxa"/>
            <w:vAlign w:val="center"/>
          </w:tcPr>
          <w:p w14:paraId="247374F2">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6305" w:type="dxa"/>
            <w:vAlign w:val="center"/>
          </w:tcPr>
          <w:p w14:paraId="54B3C2EC">
            <w:pPr>
              <w:keepNext/>
              <w:keepLines w:val="0"/>
              <w:pageBreakBefore w:val="0"/>
              <w:widowControl/>
              <w:numPr>
                <w:ilvl w:val="0"/>
                <w:numId w:val="0"/>
              </w:numPr>
              <w:tabs>
                <w:tab w:val="center" w:pos="4835"/>
                <w:tab w:val="left" w:pos="7687"/>
              </w:tabs>
              <w:kinsoku/>
              <w:wordWrap w:val="0"/>
              <w:overflowPunct/>
              <w:topLinePunct w:val="0"/>
              <w:autoSpaceDE/>
              <w:autoSpaceDN/>
              <w:bidi w:val="0"/>
              <w:adjustRightInd/>
              <w:snapToGrid/>
              <w:spacing w:before="0" w:line="400" w:lineRule="exact"/>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cs="宋体"/>
                <w:b w:val="0"/>
                <w:bCs/>
                <w:color w:val="auto"/>
                <w:sz w:val="21"/>
                <w:szCs w:val="21"/>
                <w:highlight w:val="none"/>
                <w:lang w:val="en-US" w:eastAsia="zh-CN"/>
              </w:rPr>
              <w:t>金顶街道办福坪村二组供水管网改造工程</w:t>
            </w:r>
          </w:p>
        </w:tc>
      </w:tr>
      <w:tr w14:paraId="3B807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769860A9">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p>
        </w:tc>
        <w:tc>
          <w:tcPr>
            <w:tcW w:w="2234" w:type="dxa"/>
            <w:vAlign w:val="center"/>
          </w:tcPr>
          <w:p w14:paraId="563B4CA7">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6305" w:type="dxa"/>
            <w:vAlign w:val="center"/>
          </w:tcPr>
          <w:p w14:paraId="1F914FA8">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已落实</w:t>
            </w:r>
          </w:p>
        </w:tc>
      </w:tr>
      <w:tr w14:paraId="53B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988" w:type="dxa"/>
            <w:vAlign w:val="center"/>
          </w:tcPr>
          <w:p w14:paraId="64C2A28C">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w:t>
            </w:r>
          </w:p>
        </w:tc>
        <w:tc>
          <w:tcPr>
            <w:tcW w:w="2234" w:type="dxa"/>
            <w:vAlign w:val="center"/>
          </w:tcPr>
          <w:p w14:paraId="6C090348">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采购内容</w:t>
            </w:r>
          </w:p>
        </w:tc>
        <w:tc>
          <w:tcPr>
            <w:tcW w:w="6305" w:type="dxa"/>
            <w:vAlign w:val="center"/>
          </w:tcPr>
          <w:p w14:paraId="32EFAF20">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本工程主要建设内容为：新建DN65镀锌钢管输水管1754m,DN65平焊法兰310套，DN25热轧镀锌钢管(DN25×3.25)180m,DN20热轧镀锌钢管(DN25×2.75)390m以及配件安装。详见施工图纸及工程量清单所列内容。</w:t>
            </w:r>
          </w:p>
        </w:tc>
      </w:tr>
      <w:tr w14:paraId="796BB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FF3DD98">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p>
        </w:tc>
        <w:tc>
          <w:tcPr>
            <w:tcW w:w="2234" w:type="dxa"/>
            <w:vAlign w:val="center"/>
          </w:tcPr>
          <w:p w14:paraId="4E5FBDD2">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合同履行期限</w:t>
            </w:r>
            <w:r>
              <w:rPr>
                <w:rFonts w:hint="eastAsia" w:ascii="宋体" w:hAnsi="宋体" w:cs="宋体"/>
                <w:color w:val="auto"/>
                <w:sz w:val="21"/>
                <w:szCs w:val="21"/>
                <w:highlight w:val="none"/>
                <w:lang w:eastAsia="zh-CN"/>
              </w:rPr>
              <w:t>（工期）</w:t>
            </w:r>
          </w:p>
        </w:tc>
        <w:tc>
          <w:tcPr>
            <w:tcW w:w="6305" w:type="dxa"/>
            <w:vAlign w:val="center"/>
          </w:tcPr>
          <w:p w14:paraId="75A5E378">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60日历天</w:t>
            </w:r>
          </w:p>
        </w:tc>
      </w:tr>
      <w:tr w14:paraId="44845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88" w:type="dxa"/>
            <w:vAlign w:val="center"/>
          </w:tcPr>
          <w:p w14:paraId="0E5D92F5">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w:t>
            </w:r>
          </w:p>
        </w:tc>
        <w:tc>
          <w:tcPr>
            <w:tcW w:w="2234" w:type="dxa"/>
            <w:vAlign w:val="center"/>
          </w:tcPr>
          <w:p w14:paraId="18B95E1F">
            <w:pPr>
              <w:pStyle w:val="121"/>
              <w:keepLines w:val="0"/>
              <w:pageBreakBefore w:val="0"/>
              <w:kinsoku/>
              <w:wordWrap w:val="0"/>
              <w:overflowPunct/>
              <w:topLinePunct w:val="0"/>
              <w:bidi w:val="0"/>
              <w:adjustRightInd/>
              <w:snapToGrid/>
              <w:spacing w:line="400" w:lineRule="exact"/>
              <w:ind w:left="0" w:leftChars="0" w:right="0" w:rightChars="0"/>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w w:val="100"/>
                <w:sz w:val="21"/>
                <w:szCs w:val="21"/>
                <w:highlight w:val="none"/>
                <w:lang w:eastAsia="zh-CN"/>
              </w:rPr>
              <w:t>建设</w:t>
            </w:r>
            <w:r>
              <w:rPr>
                <w:rFonts w:hint="eastAsia" w:ascii="宋体" w:hAnsi="宋体" w:eastAsia="宋体" w:cs="宋体"/>
                <w:color w:val="auto"/>
                <w:w w:val="100"/>
                <w:sz w:val="21"/>
                <w:szCs w:val="21"/>
                <w:highlight w:val="none"/>
              </w:rPr>
              <w:t>地点</w:t>
            </w:r>
          </w:p>
        </w:tc>
        <w:tc>
          <w:tcPr>
            <w:tcW w:w="6305" w:type="dxa"/>
            <w:vAlign w:val="center"/>
          </w:tcPr>
          <w:p w14:paraId="2896DB03">
            <w:pPr>
              <w:pStyle w:val="121"/>
              <w:keepLines w:val="0"/>
              <w:pageBreakBefore w:val="0"/>
              <w:kinsoku/>
              <w:wordWrap w:val="0"/>
              <w:overflowPunct/>
              <w:topLinePunct w:val="0"/>
              <w:bidi w:val="0"/>
              <w:adjustRightInd/>
              <w:snapToGrid/>
              <w:spacing w:line="400" w:lineRule="exact"/>
              <w:ind w:left="0" w:leftChars="0" w:right="0" w:rightChars="0"/>
              <w:textAlignment w:val="auto"/>
              <w:outlineLvl w:val="9"/>
              <w:rPr>
                <w:rFonts w:hint="eastAsia" w:ascii="宋体" w:hAnsi="宋体" w:eastAsia="宋体" w:cs="宋体"/>
                <w:color w:val="auto"/>
                <w:sz w:val="21"/>
                <w:szCs w:val="21"/>
                <w:highlight w:val="none"/>
                <w:lang w:val="en-US" w:eastAsia="zh-CN"/>
              </w:rPr>
            </w:pPr>
            <w:r>
              <w:rPr>
                <w:rFonts w:hint="eastAsia" w:cs="宋体"/>
                <w:b w:val="0"/>
                <w:bCs/>
                <w:color w:val="auto"/>
                <w:sz w:val="21"/>
                <w:szCs w:val="21"/>
                <w:highlight w:val="none"/>
                <w:lang w:val="en-US" w:eastAsia="zh-CN"/>
              </w:rPr>
              <w:t>金顶街道办福坪村</w:t>
            </w:r>
          </w:p>
        </w:tc>
      </w:tr>
      <w:tr w14:paraId="604A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E8D169F">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2234" w:type="dxa"/>
            <w:vAlign w:val="center"/>
          </w:tcPr>
          <w:p w14:paraId="6A6DC3B1">
            <w:pPr>
              <w:pStyle w:val="21"/>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申请人资格要求</w:t>
            </w:r>
          </w:p>
        </w:tc>
        <w:tc>
          <w:tcPr>
            <w:tcW w:w="6305" w:type="dxa"/>
            <w:vAlign w:val="center"/>
          </w:tcPr>
          <w:p w14:paraId="4BE217C9">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第一章《竞争性磋商公告》“二、</w:t>
            </w:r>
            <w:r>
              <w:rPr>
                <w:rFonts w:hint="eastAsia" w:ascii="宋体" w:hAnsi="宋体" w:eastAsia="宋体" w:cs="宋体"/>
                <w:color w:val="auto"/>
                <w:sz w:val="21"/>
                <w:szCs w:val="21"/>
                <w:highlight w:val="none"/>
                <w:lang w:eastAsia="zh-CN"/>
              </w:rPr>
              <w:t>申请人资格要求</w:t>
            </w:r>
            <w:r>
              <w:rPr>
                <w:rFonts w:hint="eastAsia" w:ascii="宋体" w:hAnsi="宋体" w:eastAsia="宋体" w:cs="宋体"/>
                <w:color w:val="auto"/>
                <w:sz w:val="21"/>
                <w:szCs w:val="21"/>
                <w:highlight w:val="none"/>
              </w:rPr>
              <w:t>”</w:t>
            </w:r>
          </w:p>
        </w:tc>
      </w:tr>
      <w:tr w14:paraId="1D482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988" w:type="dxa"/>
            <w:vAlign w:val="center"/>
          </w:tcPr>
          <w:p w14:paraId="7050D1FB">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p>
        </w:tc>
        <w:tc>
          <w:tcPr>
            <w:tcW w:w="2234" w:type="dxa"/>
            <w:vAlign w:val="center"/>
          </w:tcPr>
          <w:p w14:paraId="248844D5">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竞争性磋商文件发布</w:t>
            </w:r>
            <w:r>
              <w:rPr>
                <w:rFonts w:hint="eastAsia" w:ascii="宋体" w:hAnsi="宋体" w:eastAsia="宋体" w:cs="宋体"/>
                <w:color w:val="auto"/>
                <w:sz w:val="21"/>
                <w:szCs w:val="21"/>
                <w:highlight w:val="none"/>
              </w:rPr>
              <w:t>时间</w:t>
            </w:r>
          </w:p>
        </w:tc>
        <w:tc>
          <w:tcPr>
            <w:tcW w:w="6305" w:type="dxa"/>
            <w:vAlign w:val="center"/>
          </w:tcPr>
          <w:p w14:paraId="3604F5C1">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以“</w:t>
            </w:r>
            <w:r>
              <w:rPr>
                <w:rFonts w:hint="eastAsia" w:ascii="宋体" w:hAnsi="宋体" w:cs="宋体"/>
                <w:color w:val="auto"/>
                <w:sz w:val="21"/>
                <w:szCs w:val="21"/>
                <w:highlight w:val="none"/>
                <w:lang w:val="en-US" w:eastAsia="zh-CN"/>
              </w:rPr>
              <w:t>政府采购云平台”及“云南省政府采购网”发布时间为准</w:t>
            </w:r>
          </w:p>
        </w:tc>
      </w:tr>
      <w:tr w14:paraId="79451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4500C7BB">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1</w:t>
            </w:r>
          </w:p>
        </w:tc>
        <w:tc>
          <w:tcPr>
            <w:tcW w:w="2234" w:type="dxa"/>
            <w:vAlign w:val="center"/>
          </w:tcPr>
          <w:p w14:paraId="42856C49">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采购人或采购代理机构对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澄清或修改的截止时间</w:t>
            </w:r>
            <w:r>
              <w:rPr>
                <w:rFonts w:hint="eastAsia" w:ascii="宋体" w:hAnsi="宋体" w:eastAsia="宋体" w:cs="宋体"/>
                <w:color w:val="auto"/>
                <w:sz w:val="21"/>
                <w:szCs w:val="21"/>
                <w:highlight w:val="none"/>
                <w:lang w:eastAsia="zh-CN"/>
              </w:rPr>
              <w:t>和方式</w:t>
            </w:r>
          </w:p>
        </w:tc>
        <w:tc>
          <w:tcPr>
            <w:tcW w:w="6305" w:type="dxa"/>
            <w:vAlign w:val="center"/>
          </w:tcPr>
          <w:p w14:paraId="775283F6">
            <w:pPr>
              <w:keepLines w:val="0"/>
              <w:pageBreakBefore w:val="0"/>
              <w:widowControl/>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时间：</w:t>
            </w:r>
            <w:r>
              <w:rPr>
                <w:rFonts w:hint="eastAsia" w:ascii="宋体" w:hAnsi="宋体" w:eastAsia="宋体" w:cs="宋体"/>
                <w:color w:val="auto"/>
                <w:sz w:val="21"/>
                <w:szCs w:val="21"/>
                <w:highlight w:val="none"/>
              </w:rPr>
              <w:t>磋商截止时间5日前</w:t>
            </w:r>
          </w:p>
          <w:p w14:paraId="2EF8EAEE">
            <w:pPr>
              <w:keepLines w:val="0"/>
              <w:pageBreakBefore w:val="0"/>
              <w:widowControl/>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人通过“政府采购云平台”（网址：https://www.zcygov.cn/)发出</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文件澄清。所有获取了</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lang w:eastAsia="zh-CN"/>
              </w:rPr>
              <w:t>文件的潜在</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登录“政府采购云平台”（网址：https://www.zcygov.cn/)凭企业身份认证数字证书（CA）查看澄清内容。</w:t>
            </w:r>
          </w:p>
        </w:tc>
      </w:tr>
      <w:tr w14:paraId="12C64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jc w:val="center"/>
        </w:trPr>
        <w:tc>
          <w:tcPr>
            <w:tcW w:w="988" w:type="dxa"/>
            <w:vAlign w:val="center"/>
          </w:tcPr>
          <w:p w14:paraId="1BCA0797">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2</w:t>
            </w:r>
          </w:p>
        </w:tc>
        <w:tc>
          <w:tcPr>
            <w:tcW w:w="2234" w:type="dxa"/>
            <w:vAlign w:val="center"/>
          </w:tcPr>
          <w:p w14:paraId="56120379">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潜在供应商或其他利害关系人对</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提疑的截止时间</w:t>
            </w:r>
            <w:r>
              <w:rPr>
                <w:rFonts w:hint="eastAsia" w:ascii="宋体" w:hAnsi="宋体" w:eastAsia="宋体" w:cs="宋体"/>
                <w:color w:val="auto"/>
                <w:sz w:val="21"/>
                <w:szCs w:val="21"/>
                <w:highlight w:val="none"/>
                <w:lang w:eastAsia="zh-CN"/>
              </w:rPr>
              <w:t>和方式</w:t>
            </w:r>
          </w:p>
        </w:tc>
        <w:tc>
          <w:tcPr>
            <w:tcW w:w="6305" w:type="dxa"/>
            <w:vAlign w:val="center"/>
          </w:tcPr>
          <w:p w14:paraId="4330A21B">
            <w:pPr>
              <w:keepLines w:val="0"/>
              <w:pageBreakBefore w:val="0"/>
              <w:widowControl/>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时</w:t>
            </w:r>
            <w:r>
              <w:rPr>
                <w:rFonts w:hint="eastAsia" w:ascii="宋体" w:hAnsi="宋体" w:eastAsia="宋体" w:cs="宋体"/>
                <w:color w:val="auto"/>
                <w:sz w:val="21"/>
                <w:szCs w:val="21"/>
                <w:highlight w:val="none"/>
                <w:lang w:val="en-US" w:eastAsia="zh-CN"/>
              </w:rPr>
              <w:t>间：磋商截止时间5日前</w:t>
            </w:r>
          </w:p>
          <w:p w14:paraId="17F46CE1">
            <w:pPr>
              <w:keepLines w:val="0"/>
              <w:pageBreakBefore w:val="0"/>
              <w:widowControl/>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方式：使用CA数字证书登录“政府采购云平台”（网址：https://www.zcygov.cn/)，在“质疑”菜单提出。</w:t>
            </w:r>
          </w:p>
        </w:tc>
      </w:tr>
      <w:tr w14:paraId="6644A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988" w:type="dxa"/>
            <w:vAlign w:val="center"/>
          </w:tcPr>
          <w:p w14:paraId="5D0BCBDB">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1.8.3</w:t>
            </w:r>
          </w:p>
        </w:tc>
        <w:tc>
          <w:tcPr>
            <w:tcW w:w="2234" w:type="dxa"/>
            <w:vAlign w:val="center"/>
          </w:tcPr>
          <w:p w14:paraId="2FFFC12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响应文件提交截止时间</w:t>
            </w:r>
          </w:p>
        </w:tc>
        <w:tc>
          <w:tcPr>
            <w:tcW w:w="6305" w:type="dxa"/>
            <w:vAlign w:val="center"/>
          </w:tcPr>
          <w:p w14:paraId="44A0B064">
            <w:pPr>
              <w:keepLines w:val="0"/>
              <w:pageBreakBefore w:val="0"/>
              <w:widowControl/>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以“政府采购云平台”及“云南省政府采购网”</w:t>
            </w:r>
            <w:r>
              <w:rPr>
                <w:rFonts w:hint="eastAsia" w:ascii="宋体" w:hAnsi="宋体" w:cs="宋体"/>
                <w:color w:val="auto"/>
                <w:sz w:val="21"/>
                <w:szCs w:val="21"/>
                <w:highlight w:val="none"/>
                <w:lang w:val="en-US" w:eastAsia="zh-CN"/>
              </w:rPr>
              <w:t>公告</w:t>
            </w:r>
            <w:r>
              <w:rPr>
                <w:rFonts w:hint="eastAsia" w:ascii="宋体" w:hAnsi="宋体" w:eastAsia="宋体" w:cs="宋体"/>
                <w:color w:val="auto"/>
                <w:sz w:val="21"/>
                <w:szCs w:val="21"/>
                <w:highlight w:val="none"/>
                <w:lang w:val="en-US" w:eastAsia="zh-CN"/>
              </w:rPr>
              <w:t>时间为准</w:t>
            </w:r>
          </w:p>
        </w:tc>
      </w:tr>
      <w:tr w14:paraId="277C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0598267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4</w:t>
            </w:r>
          </w:p>
        </w:tc>
        <w:tc>
          <w:tcPr>
            <w:tcW w:w="2234" w:type="dxa"/>
            <w:vAlign w:val="center"/>
          </w:tcPr>
          <w:p w14:paraId="4C35F15F">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响应文件递交</w:t>
            </w:r>
          </w:p>
          <w:p w14:paraId="79BD418D">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p>
        </w:tc>
        <w:tc>
          <w:tcPr>
            <w:tcW w:w="6305" w:type="dxa"/>
            <w:vAlign w:val="center"/>
          </w:tcPr>
          <w:p w14:paraId="1C202CEF">
            <w:pPr>
              <w:keepNext w:val="0"/>
              <w:keepLines w:val="0"/>
              <w:pageBreakBefore w:val="0"/>
              <w:widowControl w:val="0"/>
              <w:kinsoku/>
              <w:wordWrap w:val="0"/>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通过“政府采购云平台”（网址：https://www.zcygov.cn/) 进行网上递交。          </w:t>
            </w:r>
          </w:p>
          <w:p w14:paraId="397441A0">
            <w:pPr>
              <w:keepNext w:val="0"/>
              <w:keepLines w:val="0"/>
              <w:pageBreakBefore w:val="0"/>
              <w:widowControl w:val="0"/>
              <w:kinsoku/>
              <w:wordWrap w:val="0"/>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1.供应商应按照本项目采购文件和“政府采购云平台”的要求编制、加密响应文件，并在响应文件提交截止时间前上传至“政府采购云平台”，响应文件提交截止时间前未完成响应文件上传的，视为撤回响应文件。   </w:t>
            </w:r>
          </w:p>
          <w:p w14:paraId="747093F1">
            <w:pPr>
              <w:keepNext w:val="0"/>
              <w:keepLines w:val="0"/>
              <w:pageBreakBefore w:val="0"/>
              <w:widowControl w:val="0"/>
              <w:kinsoku/>
              <w:wordWrap w:val="0"/>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2.供应商在“政府采购云平台”提交电子版响应文件时，请填写参加远程采购活动经办人联系方式。并于开标当日在系统上等待代理机构通知最后报价。</w:t>
            </w:r>
          </w:p>
        </w:tc>
      </w:tr>
      <w:tr w14:paraId="4BFA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397E6133">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1.8.5</w:t>
            </w:r>
          </w:p>
        </w:tc>
        <w:tc>
          <w:tcPr>
            <w:tcW w:w="2234" w:type="dxa"/>
            <w:vAlign w:val="center"/>
          </w:tcPr>
          <w:p w14:paraId="1F19ABAC">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响应文件份数</w:t>
            </w:r>
          </w:p>
        </w:tc>
        <w:tc>
          <w:tcPr>
            <w:tcW w:w="6305" w:type="dxa"/>
            <w:vAlign w:val="center"/>
          </w:tcPr>
          <w:p w14:paraId="05F4A49B">
            <w:pPr>
              <w:keepNext w:val="0"/>
              <w:keepLines w:val="0"/>
              <w:pageBreakBefore w:val="0"/>
              <w:widowControl w:val="0"/>
              <w:kinsoku/>
              <w:wordWrap w:val="0"/>
              <w:overflowPunct/>
              <w:topLinePunct w:val="0"/>
              <w:autoSpaceDE/>
              <w:autoSpaceDN/>
              <w:bidi w:val="0"/>
              <w:adjustRightInd/>
              <w:snapToGrid/>
              <w:spacing w:line="400" w:lineRule="exact"/>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本项目实施电子招投标，投标阶段无须递交纸质响应文件。中标单位在与采购人签订合同前必须向采购人提供与电子响应文件完全一致并采用A4纸双面印刷并胶装牢固的纸质投标书</w:t>
            </w:r>
            <w:r>
              <w:rPr>
                <w:rFonts w:hint="eastAsia" w:ascii="宋体" w:hAnsi="宋体" w:cs="宋体"/>
                <w:b/>
                <w:bCs/>
                <w:color w:val="auto"/>
                <w:sz w:val="21"/>
                <w:szCs w:val="21"/>
                <w:highlight w:val="none"/>
                <w:lang w:val="en-US" w:eastAsia="zh-CN"/>
              </w:rPr>
              <w:t>叁</w:t>
            </w:r>
            <w:r>
              <w:rPr>
                <w:rFonts w:hint="eastAsia" w:ascii="宋体" w:hAnsi="宋体" w:eastAsia="宋体" w:cs="宋体"/>
                <w:b/>
                <w:bCs/>
                <w:color w:val="auto"/>
                <w:sz w:val="21"/>
                <w:szCs w:val="21"/>
                <w:highlight w:val="none"/>
                <w:lang w:val="en-US" w:eastAsia="zh-CN"/>
              </w:rPr>
              <w:t>份，就此所有投标人必须在响应文件中作出说明响应，未按照此要求做出书面响应的视为不响应采购文件要求。</w:t>
            </w:r>
          </w:p>
        </w:tc>
      </w:tr>
      <w:tr w14:paraId="41FDA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88" w:type="dxa"/>
            <w:vAlign w:val="center"/>
          </w:tcPr>
          <w:p w14:paraId="7F530169">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2.2.6</w:t>
            </w:r>
          </w:p>
        </w:tc>
        <w:tc>
          <w:tcPr>
            <w:tcW w:w="2234" w:type="dxa"/>
            <w:vAlign w:val="center"/>
          </w:tcPr>
          <w:p w14:paraId="1E174438">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磋商小组可以根据磋商文件和磋商情况实质性变动的内容</w:t>
            </w:r>
          </w:p>
        </w:tc>
        <w:tc>
          <w:tcPr>
            <w:tcW w:w="6305" w:type="dxa"/>
            <w:vAlign w:val="center"/>
          </w:tcPr>
          <w:p w14:paraId="5CFF5184">
            <w:pPr>
              <w:keepNext w:val="0"/>
              <w:keepLines w:val="0"/>
              <w:pageBreakBefore w:val="0"/>
              <w:widowControl w:val="0"/>
              <w:kinsoku/>
              <w:wordWrap w:val="0"/>
              <w:overflowPunct/>
              <w:topLinePunct w:val="0"/>
              <w:autoSpaceDE/>
              <w:autoSpaceDN/>
              <w:bidi w:val="0"/>
              <w:adjustRightInd/>
              <w:snapToGrid/>
              <w:spacing w:line="400" w:lineRule="exact"/>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在磋商过程中，磋商小组可以根据磋商文件和磋商情况实质性变动的技术、服务要求以及合同草案条款，但不得变动磋商文件中的其他内容。实质性变动的内容，须经采购人代表确认。</w:t>
            </w:r>
          </w:p>
        </w:tc>
      </w:tr>
      <w:tr w14:paraId="748EE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190F361">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3.4.1</w:t>
            </w:r>
          </w:p>
        </w:tc>
        <w:tc>
          <w:tcPr>
            <w:tcW w:w="2234" w:type="dxa"/>
            <w:vAlign w:val="center"/>
          </w:tcPr>
          <w:p w14:paraId="7E7C9385">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有效期</w:t>
            </w:r>
          </w:p>
        </w:tc>
        <w:tc>
          <w:tcPr>
            <w:tcW w:w="6305" w:type="dxa"/>
            <w:vAlign w:val="center"/>
          </w:tcPr>
          <w:p w14:paraId="5E518F73">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磋商截止之日起</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日历天</w:t>
            </w:r>
          </w:p>
        </w:tc>
      </w:tr>
      <w:tr w14:paraId="79278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75168E8">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3.5.1</w:t>
            </w:r>
          </w:p>
        </w:tc>
        <w:tc>
          <w:tcPr>
            <w:tcW w:w="2234" w:type="dxa"/>
            <w:vAlign w:val="center"/>
          </w:tcPr>
          <w:p w14:paraId="4956D8B3">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磋商保证金</w:t>
            </w:r>
          </w:p>
        </w:tc>
        <w:tc>
          <w:tcPr>
            <w:tcW w:w="6305" w:type="dxa"/>
            <w:vAlign w:val="center"/>
          </w:tcPr>
          <w:p w14:paraId="7475B0AA">
            <w:pPr>
              <w:keepNext w:val="0"/>
              <w:keepLines w:val="0"/>
              <w:pageBreakBefore w:val="0"/>
              <w:widowControl w:val="0"/>
              <w:kinsoku/>
              <w:wordWrap w:val="0"/>
              <w:overflowPunct/>
              <w:topLinePunct w:val="0"/>
              <w:autoSpaceDE/>
              <w:autoSpaceDN/>
              <w:bidi w:val="0"/>
              <w:adjustRightInd/>
              <w:snapToGrid/>
              <w:spacing w:line="44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☑不要求递交投标保证金</w:t>
            </w:r>
          </w:p>
          <w:p w14:paraId="63C6611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□要求递交投标保证金：</w:t>
            </w:r>
          </w:p>
          <w:p w14:paraId="5959D90A">
            <w:pPr>
              <w:pStyle w:val="15"/>
              <w:keepNext w:val="0"/>
              <w:keepLines w:val="0"/>
              <w:pageBreakBefore w:val="0"/>
              <w:widowControl w:val="0"/>
              <w:kinsoku/>
              <w:wordWrap w:val="0"/>
              <w:overflowPunct/>
              <w:topLinePunct w:val="0"/>
              <w:bidi w:val="0"/>
              <w:adjustRightInd/>
              <w:snapToGrid/>
              <w:spacing w:after="0" w:line="400" w:lineRule="exact"/>
              <w:ind w:right="0" w:rightChars="0"/>
              <w:textAlignment w:val="auto"/>
              <w:outlineLvl w:val="9"/>
              <w:rPr>
                <w:rFonts w:hint="eastAsia" w:ascii="宋体" w:hAnsi="宋体" w:eastAsia="宋体" w:cs="宋体"/>
                <w:color w:val="auto"/>
                <w:spacing w:val="1"/>
                <w:w w:val="100"/>
                <w:sz w:val="21"/>
                <w:szCs w:val="21"/>
                <w:highlight w:val="none"/>
                <w:lang w:val="en-US" w:eastAsia="zh-CN"/>
              </w:rPr>
            </w:pPr>
            <w:r>
              <w:rPr>
                <w:rFonts w:hint="eastAsia" w:ascii="宋体" w:hAnsi="宋体" w:eastAsia="宋体" w:cs="宋体"/>
                <w:color w:val="auto"/>
                <w:spacing w:val="1"/>
                <w:w w:val="100"/>
                <w:sz w:val="21"/>
                <w:szCs w:val="21"/>
                <w:highlight w:val="none"/>
                <w:lang w:eastAsia="zh-CN"/>
              </w:rPr>
              <w:t>投标</w:t>
            </w:r>
            <w:r>
              <w:rPr>
                <w:rFonts w:hint="eastAsia" w:ascii="宋体" w:hAnsi="宋体" w:eastAsia="宋体" w:cs="宋体"/>
                <w:color w:val="auto"/>
                <w:spacing w:val="1"/>
                <w:w w:val="100"/>
                <w:sz w:val="21"/>
                <w:szCs w:val="21"/>
                <w:highlight w:val="none"/>
              </w:rPr>
              <w:t>保证金：根据《云南省发展和改革委员会等部门关于鼓励减免</w:t>
            </w:r>
            <w:r>
              <w:rPr>
                <w:rFonts w:hint="eastAsia" w:ascii="宋体" w:hAnsi="宋体" w:eastAsia="宋体" w:cs="宋体"/>
                <w:color w:val="auto"/>
                <w:spacing w:val="1"/>
                <w:w w:val="100"/>
                <w:sz w:val="21"/>
                <w:szCs w:val="21"/>
                <w:highlight w:val="none"/>
                <w:lang w:eastAsia="zh-CN"/>
              </w:rPr>
              <w:t>政府投资</w:t>
            </w:r>
            <w:r>
              <w:rPr>
                <w:rFonts w:hint="eastAsia" w:ascii="宋体" w:hAnsi="宋体" w:eastAsia="宋体" w:cs="宋体"/>
                <w:color w:val="auto"/>
                <w:spacing w:val="1"/>
                <w:w w:val="100"/>
                <w:sz w:val="21"/>
                <w:szCs w:val="21"/>
                <w:highlight w:val="none"/>
              </w:rPr>
              <w:t>项目投标保证金的通知》（云发改交易管理〔2023〕397号）规</w:t>
            </w:r>
            <w:r>
              <w:rPr>
                <w:rFonts w:hint="eastAsia" w:ascii="宋体" w:hAnsi="宋体" w:eastAsia="宋体" w:cs="宋体"/>
                <w:color w:val="auto"/>
                <w:sz w:val="21"/>
                <w:szCs w:val="21"/>
                <w:highlight w:val="none"/>
              </w:rPr>
              <w:t>定，</w:t>
            </w:r>
            <w:r>
              <w:rPr>
                <w:rFonts w:hint="eastAsia" w:ascii="宋体" w:hAnsi="宋体" w:eastAsia="宋体" w:cs="宋体"/>
                <w:b w:val="0"/>
                <w:bCs w:val="0"/>
                <w:color w:val="auto"/>
                <w:sz w:val="21"/>
                <w:szCs w:val="21"/>
                <w:highlight w:val="none"/>
                <w:u w:val="none"/>
              </w:rPr>
              <w:t>本项目收取</w:t>
            </w:r>
            <w:r>
              <w:rPr>
                <w:rFonts w:hint="eastAsia" w:ascii="宋体" w:hAnsi="宋体" w:eastAsia="宋体" w:cs="宋体"/>
                <w:b w:val="0"/>
                <w:bCs w:val="0"/>
                <w:color w:val="auto"/>
                <w:sz w:val="21"/>
                <w:szCs w:val="21"/>
                <w:highlight w:val="none"/>
                <w:u w:val="none"/>
                <w:lang w:eastAsia="zh-CN"/>
              </w:rPr>
              <w:t>投标</w:t>
            </w:r>
            <w:r>
              <w:rPr>
                <w:rFonts w:hint="eastAsia" w:ascii="宋体" w:hAnsi="宋体" w:eastAsia="宋体" w:cs="宋体"/>
                <w:b w:val="0"/>
                <w:bCs w:val="0"/>
                <w:color w:val="auto"/>
                <w:sz w:val="21"/>
                <w:szCs w:val="21"/>
                <w:highlight w:val="none"/>
                <w:u w:val="none"/>
              </w:rPr>
              <w:t>保证金</w:t>
            </w:r>
            <w:r>
              <w:rPr>
                <w:rFonts w:hint="eastAsia" w:ascii="宋体" w:hAnsi="宋体" w:cs="宋体"/>
                <w:b w:val="0"/>
                <w:bCs w:val="0"/>
                <w:color w:val="auto"/>
                <w:sz w:val="21"/>
                <w:szCs w:val="21"/>
                <w:highlight w:val="none"/>
                <w:u w:val="none"/>
                <w:lang w:eastAsia="zh-CN"/>
              </w:rPr>
              <w:t>：</w:t>
            </w:r>
            <w:r>
              <w:rPr>
                <w:rFonts w:hint="eastAsia" w:ascii="宋体" w:hAnsi="宋体" w:cs="宋体"/>
                <w:b w:val="0"/>
                <w:bCs w:val="0"/>
                <w:color w:val="auto"/>
                <w:sz w:val="21"/>
                <w:szCs w:val="21"/>
                <w:highlight w:val="none"/>
                <w:u w:val="single"/>
                <w:lang w:val="en-US" w:eastAsia="zh-CN"/>
              </w:rPr>
              <w:t xml:space="preserve"> / </w:t>
            </w:r>
            <w:r>
              <w:rPr>
                <w:rFonts w:hint="eastAsia" w:ascii="宋体" w:hAnsi="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rPr>
              <w:t>元）</w:t>
            </w:r>
            <w:r>
              <w:rPr>
                <w:rFonts w:hint="eastAsia" w:ascii="宋体" w:hAnsi="宋体" w:eastAsia="宋体" w:cs="宋体"/>
                <w:color w:val="auto"/>
                <w:sz w:val="21"/>
                <w:szCs w:val="21"/>
                <w:highlight w:val="none"/>
              </w:rPr>
              <w:t>；可以采</w:t>
            </w:r>
            <w:r>
              <w:rPr>
                <w:rFonts w:hint="eastAsia" w:ascii="宋体" w:hAnsi="宋体" w:eastAsia="宋体" w:cs="宋体"/>
                <w:color w:val="auto"/>
                <w:spacing w:val="1"/>
                <w:w w:val="100"/>
                <w:sz w:val="21"/>
                <w:szCs w:val="21"/>
                <w:highlight w:val="none"/>
              </w:rPr>
              <w:t>用“银行转账”、“银行保函”、“投标保证保险”任一方式，其中采用“银行转账”方式的，</w:t>
            </w:r>
            <w:r>
              <w:rPr>
                <w:rFonts w:hint="eastAsia" w:ascii="宋体" w:hAnsi="宋体" w:eastAsia="宋体" w:cs="宋体"/>
                <w:color w:val="auto"/>
                <w:spacing w:val="1"/>
                <w:w w:val="100"/>
                <w:sz w:val="21"/>
                <w:szCs w:val="21"/>
                <w:highlight w:val="none"/>
                <w:lang w:eastAsia="zh-CN"/>
              </w:rPr>
              <w:t>供应商</w:t>
            </w:r>
            <w:r>
              <w:rPr>
                <w:rFonts w:hint="eastAsia" w:ascii="宋体" w:hAnsi="宋体" w:eastAsia="宋体" w:cs="宋体"/>
                <w:color w:val="auto"/>
                <w:spacing w:val="1"/>
                <w:w w:val="100"/>
                <w:sz w:val="21"/>
                <w:szCs w:val="21"/>
                <w:highlight w:val="none"/>
              </w:rPr>
              <w:t>以支票、汇票、本票、网上银行支付等非现金形式汇入指定账户</w:t>
            </w:r>
            <w:r>
              <w:rPr>
                <w:rFonts w:hint="eastAsia" w:ascii="宋体" w:hAnsi="宋体" w:eastAsia="宋体" w:cs="宋体"/>
                <w:color w:val="auto"/>
                <w:spacing w:val="1"/>
                <w:w w:val="100"/>
                <w:sz w:val="21"/>
                <w:szCs w:val="21"/>
                <w:highlight w:val="none"/>
                <w:lang w:eastAsia="zh-CN"/>
              </w:rPr>
              <w:t>：</w:t>
            </w:r>
          </w:p>
          <w:p w14:paraId="67F072E2">
            <w:pPr>
              <w:pStyle w:val="15"/>
              <w:keepNext w:val="0"/>
              <w:keepLines w:val="0"/>
              <w:pageBreakBefore w:val="0"/>
              <w:widowControl w:val="0"/>
              <w:kinsoku/>
              <w:wordWrap w:val="0"/>
              <w:overflowPunct/>
              <w:topLinePunct w:val="0"/>
              <w:autoSpaceDE w:val="0"/>
              <w:autoSpaceDN w:val="0"/>
              <w:bidi w:val="0"/>
              <w:adjustRightInd/>
              <w:snapToGrid/>
              <w:spacing w:after="0" w:line="400" w:lineRule="exact"/>
              <w:ind w:right="0" w:rightChars="0" w:firstLine="212" w:firstLineChars="100"/>
              <w:textAlignment w:val="auto"/>
              <w:outlineLvl w:val="9"/>
              <w:rPr>
                <w:rFonts w:hint="eastAsia" w:ascii="宋体" w:hAnsi="宋体" w:eastAsia="宋体" w:cs="宋体"/>
                <w:color w:val="auto"/>
                <w:spacing w:val="1"/>
                <w:w w:val="100"/>
                <w:sz w:val="21"/>
                <w:szCs w:val="21"/>
                <w:highlight w:val="none"/>
              </w:rPr>
            </w:pPr>
            <w:r>
              <w:rPr>
                <w:rFonts w:hint="eastAsia" w:ascii="宋体" w:hAnsi="宋体" w:eastAsia="宋体" w:cs="宋体"/>
                <w:color w:val="auto"/>
                <w:spacing w:val="1"/>
                <w:w w:val="100"/>
                <w:sz w:val="21"/>
                <w:szCs w:val="21"/>
                <w:highlight w:val="none"/>
              </w:rPr>
              <w:t>保证金按规定数额从供应商基本账户直接转至</w:t>
            </w:r>
          </w:p>
          <w:p w14:paraId="68F33B29">
            <w:pPr>
              <w:pStyle w:val="15"/>
              <w:keepNext w:val="0"/>
              <w:keepLines w:val="0"/>
              <w:pageBreakBefore w:val="0"/>
              <w:widowControl w:val="0"/>
              <w:kinsoku/>
              <w:wordWrap w:val="0"/>
              <w:overflowPunct/>
              <w:topLinePunct w:val="0"/>
              <w:autoSpaceDE w:val="0"/>
              <w:autoSpaceDN w:val="0"/>
              <w:bidi w:val="0"/>
              <w:adjustRightInd/>
              <w:snapToGrid/>
              <w:spacing w:after="0" w:line="400" w:lineRule="exact"/>
              <w:ind w:right="0" w:rightChars="0" w:firstLine="212" w:firstLineChars="100"/>
              <w:textAlignment w:val="auto"/>
              <w:outlineLvl w:val="9"/>
              <w:rPr>
                <w:rFonts w:hint="eastAsia" w:ascii="宋体" w:hAnsi="宋体" w:eastAsia="宋体" w:cs="宋体"/>
                <w:color w:val="auto"/>
                <w:spacing w:val="1"/>
                <w:w w:val="100"/>
                <w:sz w:val="21"/>
                <w:szCs w:val="21"/>
                <w:highlight w:val="none"/>
                <w:lang w:eastAsia="zh-CN"/>
              </w:rPr>
            </w:pPr>
            <w:r>
              <w:rPr>
                <w:rFonts w:hint="eastAsia" w:ascii="宋体" w:hAnsi="宋体" w:eastAsia="宋体" w:cs="宋体"/>
                <w:color w:val="auto"/>
                <w:spacing w:val="1"/>
                <w:w w:val="100"/>
                <w:sz w:val="21"/>
                <w:szCs w:val="21"/>
                <w:highlight w:val="none"/>
              </w:rPr>
              <w:t>账户名称：</w:t>
            </w:r>
            <w:r>
              <w:rPr>
                <w:rFonts w:hint="eastAsia" w:ascii="宋体" w:hAnsi="宋体" w:eastAsia="宋体" w:cs="宋体"/>
                <w:b/>
                <w:bCs/>
                <w:color w:val="auto"/>
                <w:spacing w:val="1"/>
                <w:w w:val="100"/>
                <w:sz w:val="21"/>
                <w:szCs w:val="21"/>
                <w:highlight w:val="none"/>
                <w:u w:val="single"/>
                <w:lang w:eastAsia="zh-CN"/>
              </w:rPr>
              <w:t>云南鼎邦招标代理有限公司</w:t>
            </w:r>
          </w:p>
          <w:p w14:paraId="08BCF4C1">
            <w:pPr>
              <w:pStyle w:val="15"/>
              <w:keepNext w:val="0"/>
              <w:keepLines w:val="0"/>
              <w:pageBreakBefore w:val="0"/>
              <w:widowControl w:val="0"/>
              <w:kinsoku/>
              <w:wordWrap w:val="0"/>
              <w:overflowPunct/>
              <w:topLinePunct w:val="0"/>
              <w:autoSpaceDE w:val="0"/>
              <w:autoSpaceDN w:val="0"/>
              <w:bidi w:val="0"/>
              <w:adjustRightInd/>
              <w:snapToGrid/>
              <w:spacing w:after="0" w:line="400" w:lineRule="exact"/>
              <w:ind w:right="0" w:rightChars="0" w:firstLine="212" w:firstLineChars="100"/>
              <w:textAlignment w:val="auto"/>
              <w:outlineLvl w:val="9"/>
              <w:rPr>
                <w:rFonts w:hint="eastAsia" w:ascii="宋体" w:hAnsi="宋体" w:eastAsia="宋体" w:cs="宋体"/>
                <w:b/>
                <w:bCs/>
                <w:color w:val="auto"/>
                <w:spacing w:val="1"/>
                <w:w w:val="100"/>
                <w:sz w:val="21"/>
                <w:szCs w:val="21"/>
                <w:highlight w:val="none"/>
                <w:u w:val="single"/>
                <w:lang w:eastAsia="zh-CN"/>
              </w:rPr>
            </w:pPr>
            <w:r>
              <w:rPr>
                <w:rFonts w:hint="eastAsia" w:ascii="宋体" w:hAnsi="宋体" w:eastAsia="宋体" w:cs="宋体"/>
                <w:color w:val="auto"/>
                <w:spacing w:val="1"/>
                <w:w w:val="100"/>
                <w:sz w:val="21"/>
                <w:szCs w:val="21"/>
                <w:highlight w:val="none"/>
              </w:rPr>
              <w:t>开户银行：</w:t>
            </w:r>
            <w:r>
              <w:rPr>
                <w:rFonts w:hint="eastAsia" w:ascii="宋体" w:hAnsi="宋体" w:eastAsia="宋体" w:cs="宋体"/>
                <w:b/>
                <w:bCs/>
                <w:color w:val="auto"/>
                <w:spacing w:val="1"/>
                <w:w w:val="100"/>
                <w:sz w:val="21"/>
                <w:szCs w:val="21"/>
                <w:highlight w:val="none"/>
                <w:u w:val="single"/>
                <w:lang w:eastAsia="zh-CN"/>
              </w:rPr>
              <w:t>中国工商银行股份有限公司兰坪支行</w:t>
            </w:r>
          </w:p>
          <w:p w14:paraId="49428A24">
            <w:pPr>
              <w:pStyle w:val="15"/>
              <w:keepNext w:val="0"/>
              <w:keepLines w:val="0"/>
              <w:pageBreakBefore w:val="0"/>
              <w:widowControl w:val="0"/>
              <w:kinsoku/>
              <w:wordWrap w:val="0"/>
              <w:overflowPunct/>
              <w:topLinePunct w:val="0"/>
              <w:autoSpaceDE w:val="0"/>
              <w:autoSpaceDN w:val="0"/>
              <w:bidi w:val="0"/>
              <w:adjustRightInd/>
              <w:snapToGrid/>
              <w:spacing w:after="0" w:line="400" w:lineRule="exact"/>
              <w:ind w:right="0" w:rightChars="0" w:firstLine="212" w:firstLineChars="100"/>
              <w:textAlignment w:val="auto"/>
              <w:outlineLvl w:val="9"/>
              <w:rPr>
                <w:rFonts w:hint="eastAsia" w:ascii="宋体" w:hAnsi="宋体" w:eastAsia="宋体" w:cs="宋体"/>
                <w:b/>
                <w:bCs/>
                <w:color w:val="auto"/>
                <w:spacing w:val="1"/>
                <w:w w:val="100"/>
                <w:sz w:val="21"/>
                <w:szCs w:val="21"/>
                <w:highlight w:val="none"/>
                <w:u w:val="single"/>
                <w:lang w:eastAsia="zh-CN"/>
              </w:rPr>
            </w:pPr>
            <w:r>
              <w:rPr>
                <w:rFonts w:hint="eastAsia" w:ascii="宋体" w:hAnsi="宋体" w:eastAsia="宋体" w:cs="宋体"/>
                <w:color w:val="auto"/>
                <w:spacing w:val="1"/>
                <w:w w:val="100"/>
                <w:sz w:val="21"/>
                <w:szCs w:val="21"/>
                <w:highlight w:val="none"/>
              </w:rPr>
              <w:t>账号</w:t>
            </w:r>
            <w:r>
              <w:rPr>
                <w:rFonts w:hint="eastAsia" w:ascii="宋体" w:hAnsi="宋体" w:eastAsia="宋体" w:cs="宋体"/>
                <w:b w:val="0"/>
                <w:bCs w:val="0"/>
                <w:color w:val="auto"/>
                <w:spacing w:val="1"/>
                <w:w w:val="100"/>
                <w:sz w:val="21"/>
                <w:szCs w:val="21"/>
                <w:highlight w:val="none"/>
                <w:u w:val="none"/>
              </w:rPr>
              <w:t>：</w:t>
            </w:r>
            <w:r>
              <w:rPr>
                <w:rFonts w:hint="eastAsia" w:ascii="宋体" w:hAnsi="宋体" w:eastAsia="宋体" w:cs="宋体"/>
                <w:b/>
                <w:bCs/>
                <w:color w:val="auto"/>
                <w:spacing w:val="1"/>
                <w:w w:val="100"/>
                <w:sz w:val="21"/>
                <w:szCs w:val="21"/>
                <w:highlight w:val="none"/>
                <w:u w:val="single"/>
                <w:lang w:eastAsia="zh-CN"/>
              </w:rPr>
              <w:t>2513041609200030448</w:t>
            </w:r>
          </w:p>
          <w:p w14:paraId="50F58B56">
            <w:pPr>
              <w:pStyle w:val="15"/>
              <w:keepNext w:val="0"/>
              <w:keepLines w:val="0"/>
              <w:pageBreakBefore w:val="0"/>
              <w:widowControl w:val="0"/>
              <w:kinsoku/>
              <w:wordWrap w:val="0"/>
              <w:overflowPunct/>
              <w:topLinePunct w:val="0"/>
              <w:bidi w:val="0"/>
              <w:adjustRightInd/>
              <w:snapToGrid/>
              <w:spacing w:after="0" w:line="400" w:lineRule="exact"/>
              <w:ind w:right="0" w:rightChars="0" w:firstLine="212" w:firstLineChars="100"/>
              <w:textAlignment w:val="auto"/>
              <w:outlineLvl w:val="9"/>
              <w:rPr>
                <w:rFonts w:hint="eastAsia" w:ascii="宋体" w:hAnsi="宋体" w:eastAsia="宋体" w:cs="宋体"/>
                <w:b w:val="0"/>
                <w:bCs w:val="0"/>
                <w:color w:val="auto"/>
                <w:spacing w:val="1"/>
                <w:w w:val="100"/>
                <w:sz w:val="21"/>
                <w:szCs w:val="21"/>
                <w:highlight w:val="none"/>
                <w:u w:val="none"/>
                <w:lang w:eastAsia="zh-CN"/>
              </w:rPr>
            </w:pPr>
            <w:r>
              <w:rPr>
                <w:rFonts w:hint="eastAsia" w:ascii="宋体" w:hAnsi="宋体" w:eastAsia="宋体" w:cs="宋体"/>
                <w:color w:val="auto"/>
                <w:spacing w:val="1"/>
                <w:w w:val="100"/>
                <w:sz w:val="21"/>
                <w:szCs w:val="21"/>
                <w:highlight w:val="none"/>
              </w:rPr>
              <w:t>电话</w:t>
            </w:r>
            <w:r>
              <w:rPr>
                <w:rFonts w:hint="eastAsia" w:ascii="宋体" w:hAnsi="宋体" w:eastAsia="宋体" w:cs="宋体"/>
                <w:b w:val="0"/>
                <w:bCs w:val="0"/>
                <w:color w:val="auto"/>
                <w:spacing w:val="1"/>
                <w:w w:val="100"/>
                <w:sz w:val="21"/>
                <w:szCs w:val="21"/>
                <w:highlight w:val="none"/>
                <w:u w:val="none"/>
              </w:rPr>
              <w:t>：</w:t>
            </w:r>
            <w:r>
              <w:rPr>
                <w:rFonts w:hint="eastAsia" w:ascii="宋体" w:hAnsi="宋体" w:eastAsia="宋体" w:cs="宋体"/>
                <w:b w:val="0"/>
                <w:bCs w:val="0"/>
                <w:color w:val="auto"/>
                <w:spacing w:val="1"/>
                <w:w w:val="100"/>
                <w:sz w:val="21"/>
                <w:szCs w:val="21"/>
                <w:highlight w:val="none"/>
                <w:u w:val="none"/>
                <w:lang w:eastAsia="zh-CN"/>
              </w:rPr>
              <w:t>0886-3219999 15096947392</w:t>
            </w:r>
          </w:p>
          <w:p w14:paraId="70E4273A">
            <w:pPr>
              <w:pStyle w:val="15"/>
              <w:keepNext w:val="0"/>
              <w:keepLines w:val="0"/>
              <w:pageBreakBefore w:val="0"/>
              <w:widowControl w:val="0"/>
              <w:kinsoku/>
              <w:wordWrap w:val="0"/>
              <w:overflowPunct/>
              <w:topLinePunct w:val="0"/>
              <w:bidi w:val="0"/>
              <w:adjustRightInd/>
              <w:snapToGrid/>
              <w:spacing w:after="0" w:line="400" w:lineRule="exact"/>
              <w:ind w:right="0" w:rightChars="0" w:firstLine="212" w:firstLineChars="1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pacing w:val="1"/>
                <w:w w:val="100"/>
                <w:sz w:val="21"/>
                <w:szCs w:val="21"/>
                <w:highlight w:val="none"/>
              </w:rPr>
              <w:t>保证金交纳说明：①电汇或网银方式提交的，底单即为交纳凭证（须注明项目名称）；②供应商未按照采购文件要求提交保证金的，响应文件无效。</w:t>
            </w:r>
          </w:p>
        </w:tc>
      </w:tr>
      <w:tr w14:paraId="3A50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1A7FD1F">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3.6.2</w:t>
            </w:r>
          </w:p>
        </w:tc>
        <w:tc>
          <w:tcPr>
            <w:tcW w:w="2234" w:type="dxa"/>
            <w:vAlign w:val="center"/>
          </w:tcPr>
          <w:p w14:paraId="02BAA372">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响应文件的提交</w:t>
            </w:r>
          </w:p>
          <w:p w14:paraId="01980FBE">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方式</w:t>
            </w:r>
          </w:p>
        </w:tc>
        <w:tc>
          <w:tcPr>
            <w:tcW w:w="6305" w:type="dxa"/>
            <w:vAlign w:val="center"/>
          </w:tcPr>
          <w:p w14:paraId="57108D20">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登录“政采云”平台递交电子</w:t>
            </w:r>
            <w:r>
              <w:rPr>
                <w:rFonts w:hint="eastAsia" w:ascii="宋体" w:hAnsi="宋体" w:cs="宋体"/>
                <w:color w:val="auto"/>
                <w:kern w:val="2"/>
                <w:sz w:val="21"/>
                <w:szCs w:val="21"/>
                <w:highlight w:val="none"/>
                <w:lang w:val="en-US" w:eastAsia="zh-CN" w:bidi="ar-SA"/>
              </w:rPr>
              <w:t>响应文件</w:t>
            </w:r>
          </w:p>
        </w:tc>
      </w:tr>
      <w:tr w14:paraId="3C5F4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2F9EDEC">
            <w:pPr>
              <w:pStyle w:val="15"/>
              <w:keepLines w:val="0"/>
              <w:pageBreakBefore w:val="0"/>
              <w:kinsoku/>
              <w:wordWrap w:val="0"/>
              <w:overflowPunct/>
              <w:bidi w:val="0"/>
              <w:adjustRightInd/>
              <w:snapToGrid/>
              <w:spacing w:after="0"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4.1.1</w:t>
            </w:r>
          </w:p>
        </w:tc>
        <w:tc>
          <w:tcPr>
            <w:tcW w:w="2234" w:type="dxa"/>
            <w:vAlign w:val="center"/>
          </w:tcPr>
          <w:p w14:paraId="0A5C5FFA">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响应文件的加密</w:t>
            </w:r>
          </w:p>
          <w:p w14:paraId="25F5DA3E">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要求</w:t>
            </w:r>
          </w:p>
        </w:tc>
        <w:tc>
          <w:tcPr>
            <w:tcW w:w="6305" w:type="dxa"/>
            <w:vAlign w:val="center"/>
          </w:tcPr>
          <w:p w14:paraId="6FA8D4D5">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CA加密</w:t>
            </w:r>
          </w:p>
        </w:tc>
      </w:tr>
      <w:tr w14:paraId="75FD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1BECD580">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4.1.2</w:t>
            </w:r>
          </w:p>
        </w:tc>
        <w:tc>
          <w:tcPr>
            <w:tcW w:w="2234" w:type="dxa"/>
            <w:vAlign w:val="center"/>
          </w:tcPr>
          <w:p w14:paraId="5A22C009">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响应文件的签署</w:t>
            </w:r>
          </w:p>
        </w:tc>
        <w:tc>
          <w:tcPr>
            <w:tcW w:w="6305" w:type="dxa"/>
            <w:vAlign w:val="center"/>
          </w:tcPr>
          <w:p w14:paraId="5A4629C2">
            <w:pPr>
              <w:keepLines w:val="0"/>
              <w:pageBreakBefore w:val="0"/>
              <w:kinsoku/>
              <w:wordWrap w:val="0"/>
              <w:overflowPunct/>
              <w:bidi w:val="0"/>
              <w:adjustRightInd/>
              <w:snapToGrid/>
              <w:spacing w:line="400" w:lineRule="exact"/>
              <w:jc w:val="left"/>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按照</w:t>
            </w:r>
            <w:r>
              <w:rPr>
                <w:rFonts w:hint="eastAsia" w:ascii="宋体" w:hAnsi="宋体" w:cs="宋体"/>
                <w:color w:val="auto"/>
                <w:kern w:val="2"/>
                <w:sz w:val="21"/>
                <w:szCs w:val="21"/>
                <w:highlight w:val="none"/>
                <w:lang w:val="en-US" w:eastAsia="zh-CN" w:bidi="ar-SA"/>
              </w:rPr>
              <w:t>响应</w:t>
            </w:r>
            <w:r>
              <w:rPr>
                <w:rFonts w:hint="eastAsia" w:ascii="宋体" w:hAnsi="宋体" w:eastAsia="宋体" w:cs="宋体"/>
                <w:color w:val="auto"/>
                <w:kern w:val="2"/>
                <w:sz w:val="21"/>
                <w:szCs w:val="21"/>
                <w:highlight w:val="none"/>
                <w:lang w:val="en-US" w:eastAsia="zh-CN" w:bidi="ar-SA"/>
              </w:rPr>
              <w:t>文件格式，采用单位和个人数字证书电子签章及电子签名</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注：1.在需要电子签章的地方进行电子签章，无需逐页电子签章。2.如为联合体投标的，投标人</w:t>
            </w:r>
            <w:r>
              <w:rPr>
                <w:rFonts w:hint="eastAsia" w:ascii="宋体" w:hAnsi="宋体" w:cs="宋体"/>
                <w:color w:val="auto"/>
                <w:kern w:val="2"/>
                <w:sz w:val="21"/>
                <w:szCs w:val="21"/>
                <w:highlight w:val="none"/>
                <w:lang w:val="en-US" w:eastAsia="zh-CN" w:bidi="ar-SA"/>
              </w:rPr>
              <w:t>（供应商）</w:t>
            </w:r>
            <w:r>
              <w:rPr>
                <w:rFonts w:hint="eastAsia" w:ascii="宋体" w:hAnsi="宋体" w:eastAsia="宋体" w:cs="宋体"/>
                <w:color w:val="auto"/>
                <w:kern w:val="2"/>
                <w:sz w:val="21"/>
                <w:szCs w:val="21"/>
                <w:highlight w:val="none"/>
                <w:lang w:val="en-US" w:eastAsia="zh-CN" w:bidi="ar-SA"/>
              </w:rPr>
              <w:t>签章均指联合体牵头人。</w:t>
            </w:r>
          </w:p>
        </w:tc>
      </w:tr>
      <w:tr w14:paraId="7000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2491585C">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4.2.1</w:t>
            </w:r>
          </w:p>
        </w:tc>
        <w:tc>
          <w:tcPr>
            <w:tcW w:w="2234" w:type="dxa"/>
            <w:vAlign w:val="center"/>
          </w:tcPr>
          <w:p w14:paraId="09E79DBE">
            <w:pPr>
              <w:pStyle w:val="121"/>
              <w:keepLines w:val="0"/>
              <w:pageBreakBefore w:val="0"/>
              <w:kinsoku/>
              <w:wordWrap w:val="0"/>
              <w:overflowPunct/>
              <w:topLinePunct/>
              <w:bidi w:val="0"/>
              <w:adjustRightInd/>
              <w:snapToGrid/>
              <w:spacing w:line="400" w:lineRule="exact"/>
              <w:jc w:val="center"/>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开标</w:t>
            </w:r>
            <w:r>
              <w:rPr>
                <w:rFonts w:hint="eastAsia" w:ascii="宋体" w:hAnsi="宋体" w:eastAsia="宋体" w:cs="宋体"/>
                <w:color w:val="auto"/>
                <w:sz w:val="21"/>
                <w:szCs w:val="21"/>
                <w:highlight w:val="none"/>
              </w:rPr>
              <w:t>地点</w:t>
            </w:r>
          </w:p>
        </w:tc>
        <w:tc>
          <w:tcPr>
            <w:tcW w:w="6305" w:type="dxa"/>
            <w:vAlign w:val="center"/>
          </w:tcPr>
          <w:p w14:paraId="2267ED16">
            <w:pPr>
              <w:pStyle w:val="121"/>
              <w:keepLines w:val="0"/>
              <w:pageBreakBefore w:val="0"/>
              <w:kinsoku/>
              <w:wordWrap w:val="0"/>
              <w:overflowPunct/>
              <w:topLinePunct/>
              <w:bidi w:val="0"/>
              <w:adjustRightInd/>
              <w:snapToGrid/>
              <w:spacing w:line="400" w:lineRule="exact"/>
              <w:textAlignment w:val="auto"/>
              <w:outlineLvl w:val="9"/>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开标地点：</w:t>
            </w:r>
            <w:r>
              <w:rPr>
                <w:rFonts w:hint="eastAsia" w:ascii="宋体" w:hAnsi="宋体" w:eastAsia="宋体" w:cs="宋体"/>
                <w:color w:val="auto"/>
                <w:sz w:val="21"/>
                <w:szCs w:val="21"/>
                <w:highlight w:val="none"/>
                <w:lang w:eastAsia="zh-CN"/>
              </w:rPr>
              <w:t>云南鼎邦招标代理有限公司</w:t>
            </w:r>
            <w:r>
              <w:rPr>
                <w:rFonts w:hint="eastAsia" w:cs="宋体"/>
                <w:color w:val="auto"/>
                <w:sz w:val="21"/>
                <w:szCs w:val="21"/>
                <w:highlight w:val="none"/>
                <w:lang w:eastAsia="zh-CN"/>
              </w:rPr>
              <w:t>（云南省怒江州兰坪县财富天地3幢4号）</w:t>
            </w:r>
          </w:p>
        </w:tc>
      </w:tr>
      <w:tr w14:paraId="20C34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988" w:type="dxa"/>
            <w:vAlign w:val="center"/>
          </w:tcPr>
          <w:p w14:paraId="27FCC323">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5.1</w:t>
            </w:r>
          </w:p>
        </w:tc>
        <w:tc>
          <w:tcPr>
            <w:tcW w:w="2234" w:type="dxa"/>
            <w:vAlign w:val="center"/>
          </w:tcPr>
          <w:p w14:paraId="01A20AE1">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bCs/>
                <w:color w:val="auto"/>
                <w:sz w:val="21"/>
                <w:szCs w:val="21"/>
                <w:highlight w:val="none"/>
              </w:rPr>
            </w:pPr>
            <w:bookmarkStart w:id="60" w:name="_Toc1812"/>
            <w:r>
              <w:rPr>
                <w:rFonts w:hint="eastAsia" w:ascii="宋体" w:hAnsi="宋体" w:eastAsia="宋体" w:cs="宋体"/>
                <w:bCs/>
                <w:color w:val="auto"/>
                <w:sz w:val="21"/>
                <w:szCs w:val="21"/>
                <w:highlight w:val="none"/>
              </w:rPr>
              <w:t>磋商小组的组建</w:t>
            </w:r>
            <w:bookmarkEnd w:id="60"/>
          </w:p>
        </w:tc>
        <w:tc>
          <w:tcPr>
            <w:tcW w:w="6305" w:type="dxa"/>
            <w:vAlign w:val="center"/>
          </w:tcPr>
          <w:p w14:paraId="45F7308C">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rPr>
            </w:pPr>
            <w:bookmarkStart w:id="61" w:name="_Toc343"/>
            <w:r>
              <w:rPr>
                <w:rFonts w:hint="eastAsia" w:ascii="宋体" w:hAnsi="宋体" w:eastAsia="宋体" w:cs="宋体"/>
                <w:bCs/>
                <w:color w:val="auto"/>
                <w:sz w:val="21"/>
                <w:szCs w:val="21"/>
                <w:highlight w:val="none"/>
              </w:rPr>
              <w:t>磋商小组人数：</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人。</w:t>
            </w:r>
            <w:bookmarkEnd w:id="61"/>
          </w:p>
          <w:p w14:paraId="4F7680CA">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rPr>
            </w:pPr>
            <w:bookmarkStart w:id="62" w:name="_Toc31323"/>
            <w:r>
              <w:rPr>
                <w:rFonts w:hint="eastAsia" w:ascii="宋体" w:hAnsi="宋体" w:eastAsia="宋体" w:cs="宋体"/>
                <w:bCs/>
                <w:color w:val="auto"/>
                <w:sz w:val="21"/>
                <w:szCs w:val="21"/>
                <w:highlight w:val="none"/>
                <w:lang w:eastAsia="zh-CN"/>
              </w:rPr>
              <w:t>评审</w:t>
            </w:r>
            <w:r>
              <w:rPr>
                <w:rFonts w:hint="eastAsia" w:ascii="宋体" w:hAnsi="宋体" w:eastAsia="宋体" w:cs="宋体"/>
                <w:bCs/>
                <w:color w:val="auto"/>
                <w:sz w:val="21"/>
                <w:szCs w:val="21"/>
                <w:highlight w:val="none"/>
              </w:rPr>
              <w:t>专家确定方式：</w:t>
            </w:r>
            <w:r>
              <w:rPr>
                <w:rFonts w:hint="eastAsia" w:ascii="宋体" w:hAnsi="宋体" w:eastAsia="宋体" w:cs="宋体"/>
                <w:bCs/>
                <w:color w:val="auto"/>
                <w:sz w:val="21"/>
                <w:szCs w:val="21"/>
                <w:highlight w:val="none"/>
                <w:lang w:val="en-US" w:eastAsia="zh-CN"/>
              </w:rPr>
              <w:t>云南省政府采购专家管理子系统中随机抽取2人，采购人代表1人。</w:t>
            </w:r>
            <w:bookmarkEnd w:id="62"/>
          </w:p>
          <w:p w14:paraId="71169D10">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bCs/>
                <w:color w:val="auto"/>
                <w:sz w:val="21"/>
                <w:szCs w:val="21"/>
                <w:highlight w:val="none"/>
                <w:lang w:val="zh-CN"/>
              </w:rPr>
            </w:pPr>
            <w:bookmarkStart w:id="63" w:name="_Toc30165"/>
            <w:r>
              <w:rPr>
                <w:rFonts w:hint="eastAsia" w:ascii="宋体" w:hAnsi="宋体" w:eastAsia="宋体" w:cs="宋体"/>
                <w:bCs/>
                <w:color w:val="auto"/>
                <w:sz w:val="21"/>
                <w:szCs w:val="21"/>
                <w:highlight w:val="none"/>
              </w:rPr>
              <w:t>注：特殊情况经审批后确定。</w:t>
            </w:r>
            <w:bookmarkEnd w:id="63"/>
          </w:p>
        </w:tc>
      </w:tr>
      <w:tr w14:paraId="4D665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988" w:type="dxa"/>
            <w:vAlign w:val="center"/>
          </w:tcPr>
          <w:p w14:paraId="0AB85010">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5.5</w:t>
            </w:r>
          </w:p>
        </w:tc>
        <w:tc>
          <w:tcPr>
            <w:tcW w:w="2234" w:type="dxa"/>
            <w:vAlign w:val="center"/>
          </w:tcPr>
          <w:p w14:paraId="0E7E1297">
            <w:pPr>
              <w:keepLines w:val="0"/>
              <w:pageBreakBefore w:val="0"/>
              <w:kinsoku/>
              <w:wordWrap w:val="0"/>
              <w:overflowPunct/>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办法</w:t>
            </w:r>
          </w:p>
        </w:tc>
        <w:tc>
          <w:tcPr>
            <w:tcW w:w="6305" w:type="dxa"/>
            <w:vAlign w:val="center"/>
          </w:tcPr>
          <w:p w14:paraId="42CBF7C2">
            <w:pPr>
              <w:keepLines w:val="0"/>
              <w:pageBreakBefore w:val="0"/>
              <w:kinsoku/>
              <w:wordWrap w:val="0"/>
              <w:overflowPunct/>
              <w:bidi w:val="0"/>
              <w:adjustRightInd/>
              <w:snapToGrid/>
              <w:spacing w:line="400" w:lineRule="exac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综合</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法</w:t>
            </w:r>
            <w:r>
              <w:rPr>
                <w:rFonts w:hint="eastAsia" w:ascii="宋体" w:hAnsi="宋体" w:eastAsia="宋体" w:cs="宋体"/>
                <w:color w:val="auto"/>
                <w:sz w:val="21"/>
                <w:szCs w:val="21"/>
                <w:highlight w:val="none"/>
                <w:lang w:eastAsia="zh-CN"/>
              </w:rPr>
              <w:t>；</w:t>
            </w:r>
          </w:p>
        </w:tc>
      </w:tr>
      <w:tr w14:paraId="3F185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7" w:type="dxa"/>
            <w:gridSpan w:val="3"/>
            <w:vAlign w:val="center"/>
          </w:tcPr>
          <w:p w14:paraId="399E0965">
            <w:pPr>
              <w:keepNext w:val="0"/>
              <w:keepLines w:val="0"/>
              <w:pageBreakBefore w:val="0"/>
              <w:widowControl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需要补充的其它内容</w:t>
            </w:r>
          </w:p>
        </w:tc>
      </w:tr>
      <w:tr w14:paraId="06EBE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77B03C92">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2234" w:type="dxa"/>
            <w:vAlign w:val="center"/>
          </w:tcPr>
          <w:p w14:paraId="3217DD42">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成交通知书</w:t>
            </w:r>
          </w:p>
        </w:tc>
        <w:tc>
          <w:tcPr>
            <w:tcW w:w="6305" w:type="dxa"/>
            <w:vAlign w:val="center"/>
          </w:tcPr>
          <w:p w14:paraId="5D7030EC">
            <w:pPr>
              <w:keepNext w:val="0"/>
              <w:keepLines w:val="0"/>
              <w:pageBreakBefore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在公告成交结果的同时，采购代理机构向成交人发出成交通知书；</w:t>
            </w:r>
          </w:p>
        </w:tc>
      </w:tr>
      <w:tr w14:paraId="6555C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C0188D5">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（2）</w:t>
            </w:r>
          </w:p>
        </w:tc>
        <w:tc>
          <w:tcPr>
            <w:tcW w:w="2234" w:type="dxa"/>
            <w:vAlign w:val="center"/>
          </w:tcPr>
          <w:p w14:paraId="14E7AF45">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同义词语</w:t>
            </w:r>
          </w:p>
        </w:tc>
        <w:tc>
          <w:tcPr>
            <w:tcW w:w="6305" w:type="dxa"/>
            <w:vAlign w:val="center"/>
          </w:tcPr>
          <w:p w14:paraId="1EEA245A">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w:t>
            </w:r>
            <w:r>
              <w:rPr>
                <w:rFonts w:hint="eastAsia" w:ascii="宋体" w:hAnsi="宋体" w:eastAsia="宋体" w:cs="宋体"/>
                <w:color w:val="auto"/>
                <w:sz w:val="21"/>
                <w:szCs w:val="21"/>
                <w:highlight w:val="none"/>
                <w:lang w:eastAsia="zh-CN"/>
              </w:rPr>
              <w:t>磋商文件</w:t>
            </w:r>
            <w:r>
              <w:rPr>
                <w:rFonts w:hint="eastAsia" w:ascii="宋体" w:hAnsi="宋体" w:eastAsia="宋体" w:cs="宋体"/>
                <w:color w:val="auto"/>
                <w:sz w:val="21"/>
                <w:szCs w:val="21"/>
                <w:highlight w:val="none"/>
              </w:rPr>
              <w:t>组成部分的“通用合同条款”、“专用合同条款”、“技术标准和要求”、等章节中出现的措辞“</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”和“承包人”，在</w:t>
            </w:r>
            <w:r>
              <w:rPr>
                <w:rFonts w:hint="eastAsia" w:ascii="宋体" w:hAnsi="宋体" w:eastAsia="宋体" w:cs="宋体"/>
                <w:color w:val="auto"/>
                <w:sz w:val="21"/>
                <w:szCs w:val="21"/>
                <w:highlight w:val="none"/>
                <w:lang w:eastAsia="zh-CN"/>
              </w:rPr>
              <w:t>招标投标</w:t>
            </w:r>
            <w:r>
              <w:rPr>
                <w:rFonts w:hint="eastAsia" w:ascii="宋体" w:hAnsi="宋体" w:eastAsia="宋体" w:cs="宋体"/>
                <w:color w:val="auto"/>
                <w:sz w:val="21"/>
                <w:szCs w:val="21"/>
                <w:highlight w:val="none"/>
              </w:rPr>
              <w:t>阶段应当分别按“</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人”和“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”进行理解。</w:t>
            </w:r>
          </w:p>
        </w:tc>
      </w:tr>
      <w:tr w14:paraId="4122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6B53F109">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2234" w:type="dxa"/>
            <w:vAlign w:val="center"/>
          </w:tcPr>
          <w:p w14:paraId="618A9E4E">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招标投标</w:t>
            </w:r>
            <w:r>
              <w:rPr>
                <w:rFonts w:hint="eastAsia" w:ascii="宋体" w:hAnsi="宋体" w:eastAsia="宋体" w:cs="宋体"/>
                <w:color w:val="auto"/>
                <w:sz w:val="21"/>
                <w:szCs w:val="21"/>
                <w:highlight w:val="none"/>
              </w:rPr>
              <w:t>活动中有串通</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行为认定和处理方法</w:t>
            </w:r>
          </w:p>
        </w:tc>
        <w:tc>
          <w:tcPr>
            <w:tcW w:w="6305" w:type="dxa"/>
            <w:vAlign w:val="center"/>
          </w:tcPr>
          <w:p w14:paraId="2487EEFC">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如有串通</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行为的</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，一律严格根据云南省人民政府办公厅文件，云政办发{2010}106号《云南省人民政府办公厅关于印发云南省招标投标活动中串通投标行为认定处理办法和云南省招标投标活动投诉处理办法的通知》的内容执行。</w:t>
            </w:r>
          </w:p>
        </w:tc>
      </w:tr>
      <w:tr w14:paraId="3CFA8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6B0E74B">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2234" w:type="dxa"/>
            <w:vAlign w:val="center"/>
          </w:tcPr>
          <w:p w14:paraId="04BBADC8">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类似业绩界定</w:t>
            </w:r>
          </w:p>
        </w:tc>
        <w:tc>
          <w:tcPr>
            <w:tcW w:w="6305" w:type="dxa"/>
            <w:vAlign w:val="center"/>
          </w:tcPr>
          <w:p w14:paraId="62C442D9">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rPr>
              <w:t>/</w:t>
            </w:r>
          </w:p>
        </w:tc>
      </w:tr>
      <w:tr w14:paraId="2AC53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A9CCA25">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234" w:type="dxa"/>
            <w:vAlign w:val="center"/>
          </w:tcPr>
          <w:p w14:paraId="32EF083C">
            <w:pPr>
              <w:keepNext w:val="0"/>
              <w:keepLines w:val="0"/>
              <w:pageBreakBefore w:val="0"/>
              <w:kinsoku/>
              <w:wordWrap/>
              <w:overflowPunct/>
              <w:autoSpaceDE/>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资料真实性</w:t>
            </w:r>
          </w:p>
        </w:tc>
        <w:tc>
          <w:tcPr>
            <w:tcW w:w="6305" w:type="dxa"/>
            <w:vAlign w:val="center"/>
          </w:tcPr>
          <w:p w14:paraId="05E8FA0D">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磋商响应文件中的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22868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57979336">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234" w:type="dxa"/>
            <w:vAlign w:val="center"/>
          </w:tcPr>
          <w:p w14:paraId="425FEB65">
            <w:pPr>
              <w:keepNext w:val="0"/>
              <w:keepLines w:val="0"/>
              <w:pageBreakBefore w:val="0"/>
              <w:kinsoku/>
              <w:wordWrap/>
              <w:overflowPunct/>
              <w:autoSpaceDE/>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评审结果</w:t>
            </w:r>
          </w:p>
        </w:tc>
        <w:tc>
          <w:tcPr>
            <w:tcW w:w="6305" w:type="dxa"/>
            <w:vAlign w:val="center"/>
          </w:tcPr>
          <w:p w14:paraId="4C9D2D84">
            <w:pPr>
              <w:keepNext w:val="0"/>
              <w:keepLines w:val="0"/>
              <w:pageBreakBefore w:val="0"/>
              <w:widowControl w:val="0"/>
              <w:kinsoku/>
              <w:wordWrap w:val="0"/>
              <w:overflowPunct/>
              <w:topLinePunct w:val="0"/>
              <w:autoSpaceDE/>
              <w:autoSpaceDN/>
              <w:bidi w:val="0"/>
              <w:adjustRightInd/>
              <w:snapToGrid/>
              <w:spacing w:line="400" w:lineRule="exac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在评审结束后评审结果将在云南省政府采购网上公示，请各供应商注意查询。</w:t>
            </w:r>
          </w:p>
        </w:tc>
      </w:tr>
      <w:tr w14:paraId="18B4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617FBD0">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234" w:type="dxa"/>
            <w:vAlign w:val="center"/>
          </w:tcPr>
          <w:p w14:paraId="3DB15938">
            <w:pPr>
              <w:keepNext w:val="0"/>
              <w:keepLines w:val="0"/>
              <w:pageBreakBefore w:val="0"/>
              <w:kinsoku/>
              <w:wordWrap/>
              <w:overflowPunct/>
              <w:autoSpaceDE/>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所属行业</w:t>
            </w:r>
          </w:p>
        </w:tc>
        <w:tc>
          <w:tcPr>
            <w:tcW w:w="6305" w:type="dxa"/>
            <w:vAlign w:val="center"/>
          </w:tcPr>
          <w:p w14:paraId="69AF6603">
            <w:pPr>
              <w:keepNext w:val="0"/>
              <w:keepLines w:val="0"/>
              <w:pageBreakBefore w:val="0"/>
              <w:kinsoku/>
              <w:wordWrap/>
              <w:overflowPunct/>
              <w:autoSpaceDE/>
              <w:bidi w:val="0"/>
              <w:adjustRightInd/>
              <w:snapToGrid/>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本项目标的所属行业为《关于印发中小企业划型标准规定的通知》（工信部联企业{2011}300号）中所列</w:t>
            </w:r>
            <w:r>
              <w:rPr>
                <w:rFonts w:hint="eastAsia" w:ascii="宋体" w:hAnsi="宋体" w:eastAsia="宋体" w:cs="宋体"/>
                <w:b/>
                <w:bCs/>
                <w:color w:val="auto"/>
                <w:sz w:val="21"/>
                <w:szCs w:val="21"/>
                <w:highlight w:val="none"/>
                <w:lang w:eastAsia="zh-CN"/>
              </w:rPr>
              <w:t>“建筑业”</w:t>
            </w:r>
            <w:r>
              <w:rPr>
                <w:rFonts w:hint="eastAsia" w:ascii="宋体" w:hAnsi="宋体" w:eastAsia="宋体" w:cs="宋体"/>
                <w:b/>
                <w:bCs/>
                <w:color w:val="auto"/>
                <w:sz w:val="21"/>
                <w:szCs w:val="21"/>
                <w:highlight w:val="none"/>
              </w:rPr>
              <w:t>。</w:t>
            </w:r>
          </w:p>
        </w:tc>
      </w:tr>
      <w:tr w14:paraId="69DB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02FA61B9">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2234" w:type="dxa"/>
            <w:vAlign w:val="center"/>
          </w:tcPr>
          <w:p w14:paraId="77D2F81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磋商顺序</w:t>
            </w:r>
          </w:p>
        </w:tc>
        <w:tc>
          <w:tcPr>
            <w:tcW w:w="6305" w:type="dxa"/>
            <w:vAlign w:val="center"/>
          </w:tcPr>
          <w:p w14:paraId="1771BF8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磋商的顺序：按</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政采云</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系统的编号顺序。</w:t>
            </w:r>
          </w:p>
          <w:p w14:paraId="5CEE86E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bidi="ar"/>
              </w:rPr>
              <w:t>符合磋商资格的</w:t>
            </w:r>
            <w:r>
              <w:rPr>
                <w:rFonts w:hint="eastAsia" w:ascii="宋体" w:hAnsi="宋体" w:eastAsia="宋体" w:cs="宋体"/>
                <w:color w:val="auto"/>
                <w:kern w:val="0"/>
                <w:sz w:val="21"/>
                <w:szCs w:val="21"/>
                <w:highlight w:val="none"/>
                <w:lang w:eastAsia="zh-CN" w:bidi="ar"/>
              </w:rPr>
              <w:t>供应商</w:t>
            </w:r>
            <w:r>
              <w:rPr>
                <w:rFonts w:hint="eastAsia" w:ascii="宋体" w:hAnsi="宋体" w:eastAsia="宋体" w:cs="宋体"/>
                <w:color w:val="auto"/>
                <w:kern w:val="0"/>
                <w:sz w:val="21"/>
                <w:szCs w:val="21"/>
                <w:highlight w:val="none"/>
                <w:lang w:bidi="ar"/>
              </w:rPr>
              <w:t>必须在接到磋商通知后规定时间内参加磋商，未在规定时间内参加磋商的视同放弃参加磋商权利，其响应文件按无效响应处理。</w:t>
            </w:r>
          </w:p>
        </w:tc>
      </w:tr>
      <w:tr w14:paraId="6ACD5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8" w:type="dxa"/>
            <w:vAlign w:val="center"/>
          </w:tcPr>
          <w:p w14:paraId="362A464E">
            <w:pPr>
              <w:keepNext w:val="0"/>
              <w:keepLines w:val="0"/>
              <w:pageBreakBefore w:val="0"/>
              <w:kinsoku/>
              <w:wordWrap w:val="0"/>
              <w:overflowPunct/>
              <w:topLinePunct w:val="0"/>
              <w:autoSpaceDE/>
              <w:autoSpaceDN/>
              <w:bidi w:val="0"/>
              <w:adjustRightInd/>
              <w:snapToGrid/>
              <w:spacing w:line="400" w:lineRule="exact"/>
              <w:jc w:val="center"/>
              <w:textAlignment w:val="auto"/>
              <w:outlineLvl w:val="9"/>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234" w:type="dxa"/>
            <w:vAlign w:val="center"/>
          </w:tcPr>
          <w:p w14:paraId="08EE55C2">
            <w:pPr>
              <w:pStyle w:val="21"/>
              <w:keepNext w:val="0"/>
              <w:keepLines w:val="0"/>
              <w:pageBreakBefore w:val="0"/>
              <w:widowControl w:val="0"/>
              <w:kinsoku/>
              <w:overflowPunct/>
              <w:topLinePunct w:val="0"/>
              <w:autoSpaceDE/>
              <w:autoSpaceDN/>
              <w:bidi w:val="0"/>
              <w:adjustRightInd/>
              <w:snapToGrid/>
              <w:spacing w:line="400" w:lineRule="exact"/>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b w:val="0"/>
                <w:bCs/>
                <w:color w:val="auto"/>
                <w:sz w:val="21"/>
                <w:szCs w:val="21"/>
                <w:highlight w:val="none"/>
              </w:rPr>
              <w:t>政府采购政策响应</w:t>
            </w:r>
          </w:p>
        </w:tc>
        <w:tc>
          <w:tcPr>
            <w:tcW w:w="6305" w:type="dxa"/>
            <w:vAlign w:val="center"/>
          </w:tcPr>
          <w:p w14:paraId="3D8A8163">
            <w:pPr>
              <w:pStyle w:val="21"/>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一、小型和微型企业价格评分优惠政策</w:t>
            </w:r>
          </w:p>
          <w:p w14:paraId="68806F60">
            <w:pPr>
              <w:pStyle w:val="21"/>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根据《政府采购促进中小企业发展管理办法》（财库〔2020〕46号）、云南省财政厅关于贯彻《财政部关于进一步加大政府采购支持中小企业力度的通知》的通知（云财采〔2022〕9号）、《云南省人民政府关于贯彻落实扎实稳住经济一揽子政策措施的意见》（云政发〔2022〕32号）、《云南省人民政府办公厅关于印发云南省进一步帮扶中小微企业纾困发展工作方案的通知》（云政办发〔2022〕42号）、根据《国家统计局关于印发统计上大中小微型企业划分办法的通知》(国统字〔2017〕213号)的规定。</w:t>
            </w:r>
          </w:p>
          <w:p w14:paraId="79121022">
            <w:pPr>
              <w:pStyle w:val="21"/>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注：中小企业是指在中华人民共和国境内依法设立，依据国务院批准的中小企业划分标准确定的中型企业、小型企业和微型企业，但与大企业的负责人为同一人，或者与大企业存在直接控股、管理</w:t>
            </w:r>
            <w:r>
              <w:rPr>
                <w:rFonts w:hint="eastAsia" w:ascii="宋体" w:hAnsi="宋体" w:eastAsia="宋体" w:cs="宋体"/>
                <w:color w:val="auto"/>
                <w:sz w:val="21"/>
                <w:szCs w:val="21"/>
                <w:highlight w:val="none"/>
                <w:lang w:val="en-US" w:eastAsia="zh-CN"/>
              </w:rPr>
              <w:t>关</w:t>
            </w:r>
            <w:r>
              <w:rPr>
                <w:rFonts w:hint="eastAsia" w:ascii="宋体" w:hAnsi="宋体" w:eastAsia="宋体" w:cs="宋体"/>
                <w:color w:val="auto"/>
                <w:sz w:val="21"/>
                <w:szCs w:val="21"/>
                <w:highlight w:val="none"/>
              </w:rPr>
              <w:t>系的除外。符合中小企业划分标准的个体工商户，在政府采购活动中视同中小企业。</w:t>
            </w:r>
            <w:r>
              <w:rPr>
                <w:rFonts w:hint="eastAsia" w:ascii="宋体" w:hAnsi="宋体" w:eastAsia="宋体" w:cs="宋体"/>
                <w:b/>
                <w:bCs/>
                <w:color w:val="auto"/>
                <w:sz w:val="21"/>
                <w:szCs w:val="21"/>
                <w:highlight w:val="none"/>
              </w:rPr>
              <w:t>本项目是专门面向中小微企业采购的项目，不再执行价格评审优惠政策。</w:t>
            </w:r>
          </w:p>
          <w:p w14:paraId="479B76AC">
            <w:pPr>
              <w:pStyle w:val="21"/>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二、监狱企业优惠政策</w:t>
            </w:r>
          </w:p>
          <w:p w14:paraId="044EACCD">
            <w:pPr>
              <w:pStyle w:val="21"/>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根据《关于政府采购支持监狱企业发展有关问题的通知》(财库[2014]68号)的规定，监狱企业优惠政策，监狱企业参与本项目</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时，提供由省级以上监狱管理局、戒毒管理局(含新疆生产建设兵团)出具的属于监狱企业的证明文件的，视同小型、微型企业。</w:t>
            </w:r>
          </w:p>
          <w:p w14:paraId="243D6EDB">
            <w:pPr>
              <w:pStyle w:val="21"/>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三、残疾人福利性单位优惠政策</w:t>
            </w:r>
          </w:p>
          <w:p w14:paraId="4EA3A377">
            <w:pPr>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rPr>
              <w:t>根据《关于促进残疾人就业政府采购政策的通知》(财库[2017]141号)的规定，残疾人福利性单位优惠政策，残疾人福利性单位参与本项目</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时，提供《残疾人福利性单位声明函》并对声明的真实性负责，视同小型、微型企业。</w:t>
            </w:r>
          </w:p>
        </w:tc>
      </w:tr>
    </w:tbl>
    <w:p w14:paraId="4D3B8B9C">
      <w:pPr>
        <w:keepNext w:val="0"/>
        <w:keepLines w:val="0"/>
        <w:pageBreakBefore w:val="0"/>
        <w:widowControl w:val="0"/>
        <w:kinsoku/>
        <w:wordWrap w:val="0"/>
        <w:overflowPunct/>
        <w:topLinePunct w:val="0"/>
        <w:autoSpaceDE/>
        <w:autoSpaceDN/>
        <w:bidi w:val="0"/>
        <w:adjustRightInd/>
        <w:snapToGrid/>
        <w:spacing w:before="157" w:beforeLines="50" w:line="240" w:lineRule="auto"/>
        <w:jc w:val="center"/>
        <w:textAlignment w:val="auto"/>
        <w:outlineLvl w:val="1"/>
        <w:rPr>
          <w:rFonts w:hint="eastAsia" w:ascii="宋体" w:hAnsi="宋体" w:eastAsia="宋体" w:cs="宋体"/>
          <w:b/>
          <w:color w:val="auto"/>
          <w:sz w:val="28"/>
          <w:szCs w:val="28"/>
          <w:highlight w:val="none"/>
        </w:rPr>
      </w:pPr>
      <w:bookmarkStart w:id="64" w:name="_Toc2920"/>
      <w:r>
        <w:rPr>
          <w:rFonts w:hint="eastAsia" w:ascii="宋体" w:hAnsi="宋体" w:eastAsia="宋体" w:cs="宋体"/>
          <w:b/>
          <w:color w:val="auto"/>
          <w:sz w:val="28"/>
          <w:szCs w:val="28"/>
          <w:highlight w:val="none"/>
        </w:rPr>
        <w:t>供应商须知正文部分</w:t>
      </w:r>
      <w:bookmarkEnd w:id="64"/>
    </w:p>
    <w:p w14:paraId="72AF0560">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eastAsia="宋体" w:cs="宋体"/>
          <w:b/>
          <w:bCs/>
          <w:color w:val="auto"/>
          <w:sz w:val="24"/>
          <w:szCs w:val="24"/>
          <w:highlight w:val="none"/>
        </w:rPr>
      </w:pPr>
      <w:bookmarkStart w:id="65" w:name="_Toc23752"/>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总则</w:t>
      </w:r>
      <w:bookmarkEnd w:id="65"/>
    </w:p>
    <w:p w14:paraId="25DF3157">
      <w:pPr>
        <w:keepNext w:val="0"/>
        <w:keepLines w:val="0"/>
        <w:pageBreakBefore w:val="0"/>
        <w:widowControl w:val="0"/>
        <w:kinsoku/>
        <w:wordWrap w:val="0"/>
        <w:overflowPunct/>
        <w:topLinePunct w:val="0"/>
        <w:autoSpaceDE/>
        <w:autoSpaceDN/>
        <w:bidi w:val="0"/>
        <w:adjustRightInd/>
        <w:snapToGrid/>
        <w:spacing w:line="360" w:lineRule="auto"/>
        <w:ind w:firstLine="0" w:firstLineChars="0"/>
        <w:textAlignment w:val="baseline"/>
        <w:outlineLvl w:val="2"/>
        <w:rPr>
          <w:rFonts w:hint="eastAsia" w:ascii="宋体" w:hAnsi="宋体" w:eastAsia="宋体" w:cs="宋体"/>
          <w:b/>
          <w:bCs/>
          <w:color w:val="auto"/>
          <w:sz w:val="21"/>
          <w:szCs w:val="21"/>
          <w:highlight w:val="none"/>
        </w:rPr>
      </w:pPr>
      <w:bookmarkStart w:id="66" w:name="_Toc31635"/>
      <w:r>
        <w:rPr>
          <w:rFonts w:hint="eastAsia" w:ascii="宋体" w:hAnsi="宋体" w:eastAsia="宋体" w:cs="宋体"/>
          <w:b/>
          <w:bCs/>
          <w:color w:val="auto"/>
          <w:sz w:val="21"/>
          <w:szCs w:val="21"/>
          <w:highlight w:val="none"/>
        </w:rPr>
        <w:t>1.1</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项目概况</w:t>
      </w:r>
      <w:bookmarkEnd w:id="66"/>
    </w:p>
    <w:p w14:paraId="45F629DB">
      <w:pPr>
        <w:keepNext w:val="0"/>
        <w:keepLines w:val="0"/>
        <w:pageBreakBefore w:val="0"/>
        <w:widowControl/>
        <w:kinsoku/>
        <w:wordWrap w:val="0"/>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根据《中华人民共和国政府采购法》、《中华人民共和国政府采购法实施条例》、《政府采购竞争性磋商采购方式管理暂行办法》（财库〔2014〕214号）等有关法律、法规，本</w:t>
      </w:r>
      <w:r>
        <w:rPr>
          <w:rFonts w:hint="eastAsia" w:ascii="宋体" w:hAnsi="宋体" w:eastAsia="宋体" w:cs="宋体"/>
          <w:color w:val="auto"/>
          <w:sz w:val="21"/>
          <w:szCs w:val="21"/>
          <w:highlight w:val="none"/>
          <w:lang w:eastAsia="zh-CN"/>
        </w:rPr>
        <w:t>竞争性磋商</w:t>
      </w:r>
      <w:r>
        <w:rPr>
          <w:rFonts w:hint="eastAsia" w:ascii="宋体" w:hAnsi="宋体" w:eastAsia="宋体" w:cs="宋体"/>
          <w:color w:val="auto"/>
          <w:sz w:val="21"/>
          <w:szCs w:val="21"/>
          <w:highlight w:val="none"/>
        </w:rPr>
        <w:t>项目已具备</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条件，现对其进行</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w:t>
      </w:r>
    </w:p>
    <w:p w14:paraId="4B145355">
      <w:pPr>
        <w:keepNext w:val="0"/>
        <w:keepLines w:val="0"/>
        <w:pageBreakBefore w:val="0"/>
        <w:widowControl/>
        <w:kinsoku/>
        <w:wordWrap w:val="0"/>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采购人：见供应商须知前附表。</w:t>
      </w:r>
    </w:p>
    <w:p w14:paraId="33AB2A5D">
      <w:pPr>
        <w:keepNext w:val="0"/>
        <w:keepLines w:val="0"/>
        <w:pageBreakBefore w:val="0"/>
        <w:widowControl/>
        <w:kinsoku/>
        <w:wordWrap w:val="0"/>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采购代理机构：见供应商须知前附表。</w:t>
      </w:r>
    </w:p>
    <w:p w14:paraId="668DA510">
      <w:pPr>
        <w:keepNext w:val="0"/>
        <w:keepLines w:val="0"/>
        <w:pageBreakBefore w:val="0"/>
        <w:kinsoku/>
        <w:wordWrap w:val="0"/>
        <w:overflowPunct/>
        <w:topLinePunct w:val="0"/>
        <w:autoSpaceDE/>
        <w:autoSpaceDN/>
        <w:bidi w:val="0"/>
        <w:adjustRightInd/>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1.1.3 项目名称：见供应商须知前附表。</w:t>
      </w:r>
    </w:p>
    <w:p w14:paraId="5273A5C7">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67" w:name="_Toc4385"/>
      <w:r>
        <w:rPr>
          <w:rFonts w:hint="eastAsia" w:ascii="宋体" w:hAnsi="宋体" w:eastAsia="宋体" w:cs="宋体"/>
          <w:b/>
          <w:bCs/>
          <w:color w:val="auto"/>
          <w:sz w:val="21"/>
          <w:szCs w:val="21"/>
          <w:highlight w:val="none"/>
        </w:rPr>
        <w:t>1.2</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资金来源</w:t>
      </w:r>
      <w:bookmarkEnd w:id="67"/>
    </w:p>
    <w:p w14:paraId="4F1F3FF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本招标项目的资金落实情况：见供应商须知前附表。</w:t>
      </w:r>
    </w:p>
    <w:p w14:paraId="7284FAB7">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68" w:name="_Toc15000"/>
      <w:r>
        <w:rPr>
          <w:rFonts w:hint="eastAsia" w:ascii="宋体" w:hAnsi="宋体" w:eastAsia="宋体" w:cs="宋体"/>
          <w:b/>
          <w:bCs/>
          <w:color w:val="auto"/>
          <w:sz w:val="21"/>
          <w:szCs w:val="21"/>
          <w:highlight w:val="none"/>
        </w:rPr>
        <w:t>1.3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招标范围</w:t>
      </w:r>
      <w:bookmarkEnd w:id="68"/>
    </w:p>
    <w:p w14:paraId="70DC6E8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内容：见供应商须知前附表。</w:t>
      </w:r>
    </w:p>
    <w:p w14:paraId="4A2793F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w:t>
      </w:r>
      <w:r>
        <w:rPr>
          <w:rFonts w:hint="eastAsia" w:ascii="宋体" w:hAnsi="宋体" w:cs="宋体"/>
          <w:color w:val="auto"/>
          <w:sz w:val="21"/>
          <w:szCs w:val="21"/>
          <w:highlight w:val="none"/>
          <w:lang w:eastAsia="zh-CN"/>
        </w:rPr>
        <w:t>合同履行期限（工期）</w:t>
      </w:r>
      <w:r>
        <w:rPr>
          <w:rFonts w:hint="eastAsia" w:ascii="宋体" w:hAnsi="宋体" w:eastAsia="宋体" w:cs="宋体"/>
          <w:color w:val="auto"/>
          <w:sz w:val="21"/>
          <w:szCs w:val="21"/>
          <w:highlight w:val="none"/>
        </w:rPr>
        <w:t>：见供应商须知前附表。</w:t>
      </w:r>
    </w:p>
    <w:p w14:paraId="45AC4FE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w:t>
      </w:r>
      <w:r>
        <w:rPr>
          <w:rFonts w:hint="eastAsia" w:ascii="宋体" w:hAnsi="宋体" w:eastAsia="宋体" w:cs="宋体"/>
          <w:color w:val="auto"/>
          <w:sz w:val="21"/>
          <w:szCs w:val="21"/>
          <w:highlight w:val="none"/>
          <w:lang w:eastAsia="zh-CN"/>
        </w:rPr>
        <w:t>建设地点</w:t>
      </w:r>
      <w:r>
        <w:rPr>
          <w:rFonts w:hint="eastAsia" w:ascii="宋体" w:hAnsi="宋体" w:eastAsia="宋体" w:cs="宋体"/>
          <w:color w:val="auto"/>
          <w:sz w:val="21"/>
          <w:szCs w:val="21"/>
          <w:highlight w:val="none"/>
        </w:rPr>
        <w:t>：见供应商须知前附表。</w:t>
      </w:r>
    </w:p>
    <w:p w14:paraId="529F1787">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69" w:name="_Toc32766"/>
      <w:r>
        <w:rPr>
          <w:rFonts w:hint="eastAsia" w:ascii="宋体" w:hAnsi="宋体" w:eastAsia="宋体" w:cs="宋体"/>
          <w:b/>
          <w:bCs/>
          <w:color w:val="auto"/>
          <w:sz w:val="21"/>
          <w:szCs w:val="21"/>
          <w:highlight w:val="none"/>
        </w:rPr>
        <w:t>1.4 供应商资格要求</w:t>
      </w:r>
      <w:bookmarkEnd w:id="69"/>
    </w:p>
    <w:p w14:paraId="6159438B">
      <w:pPr>
        <w:keepNext w:val="0"/>
        <w:keepLines w:val="0"/>
        <w:pageBreakBefore w:val="0"/>
        <w:kinsoku/>
        <w:wordWrap w:val="0"/>
        <w:overflowPunct/>
        <w:topLinePunct w:val="0"/>
        <w:autoSpaceDE/>
        <w:autoSpaceDN/>
        <w:bidi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详见招标文件第一章《竞争性磋商公告》“二、</w:t>
      </w:r>
      <w:r>
        <w:rPr>
          <w:rFonts w:hint="eastAsia" w:ascii="宋体" w:hAnsi="宋体" w:eastAsia="宋体" w:cs="宋体"/>
          <w:bCs/>
          <w:color w:val="auto"/>
          <w:sz w:val="21"/>
          <w:szCs w:val="21"/>
          <w:highlight w:val="none"/>
          <w:lang w:eastAsia="zh-CN"/>
        </w:rPr>
        <w:t>申请人资格要求</w:t>
      </w:r>
      <w:r>
        <w:rPr>
          <w:rFonts w:hint="eastAsia" w:ascii="宋体" w:hAnsi="宋体" w:eastAsia="宋体" w:cs="宋体"/>
          <w:bCs/>
          <w:color w:val="auto"/>
          <w:sz w:val="21"/>
          <w:szCs w:val="21"/>
          <w:highlight w:val="none"/>
        </w:rPr>
        <w:t>”。</w:t>
      </w:r>
    </w:p>
    <w:p w14:paraId="372FF65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70" w:name="_Toc10720"/>
      <w:r>
        <w:rPr>
          <w:rFonts w:hint="eastAsia" w:ascii="宋体" w:hAnsi="宋体" w:eastAsia="宋体" w:cs="宋体"/>
          <w:b/>
          <w:bCs/>
          <w:color w:val="auto"/>
          <w:sz w:val="21"/>
          <w:szCs w:val="21"/>
          <w:highlight w:val="none"/>
        </w:rPr>
        <w:t>1.5 费用承担</w:t>
      </w:r>
      <w:bookmarkEnd w:id="70"/>
    </w:p>
    <w:p w14:paraId="7D6F892E">
      <w:pPr>
        <w:keepNext w:val="0"/>
        <w:keepLines w:val="0"/>
        <w:pageBreakBefore w:val="0"/>
        <w:widowControl w:val="0"/>
        <w:kinsoku/>
        <w:wordWrap w:val="0"/>
        <w:overflowPunct/>
        <w:topLinePunct w:val="0"/>
        <w:autoSpaceDE/>
        <w:autoSpaceDN/>
        <w:bidi w:val="0"/>
        <w:adjustRightInd/>
        <w:snapToGrid/>
        <w:spacing w:after="157" w:afterLines="50" w:line="360" w:lineRule="auto"/>
        <w:ind w:firstLine="420" w:firstLineChars="200"/>
        <w:textAlignment w:val="auto"/>
        <w:rPr>
          <w:rFonts w:hint="eastAsia" w:ascii="宋体" w:hAnsi="宋体" w:eastAsia="宋体" w:cs="宋体"/>
          <w:bCs/>
          <w:color w:val="auto"/>
          <w:kern w:val="0"/>
          <w:sz w:val="21"/>
          <w:szCs w:val="21"/>
          <w:highlight w:val="none"/>
        </w:rPr>
      </w:pPr>
      <w:r>
        <w:rPr>
          <w:rFonts w:hint="eastAsia" w:ascii="宋体" w:hAnsi="宋体" w:cs="宋体"/>
          <w:bCs/>
          <w:color w:val="auto"/>
          <w:sz w:val="21"/>
          <w:szCs w:val="21"/>
          <w:highlight w:val="none"/>
          <w:lang w:val="en-US" w:eastAsia="zh-CN"/>
        </w:rPr>
        <w:t>1.5.1</w:t>
      </w:r>
      <w:r>
        <w:rPr>
          <w:rFonts w:hint="eastAsia" w:ascii="宋体" w:hAnsi="宋体" w:eastAsia="宋体" w:cs="宋体"/>
          <w:bCs/>
          <w:color w:val="auto"/>
          <w:sz w:val="21"/>
          <w:szCs w:val="21"/>
          <w:highlight w:val="none"/>
        </w:rPr>
        <w:t>供应商准备和参加磋商活动</w:t>
      </w:r>
      <w:r>
        <w:rPr>
          <w:rFonts w:hint="eastAsia" w:ascii="宋体" w:hAnsi="宋体" w:eastAsia="宋体" w:cs="宋体"/>
          <w:bCs/>
          <w:color w:val="auto"/>
          <w:kern w:val="0"/>
          <w:sz w:val="21"/>
          <w:szCs w:val="21"/>
          <w:highlight w:val="none"/>
        </w:rPr>
        <w:t>发生的费用自理。</w:t>
      </w:r>
    </w:p>
    <w:p w14:paraId="789C2EE1">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0" w:firstLineChars="200"/>
        <w:textAlignment w:val="auto"/>
        <w:rPr>
          <w:rFonts w:hint="eastAsia"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1.5.2招标代理服务费</w:t>
      </w:r>
    </w:p>
    <w:p w14:paraId="01C5D0C6">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2" w:firstLineChars="200"/>
        <w:textAlignment w:val="auto"/>
        <w:rPr>
          <w:rFonts w:hint="eastAsia" w:ascii="宋体" w:hAnsi="宋体" w:cs="宋体"/>
          <w:b/>
          <w:bCs/>
          <w:color w:val="auto"/>
          <w:kern w:val="0"/>
          <w:sz w:val="21"/>
          <w:szCs w:val="21"/>
          <w:highlight w:val="none"/>
          <w:lang w:val="en-US" w:eastAsia="zh-CN"/>
        </w:rPr>
      </w:pPr>
      <w:r>
        <w:rPr>
          <w:rFonts w:hint="eastAsia" w:ascii="宋体" w:hAnsi="宋体" w:cs="宋体"/>
          <w:b/>
          <w:bCs/>
          <w:color w:val="auto"/>
          <w:kern w:val="0"/>
          <w:sz w:val="21"/>
          <w:szCs w:val="21"/>
          <w:highlight w:val="none"/>
          <w:lang w:val="en-US" w:eastAsia="zh-CN"/>
        </w:rPr>
        <w:t>招标代理服务费参照“云南省建设工程招标投标行业协会关于印发《云南省建设工程及政府采购代理服务收费参考意见》的通知（云建招协[2026]11号）“收费标准计取，以中标价为计算基数进行计收，由中标（成交）人支付；投标人的报价应包含招标代理服务费，投标人在投标报价时应将上述费用考虑在投标成本中。</w:t>
      </w:r>
    </w:p>
    <w:p w14:paraId="68450732">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firstLine="420" w:firstLineChars="200"/>
        <w:textAlignment w:val="auto"/>
        <w:rPr>
          <w:rFonts w:hint="eastAsia" w:ascii="宋体" w:hAnsi="宋体" w:cs="宋体"/>
          <w:b w:val="0"/>
          <w:bCs w:val="0"/>
          <w:color w:val="auto"/>
          <w:kern w:val="0"/>
          <w:sz w:val="21"/>
          <w:szCs w:val="21"/>
          <w:highlight w:val="none"/>
          <w:lang w:val="en-US" w:eastAsia="zh-CN"/>
        </w:rPr>
      </w:pPr>
      <w:r>
        <w:rPr>
          <w:rFonts w:hint="eastAsia" w:ascii="宋体" w:hAnsi="宋体" w:cs="宋体"/>
          <w:b w:val="0"/>
          <w:bCs w:val="0"/>
          <w:color w:val="auto"/>
          <w:kern w:val="0"/>
          <w:sz w:val="21"/>
          <w:szCs w:val="21"/>
          <w:highlight w:val="none"/>
          <w:lang w:val="en-US" w:eastAsia="zh-CN"/>
        </w:rPr>
        <w:t>支付方式：转账。</w:t>
      </w:r>
    </w:p>
    <w:p w14:paraId="5D906270">
      <w:pPr>
        <w:keepNext w:val="0"/>
        <w:keepLines w:val="0"/>
        <w:pageBreakBefore w:val="0"/>
        <w:widowControl w:val="0"/>
        <w:tabs>
          <w:tab w:val="left" w:pos="6527"/>
        </w:tabs>
        <w:kinsoku/>
        <w:wordWrap w:val="0"/>
        <w:overflowPunct/>
        <w:topLinePunct w:val="0"/>
        <w:autoSpaceDE/>
        <w:autoSpaceDN/>
        <w:bidi w:val="0"/>
        <w:adjustRightInd w:val="0"/>
        <w:snapToGrid w:val="0"/>
        <w:spacing w:before="157" w:beforeLines="50"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1.5.3</w:t>
      </w:r>
      <w:r>
        <w:rPr>
          <w:rFonts w:hint="eastAsia" w:ascii="宋体" w:hAnsi="宋体" w:eastAsia="宋体" w:cs="宋体"/>
          <w:color w:val="auto"/>
          <w:kern w:val="0"/>
          <w:sz w:val="21"/>
          <w:szCs w:val="21"/>
          <w:highlight w:val="none"/>
        </w:rPr>
        <w:t>其他费用按国家、省、市相关规定收取。</w:t>
      </w:r>
      <w:r>
        <w:rPr>
          <w:rFonts w:hint="eastAsia" w:ascii="宋体" w:hAnsi="宋体" w:eastAsia="宋体" w:cs="宋体"/>
          <w:color w:val="auto"/>
          <w:kern w:val="0"/>
          <w:sz w:val="21"/>
          <w:szCs w:val="21"/>
          <w:highlight w:val="none"/>
          <w:lang w:eastAsia="zh-CN"/>
        </w:rPr>
        <w:tab/>
      </w:r>
    </w:p>
    <w:p w14:paraId="47BD9068">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71" w:name="_Toc16300"/>
      <w:r>
        <w:rPr>
          <w:rFonts w:hint="eastAsia" w:ascii="宋体" w:hAnsi="宋体" w:eastAsia="宋体" w:cs="宋体"/>
          <w:b/>
          <w:bCs/>
          <w:color w:val="auto"/>
          <w:sz w:val="21"/>
          <w:szCs w:val="21"/>
          <w:highlight w:val="none"/>
        </w:rPr>
        <w:t>1.6 保密</w:t>
      </w:r>
      <w:bookmarkEnd w:id="71"/>
    </w:p>
    <w:p w14:paraId="5DF9C9ED">
      <w:pPr>
        <w:keepNext w:val="0"/>
        <w:keepLines w:val="0"/>
        <w:pageBreakBefore w:val="0"/>
        <w:kinsoku/>
        <w:wordWrap w:val="0"/>
        <w:overflowPunct/>
        <w:topLinePunct w:val="0"/>
        <w:autoSpaceDE/>
        <w:autoSpaceDN/>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参与</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活动的各方应对</w:t>
      </w:r>
      <w:r>
        <w:rPr>
          <w:rFonts w:hint="eastAsia" w:ascii="宋体" w:hAnsi="宋体" w:eastAsia="宋体" w:cs="宋体"/>
          <w:color w:val="auto"/>
          <w:sz w:val="21"/>
          <w:szCs w:val="21"/>
          <w:highlight w:val="none"/>
          <w:lang w:eastAsia="zh-CN"/>
        </w:rPr>
        <w:t>竞争性磋商</w:t>
      </w:r>
      <w:r>
        <w:rPr>
          <w:rFonts w:hint="eastAsia" w:ascii="宋体" w:hAnsi="宋体" w:eastAsia="宋体" w:cs="宋体"/>
          <w:color w:val="auto"/>
          <w:sz w:val="21"/>
          <w:szCs w:val="21"/>
          <w:highlight w:val="none"/>
        </w:rPr>
        <w:t>文件和响应文件中的商业和技术等秘密保密，违者应对由此造成的后果承担法律责任。</w:t>
      </w:r>
    </w:p>
    <w:p w14:paraId="05E62C7D">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72" w:name="_Toc32481"/>
      <w:r>
        <w:rPr>
          <w:rFonts w:hint="eastAsia" w:ascii="宋体" w:hAnsi="宋体" w:eastAsia="宋体" w:cs="宋体"/>
          <w:b/>
          <w:bCs/>
          <w:color w:val="auto"/>
          <w:sz w:val="21"/>
          <w:szCs w:val="21"/>
          <w:highlight w:val="none"/>
        </w:rPr>
        <w:t>1.7 语言文字</w:t>
      </w:r>
      <w:bookmarkEnd w:id="72"/>
    </w:p>
    <w:p w14:paraId="0E4033E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除专用术语外，与招标磋商有关的语言均使用中文，必要时专用术语应附有中文注释。</w:t>
      </w:r>
    </w:p>
    <w:p w14:paraId="1F6A8B8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发布</w:t>
      </w:r>
      <w:r>
        <w:rPr>
          <w:rFonts w:hint="eastAsia" w:ascii="宋体" w:hAnsi="宋体" w:eastAsia="宋体" w:cs="宋体"/>
          <w:color w:val="auto"/>
          <w:sz w:val="21"/>
          <w:szCs w:val="21"/>
          <w:highlight w:val="none"/>
        </w:rPr>
        <w:t>日期：见供应商须知前附表。</w:t>
      </w:r>
    </w:p>
    <w:p w14:paraId="406A2209">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73" w:name="_Toc20132"/>
      <w:r>
        <w:rPr>
          <w:rFonts w:hint="eastAsia" w:ascii="宋体" w:hAnsi="宋体" w:eastAsia="宋体" w:cs="宋体"/>
          <w:b/>
          <w:bCs/>
          <w:color w:val="auto"/>
          <w:sz w:val="21"/>
          <w:szCs w:val="21"/>
          <w:highlight w:val="none"/>
        </w:rPr>
        <w:t>1.8 计量单位</w:t>
      </w:r>
      <w:bookmarkEnd w:id="73"/>
    </w:p>
    <w:p w14:paraId="58FB134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所有计量均采用中华人民共和国法定计量单位。</w:t>
      </w:r>
    </w:p>
    <w:p w14:paraId="733D735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 xml:space="preserve">1 </w:t>
      </w:r>
      <w:r>
        <w:rPr>
          <w:rFonts w:hint="eastAsia" w:ascii="宋体" w:hAnsi="宋体" w:eastAsia="宋体" w:cs="宋体"/>
          <w:color w:val="auto"/>
          <w:sz w:val="21"/>
          <w:szCs w:val="21"/>
          <w:highlight w:val="none"/>
        </w:rPr>
        <w:t>采购文件澄清或修改的截止时间：见供应商须知前附表。</w:t>
      </w:r>
    </w:p>
    <w:p w14:paraId="7567B11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1.8.2 </w:t>
      </w:r>
      <w:r>
        <w:rPr>
          <w:rFonts w:hint="eastAsia" w:ascii="宋体" w:hAnsi="宋体" w:eastAsia="宋体" w:cs="宋体"/>
          <w:color w:val="auto"/>
          <w:sz w:val="21"/>
          <w:szCs w:val="21"/>
          <w:highlight w:val="none"/>
        </w:rPr>
        <w:t>采购文件提疑的截止时间：见供应商须知前附表。</w:t>
      </w:r>
    </w:p>
    <w:p w14:paraId="7683A73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 xml:space="preserve">3 </w:t>
      </w:r>
      <w:r>
        <w:rPr>
          <w:rFonts w:hint="eastAsia" w:ascii="宋体" w:hAnsi="宋体" w:eastAsia="宋体" w:cs="宋体"/>
          <w:color w:val="auto"/>
          <w:sz w:val="21"/>
          <w:szCs w:val="21"/>
          <w:highlight w:val="none"/>
        </w:rPr>
        <w:t>响应文件递交截止时间：见供应商须知前附表。</w:t>
      </w:r>
    </w:p>
    <w:p w14:paraId="1DB24A3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rPr>
        <w:t>响应文件递交地点：见供应商须知前附表。</w:t>
      </w:r>
    </w:p>
    <w:p w14:paraId="324AFE2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r>
        <w:rPr>
          <w:rFonts w:hint="eastAsia" w:ascii="宋体" w:hAnsi="宋体" w:eastAsia="宋体" w:cs="宋体"/>
          <w:color w:val="auto"/>
          <w:sz w:val="21"/>
          <w:szCs w:val="21"/>
          <w:highlight w:val="none"/>
          <w:lang w:val="en-US" w:eastAsia="zh-CN"/>
        </w:rPr>
        <w:t xml:space="preserve">5 </w:t>
      </w:r>
      <w:r>
        <w:rPr>
          <w:rFonts w:hint="eastAsia" w:ascii="宋体" w:hAnsi="宋体" w:eastAsia="宋体" w:cs="宋体"/>
          <w:color w:val="auto"/>
          <w:sz w:val="21"/>
          <w:szCs w:val="21"/>
          <w:highlight w:val="none"/>
        </w:rPr>
        <w:t>如果澄清发出的时间距1.8.2供应商须知前附表规定的磋商截止时间不足5天，并且澄清内容影响响应文件编制的，将相应延长磋商截止时间。</w:t>
      </w:r>
    </w:p>
    <w:p w14:paraId="054EF12F">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74" w:name="_Toc18853"/>
      <w:r>
        <w:rPr>
          <w:rFonts w:hint="eastAsia" w:ascii="宋体" w:hAnsi="宋体" w:cs="宋体"/>
          <w:b/>
          <w:bCs/>
          <w:color w:val="auto"/>
          <w:sz w:val="24"/>
          <w:szCs w:val="24"/>
          <w:highlight w:val="none"/>
          <w:lang w:val="en-US" w:eastAsia="zh-CN"/>
        </w:rPr>
        <w:t>2．磋商文件</w:t>
      </w:r>
      <w:bookmarkEnd w:id="74"/>
    </w:p>
    <w:p w14:paraId="5E037FFD">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rPr>
      </w:pPr>
      <w:bookmarkStart w:id="75" w:name="_Toc8820"/>
      <w:r>
        <w:rPr>
          <w:rFonts w:hint="eastAsia" w:ascii="宋体" w:hAnsi="宋体" w:eastAsia="宋体" w:cs="宋体"/>
          <w:b/>
          <w:bCs/>
          <w:color w:val="auto"/>
          <w:sz w:val="21"/>
          <w:szCs w:val="21"/>
          <w:highlight w:val="none"/>
        </w:rPr>
        <w:t xml:space="preserve">2.1 </w:t>
      </w:r>
      <w:r>
        <w:rPr>
          <w:rFonts w:hint="eastAsia" w:ascii="宋体" w:hAnsi="宋体" w:eastAsia="宋体" w:cs="宋体"/>
          <w:b/>
          <w:bCs/>
          <w:color w:val="auto"/>
          <w:sz w:val="21"/>
          <w:szCs w:val="21"/>
          <w:highlight w:val="none"/>
          <w:lang w:eastAsia="zh-CN"/>
        </w:rPr>
        <w:t>磋商</w:t>
      </w:r>
      <w:r>
        <w:rPr>
          <w:rFonts w:hint="eastAsia" w:ascii="宋体" w:hAnsi="宋体" w:eastAsia="宋体" w:cs="宋体"/>
          <w:b/>
          <w:bCs/>
          <w:color w:val="auto"/>
          <w:sz w:val="21"/>
          <w:szCs w:val="21"/>
          <w:highlight w:val="none"/>
        </w:rPr>
        <w:t>文件的组成</w:t>
      </w:r>
      <w:bookmarkEnd w:id="75"/>
    </w:p>
    <w:p w14:paraId="6B99CFD4">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采购人要求提供的货物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工程或者服务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采购过程及合同条款在竞争性磋商文件中均有说明，竞争性磋商文件共六章，各章的内容如下：</w:t>
      </w:r>
    </w:p>
    <w:p w14:paraId="0662D45F">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第一章 竞争性磋商公告</w:t>
      </w:r>
    </w:p>
    <w:p w14:paraId="6A7CA1B5">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第二章 供应商须知</w:t>
      </w:r>
    </w:p>
    <w:p w14:paraId="071EB372">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第三章 评审方法</w:t>
      </w:r>
    </w:p>
    <w:p w14:paraId="54733A01">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第四章 采购需求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工程量清单，另附）</w:t>
      </w:r>
    </w:p>
    <w:p w14:paraId="478DA546">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第五章 合同书样式及主要条款</w:t>
      </w:r>
    </w:p>
    <w:p w14:paraId="2E2A485E">
      <w:pPr>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第六章 响应文件格式</w:t>
      </w:r>
    </w:p>
    <w:p w14:paraId="7F690F3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eastAsia="zh-CN"/>
        </w:rPr>
      </w:pPr>
      <w:bookmarkStart w:id="76" w:name="_Toc24707"/>
      <w:r>
        <w:rPr>
          <w:rFonts w:hint="eastAsia" w:ascii="宋体" w:hAnsi="宋体" w:eastAsia="宋体" w:cs="宋体"/>
          <w:b/>
          <w:bCs/>
          <w:color w:val="auto"/>
          <w:sz w:val="21"/>
          <w:szCs w:val="21"/>
          <w:highlight w:val="none"/>
        </w:rPr>
        <w:t xml:space="preserve">2.2 </w:t>
      </w:r>
      <w:r>
        <w:rPr>
          <w:rFonts w:hint="eastAsia" w:ascii="宋体" w:hAnsi="宋体" w:eastAsia="宋体" w:cs="宋体"/>
          <w:b/>
          <w:bCs/>
          <w:color w:val="auto"/>
          <w:sz w:val="21"/>
          <w:szCs w:val="21"/>
          <w:highlight w:val="none"/>
          <w:lang w:eastAsia="zh-CN"/>
        </w:rPr>
        <w:t>竞争性磋商</w:t>
      </w:r>
      <w:r>
        <w:rPr>
          <w:rFonts w:hint="eastAsia" w:ascii="宋体" w:hAnsi="宋体" w:eastAsia="宋体" w:cs="宋体"/>
          <w:b/>
          <w:bCs/>
          <w:color w:val="auto"/>
          <w:sz w:val="21"/>
          <w:szCs w:val="21"/>
          <w:highlight w:val="none"/>
        </w:rPr>
        <w:t>文件的</w:t>
      </w:r>
      <w:r>
        <w:rPr>
          <w:rFonts w:hint="eastAsia" w:ascii="宋体" w:hAnsi="宋体" w:eastAsia="宋体" w:cs="宋体"/>
          <w:b/>
          <w:bCs/>
          <w:color w:val="auto"/>
          <w:sz w:val="21"/>
          <w:szCs w:val="21"/>
          <w:highlight w:val="none"/>
          <w:lang w:eastAsia="zh-CN"/>
        </w:rPr>
        <w:t>询问、</w:t>
      </w:r>
      <w:r>
        <w:rPr>
          <w:rFonts w:hint="eastAsia" w:ascii="宋体" w:hAnsi="宋体" w:eastAsia="宋体" w:cs="宋体"/>
          <w:b/>
          <w:bCs/>
          <w:color w:val="auto"/>
          <w:sz w:val="21"/>
          <w:szCs w:val="21"/>
          <w:highlight w:val="none"/>
        </w:rPr>
        <w:t>澄清</w:t>
      </w:r>
      <w:r>
        <w:rPr>
          <w:rFonts w:hint="eastAsia" w:ascii="宋体" w:hAnsi="宋体" w:eastAsia="宋体" w:cs="宋体"/>
          <w:b/>
          <w:bCs/>
          <w:color w:val="auto"/>
          <w:sz w:val="21"/>
          <w:szCs w:val="21"/>
          <w:highlight w:val="none"/>
          <w:lang w:eastAsia="zh-CN"/>
        </w:rPr>
        <w:t>、修改</w:t>
      </w:r>
      <w:bookmarkEnd w:id="76"/>
    </w:p>
    <w:p w14:paraId="72A480B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453D3B1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磋商文件询问联系方式：详见《供应商须知前附表》1.1.2。</w:t>
      </w:r>
    </w:p>
    <w:p w14:paraId="51C0FAB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提交首次响应文件截止之日前，采购人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采购代理机构或者磋商小组可以对已发出的磋商文件进行必要的澄清或者修改，澄清或者修改的内容作为磋商文件的组成部分。</w:t>
      </w:r>
    </w:p>
    <w:p w14:paraId="7D665C4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2.2.4 </w:t>
      </w:r>
      <w:r>
        <w:rPr>
          <w:rFonts w:hint="eastAsia" w:ascii="宋体" w:hAnsi="宋体" w:eastAsia="宋体" w:cs="宋体"/>
          <w:color w:val="auto"/>
          <w:sz w:val="21"/>
          <w:szCs w:val="21"/>
          <w:highlight w:val="none"/>
        </w:rPr>
        <w:t>澄清或者修改的内容可能影响响应文件编制的，采购人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采购代理机构将在提交首次响应文件截止时间至少5日前，以书面形式通知所有获取磋商文件的供应商；不足5日的，采购人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采购代理机构将顺延提交首次响应文件截止时间</w:t>
      </w:r>
      <w:r>
        <w:rPr>
          <w:rFonts w:hint="eastAsia" w:ascii="宋体" w:hAnsi="宋体" w:eastAsia="宋体" w:cs="宋体"/>
          <w:color w:val="auto"/>
          <w:sz w:val="21"/>
          <w:szCs w:val="21"/>
          <w:highlight w:val="none"/>
          <w:lang w:eastAsia="zh-CN"/>
        </w:rPr>
        <w:t>。</w:t>
      </w:r>
    </w:p>
    <w:p w14:paraId="5E24CA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2.2.5 </w:t>
      </w:r>
      <w:r>
        <w:rPr>
          <w:rFonts w:hint="eastAsia" w:ascii="宋体" w:hAnsi="宋体" w:eastAsia="宋体" w:cs="宋体"/>
          <w:color w:val="auto"/>
          <w:sz w:val="21"/>
          <w:szCs w:val="21"/>
          <w:highlight w:val="none"/>
        </w:rPr>
        <w:t>供应商确认收到竞争性磋商文件澄清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修改后，应在收到澄清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修改后24小时内以书面形式通知采购人或采购代理机构，确认已收到该澄清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修改</w:t>
      </w:r>
      <w:r>
        <w:rPr>
          <w:rFonts w:hint="eastAsia" w:ascii="宋体" w:hAnsi="宋体" w:eastAsia="宋体" w:cs="宋体"/>
          <w:color w:val="auto"/>
          <w:sz w:val="21"/>
          <w:szCs w:val="21"/>
          <w:highlight w:val="none"/>
          <w:lang w:eastAsia="zh-CN"/>
        </w:rPr>
        <w:t>。</w:t>
      </w:r>
    </w:p>
    <w:p w14:paraId="3EB1424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2.2.6 </w:t>
      </w:r>
      <w:r>
        <w:rPr>
          <w:rFonts w:hint="eastAsia" w:ascii="宋体" w:hAnsi="宋体" w:eastAsia="宋体" w:cs="宋体"/>
          <w:color w:val="auto"/>
          <w:sz w:val="21"/>
          <w:szCs w:val="21"/>
          <w:highlight w:val="none"/>
        </w:rPr>
        <w:t>在磋商过程中，磋商小组可以根据磋商文件和磋商情况实质性变动服务要求中的技术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服务要求以及合同草案条款，但不得变动磋商文件中的其他内容。实质性变动的内容，须经采购人代表确认。本项目磋商小组根据与供应商磋商情况可能实质性变动的内容见《供应商须知前附表》。</w:t>
      </w:r>
    </w:p>
    <w:p w14:paraId="3CB786F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2.2.7 </w:t>
      </w:r>
      <w:r>
        <w:rPr>
          <w:rFonts w:hint="eastAsia" w:ascii="宋体" w:hAnsi="宋体" w:eastAsia="宋体" w:cs="宋体"/>
          <w:color w:val="auto"/>
          <w:sz w:val="21"/>
          <w:szCs w:val="21"/>
          <w:highlight w:val="none"/>
        </w:rPr>
        <w:t>实质性变动服务要求中的技术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服务要求以及合同草案条款不得对涉及对竞争性磋商文件公平</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公正性内容进行修改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变动。</w:t>
      </w:r>
    </w:p>
    <w:p w14:paraId="74E6665B">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77" w:name="_Toc6925"/>
      <w:r>
        <w:rPr>
          <w:rFonts w:hint="eastAsia" w:ascii="宋体" w:hAnsi="宋体" w:cs="宋体"/>
          <w:b/>
          <w:bCs/>
          <w:color w:val="auto"/>
          <w:sz w:val="24"/>
          <w:szCs w:val="24"/>
          <w:highlight w:val="none"/>
          <w:lang w:val="en-US" w:eastAsia="zh-CN"/>
        </w:rPr>
        <w:t>3．响应文件</w:t>
      </w:r>
      <w:bookmarkEnd w:id="77"/>
    </w:p>
    <w:p w14:paraId="5881C162">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78" w:name="_Toc25277"/>
      <w:r>
        <w:rPr>
          <w:rFonts w:hint="eastAsia" w:ascii="宋体" w:hAnsi="宋体" w:eastAsia="宋体" w:cs="宋体"/>
          <w:b/>
          <w:bCs/>
          <w:color w:val="auto"/>
          <w:sz w:val="21"/>
          <w:szCs w:val="21"/>
          <w:highlight w:val="none"/>
          <w:lang w:val="en-US" w:eastAsia="zh-CN"/>
        </w:rPr>
        <w:t>3.1 响应文件编写注意事项</w:t>
      </w:r>
      <w:bookmarkEnd w:id="78"/>
    </w:p>
    <w:p w14:paraId="30CF6A44">
      <w:pPr>
        <w:keepNext w:val="0"/>
        <w:keepLines w:val="0"/>
        <w:pageBreakBefore w:val="0"/>
        <w:widowControl w:val="0"/>
        <w:kinsoku/>
        <w:wordWrap w:val="0"/>
        <w:overflowPunct/>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3.1.1 供应商应仔细阅读竞争性磋商文件，在完全了解采购的内容、技术性能要求（见第三章《采购需求》）和商务条件后，根据竞争性磋商文件要求编写响应文件。</w:t>
      </w:r>
    </w:p>
    <w:p w14:paraId="71EB74C6">
      <w:pPr>
        <w:keepNext w:val="0"/>
        <w:keepLines w:val="0"/>
        <w:pageBreakBefore w:val="0"/>
        <w:widowControl w:val="0"/>
        <w:kinsoku/>
        <w:wordWrap w:val="0"/>
        <w:overflowPunct/>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24AAF127">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79" w:name="_Toc25975"/>
      <w:r>
        <w:rPr>
          <w:rFonts w:hint="eastAsia" w:ascii="宋体" w:hAnsi="宋体" w:eastAsia="宋体" w:cs="宋体"/>
          <w:b/>
          <w:bCs/>
          <w:color w:val="auto"/>
          <w:sz w:val="21"/>
          <w:szCs w:val="21"/>
          <w:highlight w:val="none"/>
          <w:lang w:val="en-US" w:eastAsia="zh-CN"/>
        </w:rPr>
        <w:t>3.2 响应文件的组成</w:t>
      </w:r>
      <w:bookmarkEnd w:id="79"/>
    </w:p>
    <w:p w14:paraId="74D4AFAD">
      <w:pPr>
        <w:keepNext w:val="0"/>
        <w:keepLines w:val="0"/>
        <w:pageBreakBefore w:val="0"/>
        <w:widowControl w:val="0"/>
        <w:kinsoku/>
        <w:wordWrap w:val="0"/>
        <w:overflowPunct/>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供应商编写的响应文件应按第六章“响应文件格式”要求填写。</w:t>
      </w:r>
    </w:p>
    <w:p w14:paraId="0C85F049">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0" w:name="_Toc20696"/>
      <w:r>
        <w:rPr>
          <w:rFonts w:hint="eastAsia" w:ascii="宋体" w:hAnsi="宋体" w:eastAsia="宋体" w:cs="宋体"/>
          <w:b/>
          <w:bCs/>
          <w:color w:val="auto"/>
          <w:sz w:val="21"/>
          <w:szCs w:val="21"/>
          <w:highlight w:val="none"/>
          <w:lang w:val="en-US" w:eastAsia="zh-CN"/>
        </w:rPr>
        <w:t>3.3 响应文件的格式要求</w:t>
      </w:r>
      <w:bookmarkEnd w:id="80"/>
    </w:p>
    <w:p w14:paraId="56CE4417">
      <w:pPr>
        <w:keepNext w:val="0"/>
        <w:keepLines w:val="0"/>
        <w:pageBreakBefore w:val="0"/>
        <w:widowControl w:val="0"/>
        <w:kinsoku/>
        <w:wordWrap w:val="0"/>
        <w:overflowPunct/>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3.3.1 供应商应按第六章《响应文件格式》提供的格式完整地填写。</w:t>
      </w:r>
    </w:p>
    <w:p w14:paraId="55F55A9A">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3.3.2 响应文件应当对竞争性磋商采购文件有关交货期、投标有效期、采购内容及相关要</w:t>
      </w:r>
      <w:r>
        <w:rPr>
          <w:rFonts w:hint="eastAsia" w:ascii="宋体" w:hAnsi="宋体" w:eastAsia="宋体" w:cs="宋体"/>
          <w:color w:val="auto"/>
          <w:kern w:val="2"/>
          <w:sz w:val="21"/>
          <w:szCs w:val="21"/>
          <w:highlight w:val="none"/>
          <w:lang w:val="en-US" w:eastAsia="zh-CN" w:bidi="ar-SA"/>
        </w:rPr>
        <w:t>求等实质性内容作出响应。</w:t>
      </w:r>
    </w:p>
    <w:p w14:paraId="6448C91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1" w:name="_Toc28988"/>
      <w:r>
        <w:rPr>
          <w:rFonts w:hint="eastAsia" w:ascii="宋体" w:hAnsi="宋体" w:eastAsia="宋体" w:cs="宋体"/>
          <w:b/>
          <w:bCs/>
          <w:color w:val="auto"/>
          <w:sz w:val="21"/>
          <w:szCs w:val="21"/>
          <w:highlight w:val="none"/>
          <w:lang w:val="en-US" w:eastAsia="zh-CN"/>
        </w:rPr>
        <w:t>3.4 响应文件有效期</w:t>
      </w:r>
      <w:bookmarkEnd w:id="81"/>
    </w:p>
    <w:p w14:paraId="1C35803C">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3.4.1 在《供应商须知前附表》规定的有效期内，供应商不得要求撤销或修改其响应文件。</w:t>
      </w:r>
    </w:p>
    <w:p w14:paraId="0791F04B">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46F3BA61">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2" w:name="_Toc28904"/>
      <w:r>
        <w:rPr>
          <w:rFonts w:hint="eastAsia" w:ascii="宋体" w:hAnsi="宋体" w:eastAsia="宋体" w:cs="宋体"/>
          <w:b/>
          <w:bCs/>
          <w:color w:val="auto"/>
          <w:sz w:val="21"/>
          <w:szCs w:val="21"/>
          <w:highlight w:val="none"/>
          <w:lang w:val="en-US" w:eastAsia="zh-CN"/>
        </w:rPr>
        <w:t>3.5 磋商保证金缴纳及退还</w:t>
      </w:r>
      <w:bookmarkEnd w:id="82"/>
    </w:p>
    <w:p w14:paraId="07DC3CB4">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3.5.1供应商应按《供应商须知前附表》规定的金额、形式向采购代理机构交纳磋商保证金，磋商保证金须在响应文件提交截止时间前从供应商基本账户交纳到云南鼎邦招标代理有限公司指定的帐户，供应商未按照磋商文件要求提交磋商保证金的，响应无效。</w:t>
      </w:r>
    </w:p>
    <w:p w14:paraId="050EBDB8">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3.5.2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714221CB">
      <w:pPr>
        <w:pStyle w:val="15"/>
        <w:keepNext w:val="0"/>
        <w:keepLines w:val="0"/>
        <w:pageBreakBefore w:val="0"/>
        <w:widowControl w:val="0"/>
        <w:numPr>
          <w:ilvl w:val="0"/>
          <w:numId w:val="0"/>
        </w:numPr>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（1）供应商在提交响应文件截止时间后撤回响应文件的；</w:t>
      </w:r>
    </w:p>
    <w:p w14:paraId="1CF30BDF">
      <w:pPr>
        <w:pStyle w:val="15"/>
        <w:keepNext w:val="0"/>
        <w:keepLines w:val="0"/>
        <w:pageBreakBefore w:val="0"/>
        <w:widowControl w:val="0"/>
        <w:numPr>
          <w:ilvl w:val="0"/>
          <w:numId w:val="0"/>
        </w:numPr>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（2）供应商在响应文件中提供虚假材料的；</w:t>
      </w:r>
    </w:p>
    <w:p w14:paraId="7214D923">
      <w:pPr>
        <w:pStyle w:val="15"/>
        <w:keepNext w:val="0"/>
        <w:keepLines w:val="0"/>
        <w:pageBreakBefore w:val="0"/>
        <w:widowControl w:val="0"/>
        <w:numPr>
          <w:ilvl w:val="0"/>
          <w:numId w:val="0"/>
        </w:numPr>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（3）除因不可抗力或磋商文件认可的情形以外，成交供应商不与采购人签订合同的；</w:t>
      </w:r>
    </w:p>
    <w:p w14:paraId="427A4D7F">
      <w:pPr>
        <w:pStyle w:val="15"/>
        <w:keepNext w:val="0"/>
        <w:keepLines w:val="0"/>
        <w:pageBreakBefore w:val="0"/>
        <w:widowControl w:val="0"/>
        <w:numPr>
          <w:ilvl w:val="0"/>
          <w:numId w:val="0"/>
        </w:numPr>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（4）供应商与采购人、其他供应商或者采购代理机构恶意串通的；</w:t>
      </w:r>
    </w:p>
    <w:p w14:paraId="2E50FDB5">
      <w:pPr>
        <w:pStyle w:val="15"/>
        <w:keepNext w:val="0"/>
        <w:keepLines w:val="0"/>
        <w:pageBreakBefore w:val="0"/>
        <w:widowControl w:val="0"/>
        <w:numPr>
          <w:ilvl w:val="0"/>
          <w:numId w:val="0"/>
        </w:numPr>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（5）竞争性磋商文件规定的其他情形。</w:t>
      </w:r>
    </w:p>
    <w:p w14:paraId="12288F8B">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3" w:name="_Toc30215"/>
      <w:r>
        <w:rPr>
          <w:rFonts w:hint="eastAsia" w:ascii="宋体" w:hAnsi="宋体" w:eastAsia="宋体" w:cs="宋体"/>
          <w:b/>
          <w:bCs/>
          <w:color w:val="auto"/>
          <w:sz w:val="21"/>
          <w:szCs w:val="21"/>
          <w:highlight w:val="none"/>
          <w:lang w:val="en-US" w:eastAsia="zh-CN"/>
        </w:rPr>
        <w:t>3.6 响应文件的编制</w:t>
      </w:r>
      <w:bookmarkEnd w:id="83"/>
    </w:p>
    <w:p w14:paraId="6D3C9CBA">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3.6.1 响应文件按第四章《响应文件格式》提供的格式完整地填写。</w:t>
      </w:r>
    </w:p>
    <w:p w14:paraId="44D71899">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3.6.2 响应文件的提交方式：详见供应商须知前附表。 </w:t>
      </w:r>
    </w:p>
    <w:p w14:paraId="6EDB3886">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3.6.3 响应文件中提供的资料（包括原件的复印件）、关键内容必须清晰可辨，若出现字迹潦草、表达不清、未按要求填写而导致非唯一理解，视为未实质性响应竞争性磋商文件，供应商响应文件将按无效处理。</w:t>
      </w:r>
    </w:p>
    <w:p w14:paraId="64741268">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3.6.4 响应文件的签署：详见《供应商须知前附表》。</w:t>
      </w:r>
    </w:p>
    <w:p w14:paraId="6A65B444">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3.6.5 在提交响应文件截止时间前，供应商可以补充、修改或者撤回已在政府采购云平台提交的电子响应文件，无须书面形式通知采购人、采购代理机构。</w:t>
      </w:r>
    </w:p>
    <w:p w14:paraId="6A137145">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3.6.6 补充、修改的响应文件应按照规定进行编制、密封、标记和提交。</w:t>
      </w:r>
    </w:p>
    <w:p w14:paraId="1F4F7DB3">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3.6.7 响应文件和来往函件均应采用中文书写，计量单位使用中国或国际标准单位。</w:t>
      </w:r>
    </w:p>
    <w:p w14:paraId="0D81CE72">
      <w:pPr>
        <w:keepNext w:val="0"/>
        <w:keepLines w:val="0"/>
        <w:pageBreakBefore w:val="0"/>
        <w:widowControl w:val="0"/>
        <w:kinsoku/>
        <w:wordWrap w:val="0"/>
        <w:overflowPunct/>
        <w:bidi w:val="0"/>
        <w:snapToGrid/>
        <w:spacing w:line="360"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3.6.8 响应文件的组成应包括下列内容（但不限于）：详见：《响应文件格式》部分。</w:t>
      </w:r>
    </w:p>
    <w:p w14:paraId="18E6201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4" w:name="_Toc9780"/>
      <w:r>
        <w:rPr>
          <w:rFonts w:hint="eastAsia" w:ascii="宋体" w:hAnsi="宋体" w:eastAsia="宋体" w:cs="宋体"/>
          <w:b/>
          <w:bCs/>
          <w:color w:val="auto"/>
          <w:sz w:val="21"/>
          <w:szCs w:val="21"/>
          <w:highlight w:val="none"/>
          <w:lang w:val="en-US" w:eastAsia="zh-CN"/>
        </w:rPr>
        <w:t>3.7 报价和报价货币</w:t>
      </w:r>
      <w:bookmarkEnd w:id="84"/>
    </w:p>
    <w:p w14:paraId="7B362F5C">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3.7.1 供应商须就“采购要求”中所参与磋商的项目内容作完整唯一报价。</w:t>
      </w:r>
    </w:p>
    <w:p w14:paraId="7FDC2FDC">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3.7.2 通过资格审查和符合性审查的供应商才能进入磋商程序并进行第二轮报价，第二轮报价为最终报价。</w:t>
      </w:r>
    </w:p>
    <w:p w14:paraId="5508BB69">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3.7.3 供应商应依据磋商文件的要求及有关资料，执行国家或行业现行技术经济标准、定额及规范，自行测算出满足采购要求的服务的竞争性报价。磋商报价为供应商在磋商响应文件中提出的完成本项目采购范围规定的全部内容的全部费用，包括为实施和完成合同（含原有建筑需拆出和环境保护的内容）（如有）工程所需分项工程人工费、材料费（含设备设施）、机械费，完成项目的措施费、管理费、施工及安装垃圾清运费、利润、规费、税金、试验检测费以及有关文件规定的调价、一定范围内的风险等全部费用，以及合同明示或暗示的所有责任、义务和一般风险的一切费用。</w:t>
      </w:r>
    </w:p>
    <w:p w14:paraId="735074F0">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3.7.4 最后报价是供应商响应文件的有效组成部分，供应商必须对所参加项目内所有内容进行完整唯一报价，不得缺项、漏项，否则按无效响应处理。</w:t>
      </w:r>
    </w:p>
    <w:p w14:paraId="1F38551A">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3.7.5 无论分项价格是否填报完全，供应商的最后报价将被视为已经包含了所有分项价格以及与项目相关的所有货物、工程或者服务费用。由于供应商分项报价填报不完整、不清楚或存在其它任何失误所导致的任何不利后果均由供应商自行承担。 </w:t>
      </w:r>
    </w:p>
    <w:p w14:paraId="4094F28D">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3.7.6 最后报价文件应由法定代表人或其委托代理人在规定的时间内在政采云平台（https://www.zcygov.cn/）上自行报价。若已递交的最后报价中出现含义不明确、同类问题表述不一致或者签署不完整、有明显文字和计算错误的，可以进行澄清、补充和修正，但不得改变响应文件中实质性内容。</w:t>
      </w:r>
    </w:p>
    <w:p w14:paraId="7824CB4D">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3.7.7 供应商不得哄抬报价，也不应低于成本价（或进价）报价。磋商小组认为供应商的最后报价或者某些分项报价明显不合理或者低于成本，有可能影响商品质量和不能诚信履约的，将要求其在规定的期限内提供书面文件予以解释说明，并提交相关证明材料。供应商不能证明其报价合理性的，磋商小组将认定供应商响应文件无效。</w:t>
      </w:r>
    </w:p>
    <w:p w14:paraId="14E93CEC">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3.7.8 供应商应保证其提供的货物、工程或者服务在采购人使用期间不受第三方可能提出的侵犯其所有权、知识产权、商标权、专利权、著作权等相关权利的起诉。</w:t>
      </w:r>
    </w:p>
    <w:p w14:paraId="3A7232CC">
      <w:pPr>
        <w:pStyle w:val="15"/>
        <w:keepNext w:val="0"/>
        <w:keepLines w:val="0"/>
        <w:pageBreakBefore w:val="0"/>
        <w:widowControl w:val="0"/>
        <w:kinsoku/>
        <w:wordWrap w:val="0"/>
        <w:overflowPunct/>
        <w:bidi w:val="0"/>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3.7.9 报价货币为人民币，</w:t>
      </w:r>
      <w:r>
        <w:rPr>
          <w:rFonts w:hint="eastAsia" w:ascii="宋体" w:hAnsi="宋体" w:cs="宋体"/>
          <w:color w:val="auto"/>
          <w:kern w:val="2"/>
          <w:sz w:val="21"/>
          <w:szCs w:val="21"/>
          <w:highlight w:val="none"/>
          <w:lang w:val="en-US" w:eastAsia="zh-CN" w:bidi="ar-SA"/>
        </w:rPr>
        <w:t>本项目采用</w:t>
      </w:r>
      <w:r>
        <w:rPr>
          <w:rFonts w:hint="eastAsia" w:ascii="宋体" w:hAnsi="宋体" w:eastAsia="宋体" w:cs="宋体"/>
          <w:color w:val="auto"/>
          <w:kern w:val="2"/>
          <w:sz w:val="21"/>
          <w:szCs w:val="21"/>
          <w:highlight w:val="none"/>
          <w:lang w:val="en-US" w:eastAsia="zh-CN" w:bidi="ar-SA"/>
        </w:rPr>
        <w:t>综合单价下浮率报价，结算时用中标所报综合单价价格乘以（1-下浮比例）进行结算）。规费税金不参与下浮。</w:t>
      </w:r>
    </w:p>
    <w:p w14:paraId="24348C8A">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85" w:name="_Toc13122"/>
      <w:r>
        <w:rPr>
          <w:rFonts w:hint="eastAsia" w:ascii="宋体" w:hAnsi="宋体" w:cs="宋体"/>
          <w:b/>
          <w:bCs/>
          <w:color w:val="auto"/>
          <w:sz w:val="24"/>
          <w:szCs w:val="24"/>
          <w:highlight w:val="none"/>
          <w:lang w:val="en-US" w:eastAsia="zh-CN"/>
        </w:rPr>
        <w:t>4. 响应文件的递交</w:t>
      </w:r>
      <w:bookmarkEnd w:id="85"/>
    </w:p>
    <w:p w14:paraId="3585CFCD">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6" w:name="_Toc24268"/>
      <w:r>
        <w:rPr>
          <w:rFonts w:hint="eastAsia" w:ascii="宋体" w:hAnsi="宋体" w:eastAsia="宋体" w:cs="宋体"/>
          <w:b/>
          <w:bCs/>
          <w:color w:val="auto"/>
          <w:sz w:val="21"/>
          <w:szCs w:val="21"/>
          <w:highlight w:val="none"/>
          <w:lang w:val="en-US" w:eastAsia="zh-CN"/>
        </w:rPr>
        <w:t>4.1 响应文件的要求</w:t>
      </w:r>
      <w:bookmarkEnd w:id="86"/>
    </w:p>
    <w:p w14:paraId="1D90FE39">
      <w:pPr>
        <w:pStyle w:val="15"/>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4.1.1 响应文件的加密要求：详见《供应商须知前附表》。</w:t>
      </w:r>
    </w:p>
    <w:p w14:paraId="787C05EA">
      <w:pPr>
        <w:pStyle w:val="15"/>
        <w:keepNext w:val="0"/>
        <w:keepLines w:val="0"/>
        <w:pageBreakBefore w:val="0"/>
        <w:widowControl w:val="0"/>
        <w:kinsoku/>
        <w:wordWrap w:val="0"/>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4.1.2 响应文件的签署：详见《供应商须知前附表》。</w:t>
      </w:r>
    </w:p>
    <w:p w14:paraId="7FBF62FD">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7" w:name="_Toc8643"/>
      <w:r>
        <w:rPr>
          <w:rFonts w:hint="eastAsia" w:ascii="宋体" w:hAnsi="宋体" w:eastAsia="宋体" w:cs="宋体"/>
          <w:b/>
          <w:bCs/>
          <w:color w:val="auto"/>
          <w:sz w:val="21"/>
          <w:szCs w:val="21"/>
          <w:highlight w:val="none"/>
          <w:lang w:val="en-US" w:eastAsia="zh-CN"/>
        </w:rPr>
        <w:t>4.2 开标地点</w:t>
      </w:r>
      <w:bookmarkEnd w:id="87"/>
    </w:p>
    <w:p w14:paraId="56F0EA5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开标</w:t>
      </w:r>
      <w:r>
        <w:rPr>
          <w:rFonts w:hint="eastAsia" w:ascii="宋体" w:hAnsi="宋体" w:eastAsia="宋体" w:cs="宋体"/>
          <w:color w:val="auto"/>
          <w:sz w:val="21"/>
          <w:szCs w:val="21"/>
          <w:highlight w:val="none"/>
        </w:rPr>
        <w:t>地点：详见《供应商须知前附表》。</w:t>
      </w:r>
    </w:p>
    <w:p w14:paraId="63449B4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4.2.2 响应文件的上传：在响应文件递交的截止时间（响应文件提交截止时间，下同）前,需在网上递交响应文件，具体要求：登录"政采云"平台（</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HYPERLINK "https://www"</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https://www</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zcygov. cn）,供应商须在投标截止时间前完成响应文件的</w:t>
      </w:r>
      <w:r>
        <w:rPr>
          <w:rFonts w:hint="eastAsia" w:ascii="宋体" w:hAnsi="宋体" w:cs="宋体"/>
          <w:color w:val="auto"/>
          <w:sz w:val="21"/>
          <w:szCs w:val="21"/>
          <w:highlight w:val="none"/>
          <w:lang w:val="en-US" w:eastAsia="zh-CN"/>
        </w:rPr>
        <w:t>签章或签字</w:t>
      </w:r>
      <w:r>
        <w:rPr>
          <w:rFonts w:hint="eastAsia" w:ascii="宋体" w:hAnsi="宋体" w:eastAsia="宋体" w:cs="宋体"/>
          <w:color w:val="auto"/>
          <w:sz w:val="21"/>
          <w:szCs w:val="21"/>
          <w:highlight w:val="none"/>
          <w:lang w:val="en-US" w:eastAsia="zh-CN"/>
        </w:rPr>
        <w:t>、加密及上传，投标截止时间前未完成响应文件上传的，视为撤回响应文件</w:t>
      </w:r>
      <w:r>
        <w:rPr>
          <w:rFonts w:hint="eastAsia" w:ascii="宋体" w:hAnsi="宋体" w:eastAsia="宋体" w:cs="宋体"/>
          <w:color w:val="auto"/>
          <w:sz w:val="21"/>
          <w:szCs w:val="21"/>
          <w:highlight w:val="none"/>
        </w:rPr>
        <w:t>。</w:t>
      </w:r>
    </w:p>
    <w:p w14:paraId="7D92561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4.2.3 </w:t>
      </w:r>
      <w:r>
        <w:rPr>
          <w:rFonts w:hint="eastAsia" w:ascii="宋体" w:hAnsi="宋体" w:eastAsia="宋体" w:cs="宋体"/>
          <w:color w:val="auto"/>
          <w:sz w:val="21"/>
          <w:szCs w:val="21"/>
          <w:highlight w:val="none"/>
        </w:rPr>
        <w:t>逾期送达或者未按照磋商文件要求密封的响应文件，采购人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采购代理机构将拒收。</w:t>
      </w:r>
    </w:p>
    <w:p w14:paraId="3ABE08C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4.2.4</w:t>
      </w:r>
      <w:r>
        <w:rPr>
          <w:rFonts w:hint="eastAsia" w:ascii="宋体" w:hAnsi="宋体" w:eastAsia="宋体" w:cs="宋体"/>
          <w:color w:val="auto"/>
          <w:sz w:val="21"/>
          <w:szCs w:val="21"/>
          <w:highlight w:val="none"/>
        </w:rPr>
        <w:t xml:space="preserve"> 除《供应商须知前附表》另有规定外，供应商所提交的响应文件不予退还。</w:t>
      </w:r>
    </w:p>
    <w:p w14:paraId="013C1F51">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88" w:name="_Toc3855"/>
      <w:r>
        <w:rPr>
          <w:rFonts w:hint="eastAsia" w:ascii="宋体" w:hAnsi="宋体" w:eastAsia="宋体" w:cs="宋体"/>
          <w:b/>
          <w:bCs/>
          <w:color w:val="auto"/>
          <w:sz w:val="21"/>
          <w:szCs w:val="21"/>
          <w:highlight w:val="none"/>
          <w:lang w:val="en-US" w:eastAsia="zh-CN"/>
        </w:rPr>
        <w:t>4.3 响应文件的补充、修改或者撤回</w:t>
      </w:r>
      <w:bookmarkEnd w:id="88"/>
    </w:p>
    <w:p w14:paraId="2D065EF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4.3.1 供应商在提交截止时间前，供应商可以修改或撤回已在网上递交的响应文件，无须书面形式通知采购人。</w:t>
      </w:r>
    </w:p>
    <w:p w14:paraId="4E3128E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4.3.2 供应商在提交截止时间前撤回已提交的响应文件的，采购人或者采购代理机构将自收到供应商书面撤回通知之日起5个工作日内，退还已收取的磋商保证金，但因供应商自身原因导致无法及时退还的</w:t>
      </w:r>
      <w:r>
        <w:rPr>
          <w:rFonts w:hint="eastAsia" w:ascii="宋体" w:hAnsi="宋体" w:eastAsia="宋体" w:cs="宋体"/>
          <w:color w:val="auto"/>
          <w:sz w:val="21"/>
          <w:szCs w:val="21"/>
          <w:highlight w:val="none"/>
          <w:lang w:val="en-US" w:eastAsia="zh-CN"/>
        </w:rPr>
        <w:t>除外。</w:t>
      </w:r>
    </w:p>
    <w:p w14:paraId="7764F1D7">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89" w:name="_Toc20423"/>
      <w:r>
        <w:rPr>
          <w:rFonts w:hint="eastAsia" w:ascii="宋体" w:hAnsi="宋体" w:cs="宋体"/>
          <w:b/>
          <w:bCs/>
          <w:color w:val="auto"/>
          <w:sz w:val="24"/>
          <w:szCs w:val="24"/>
          <w:highlight w:val="none"/>
          <w:lang w:val="en-US" w:eastAsia="zh-CN"/>
        </w:rPr>
        <w:t>5. 磋商</w:t>
      </w:r>
      <w:bookmarkEnd w:id="89"/>
    </w:p>
    <w:p w14:paraId="271300D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0" w:name="_Toc12857"/>
      <w:r>
        <w:rPr>
          <w:rFonts w:hint="eastAsia" w:ascii="宋体" w:hAnsi="宋体" w:eastAsia="宋体" w:cs="宋体"/>
          <w:b/>
          <w:bCs/>
          <w:color w:val="auto"/>
          <w:sz w:val="21"/>
          <w:szCs w:val="21"/>
          <w:highlight w:val="none"/>
          <w:lang w:val="en-US" w:eastAsia="zh-CN"/>
        </w:rPr>
        <w:t>5.1 磋商小组的组建</w:t>
      </w:r>
      <w:bookmarkEnd w:id="90"/>
    </w:p>
    <w:p w14:paraId="4E25F0A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评审由采购人依法组建的磋商小组负责。磋商小组成员在云南省政府采购评标专家库中随机抽取技术、经济等方面的专家组建而成。</w:t>
      </w:r>
    </w:p>
    <w:p w14:paraId="6F0AA932">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1" w:name="_Toc8645"/>
      <w:r>
        <w:rPr>
          <w:rFonts w:hint="eastAsia" w:ascii="宋体" w:hAnsi="宋体" w:eastAsia="宋体" w:cs="宋体"/>
          <w:b/>
          <w:bCs/>
          <w:color w:val="auto"/>
          <w:sz w:val="21"/>
          <w:szCs w:val="21"/>
          <w:highlight w:val="none"/>
          <w:lang w:val="en-US" w:eastAsia="zh-CN"/>
        </w:rPr>
        <w:t>5.2 磋商小组成员有下列情形之一的，应当回避：</w:t>
      </w:r>
      <w:bookmarkEnd w:id="91"/>
    </w:p>
    <w:p w14:paraId="11975F5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（1）采购人或供应商的主要负责人的近亲属；</w:t>
      </w:r>
    </w:p>
    <w:p w14:paraId="4454690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（2）项目主管部门或者行政监督部门的人员；</w:t>
      </w:r>
    </w:p>
    <w:p w14:paraId="359B32E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（3）与供应商有经济利益关系，可能影响公正评审的；</w:t>
      </w:r>
    </w:p>
    <w:p w14:paraId="26A757A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（4）曾因在招标、评标以及其他与招标投标有关活动中从事违法行为而受过行政处罚或刑事处罚的。</w:t>
      </w:r>
    </w:p>
    <w:p w14:paraId="779B06C5">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2" w:name="_Toc16486"/>
      <w:r>
        <w:rPr>
          <w:rFonts w:hint="eastAsia" w:ascii="宋体" w:hAnsi="宋体" w:eastAsia="宋体" w:cs="宋体"/>
          <w:b/>
          <w:bCs/>
          <w:color w:val="auto"/>
          <w:sz w:val="21"/>
          <w:szCs w:val="21"/>
          <w:highlight w:val="none"/>
          <w:lang w:val="en-US" w:eastAsia="zh-CN"/>
        </w:rPr>
        <w:t>5.3 磋商小组</w:t>
      </w:r>
      <w:bookmarkEnd w:id="92"/>
    </w:p>
    <w:p w14:paraId="775380D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5.3.1 磋商小组将在规定的时间和地点进行磋商，供应商的法定代表人或其授权代理人准时参加。</w:t>
      </w:r>
    </w:p>
    <w:p w14:paraId="162F7C8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5.3.2 磋商小组由采购人依法组建，磋商由磋商小组负责。磋商小组由采购人代表和评审专家共3人以上单数组成，其中评审专家人数不得少于磋商小组成员总数的2/3。磋商小组应当推选组长，但采购人代表不得担任组长。</w:t>
      </w:r>
    </w:p>
    <w:p w14:paraId="501E46F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5.3.3 磋商小组成员人数及名单在磋商结束之前保密。</w:t>
      </w:r>
    </w:p>
    <w:p w14:paraId="1C16F2D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5.3.4 采购人委派代表参加磋商会议的，要向采购代理机构出具授权函。除授权代表外，采购人可以委派纪检监察等相关人员进入磋商现场。</w:t>
      </w:r>
    </w:p>
    <w:p w14:paraId="060EDC9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5.3.5 评审方法：综合评分法，是指响应文件满足磋商文件全部实质性要求且按评审因素的量化指标评审得分最高的供应商为成交候选供应商的评审方法。</w:t>
      </w:r>
    </w:p>
    <w:p w14:paraId="4050436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5.3.6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558684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5.3.7 磋商小组要求供应商澄清、说明或者更正响应文件应当以书面形式作出。供应商的澄清、说明或者更正应当由法定代表人或其授权代表签字或者</w:t>
      </w:r>
      <w:r>
        <w:rPr>
          <w:rFonts w:hint="eastAsia" w:ascii="宋体" w:hAnsi="宋体" w:cs="宋体"/>
          <w:b w:val="0"/>
          <w:bCs w:val="0"/>
          <w:color w:val="auto"/>
          <w:sz w:val="21"/>
          <w:szCs w:val="21"/>
          <w:highlight w:val="none"/>
          <w:lang w:val="en-US" w:eastAsia="zh-CN"/>
        </w:rPr>
        <w:t>电子签章</w:t>
      </w:r>
      <w:r>
        <w:rPr>
          <w:rFonts w:hint="eastAsia" w:ascii="宋体" w:hAnsi="宋体" w:eastAsia="宋体" w:cs="宋体"/>
          <w:b w:val="0"/>
          <w:bCs w:val="0"/>
          <w:color w:val="auto"/>
          <w:sz w:val="21"/>
          <w:szCs w:val="21"/>
          <w:highlight w:val="none"/>
          <w:lang w:val="en-US" w:eastAsia="zh-CN"/>
        </w:rPr>
        <w:t>。由授权代表签字的，应当附法定代表人授权书。供应商为自然人的，应当由本人签字并附身份证明。</w:t>
      </w:r>
    </w:p>
    <w:p w14:paraId="4B912E0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5.3.8 在磋商中，磋商的任何一方不得透露与磋商有关的其他供应商的技术资料、价格和其他信息。评审结束后，至确定成交供应商与采购人签订合同后止，凡与审查、澄清、评价、比较、推荐成交候选供应商意见有关的内容，任何人均不得向供应商及与磋商无关的其他人透露。</w:t>
      </w:r>
    </w:p>
    <w:p w14:paraId="106A51E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5.3.9 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p w14:paraId="34FC17C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5.3.10 磋商小组根据竞争性磋商文件规定的磋商程序和方法对各供应商的响应文件进行综合评分，按照评审得分由高到低顺序推荐成交候选供应商；</w:t>
      </w:r>
    </w:p>
    <w:p w14:paraId="603A332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5.3.11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18014CE3">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3" w:name="_Toc18150"/>
      <w:r>
        <w:rPr>
          <w:rFonts w:hint="eastAsia" w:ascii="宋体" w:hAnsi="宋体" w:eastAsia="宋体" w:cs="宋体"/>
          <w:b/>
          <w:bCs/>
          <w:color w:val="auto"/>
          <w:sz w:val="21"/>
          <w:szCs w:val="21"/>
          <w:highlight w:val="none"/>
          <w:lang w:val="en-US" w:eastAsia="zh-CN"/>
        </w:rPr>
        <w:t>5.4 评审原则</w:t>
      </w:r>
      <w:bookmarkEnd w:id="93"/>
    </w:p>
    <w:p w14:paraId="5A1BD59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评审活动遵循</w:t>
      </w:r>
      <w:r>
        <w:rPr>
          <w:rFonts w:hint="eastAsia" w:ascii="宋体" w:hAnsi="宋体" w:eastAsia="宋体" w:cs="宋体"/>
          <w:color w:val="auto"/>
          <w:sz w:val="21"/>
          <w:szCs w:val="21"/>
          <w:highlight w:val="none"/>
        </w:rPr>
        <w:t>客观、公正、审慎</w:t>
      </w:r>
      <w:r>
        <w:rPr>
          <w:rFonts w:hint="eastAsia" w:ascii="宋体" w:hAnsi="宋体" w:eastAsia="宋体" w:cs="宋体"/>
          <w:b w:val="0"/>
          <w:bCs w:val="0"/>
          <w:color w:val="auto"/>
          <w:sz w:val="21"/>
          <w:szCs w:val="21"/>
          <w:highlight w:val="none"/>
          <w:lang w:val="en-US" w:eastAsia="zh-CN"/>
        </w:rPr>
        <w:t>的原则。</w:t>
      </w:r>
    </w:p>
    <w:p w14:paraId="2AADA2B6">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4" w:name="_Toc19889"/>
      <w:r>
        <w:rPr>
          <w:rFonts w:hint="eastAsia" w:ascii="宋体" w:hAnsi="宋体" w:eastAsia="宋体" w:cs="宋体"/>
          <w:b/>
          <w:bCs/>
          <w:color w:val="auto"/>
          <w:sz w:val="21"/>
          <w:szCs w:val="21"/>
          <w:highlight w:val="none"/>
          <w:lang w:val="en-US" w:eastAsia="zh-CN"/>
        </w:rPr>
        <w:t>5.5 评审</w:t>
      </w:r>
      <w:bookmarkEnd w:id="94"/>
    </w:p>
    <w:p w14:paraId="70A50265">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磋商小组按照第</w:t>
      </w: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办法”规定的方法、评审因素、标准和程序对响应文件进行评审。第</w:t>
      </w:r>
      <w:r>
        <w:rPr>
          <w:rFonts w:hint="eastAsia" w:ascii="宋体" w:hAnsi="宋体" w:eastAsia="宋体" w:cs="宋体"/>
          <w:color w:val="auto"/>
          <w:sz w:val="21"/>
          <w:szCs w:val="21"/>
          <w:highlight w:val="none"/>
          <w:lang w:eastAsia="zh-CN"/>
        </w:rPr>
        <w:t>四</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办法”没有规定的方法、评审因素和标准，不作为</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依据。</w:t>
      </w:r>
    </w:p>
    <w:p w14:paraId="557D6B3F">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磋商小组认为供应商的报价明显低于其他通过符合性审查供应商的报价，有可能影响产品质量或者不能诚信履约的，应当要求其在</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现场合理的时间内提供书面说明，必要时提交相关证明材料；供应商不能证明其报价合理性的，磋商小组应当将其作为无效响应文件处理。</w:t>
      </w:r>
    </w:p>
    <w:p w14:paraId="1044F794">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95" w:name="_Toc26141"/>
      <w:r>
        <w:rPr>
          <w:rFonts w:hint="eastAsia" w:ascii="宋体" w:hAnsi="宋体" w:cs="宋体"/>
          <w:b/>
          <w:bCs/>
          <w:color w:val="auto"/>
          <w:sz w:val="24"/>
          <w:szCs w:val="24"/>
          <w:highlight w:val="none"/>
          <w:lang w:val="en-US" w:eastAsia="zh-CN"/>
        </w:rPr>
        <w:t>6.成交结果</w:t>
      </w:r>
      <w:bookmarkEnd w:id="95"/>
    </w:p>
    <w:p w14:paraId="2D043F5E">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6" w:name="_Toc25438"/>
      <w:r>
        <w:rPr>
          <w:rFonts w:hint="eastAsia" w:ascii="宋体" w:hAnsi="宋体" w:eastAsia="宋体" w:cs="宋体"/>
          <w:b/>
          <w:bCs/>
          <w:color w:val="auto"/>
          <w:sz w:val="21"/>
          <w:szCs w:val="21"/>
          <w:highlight w:val="none"/>
          <w:lang w:val="en-US" w:eastAsia="zh-CN"/>
        </w:rPr>
        <w:t>6.1成交供应商的确定</w:t>
      </w:r>
      <w:bookmarkEnd w:id="96"/>
    </w:p>
    <w:p w14:paraId="4458F69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6.1.1 采购代理机构在评审结束后2个工作日内将评审报告送采购人确认。</w:t>
      </w:r>
    </w:p>
    <w:p w14:paraId="0C28858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6.1.2 采购人应当在收到评审报告后5个工作日内，从评审报告提出的成交候选供应商中，按照排序由高到低的原则确定成交供应商。本次竞争性磋商不保证合同授予最低报价的供应商。</w:t>
      </w:r>
    </w:p>
    <w:p w14:paraId="32D05DA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6.1.3 采购代理机构无义务向未成交供应商解释未成交原因和退回响应文件。</w:t>
      </w:r>
    </w:p>
    <w:p w14:paraId="145152A1">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7" w:name="_Toc28990"/>
      <w:r>
        <w:rPr>
          <w:rFonts w:hint="eastAsia" w:ascii="宋体" w:hAnsi="宋体" w:eastAsia="宋体" w:cs="宋体"/>
          <w:b/>
          <w:bCs/>
          <w:color w:val="auto"/>
          <w:sz w:val="21"/>
          <w:szCs w:val="21"/>
          <w:highlight w:val="none"/>
          <w:lang w:val="en-US" w:eastAsia="zh-CN"/>
        </w:rPr>
        <w:t>6.2成交通知书</w:t>
      </w:r>
      <w:bookmarkEnd w:id="97"/>
    </w:p>
    <w:p w14:paraId="5CEB504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w:t>
      </w:r>
      <w:r>
        <w:rPr>
          <w:rFonts w:hint="eastAsia" w:ascii="宋体" w:hAnsi="宋体" w:eastAsia="宋体" w:cs="宋体"/>
          <w:color w:val="auto"/>
          <w:sz w:val="21"/>
          <w:szCs w:val="21"/>
          <w:highlight w:val="none"/>
        </w:rPr>
        <w:t>1 成交供应商确定之日起2个工作日内，采购代理机构在信息发布媒体上公告成交结果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并</w:t>
      </w:r>
      <w:r>
        <w:rPr>
          <w:rFonts w:hint="eastAsia" w:ascii="宋体" w:hAnsi="宋体" w:eastAsia="宋体" w:cs="宋体"/>
          <w:color w:val="auto"/>
          <w:sz w:val="21"/>
          <w:szCs w:val="21"/>
          <w:highlight w:val="none"/>
        </w:rPr>
        <w:t>向成交供应商发出成交通知书。成交公告期限为1个工作日。</w:t>
      </w:r>
    </w:p>
    <w:p w14:paraId="11BD0ED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6.2.2</w:t>
      </w:r>
      <w:r>
        <w:rPr>
          <w:rFonts w:hint="eastAsia" w:ascii="宋体" w:hAnsi="宋体" w:eastAsia="宋体" w:cs="宋体"/>
          <w:color w:val="auto"/>
          <w:sz w:val="21"/>
          <w:szCs w:val="21"/>
          <w:highlight w:val="none"/>
        </w:rPr>
        <w:t>成交通知书是合同的一个组成部分。</w:t>
      </w:r>
    </w:p>
    <w:p w14:paraId="3998438D">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98" w:name="_Toc27432"/>
      <w:r>
        <w:rPr>
          <w:rFonts w:hint="eastAsia" w:ascii="宋体" w:hAnsi="宋体" w:eastAsia="宋体" w:cs="宋体"/>
          <w:b/>
          <w:bCs/>
          <w:color w:val="auto"/>
          <w:sz w:val="21"/>
          <w:szCs w:val="21"/>
          <w:highlight w:val="none"/>
          <w:lang w:val="en-US" w:eastAsia="zh-CN"/>
        </w:rPr>
        <w:t>6.3 签订合同</w:t>
      </w:r>
      <w:bookmarkEnd w:id="98"/>
    </w:p>
    <w:p w14:paraId="43CCC21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6.3.1 采购人与成交供应商应当在成交通知书发出之日起30日历天内，按照磋商文件确定的合同文本以及采购标的、规格型号、采购金额、采购数量、技术和服务要求等事项签订政府采购合同。</w:t>
      </w:r>
    </w:p>
    <w:p w14:paraId="1E4F3DDE">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6.3.2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08B25B2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6.3.3 除采购人与成交供应商在合同中另行商定将成交项目的非主体、非关键性工作分包的，成交供应商在成交后将成交项目分包的，采购人取消其成交资格，其磋商保证金不予退还；给采购人造成的损失超过磋商保证金数额的，成交供应商还应当对超过部分予以赔偿。</w:t>
      </w:r>
    </w:p>
    <w:p w14:paraId="3301780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6.3.4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7B257A7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6.3.5 除不可抗力等因素外，成交通知书发出后，采购人改变成交结果，或者成交供应商拒绝签订政府采购合同的，应当承担相应的法律责任。</w:t>
      </w:r>
    </w:p>
    <w:p w14:paraId="343C3FD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6.3.6 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2254C103">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99" w:name="_Toc13694"/>
      <w:r>
        <w:rPr>
          <w:rFonts w:hint="eastAsia" w:ascii="宋体" w:hAnsi="宋体" w:cs="宋体"/>
          <w:b/>
          <w:bCs/>
          <w:color w:val="auto"/>
          <w:sz w:val="24"/>
          <w:szCs w:val="24"/>
          <w:highlight w:val="none"/>
          <w:lang w:val="en-US" w:eastAsia="zh-CN"/>
        </w:rPr>
        <w:t>7．重新招标和不再招标</w:t>
      </w:r>
      <w:bookmarkEnd w:id="99"/>
    </w:p>
    <w:p w14:paraId="72793EE0">
      <w:pPr>
        <w:pageBreakBefore w:val="0"/>
        <w:kinsoku/>
        <w:wordWrap w:val="0"/>
        <w:overflowPunct/>
        <w:bidi w:val="0"/>
        <w:spacing w:line="360" w:lineRule="auto"/>
        <w:outlineLvl w:val="2"/>
        <w:rPr>
          <w:rFonts w:hint="eastAsia" w:ascii="宋体" w:hAnsi="宋体" w:eastAsia="宋体" w:cs="宋体"/>
          <w:b/>
          <w:bCs/>
          <w:color w:val="auto"/>
          <w:sz w:val="21"/>
          <w:szCs w:val="21"/>
          <w:highlight w:val="none"/>
        </w:rPr>
      </w:pPr>
      <w:bookmarkStart w:id="100" w:name="_Toc1579"/>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.1 重新招标</w:t>
      </w:r>
      <w:bookmarkEnd w:id="100"/>
    </w:p>
    <w:p w14:paraId="42C9C5EE">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有下列情形之一的，采购人将重新招标：</w:t>
      </w:r>
    </w:p>
    <w:p w14:paraId="4664D2B8">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l）磋商截止时间止，供应商少于3个的；</w:t>
      </w:r>
    </w:p>
    <w:p w14:paraId="3DC24E5E">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2）经磋商小组评审后否决所有投标的。</w:t>
      </w:r>
    </w:p>
    <w:p w14:paraId="2A2610C0">
      <w:pPr>
        <w:pageBreakBefore w:val="0"/>
        <w:kinsoku/>
        <w:wordWrap w:val="0"/>
        <w:overflowPunct/>
        <w:bidi w:val="0"/>
        <w:spacing w:line="360" w:lineRule="auto"/>
        <w:outlineLvl w:val="2"/>
        <w:rPr>
          <w:rFonts w:hint="eastAsia" w:ascii="宋体" w:hAnsi="宋体" w:eastAsia="宋体" w:cs="宋体"/>
          <w:b/>
          <w:bCs/>
          <w:color w:val="auto"/>
          <w:sz w:val="21"/>
          <w:szCs w:val="21"/>
          <w:highlight w:val="none"/>
        </w:rPr>
      </w:pPr>
      <w:bookmarkStart w:id="101" w:name="_Toc15685"/>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.2 不再招标</w:t>
      </w:r>
      <w:bookmarkEnd w:id="101"/>
    </w:p>
    <w:p w14:paraId="6C765C1B">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重新招标后供应商仍少于3个或者所有供应商被否决的，属于必须审批或核准的项目，经原审批或核准部门批准后不再进行招标。</w:t>
      </w:r>
    </w:p>
    <w:p w14:paraId="2F72CC82">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02" w:name="_Toc13320"/>
      <w:r>
        <w:rPr>
          <w:rFonts w:hint="eastAsia" w:ascii="宋体" w:hAnsi="宋体" w:cs="宋体"/>
          <w:b/>
          <w:bCs/>
          <w:color w:val="auto"/>
          <w:sz w:val="24"/>
          <w:szCs w:val="24"/>
          <w:highlight w:val="none"/>
          <w:lang w:val="en-US" w:eastAsia="zh-CN"/>
        </w:rPr>
        <w:t>8．纪律和监督</w:t>
      </w:r>
      <w:bookmarkEnd w:id="102"/>
    </w:p>
    <w:p w14:paraId="588D0EE9">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03" w:name="_Toc30008"/>
      <w:r>
        <w:rPr>
          <w:rFonts w:hint="eastAsia" w:ascii="宋体" w:hAnsi="宋体" w:eastAsia="宋体" w:cs="宋体"/>
          <w:b/>
          <w:bCs/>
          <w:color w:val="auto"/>
          <w:sz w:val="21"/>
          <w:szCs w:val="21"/>
          <w:highlight w:val="none"/>
          <w:lang w:val="en-US" w:eastAsia="zh-CN"/>
        </w:rPr>
        <w:t>8.1 对采购人的纪律要求</w:t>
      </w:r>
      <w:bookmarkEnd w:id="103"/>
    </w:p>
    <w:p w14:paraId="5815A8E8">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（1）按照规定编制采购要求；</w:t>
      </w:r>
    </w:p>
    <w:p w14:paraId="1463AF46">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（2）采购人不得向供应商索要或者接受其给予的赠品、回扣或者与采购无关的其他商品、服务；</w:t>
      </w:r>
    </w:p>
    <w:p w14:paraId="08C51A5B">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（3）在规定时间内确定成交供应商；</w:t>
      </w:r>
    </w:p>
    <w:p w14:paraId="64B814F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（4）不得向成交供应商提出不合理要求作为签订合同条件。</w:t>
      </w:r>
    </w:p>
    <w:p w14:paraId="0B9B04B3">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04" w:name="_Toc5168"/>
      <w:r>
        <w:rPr>
          <w:rFonts w:hint="eastAsia" w:ascii="宋体" w:hAnsi="宋体" w:eastAsia="宋体" w:cs="宋体"/>
          <w:b/>
          <w:bCs/>
          <w:color w:val="auto"/>
          <w:sz w:val="21"/>
          <w:szCs w:val="21"/>
          <w:highlight w:val="none"/>
          <w:lang w:val="en-US" w:eastAsia="zh-CN"/>
        </w:rPr>
        <w:t>8.2 对供应商的纪律要求</w:t>
      </w:r>
      <w:bookmarkEnd w:id="104"/>
    </w:p>
    <w:p w14:paraId="07B13AA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供应商不得相互串通投标或者与采购人串通投标，不得向采购人或者磋商小组成员行贿谋取成交，不得以他人名义投标或者以其他方式弄虚作假骗取成交；供应商不得以任何方式干扰、影响</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工作。</w:t>
      </w:r>
    </w:p>
    <w:p w14:paraId="530AE80E">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05" w:name="_Toc22240"/>
      <w:r>
        <w:rPr>
          <w:rFonts w:hint="eastAsia" w:ascii="宋体" w:hAnsi="宋体" w:eastAsia="宋体" w:cs="宋体"/>
          <w:b/>
          <w:bCs/>
          <w:color w:val="auto"/>
          <w:sz w:val="21"/>
          <w:szCs w:val="21"/>
          <w:highlight w:val="none"/>
          <w:lang w:val="en-US" w:eastAsia="zh-CN"/>
        </w:rPr>
        <w:t>8.3 对磋商小组成员的纪律要求</w:t>
      </w:r>
      <w:bookmarkEnd w:id="105"/>
    </w:p>
    <w:p w14:paraId="27A80DED">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磋商小组及其成员不得有下列行为：</w:t>
      </w:r>
    </w:p>
    <w:p w14:paraId="5D167148">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（1）确定参与评审至评审结束前私自接触供应商；</w:t>
      </w:r>
    </w:p>
    <w:p w14:paraId="296E385C">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（2）接受供应商提出的与响应文件不一致的澄清或者说明；</w:t>
      </w:r>
    </w:p>
    <w:p w14:paraId="66409F89">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（3）违反评审纪律发表倾向性意见或者征询采购人的倾向性意见；</w:t>
      </w:r>
    </w:p>
    <w:p w14:paraId="4EEE9FEF">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（4）对需要专业判断的主观评审因素协商评分；</w:t>
      </w:r>
    </w:p>
    <w:p w14:paraId="1F09686B">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（5）在评审过程中擅离职守，影响评审程序正常进行的；</w:t>
      </w:r>
    </w:p>
    <w:p w14:paraId="60F39D91">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（6）记录、复制或者带走任何评审资料；</w:t>
      </w:r>
    </w:p>
    <w:p w14:paraId="54279DE6">
      <w:pPr>
        <w:keepNext w:val="0"/>
        <w:keepLines w:val="0"/>
        <w:pageBreakBefore w:val="0"/>
        <w:widowControl w:val="0"/>
        <w:kinsoku/>
        <w:wordWrap w:val="0"/>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（7）其他不遵守评审纪律的行为。</w:t>
      </w:r>
    </w:p>
    <w:p w14:paraId="2E82BD5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磋商小组成员有前款第（1）至（7）项行为之一的，其评审意见无效，并不得获取评审劳务报酬和报销异地评审差旅费。</w:t>
      </w:r>
    </w:p>
    <w:p w14:paraId="13B45F4F">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06" w:name="_Toc6776"/>
      <w:r>
        <w:rPr>
          <w:rFonts w:hint="eastAsia" w:ascii="宋体" w:hAnsi="宋体" w:eastAsia="宋体" w:cs="宋体"/>
          <w:b/>
          <w:bCs/>
          <w:color w:val="auto"/>
          <w:sz w:val="21"/>
          <w:szCs w:val="21"/>
          <w:highlight w:val="none"/>
          <w:lang w:val="en-US" w:eastAsia="zh-CN"/>
        </w:rPr>
        <w:t>8.4 对与评审活动有关的工作人员的纪律要求</w:t>
      </w:r>
      <w:bookmarkEnd w:id="106"/>
    </w:p>
    <w:p w14:paraId="6245E64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活动有关的工作人员不得收受他人的财物或者其他好处，不得向他人透漏对响应文件的评审和比较、成交候选人的推荐情况以及</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有关的其他情况。在</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活动中，与</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活动有关的工作人员不得擅离职守，影响</w:t>
      </w:r>
      <w:r>
        <w:rPr>
          <w:rFonts w:hint="eastAsia" w:ascii="宋体" w:hAnsi="宋体" w:eastAsia="宋体" w:cs="宋体"/>
          <w:color w:val="auto"/>
          <w:sz w:val="21"/>
          <w:szCs w:val="21"/>
          <w:highlight w:val="none"/>
          <w:lang w:eastAsia="zh-CN"/>
        </w:rPr>
        <w:t>评审</w:t>
      </w:r>
      <w:r>
        <w:rPr>
          <w:rFonts w:hint="eastAsia" w:ascii="宋体" w:hAnsi="宋体" w:eastAsia="宋体" w:cs="宋体"/>
          <w:color w:val="auto"/>
          <w:sz w:val="21"/>
          <w:szCs w:val="21"/>
          <w:highlight w:val="none"/>
        </w:rPr>
        <w:t>程序正常进行。</w:t>
      </w:r>
    </w:p>
    <w:p w14:paraId="7FE4EB00">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07" w:name="_Toc11622"/>
      <w:r>
        <w:rPr>
          <w:rFonts w:hint="eastAsia" w:ascii="宋体" w:hAnsi="宋体" w:eastAsia="宋体" w:cs="宋体"/>
          <w:b/>
          <w:bCs/>
          <w:color w:val="auto"/>
          <w:sz w:val="21"/>
          <w:szCs w:val="21"/>
          <w:highlight w:val="none"/>
          <w:lang w:val="en-US" w:eastAsia="zh-CN"/>
        </w:rPr>
        <w:t>8.5 投诉</w:t>
      </w:r>
      <w:bookmarkEnd w:id="107"/>
    </w:p>
    <w:p w14:paraId="2753E3C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供应商和其他利害关系人认为本次招标活动违反法律、法规和规章规定的，有权向有关行政监督部门投诉。</w:t>
      </w:r>
    </w:p>
    <w:p w14:paraId="015AAA61">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08" w:name="_Toc6503"/>
      <w:r>
        <w:rPr>
          <w:rFonts w:hint="eastAsia" w:ascii="宋体" w:hAnsi="宋体" w:cs="宋体"/>
          <w:b/>
          <w:bCs/>
          <w:color w:val="auto"/>
          <w:sz w:val="24"/>
          <w:szCs w:val="24"/>
          <w:highlight w:val="none"/>
          <w:lang w:val="en-US" w:eastAsia="zh-CN"/>
        </w:rPr>
        <w:t>9．知识产权</w:t>
      </w:r>
      <w:bookmarkEnd w:id="108"/>
    </w:p>
    <w:p w14:paraId="6EB8D3DB">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采购文件各个组成部分的文件，未经采购人书面同意，供应商不得擅自复印和用于非本招标项目所需的其他目的。采购人全部或者部分使用未成交人响应文件中的技术成果或技术方案时，需征得其书面同意，并不得擅自复印或提供给第三人。</w:t>
      </w:r>
    </w:p>
    <w:p w14:paraId="72EFCDD9">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09" w:name="_Toc27953"/>
      <w:r>
        <w:rPr>
          <w:rFonts w:hint="eastAsia" w:ascii="宋体" w:hAnsi="宋体" w:cs="宋体"/>
          <w:b/>
          <w:bCs/>
          <w:color w:val="auto"/>
          <w:sz w:val="24"/>
          <w:szCs w:val="24"/>
          <w:highlight w:val="none"/>
          <w:lang w:val="en-US" w:eastAsia="zh-CN"/>
        </w:rPr>
        <w:t>10．重新招标的其他情形</w:t>
      </w:r>
      <w:bookmarkEnd w:id="109"/>
    </w:p>
    <w:p w14:paraId="52F703A8">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除供应商须知正文第8条规定的情形外，除非已经产生成交候选人，在</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有效期内同意延长</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有效期的供应商少于三个的，采购人应当依法重新招标。</w:t>
      </w:r>
    </w:p>
    <w:p w14:paraId="0C3125E5">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10" w:name="_Toc22494"/>
      <w:r>
        <w:rPr>
          <w:rFonts w:hint="eastAsia" w:ascii="宋体" w:hAnsi="宋体" w:cs="宋体"/>
          <w:b/>
          <w:bCs/>
          <w:color w:val="auto"/>
          <w:sz w:val="24"/>
          <w:szCs w:val="24"/>
          <w:highlight w:val="none"/>
          <w:lang w:val="en-US" w:eastAsia="zh-CN"/>
        </w:rPr>
        <w:t>11．监  督</w:t>
      </w:r>
      <w:bookmarkEnd w:id="110"/>
    </w:p>
    <w:p w14:paraId="491A2A7F">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本项目的招标投标活动及其相关当事人应当接受有管辖权的招标投标行政监督部门依法实施的监督。</w:t>
      </w:r>
    </w:p>
    <w:p w14:paraId="451E431D">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11" w:name="_Toc7529"/>
      <w:r>
        <w:rPr>
          <w:rFonts w:hint="eastAsia" w:ascii="宋体" w:hAnsi="宋体" w:cs="宋体"/>
          <w:b/>
          <w:bCs/>
          <w:color w:val="auto"/>
          <w:sz w:val="24"/>
          <w:szCs w:val="24"/>
          <w:highlight w:val="none"/>
          <w:lang w:val="en-US" w:eastAsia="zh-CN"/>
        </w:rPr>
        <w:t>12．解释权</w:t>
      </w:r>
      <w:bookmarkEnd w:id="111"/>
    </w:p>
    <w:p w14:paraId="238093F2">
      <w:pPr>
        <w:pageBreakBefore w:val="0"/>
        <w:kinsoku/>
        <w:wordWrap w:val="0"/>
        <w:overflowPunct/>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招标投标阶段的规定，按磋商公告、供应商须知、</w:t>
      </w:r>
      <w:r>
        <w:rPr>
          <w:rFonts w:hint="eastAsia" w:ascii="宋体" w:hAnsi="宋体" w:eastAsia="宋体" w:cs="宋体"/>
          <w:color w:val="auto"/>
          <w:sz w:val="21"/>
          <w:szCs w:val="21"/>
          <w:highlight w:val="none"/>
          <w:lang w:eastAsia="zh-CN"/>
        </w:rPr>
        <w:t>采购需求、评审</w:t>
      </w:r>
      <w:r>
        <w:rPr>
          <w:rFonts w:hint="eastAsia" w:ascii="宋体" w:hAnsi="宋体" w:eastAsia="宋体" w:cs="宋体"/>
          <w:color w:val="auto"/>
          <w:sz w:val="21"/>
          <w:szCs w:val="21"/>
          <w:highlight w:val="none"/>
        </w:rPr>
        <w:t>办法、</w:t>
      </w:r>
      <w:r>
        <w:rPr>
          <w:rFonts w:hint="eastAsia" w:ascii="宋体" w:hAnsi="宋体" w:eastAsia="宋体" w:cs="宋体"/>
          <w:b w:val="0"/>
          <w:bCs w:val="0"/>
          <w:caps/>
          <w:color w:val="auto"/>
          <w:sz w:val="21"/>
          <w:szCs w:val="21"/>
          <w:highlight w:val="none"/>
        </w:rPr>
        <w:t>合同条款</w:t>
      </w:r>
      <w:r>
        <w:rPr>
          <w:rFonts w:hint="eastAsia" w:ascii="宋体" w:hAnsi="宋体" w:eastAsia="宋体" w:cs="宋体"/>
          <w:b w:val="0"/>
          <w:bCs w:val="0"/>
          <w:caps/>
          <w:color w:val="auto"/>
          <w:sz w:val="21"/>
          <w:szCs w:val="21"/>
          <w:highlight w:val="none"/>
          <w:lang w:eastAsia="zh-CN"/>
        </w:rPr>
        <w:t>、</w:t>
      </w:r>
      <w:r>
        <w:rPr>
          <w:rFonts w:hint="eastAsia" w:ascii="宋体" w:hAnsi="宋体" w:eastAsia="宋体" w:cs="宋体"/>
          <w:color w:val="auto"/>
          <w:sz w:val="21"/>
          <w:szCs w:val="21"/>
          <w:highlight w:val="none"/>
        </w:rPr>
        <w:t>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p w14:paraId="199E8A06">
      <w:pPr>
        <w:keepNext w:val="0"/>
        <w:keepLines w:val="0"/>
        <w:pageBreakBefore w:val="0"/>
        <w:widowControl w:val="0"/>
        <w:kinsoku/>
        <w:wordWrap w:val="0"/>
        <w:overflowPunct/>
        <w:topLinePunct w:val="0"/>
        <w:autoSpaceDE/>
        <w:autoSpaceDN/>
        <w:bidi w:val="0"/>
        <w:adjustRightInd/>
        <w:snapToGrid/>
        <w:spacing w:before="157" w:beforeLines="50" w:line="360" w:lineRule="auto"/>
        <w:jc w:val="center"/>
        <w:textAlignment w:val="auto"/>
        <w:outlineLvl w:val="1"/>
        <w:rPr>
          <w:rFonts w:hint="eastAsia" w:ascii="宋体" w:hAnsi="宋体" w:cs="宋体"/>
          <w:b/>
          <w:bCs/>
          <w:color w:val="auto"/>
          <w:sz w:val="24"/>
          <w:szCs w:val="24"/>
          <w:highlight w:val="none"/>
          <w:lang w:val="en-US" w:eastAsia="zh-CN"/>
        </w:rPr>
      </w:pPr>
      <w:bookmarkStart w:id="112" w:name="_Toc21764"/>
      <w:r>
        <w:rPr>
          <w:rFonts w:hint="eastAsia" w:ascii="宋体" w:hAnsi="宋体" w:cs="宋体"/>
          <w:b/>
          <w:bCs/>
          <w:color w:val="auto"/>
          <w:sz w:val="24"/>
          <w:szCs w:val="24"/>
          <w:highlight w:val="none"/>
          <w:lang w:val="en-US" w:eastAsia="zh-CN"/>
        </w:rPr>
        <w:t>13．政府采购政策</w:t>
      </w:r>
      <w:bookmarkEnd w:id="112"/>
    </w:p>
    <w:p w14:paraId="26201FBE">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13" w:name="_Toc2736"/>
      <w:r>
        <w:rPr>
          <w:rFonts w:hint="eastAsia" w:ascii="宋体" w:hAnsi="宋体" w:eastAsia="宋体" w:cs="宋体"/>
          <w:b/>
          <w:bCs/>
          <w:color w:val="auto"/>
          <w:sz w:val="21"/>
          <w:szCs w:val="21"/>
          <w:highlight w:val="none"/>
          <w:lang w:val="en-US" w:eastAsia="zh-CN"/>
        </w:rPr>
        <w:t>13.1中小企业</w:t>
      </w:r>
      <w:bookmarkEnd w:id="113"/>
    </w:p>
    <w:p w14:paraId="7C885175">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C7027FD">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在政府采购活动中，供应商提供的货物、工程或者服务符合下列情形的，享受中小企业扶持政策：</w:t>
      </w:r>
    </w:p>
    <w:p w14:paraId="5386D978">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（1）在货物采购项目中，货物由中小企业制造，即货物由中小企业生产且使用该中小企业商号或者注册商标；</w:t>
      </w:r>
    </w:p>
    <w:p w14:paraId="21E8762E">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（2）在工程采购项目中，工程由中小企业承建，即工程施工单位为中小企业；</w:t>
      </w:r>
    </w:p>
    <w:p w14:paraId="146625C2">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（3）在服务采购项目中，服务由中小企业承接，即提供服务的人员为中小企业依照《中华人民共和国劳动合同法》订立劳动合同的从业人员。</w:t>
      </w:r>
    </w:p>
    <w:p w14:paraId="02F9C578">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在货物采购项目中，供应商提供的货物既有中小企业制造货物，也有大型企业制造货物的，不享受中小企业扶持政策。</w:t>
      </w:r>
    </w:p>
    <w:p w14:paraId="62963655">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以联合体形式参加政府采购活动，联合体各方均为中小企业的，联合体视同中小企业。其中，联合体各方均为小微企业的，联合体视同小微企业。</w:t>
      </w:r>
    </w:p>
    <w:p w14:paraId="2AA9014A">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组成联合体或者接受分包合同的中小企业与联合体内其他企业、分包企业之间不得存在直接控股、管理关系。</w:t>
      </w:r>
    </w:p>
    <w:p w14:paraId="019B798A">
      <w:pPr>
        <w:keepNext w:val="0"/>
        <w:keepLines w:val="0"/>
        <w:pageBreakBefore w:val="0"/>
        <w:widowControl w:val="0"/>
        <w:kinsoku/>
        <w:wordWrap w:val="0"/>
        <w:overflowPunct/>
        <w:topLinePunct w:val="0"/>
        <w:autoSpaceDE/>
        <w:autoSpaceDN/>
        <w:bidi w:val="0"/>
        <w:adjustRightIn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.1.2中小企业参加政府采购活动，应当出具文件中规定的《中小企业声明函》，否则不得享受相关中小企业扶持政策。</w:t>
      </w:r>
    </w:p>
    <w:p w14:paraId="5476B553">
      <w:pPr>
        <w:keepNext w:val="0"/>
        <w:keepLines w:val="0"/>
        <w:pageBreakBefore w:val="0"/>
        <w:widowControl w:val="0"/>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.1.3依据规定享受扶持政策获得政府采购合同的，小微企业不得将合同分包给大中型企业，中型企业不得将合同分包给大型企业。</w:t>
      </w:r>
    </w:p>
    <w:p w14:paraId="2598F644">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14" w:name="_Toc13474"/>
      <w:r>
        <w:rPr>
          <w:rFonts w:hint="eastAsia" w:ascii="宋体" w:hAnsi="宋体" w:eastAsia="宋体" w:cs="宋体"/>
          <w:b/>
          <w:bCs/>
          <w:color w:val="auto"/>
          <w:sz w:val="21"/>
          <w:szCs w:val="21"/>
          <w:highlight w:val="none"/>
          <w:lang w:val="en-US" w:eastAsia="zh-CN"/>
        </w:rPr>
        <w:t>14.2监狱企业</w:t>
      </w:r>
      <w:bookmarkEnd w:id="114"/>
    </w:p>
    <w:p w14:paraId="2990B10C">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14.2.1</w:t>
      </w:r>
      <w:r>
        <w:rPr>
          <w:rFonts w:hint="eastAsia" w:ascii="宋体" w:hAnsi="宋体" w:eastAsia="宋体" w:cs="宋体"/>
          <w:color w:val="auto"/>
          <w:sz w:val="21"/>
          <w:szCs w:val="21"/>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678AED0">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outlineLvl w:val="2"/>
        <w:rPr>
          <w:rFonts w:hint="eastAsia" w:ascii="宋体" w:hAnsi="宋体" w:eastAsia="宋体" w:cs="宋体"/>
          <w:b/>
          <w:bCs/>
          <w:color w:val="auto"/>
          <w:sz w:val="21"/>
          <w:szCs w:val="21"/>
          <w:highlight w:val="none"/>
          <w:lang w:val="en-US" w:eastAsia="zh-CN"/>
        </w:rPr>
      </w:pPr>
      <w:bookmarkStart w:id="115" w:name="_Toc29845"/>
      <w:r>
        <w:rPr>
          <w:rFonts w:hint="eastAsia" w:ascii="宋体" w:hAnsi="宋体" w:eastAsia="宋体" w:cs="宋体"/>
          <w:b/>
          <w:bCs/>
          <w:color w:val="auto"/>
          <w:sz w:val="21"/>
          <w:szCs w:val="21"/>
          <w:highlight w:val="none"/>
          <w:lang w:val="en-US" w:eastAsia="zh-CN"/>
        </w:rPr>
        <w:t>14.3残疾人福利性单位</w:t>
      </w:r>
      <w:bookmarkEnd w:id="115"/>
    </w:p>
    <w:p w14:paraId="583B25FA">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.3.1根据《财政部 民政部 中国残疾人联合会关于促进残疾人就业政府采购政策的通知》（财库〔2017〕141号），享受政府采购支持政策的残疾人福利性单位应当同时满足以下条件：</w:t>
      </w:r>
    </w:p>
    <w:p w14:paraId="5E6F2193">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（1）安置的残疾人占本单位在职职工人数的比例不低于25%（含25%），并且安置的残疾人人数不少于10人（含10人）；</w:t>
      </w:r>
    </w:p>
    <w:p w14:paraId="56197BAA">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（2）依法与安置的每位残疾人签订了一年以上（含一年）的劳动合同或服务协议；</w:t>
      </w:r>
    </w:p>
    <w:p w14:paraId="47AF278A">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（3）为安置的每位残疾人按月足额缴纳了基本养老保险、基本医疗保险、失业保险、工伤保险和生育保险等社会保险费；</w:t>
      </w:r>
    </w:p>
    <w:p w14:paraId="215415D0">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（4）通过银行等金融机构向安置的每位残疾人，按月支付了不低于单位所在区县适用的经省级人民政府批准的月最低工资标准的工资；</w:t>
      </w:r>
    </w:p>
    <w:p w14:paraId="0F511381">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（5）提供本单位制造的货物、承担的工程或者服务（以下简称产品），或者提供其他残疾人福利性单位制造的货物（不包括使用非残疾人福利性单位注册商标的货物）。</w:t>
      </w:r>
    </w:p>
    <w:p w14:paraId="2330F43E">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2D2FE0D">
      <w:pPr>
        <w:pStyle w:val="21"/>
        <w:keepNext w:val="0"/>
        <w:keepLines w:val="0"/>
        <w:pageBreakBefore w:val="0"/>
        <w:widowControl w:val="0"/>
        <w:tabs>
          <w:tab w:val="left" w:pos="2472"/>
        </w:tabs>
        <w:kinsoku/>
        <w:wordWrap w:val="0"/>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w:t>
      </w:r>
      <w:r>
        <w:rPr>
          <w:rFonts w:hint="eastAsia" w:ascii="宋体" w:hAnsi="宋体" w:eastAsia="宋体" w:cs="宋体"/>
          <w:color w:val="auto"/>
          <w:sz w:val="21"/>
          <w:szCs w:val="21"/>
          <w:highlight w:val="none"/>
        </w:rPr>
        <w:t>.3.2符合条件的残疾人福利性单位在参加政府采购活动时，应当提供《残疾人福利性单位声明函》，并对声明的真实性负责。</w:t>
      </w:r>
    </w:p>
    <w:bookmarkEnd w:id="53"/>
    <w:bookmarkEnd w:id="54"/>
    <w:p w14:paraId="4A3CEC93">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0" w:firstLineChars="0"/>
        <w:textAlignment w:val="baseline"/>
        <w:rPr>
          <w:rFonts w:hint="eastAsia" w:ascii="宋体" w:hAnsi="宋体" w:eastAsia="宋体" w:cs="宋体"/>
          <w:b/>
          <w:color w:val="auto"/>
          <w:sz w:val="24"/>
          <w:szCs w:val="24"/>
          <w:highlight w:val="none"/>
        </w:rPr>
      </w:pPr>
      <w:bookmarkStart w:id="116" w:name="_Toc23766"/>
      <w:r>
        <w:rPr>
          <w:rFonts w:hint="eastAsia" w:ascii="宋体" w:hAnsi="宋体" w:eastAsia="宋体" w:cs="宋体"/>
          <w:b/>
          <w:color w:val="auto"/>
          <w:sz w:val="24"/>
          <w:szCs w:val="24"/>
          <w:highlight w:val="none"/>
        </w:rPr>
        <w:br w:type="page"/>
      </w:r>
    </w:p>
    <w:p w14:paraId="4BB2F4A1">
      <w:pPr>
        <w:pageBreakBefore w:val="0"/>
        <w:kinsoku/>
        <w:wordWrap w:val="0"/>
        <w:overflowPunct/>
        <w:bidi w:val="0"/>
        <w:outlineLvl w:val="1"/>
        <w:rPr>
          <w:rFonts w:hint="eastAsia" w:ascii="宋体" w:hAnsi="宋体" w:eastAsia="宋体" w:cs="宋体"/>
          <w:b/>
          <w:color w:val="auto"/>
          <w:sz w:val="24"/>
          <w:szCs w:val="24"/>
          <w:highlight w:val="none"/>
        </w:rPr>
      </w:pPr>
      <w:bookmarkStart w:id="117" w:name="_Toc13836"/>
      <w:bookmarkStart w:id="118" w:name="_Toc24405"/>
      <w:r>
        <w:rPr>
          <w:rFonts w:hint="eastAsia" w:ascii="宋体" w:hAnsi="宋体" w:eastAsia="宋体" w:cs="宋体"/>
          <w:b/>
          <w:color w:val="auto"/>
          <w:sz w:val="24"/>
          <w:szCs w:val="24"/>
          <w:highlight w:val="none"/>
        </w:rPr>
        <w:t>附件一：问题澄清通知</w:t>
      </w:r>
      <w:bookmarkEnd w:id="117"/>
      <w:bookmarkEnd w:id="118"/>
    </w:p>
    <w:bookmarkEnd w:id="116"/>
    <w:p w14:paraId="5D692768">
      <w:pPr>
        <w:pageBreakBefore w:val="0"/>
        <w:kinsoku/>
        <w:wordWrap w:val="0"/>
        <w:overflowPunct/>
        <w:bidi w:val="0"/>
        <w:spacing w:before="240" w:after="240" w:line="400" w:lineRule="exact"/>
        <w:jc w:val="center"/>
        <w:rPr>
          <w:rFonts w:hint="eastAsia" w:ascii="宋体" w:hAnsi="宋体" w:eastAsia="宋体" w:cs="宋体"/>
          <w:color w:val="auto"/>
          <w:sz w:val="28"/>
          <w:highlight w:val="none"/>
        </w:rPr>
      </w:pPr>
      <w:bookmarkStart w:id="119" w:name="_Toc24038"/>
      <w:r>
        <w:rPr>
          <w:rFonts w:hint="eastAsia" w:ascii="宋体" w:hAnsi="宋体" w:eastAsia="宋体" w:cs="宋体"/>
          <w:color w:val="auto"/>
          <w:sz w:val="28"/>
          <w:highlight w:val="none"/>
        </w:rPr>
        <w:t>问题澄清通知</w:t>
      </w:r>
    </w:p>
    <w:p w14:paraId="06E8E866">
      <w:pPr>
        <w:pageBreakBefore w:val="0"/>
        <w:kinsoku/>
        <w:wordWrap w:val="0"/>
        <w:overflowPunct/>
        <w:bidi w:val="0"/>
        <w:spacing w:line="360" w:lineRule="auto"/>
        <w:ind w:firstLine="5460" w:firstLineChars="26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编号：</w:t>
      </w:r>
      <w:r>
        <w:rPr>
          <w:rFonts w:hint="eastAsia" w:ascii="宋体" w:hAnsi="宋体" w:eastAsia="宋体" w:cs="宋体"/>
          <w:color w:val="auto"/>
          <w:sz w:val="21"/>
          <w:szCs w:val="21"/>
          <w:highlight w:val="none"/>
          <w:u w:val="single"/>
          <w:lang w:val="en-US" w:eastAsia="zh-CN"/>
        </w:rPr>
        <w:t xml:space="preserve">              </w:t>
      </w:r>
    </w:p>
    <w:p w14:paraId="3F569622">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（供应商名称）：</w:t>
      </w:r>
    </w:p>
    <w:p w14:paraId="6F41992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16"/>
          <w:highlight w:val="none"/>
          <w:lang w:val="en-US" w:eastAsia="zh-CN"/>
        </w:rPr>
      </w:pPr>
      <w:r>
        <w:rPr>
          <w:rFonts w:hint="eastAsia" w:ascii="宋体" w:hAnsi="宋体" w:eastAsia="宋体" w:cs="宋体"/>
          <w:color w:val="auto"/>
          <w:sz w:val="21"/>
          <w:szCs w:val="16"/>
          <w:highlight w:val="none"/>
        </w:rPr>
        <w:t>（项目名称）磋商小组对你方的响应文件进行了仔细的审查，现需你方对下列问题以书面形式予以澄清、说明或补正：</w:t>
      </w:r>
    </w:p>
    <w:p w14:paraId="5CA0E2DB">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p w14:paraId="2D3155E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p w14:paraId="5DF8EFAA">
      <w:pPr>
        <w:keepNext w:val="0"/>
        <w:keepLines w:val="0"/>
        <w:pageBreakBefore w:val="0"/>
        <w:widowControl w:val="0"/>
        <w:kinsoku/>
        <w:wordWrap w:val="0"/>
        <w:overflowPunct/>
        <w:topLinePunct w:val="0"/>
        <w:autoSpaceDE/>
        <w:autoSpaceDN/>
        <w:bidi w:val="0"/>
        <w:adjustRightInd/>
        <w:snapToGrid/>
        <w:spacing w:line="360" w:lineRule="auto"/>
        <w:ind w:right="357"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请将上述问题的澄清、说明或者补正于______年___月___日___时前密封递交至</w:t>
      </w:r>
      <w:r>
        <w:rPr>
          <w:rFonts w:hint="eastAsia" w:ascii="宋体" w:hAnsi="宋体" w:eastAsia="宋体" w:cs="宋体"/>
          <w:color w:val="auto"/>
          <w:sz w:val="21"/>
          <w:szCs w:val="21"/>
          <w:highlight w:val="none"/>
          <w:u w:val="single"/>
        </w:rPr>
        <w:t xml:space="preserve"> （详细地址）</w:t>
      </w:r>
      <w:r>
        <w:rPr>
          <w:rFonts w:hint="eastAsia" w:ascii="宋体" w:hAnsi="宋体" w:eastAsia="宋体" w:cs="宋体"/>
          <w:color w:val="auto"/>
          <w:sz w:val="21"/>
          <w:szCs w:val="21"/>
          <w:highlight w:val="none"/>
        </w:rPr>
        <w:t>或以扫描件发送至____________（</w:t>
      </w:r>
      <w:r>
        <w:rPr>
          <w:rFonts w:hint="eastAsia" w:ascii="宋体" w:hAnsi="宋体" w:eastAsia="宋体" w:cs="宋体"/>
          <w:color w:val="auto"/>
          <w:sz w:val="21"/>
          <w:szCs w:val="21"/>
          <w:highlight w:val="none"/>
          <w:lang w:eastAsia="zh-CN"/>
        </w:rPr>
        <w:t>邮箱</w:t>
      </w:r>
      <w:r>
        <w:rPr>
          <w:rFonts w:hint="eastAsia" w:ascii="宋体" w:hAnsi="宋体" w:eastAsia="宋体" w:cs="宋体"/>
          <w:color w:val="auto"/>
          <w:sz w:val="21"/>
          <w:szCs w:val="21"/>
          <w:highlight w:val="none"/>
        </w:rPr>
        <w:t>号码）。采用扫描件发送方式的，应在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时前将原件递交至</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（详细地址）。</w:t>
      </w:r>
    </w:p>
    <w:p w14:paraId="383AC549">
      <w:pPr>
        <w:pageBreakBefore w:val="0"/>
        <w:kinsoku/>
        <w:wordWrap w:val="0"/>
        <w:overflowPunct/>
        <w:bidi w:val="0"/>
        <w:spacing w:line="480" w:lineRule="exact"/>
        <w:ind w:firstLine="3570" w:firstLineChars="1700"/>
        <w:rPr>
          <w:rFonts w:hint="eastAsia" w:ascii="宋体" w:hAnsi="宋体" w:eastAsia="宋体" w:cs="宋体"/>
          <w:color w:val="auto"/>
          <w:sz w:val="21"/>
          <w:szCs w:val="16"/>
          <w:highlight w:val="none"/>
        </w:rPr>
      </w:pPr>
    </w:p>
    <w:p w14:paraId="4066CB48">
      <w:pPr>
        <w:pageBreakBefore w:val="0"/>
        <w:kinsoku/>
        <w:wordWrap w:val="0"/>
        <w:overflowPunct/>
        <w:bidi w:val="0"/>
        <w:spacing w:line="480" w:lineRule="exact"/>
        <w:rPr>
          <w:rFonts w:hint="eastAsia" w:ascii="宋体" w:hAnsi="宋体" w:eastAsia="宋体" w:cs="宋体"/>
          <w:color w:val="auto"/>
          <w:sz w:val="21"/>
          <w:szCs w:val="16"/>
          <w:highlight w:val="none"/>
        </w:rPr>
      </w:pPr>
    </w:p>
    <w:p w14:paraId="5612D172">
      <w:pPr>
        <w:pageBreakBefore w:val="0"/>
        <w:kinsoku/>
        <w:wordWrap w:val="0"/>
        <w:overflowPunct/>
        <w:bidi w:val="0"/>
        <w:spacing w:line="360" w:lineRule="auto"/>
        <w:ind w:right="35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磋商小组：</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57B321F6">
      <w:pPr>
        <w:pageBreakBefore w:val="0"/>
        <w:kinsoku/>
        <w:wordWrap w:val="0"/>
        <w:overflowPunct/>
        <w:bidi w:val="0"/>
        <w:spacing w:line="360" w:lineRule="auto"/>
        <w:ind w:right="357"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7B223390">
      <w:pPr>
        <w:pageBreakBefore w:val="0"/>
        <w:kinsoku/>
        <w:wordWrap w:val="0"/>
        <w:overflowPunct/>
        <w:bidi w:val="0"/>
        <w:spacing w:line="480" w:lineRule="exact"/>
        <w:ind w:firstLine="3570" w:firstLineChars="1700"/>
        <w:rPr>
          <w:rFonts w:hint="eastAsia" w:ascii="宋体" w:hAnsi="宋体" w:eastAsia="宋体" w:cs="宋体"/>
          <w:color w:val="auto"/>
          <w:sz w:val="21"/>
          <w:szCs w:val="16"/>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26D8007">
      <w:pPr>
        <w:pageBreakBefore w:val="0"/>
        <w:kinsoku/>
        <w:wordWrap w:val="0"/>
        <w:overflowPunct/>
        <w:bidi w:val="0"/>
        <w:rPr>
          <w:rFonts w:hint="eastAsia" w:ascii="宋体" w:hAnsi="宋体" w:eastAsia="宋体" w:cs="宋体"/>
          <w:color w:val="auto"/>
          <w:sz w:val="21"/>
          <w:szCs w:val="16"/>
          <w:highlight w:val="none"/>
        </w:rPr>
      </w:pPr>
    </w:p>
    <w:p w14:paraId="35D11FDC">
      <w:pPr>
        <w:pageBreakBefore w:val="0"/>
        <w:kinsoku/>
        <w:wordWrap w:val="0"/>
        <w:overflowPunct/>
        <w:bidi w:val="0"/>
        <w:rPr>
          <w:rFonts w:hint="eastAsia" w:ascii="宋体" w:hAnsi="宋体" w:eastAsia="宋体" w:cs="宋体"/>
          <w:color w:val="auto"/>
          <w:sz w:val="24"/>
          <w:highlight w:val="none"/>
        </w:rPr>
      </w:pPr>
    </w:p>
    <w:p w14:paraId="2CB9CA95">
      <w:pPr>
        <w:pageBreakBefore w:val="0"/>
        <w:kinsoku/>
        <w:wordWrap w:val="0"/>
        <w:overflowPunct/>
        <w:bidi w:val="0"/>
        <w:rPr>
          <w:rFonts w:hint="eastAsia" w:ascii="宋体" w:hAnsi="宋体" w:eastAsia="宋体" w:cs="宋体"/>
          <w:color w:val="auto"/>
          <w:highlight w:val="none"/>
        </w:rPr>
      </w:pPr>
    </w:p>
    <w:p w14:paraId="1C953ABA">
      <w:pPr>
        <w:pageBreakBefore w:val="0"/>
        <w:kinsoku/>
        <w:wordWrap w:val="0"/>
        <w:overflowPunct/>
        <w:bidi w:val="0"/>
        <w:spacing w:line="480" w:lineRule="exact"/>
        <w:jc w:val="center"/>
        <w:rPr>
          <w:rFonts w:hint="eastAsia" w:ascii="宋体" w:hAnsi="宋体" w:eastAsia="宋体" w:cs="宋体"/>
          <w:color w:val="auto"/>
          <w:highlight w:val="none"/>
        </w:rPr>
      </w:pPr>
    </w:p>
    <w:p w14:paraId="59040A55">
      <w:pPr>
        <w:pageBreakBefore w:val="0"/>
        <w:kinsoku/>
        <w:wordWrap w:val="0"/>
        <w:overflowPunct/>
        <w:bidi w:val="0"/>
        <w:spacing w:line="480" w:lineRule="exact"/>
        <w:outlineLvl w:val="1"/>
        <w:rPr>
          <w:rFonts w:hint="eastAsia" w:ascii="宋体" w:hAnsi="宋体" w:eastAsia="宋体" w:cs="宋体"/>
          <w:color w:val="auto"/>
          <w:sz w:val="24"/>
          <w:highlight w:val="none"/>
        </w:rPr>
      </w:pPr>
      <w:r>
        <w:rPr>
          <w:rFonts w:hint="eastAsia" w:ascii="宋体" w:hAnsi="宋体" w:eastAsia="宋体" w:cs="宋体"/>
          <w:color w:val="auto"/>
          <w:highlight w:val="none"/>
        </w:rPr>
        <w:br w:type="page"/>
      </w:r>
      <w:bookmarkStart w:id="120" w:name="_Toc13182"/>
      <w:r>
        <w:rPr>
          <w:rFonts w:hint="eastAsia" w:ascii="宋体" w:hAnsi="宋体" w:eastAsia="宋体" w:cs="宋体"/>
          <w:b/>
          <w:color w:val="auto"/>
          <w:sz w:val="24"/>
          <w:szCs w:val="24"/>
          <w:highlight w:val="none"/>
        </w:rPr>
        <w:t>附表二：问题的澄清</w:t>
      </w:r>
      <w:bookmarkEnd w:id="120"/>
    </w:p>
    <w:p w14:paraId="271F33D2">
      <w:pPr>
        <w:pageBreakBefore w:val="0"/>
        <w:kinsoku/>
        <w:wordWrap w:val="0"/>
        <w:overflowPunct/>
        <w:bidi w:val="0"/>
        <w:spacing w:before="240" w:after="240" w:line="480" w:lineRule="exact"/>
        <w:jc w:val="center"/>
        <w:rPr>
          <w:rFonts w:hint="eastAsia" w:ascii="宋体" w:hAnsi="宋体" w:eastAsia="宋体" w:cs="宋体"/>
          <w:color w:val="auto"/>
          <w:sz w:val="28"/>
          <w:highlight w:val="none"/>
        </w:rPr>
      </w:pPr>
      <w:r>
        <w:rPr>
          <w:rFonts w:hint="eastAsia" w:ascii="宋体" w:hAnsi="宋体" w:eastAsia="宋体" w:cs="宋体"/>
          <w:color w:val="auto"/>
          <w:sz w:val="28"/>
          <w:highlight w:val="none"/>
        </w:rPr>
        <w:t>问题的澄清、说明或补正</w:t>
      </w:r>
    </w:p>
    <w:p w14:paraId="4EB4D56F">
      <w:pPr>
        <w:pageBreakBefore w:val="0"/>
        <w:kinsoku/>
        <w:wordWrap w:val="0"/>
        <w:overflowPunct/>
        <w:bidi w:val="0"/>
        <w:spacing w:line="400" w:lineRule="exact"/>
        <w:ind w:firstLine="5355" w:firstLineChars="25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编号：</w:t>
      </w:r>
    </w:p>
    <w:p w14:paraId="5CB0C95F">
      <w:pPr>
        <w:pageBreakBefore w:val="0"/>
        <w:kinsoku/>
        <w:wordWrap w:val="0"/>
        <w:overflowPunct/>
        <w:bidi w:val="0"/>
        <w:spacing w:line="480" w:lineRule="exact"/>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（项目名称）磋商小组：</w:t>
      </w:r>
    </w:p>
    <w:p w14:paraId="02F065F4">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问题澄清通知（编号：）已收悉，现澄清、说明或者补正如下：</w:t>
      </w:r>
    </w:p>
    <w:p w14:paraId="72ADDC1F">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1.</w:t>
      </w:r>
    </w:p>
    <w:p w14:paraId="48058C7A">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2.</w:t>
      </w:r>
    </w:p>
    <w:p w14:paraId="16BDF711">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w:t>
      </w:r>
    </w:p>
    <w:p w14:paraId="7EC71572">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r>
        <w:rPr>
          <w:rFonts w:hint="eastAsia" w:ascii="宋体" w:hAnsi="宋体" w:eastAsia="宋体" w:cs="宋体"/>
          <w:color w:val="auto"/>
          <w:sz w:val="21"/>
          <w:szCs w:val="21"/>
          <w:highlight w:val="none"/>
        </w:rPr>
        <w:t>上述问题澄清、说明或补正，不改变我方</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文件的实质性内容，构成我方</w:t>
      </w:r>
      <w:r>
        <w:rPr>
          <w:rFonts w:hint="eastAsia" w:ascii="宋体" w:hAnsi="宋体" w:eastAsia="宋体" w:cs="宋体"/>
          <w:color w:val="auto"/>
          <w:sz w:val="21"/>
          <w:szCs w:val="21"/>
          <w:highlight w:val="none"/>
          <w:lang w:eastAsia="zh-CN"/>
        </w:rPr>
        <w:t>响应</w:t>
      </w:r>
      <w:r>
        <w:rPr>
          <w:rFonts w:hint="eastAsia" w:ascii="宋体" w:hAnsi="宋体" w:eastAsia="宋体" w:cs="宋体"/>
          <w:color w:val="auto"/>
          <w:sz w:val="21"/>
          <w:szCs w:val="21"/>
          <w:highlight w:val="none"/>
        </w:rPr>
        <w:t>文件的组成部分。</w:t>
      </w:r>
    </w:p>
    <w:p w14:paraId="4166E266">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p>
    <w:p w14:paraId="4A008F5F">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p>
    <w:p w14:paraId="6FDDDA8C">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p>
    <w:p w14:paraId="5300DB68">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p>
    <w:p w14:paraId="3D72F20C">
      <w:pPr>
        <w:pageBreakBefore w:val="0"/>
        <w:kinsoku/>
        <w:wordWrap w:val="0"/>
        <w:overflowPunct/>
        <w:bidi w:val="0"/>
        <w:spacing w:line="480" w:lineRule="exact"/>
        <w:ind w:firstLine="420" w:firstLineChars="200"/>
        <w:rPr>
          <w:rFonts w:hint="eastAsia" w:ascii="宋体" w:hAnsi="宋体" w:eastAsia="宋体" w:cs="宋体"/>
          <w:color w:val="auto"/>
          <w:sz w:val="21"/>
          <w:szCs w:val="16"/>
          <w:highlight w:val="none"/>
        </w:rPr>
      </w:pPr>
    </w:p>
    <w:p w14:paraId="7C02601A">
      <w:pPr>
        <w:pageBreakBefore w:val="0"/>
        <w:kinsoku/>
        <w:wordWrap w:val="0"/>
        <w:overflowPunct/>
        <w:bidi w:val="0"/>
        <w:spacing w:line="480" w:lineRule="exact"/>
        <w:ind w:firstLine="420" w:firstLineChars="200"/>
        <w:jc w:val="center"/>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 xml:space="preserve">                   供应商全称：（盖章） </w:t>
      </w:r>
    </w:p>
    <w:p w14:paraId="0553D267">
      <w:pPr>
        <w:pageBreakBefore w:val="0"/>
        <w:kinsoku/>
        <w:wordWrap w:val="0"/>
        <w:overflowPunct/>
        <w:bidi w:val="0"/>
        <w:spacing w:before="120" w:after="120" w:line="480" w:lineRule="exact"/>
        <w:ind w:right="210"/>
        <w:jc w:val="right"/>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 xml:space="preserve">         法定代表人或其委托代理人：（签字）      </w:t>
      </w:r>
    </w:p>
    <w:p w14:paraId="7CB72B18">
      <w:pPr>
        <w:pageBreakBefore w:val="0"/>
        <w:kinsoku/>
        <w:wordWrap w:val="0"/>
        <w:overflowPunct/>
        <w:bidi w:val="0"/>
        <w:spacing w:line="480" w:lineRule="exact"/>
        <w:ind w:firstLine="5775" w:firstLineChars="2750"/>
        <w:rPr>
          <w:rFonts w:hint="eastAsia" w:ascii="宋体" w:hAnsi="宋体" w:eastAsia="宋体" w:cs="宋体"/>
          <w:color w:val="auto"/>
          <w:sz w:val="21"/>
          <w:szCs w:val="16"/>
          <w:highlight w:val="none"/>
        </w:rPr>
      </w:pPr>
      <w:r>
        <w:rPr>
          <w:rFonts w:hint="eastAsia" w:ascii="宋体" w:hAnsi="宋体" w:eastAsia="宋体" w:cs="宋体"/>
          <w:color w:val="auto"/>
          <w:sz w:val="21"/>
          <w:szCs w:val="16"/>
          <w:highlight w:val="none"/>
        </w:rPr>
        <w:t>年月日</w:t>
      </w:r>
    </w:p>
    <w:p w14:paraId="57C281EF">
      <w:pPr>
        <w:pStyle w:val="79"/>
        <w:pageBreakBefore w:val="0"/>
        <w:kinsoku/>
        <w:wordWrap w:val="0"/>
        <w:overflowPunct/>
        <w:bidi w:val="0"/>
        <w:ind w:firstLine="1040"/>
        <w:rPr>
          <w:rFonts w:hint="eastAsia" w:ascii="宋体" w:hAnsi="宋体" w:eastAsia="宋体" w:cs="宋体"/>
          <w:color w:val="auto"/>
          <w:sz w:val="52"/>
          <w:highlight w:val="none"/>
        </w:rPr>
      </w:pPr>
      <w:bookmarkStart w:id="121" w:name="_Toc12929"/>
      <w:bookmarkEnd w:id="121"/>
    </w:p>
    <w:p w14:paraId="54BA6075">
      <w:pPr>
        <w:pageBreakBefore w:val="0"/>
        <w:kinsoku/>
        <w:wordWrap w:val="0"/>
        <w:overflowPunct/>
        <w:bidi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14:paraId="360BACA1">
      <w:pPr>
        <w:pageBreakBefore w:val="0"/>
        <w:kinsoku/>
        <w:wordWrap w:val="0"/>
        <w:overflowPunct/>
        <w:bidi w:val="0"/>
        <w:spacing w:line="360" w:lineRule="auto"/>
        <w:jc w:val="center"/>
        <w:outlineLvl w:val="0"/>
        <w:rPr>
          <w:rFonts w:hint="eastAsia" w:ascii="宋体" w:hAnsi="宋体" w:eastAsia="宋体" w:cs="宋体"/>
          <w:b/>
          <w:bCs/>
          <w:color w:val="auto"/>
          <w:sz w:val="40"/>
          <w:szCs w:val="40"/>
          <w:highlight w:val="none"/>
        </w:rPr>
      </w:pPr>
      <w:bookmarkStart w:id="122" w:name="_Toc32054"/>
      <w:bookmarkStart w:id="123" w:name="_Toc1887"/>
      <w:r>
        <w:rPr>
          <w:rFonts w:hint="eastAsia" w:ascii="宋体" w:hAnsi="宋体" w:eastAsia="宋体" w:cs="宋体"/>
          <w:b/>
          <w:bCs/>
          <w:color w:val="auto"/>
          <w:sz w:val="40"/>
          <w:szCs w:val="40"/>
          <w:highlight w:val="none"/>
        </w:rPr>
        <w:t>第三章  采购需求</w:t>
      </w:r>
      <w:bookmarkEnd w:id="119"/>
      <w:bookmarkEnd w:id="122"/>
      <w:bookmarkEnd w:id="123"/>
    </w:p>
    <w:p w14:paraId="52F121EA">
      <w:pPr>
        <w:keepNext w:val="0"/>
        <w:keepLines w:val="0"/>
        <w:pageBreakBefore w:val="0"/>
        <w:widowControl w:val="0"/>
        <w:kinsoku/>
        <w:wordWrap w:val="0"/>
        <w:overflowPunct/>
        <w:topLinePunct w:val="0"/>
        <w:autoSpaceDE/>
        <w:autoSpaceDN/>
        <w:bidi w:val="0"/>
        <w:adjustRightInd/>
        <w:snapToGrid/>
        <w:spacing w:line="360" w:lineRule="auto"/>
        <w:ind w:left="0" w:leftChars="0" w:firstLine="0" w:firstLineChars="0"/>
        <w:textAlignment w:val="auto"/>
        <w:outlineLvl w:val="1"/>
        <w:rPr>
          <w:rFonts w:hint="eastAsia" w:ascii="黑体" w:hAnsi="黑体" w:eastAsia="黑体" w:cs="黑体"/>
          <w:b w:val="0"/>
          <w:bCs w:val="0"/>
          <w:color w:val="auto"/>
          <w:sz w:val="24"/>
          <w:szCs w:val="24"/>
          <w:highlight w:val="none"/>
          <w:lang w:val="en-US" w:eastAsia="zh-CN"/>
        </w:rPr>
      </w:pPr>
      <w:bookmarkStart w:id="124" w:name="_Toc809"/>
      <w:bookmarkStart w:id="125" w:name="_Toc7831"/>
      <w:r>
        <w:rPr>
          <w:rFonts w:hint="eastAsia" w:ascii="黑体" w:hAnsi="黑体" w:eastAsia="黑体" w:cs="黑体"/>
          <w:b w:val="0"/>
          <w:bCs w:val="0"/>
          <w:color w:val="auto"/>
          <w:sz w:val="24"/>
          <w:szCs w:val="24"/>
          <w:highlight w:val="none"/>
          <w:lang w:val="en-US" w:eastAsia="zh-CN"/>
        </w:rPr>
        <w:t>一、项目基本情况</w:t>
      </w:r>
      <w:bookmarkEnd w:id="124"/>
    </w:p>
    <w:p w14:paraId="5B8238D4">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项目名称</w:t>
      </w:r>
      <w:r>
        <w:rPr>
          <w:rFonts w:hint="eastAsia" w:ascii="宋体" w:hAnsi="宋体" w:cs="宋体"/>
          <w:color w:val="auto"/>
          <w:sz w:val="22"/>
          <w:szCs w:val="22"/>
          <w:highlight w:val="none"/>
          <w:lang w:val="en-US" w:eastAsia="zh-CN"/>
        </w:rPr>
        <w:t xml:space="preserve">：金顶街道办福坪村二组供水管网改造工程； </w:t>
      </w:r>
    </w:p>
    <w:p w14:paraId="329DD95C">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建设性质：提升改造</w:t>
      </w:r>
      <w:r>
        <w:rPr>
          <w:rFonts w:hint="eastAsia" w:ascii="宋体" w:hAnsi="宋体" w:cs="宋体"/>
          <w:color w:val="auto"/>
          <w:sz w:val="22"/>
          <w:szCs w:val="22"/>
          <w:highlight w:val="none"/>
          <w:lang w:val="en-US" w:eastAsia="zh-CN"/>
        </w:rPr>
        <w:t>；</w:t>
      </w:r>
    </w:p>
    <w:p w14:paraId="006EB05F">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项目实施责任单位：</w:t>
      </w:r>
      <w:r>
        <w:rPr>
          <w:rFonts w:hint="eastAsia" w:ascii="宋体" w:hAnsi="宋体" w:cs="宋体"/>
          <w:color w:val="auto"/>
          <w:sz w:val="22"/>
          <w:szCs w:val="22"/>
          <w:highlight w:val="none"/>
          <w:lang w:val="en-US" w:eastAsia="zh-CN"/>
        </w:rPr>
        <w:t>兰坪白族普米族自治县水利局；</w:t>
      </w:r>
    </w:p>
    <w:p w14:paraId="561CDE6B">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r>
        <w:rPr>
          <w:rFonts w:hint="eastAsia" w:ascii="宋体" w:hAnsi="宋体" w:cs="宋体"/>
          <w:color w:val="auto"/>
          <w:sz w:val="22"/>
          <w:szCs w:val="22"/>
          <w:highlight w:val="none"/>
          <w:lang w:val="en-US" w:eastAsia="zh-CN"/>
        </w:rPr>
        <w:t>.</w:t>
      </w:r>
      <w:r>
        <w:rPr>
          <w:rFonts w:hint="eastAsia" w:ascii="宋体" w:hAnsi="宋体" w:eastAsia="宋体" w:cs="宋体"/>
          <w:color w:val="auto"/>
          <w:sz w:val="22"/>
          <w:szCs w:val="22"/>
          <w:highlight w:val="none"/>
          <w:lang w:val="en-US" w:eastAsia="zh-CN"/>
        </w:rPr>
        <w:t>项目建设地点：</w:t>
      </w:r>
      <w:r>
        <w:rPr>
          <w:rFonts w:hint="eastAsia" w:ascii="宋体" w:hAnsi="宋体" w:cs="宋体"/>
          <w:color w:val="auto"/>
          <w:sz w:val="22"/>
          <w:szCs w:val="22"/>
          <w:highlight w:val="none"/>
          <w:lang w:val="en-US" w:eastAsia="zh-CN"/>
        </w:rPr>
        <w:t>金顶街道办福坪村；</w:t>
      </w:r>
    </w:p>
    <w:p w14:paraId="416E94FF">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r>
        <w:rPr>
          <w:rFonts w:hint="eastAsia" w:ascii="宋体" w:hAnsi="宋体" w:eastAsia="宋体" w:cs="宋体"/>
          <w:color w:val="auto"/>
          <w:sz w:val="22"/>
          <w:szCs w:val="22"/>
          <w:highlight w:val="none"/>
          <w:lang w:val="en-US" w:eastAsia="zh-CN"/>
        </w:rPr>
        <w:t>项目建设内容</w:t>
      </w:r>
      <w:r>
        <w:rPr>
          <w:rFonts w:hint="eastAsia" w:ascii="宋体" w:hAnsi="宋体" w:cs="宋体"/>
          <w:color w:val="auto"/>
          <w:sz w:val="22"/>
          <w:szCs w:val="22"/>
          <w:highlight w:val="none"/>
          <w:lang w:val="en-US" w:eastAsia="zh-CN"/>
        </w:rPr>
        <w:t>：</w:t>
      </w:r>
    </w:p>
    <w:p w14:paraId="547EE140">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本工程主要建设内容为：新建DN65镀锌钢管输水管1754m,DN65平焊法兰310套，DN25热轧镀锌钢管(DN25×3.25)180m,DN20热轧镀锌钢管(DN25×2.75)390m以及配件安装。详见施工图纸及工程量清单所列内容。</w:t>
      </w:r>
    </w:p>
    <w:p w14:paraId="2587CE3A">
      <w:pPr>
        <w:keepLines w:val="0"/>
        <w:pageBreakBefore w:val="0"/>
        <w:kinsoku/>
        <w:wordWrap w:val="0"/>
        <w:overflowPunct/>
        <w:topLinePunct w:val="0"/>
        <w:autoSpaceDE/>
        <w:autoSpaceDN/>
        <w:bidi w:val="0"/>
        <w:adjustRightInd/>
        <w:snapToGrid/>
        <w:spacing w:line="360" w:lineRule="auto"/>
        <w:ind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cs="宋体"/>
          <w:b w:val="0"/>
          <w:bCs/>
          <w:color w:val="auto"/>
          <w:sz w:val="22"/>
          <w:szCs w:val="22"/>
          <w:highlight w:val="none"/>
          <w:lang w:val="en-US" w:eastAsia="zh-CN"/>
        </w:rPr>
        <w:t>6.</w:t>
      </w:r>
      <w:r>
        <w:rPr>
          <w:rFonts w:hint="eastAsia" w:ascii="宋体" w:hAnsi="宋体" w:eastAsia="宋体" w:cs="宋体"/>
          <w:color w:val="auto"/>
          <w:sz w:val="22"/>
          <w:szCs w:val="22"/>
          <w:highlight w:val="none"/>
          <w:lang w:val="en-US" w:eastAsia="zh-CN"/>
        </w:rPr>
        <w:t>最高限价：</w:t>
      </w:r>
      <w:r>
        <w:rPr>
          <w:rFonts w:hint="eastAsia" w:ascii="宋体" w:hAnsi="宋体" w:cs="宋体"/>
          <w:color w:val="auto"/>
          <w:sz w:val="22"/>
          <w:szCs w:val="22"/>
          <w:highlight w:val="none"/>
          <w:lang w:val="en-US" w:eastAsia="zh-CN"/>
        </w:rPr>
        <w:t>27.963065</w:t>
      </w:r>
      <w:r>
        <w:rPr>
          <w:rFonts w:hint="eastAsia" w:ascii="宋体" w:hAnsi="宋体" w:cs="宋体"/>
          <w:color w:val="auto"/>
          <w:sz w:val="22"/>
          <w:szCs w:val="22"/>
          <w:highlight w:val="none"/>
          <w:lang w:val="en-US" w:eastAsia="zh-CN"/>
        </w:rPr>
        <w:t>万元</w:t>
      </w:r>
      <w:r>
        <w:rPr>
          <w:rFonts w:hint="eastAsia" w:ascii="宋体" w:hAnsi="宋体" w:eastAsia="宋体" w:cs="宋体"/>
          <w:color w:val="auto"/>
          <w:sz w:val="22"/>
          <w:szCs w:val="22"/>
          <w:highlight w:val="none"/>
          <w:lang w:val="en-US" w:eastAsia="zh-CN"/>
        </w:rPr>
        <w:t>；</w:t>
      </w:r>
    </w:p>
    <w:p w14:paraId="084679D6">
      <w:pPr>
        <w:keepNext/>
        <w:keepLines w:val="0"/>
        <w:pageBreakBefore w:val="0"/>
        <w:widowControl/>
        <w:numPr>
          <w:ilvl w:val="0"/>
          <w:numId w:val="0"/>
        </w:numPr>
        <w:tabs>
          <w:tab w:val="center" w:pos="4835"/>
          <w:tab w:val="left" w:pos="7687"/>
        </w:tabs>
        <w:kinsoku/>
        <w:wordWrap w:val="0"/>
        <w:overflowPunct/>
        <w:topLinePunct w:val="0"/>
        <w:autoSpaceDE/>
        <w:autoSpaceDN/>
        <w:bidi w:val="0"/>
        <w:adjustRightInd/>
        <w:snapToGrid/>
        <w:spacing w:before="0" w:line="360" w:lineRule="auto"/>
        <w:ind w:firstLine="440" w:firstLineChars="200"/>
        <w:jc w:val="left"/>
        <w:textAlignment w:val="auto"/>
        <w:outlineLvl w:val="9"/>
        <w:rPr>
          <w:rFonts w:hint="eastAsia" w:ascii="宋体" w:hAnsi="宋体" w:eastAsia="宋体" w:cs="宋体"/>
          <w:b w:val="0"/>
          <w:bCs/>
          <w:color w:val="auto"/>
          <w:spacing w:val="0"/>
          <w:sz w:val="22"/>
          <w:szCs w:val="22"/>
          <w:highlight w:val="none"/>
          <w:lang w:val="en-US" w:eastAsia="zh-CN"/>
        </w:rPr>
      </w:pPr>
      <w:r>
        <w:rPr>
          <w:rFonts w:hint="eastAsia" w:ascii="宋体" w:hAnsi="宋体" w:cs="宋体"/>
          <w:b w:val="0"/>
          <w:bCs/>
          <w:color w:val="auto"/>
          <w:spacing w:val="0"/>
          <w:sz w:val="22"/>
          <w:szCs w:val="22"/>
          <w:highlight w:val="none"/>
          <w:lang w:val="en-US" w:eastAsia="zh-CN"/>
        </w:rPr>
        <w:t>7.</w:t>
      </w:r>
      <w:r>
        <w:rPr>
          <w:rFonts w:hint="eastAsia" w:ascii="宋体" w:hAnsi="宋体" w:eastAsia="宋体" w:cs="宋体"/>
          <w:b w:val="0"/>
          <w:bCs/>
          <w:color w:val="auto"/>
          <w:spacing w:val="0"/>
          <w:sz w:val="22"/>
          <w:szCs w:val="22"/>
          <w:highlight w:val="none"/>
          <w:lang w:val="en-US" w:eastAsia="zh-CN"/>
        </w:rPr>
        <w:t>合同履行期限</w:t>
      </w:r>
      <w:r>
        <w:rPr>
          <w:rFonts w:hint="eastAsia" w:ascii="宋体" w:hAnsi="宋体" w:cs="宋体"/>
          <w:b w:val="0"/>
          <w:bCs/>
          <w:color w:val="auto"/>
          <w:spacing w:val="0"/>
          <w:sz w:val="22"/>
          <w:szCs w:val="22"/>
          <w:highlight w:val="none"/>
          <w:lang w:val="en-US" w:eastAsia="zh-CN"/>
        </w:rPr>
        <w:t>（工期）</w:t>
      </w:r>
      <w:r>
        <w:rPr>
          <w:rFonts w:hint="eastAsia" w:ascii="宋体" w:hAnsi="宋体" w:eastAsia="宋体" w:cs="宋体"/>
          <w:b w:val="0"/>
          <w:bCs/>
          <w:color w:val="auto"/>
          <w:spacing w:val="0"/>
          <w:sz w:val="22"/>
          <w:szCs w:val="22"/>
          <w:highlight w:val="none"/>
          <w:lang w:val="en-US" w:eastAsia="zh-CN"/>
        </w:rPr>
        <w:t>：</w:t>
      </w:r>
      <w:r>
        <w:rPr>
          <w:rFonts w:hint="eastAsia" w:ascii="宋体" w:hAnsi="宋体" w:cs="宋体"/>
          <w:b w:val="0"/>
          <w:bCs/>
          <w:color w:val="auto"/>
          <w:spacing w:val="0"/>
          <w:sz w:val="22"/>
          <w:szCs w:val="22"/>
          <w:highlight w:val="none"/>
          <w:lang w:val="en-US" w:eastAsia="zh-CN"/>
        </w:rPr>
        <w:t>60日历天</w:t>
      </w:r>
      <w:r>
        <w:rPr>
          <w:rFonts w:hint="eastAsia" w:ascii="宋体" w:hAnsi="宋体" w:eastAsia="宋体" w:cs="宋体"/>
          <w:b w:val="0"/>
          <w:bCs/>
          <w:color w:val="auto"/>
          <w:spacing w:val="0"/>
          <w:sz w:val="22"/>
          <w:szCs w:val="22"/>
          <w:highlight w:val="none"/>
          <w:lang w:val="en-US" w:eastAsia="zh-CN"/>
        </w:rPr>
        <w:t>；</w:t>
      </w:r>
    </w:p>
    <w:p w14:paraId="7185FFFE">
      <w:pPr>
        <w:keepNext/>
        <w:keepLines w:val="0"/>
        <w:pageBreakBefore w:val="0"/>
        <w:widowControl/>
        <w:numPr>
          <w:ilvl w:val="0"/>
          <w:numId w:val="0"/>
        </w:numPr>
        <w:tabs>
          <w:tab w:val="center" w:pos="4835"/>
          <w:tab w:val="left" w:pos="7687"/>
        </w:tabs>
        <w:kinsoku/>
        <w:wordWrap w:val="0"/>
        <w:overflowPunct/>
        <w:topLinePunct w:val="0"/>
        <w:autoSpaceDE/>
        <w:autoSpaceDN/>
        <w:bidi w:val="0"/>
        <w:adjustRightInd/>
        <w:snapToGrid/>
        <w:spacing w:before="0" w:line="360" w:lineRule="auto"/>
        <w:ind w:firstLine="440" w:firstLineChars="200"/>
        <w:jc w:val="left"/>
        <w:textAlignment w:val="auto"/>
        <w:outlineLvl w:val="9"/>
        <w:rPr>
          <w:rFonts w:hint="eastAsia" w:ascii="宋体" w:hAnsi="宋体" w:eastAsia="宋体" w:cs="宋体"/>
          <w:b w:val="0"/>
          <w:bCs/>
          <w:color w:val="auto"/>
          <w:sz w:val="22"/>
          <w:szCs w:val="22"/>
          <w:highlight w:val="none"/>
          <w:lang w:eastAsia="zh-CN"/>
        </w:rPr>
      </w:pPr>
      <w:r>
        <w:rPr>
          <w:rFonts w:hint="eastAsia" w:ascii="宋体" w:hAnsi="宋体" w:cs="宋体"/>
          <w:b w:val="0"/>
          <w:bCs/>
          <w:color w:val="auto"/>
          <w:spacing w:val="0"/>
          <w:sz w:val="22"/>
          <w:szCs w:val="22"/>
          <w:highlight w:val="none"/>
          <w:lang w:val="en-US" w:eastAsia="zh-CN"/>
        </w:rPr>
        <w:t>8.</w:t>
      </w:r>
      <w:r>
        <w:rPr>
          <w:rFonts w:hint="eastAsia" w:ascii="宋体" w:hAnsi="宋体" w:eastAsia="宋体" w:cs="宋体"/>
          <w:b w:val="0"/>
          <w:bCs/>
          <w:color w:val="auto"/>
          <w:spacing w:val="0"/>
          <w:sz w:val="22"/>
          <w:szCs w:val="22"/>
          <w:highlight w:val="none"/>
          <w:lang w:val="en-US" w:eastAsia="zh-CN"/>
        </w:rPr>
        <w:t>质量要求：</w:t>
      </w:r>
      <w:r>
        <w:rPr>
          <w:rFonts w:hint="eastAsia" w:ascii="宋体" w:hAnsi="宋体" w:cs="宋体"/>
          <w:b w:val="0"/>
          <w:bCs/>
          <w:color w:val="auto"/>
          <w:sz w:val="22"/>
          <w:szCs w:val="22"/>
          <w:highlight w:val="none"/>
          <w:lang w:eastAsia="zh-CN"/>
        </w:rPr>
        <w:t>符合《水利水电建设工程验收规程》及国家、地方、行业现行工程建设强制性标准、相关质量验收标准及规范的要求，一次性验收合格。在项目实施过程中如有相关规范及标准调整，以最新执行的规范及标准执行</w:t>
      </w:r>
      <w:r>
        <w:rPr>
          <w:rFonts w:hint="eastAsia" w:ascii="宋体" w:hAnsi="宋体" w:eastAsia="宋体" w:cs="宋体"/>
          <w:b w:val="0"/>
          <w:bCs/>
          <w:color w:val="auto"/>
          <w:sz w:val="22"/>
          <w:szCs w:val="22"/>
          <w:highlight w:val="none"/>
          <w:lang w:eastAsia="zh-CN"/>
        </w:rPr>
        <w:t>。</w:t>
      </w:r>
    </w:p>
    <w:p w14:paraId="6EC2CA1D">
      <w:pPr>
        <w:keepNext w:val="0"/>
        <w:keepLines w:val="0"/>
        <w:pageBreakBefore w:val="0"/>
        <w:widowControl w:val="0"/>
        <w:kinsoku/>
        <w:wordWrap w:val="0"/>
        <w:overflowPunct/>
        <w:topLinePunct w:val="0"/>
        <w:autoSpaceDE/>
        <w:autoSpaceDN/>
        <w:bidi w:val="0"/>
        <w:adjustRightInd/>
        <w:snapToGrid/>
        <w:spacing w:before="157" w:beforeLines="50" w:line="360" w:lineRule="auto"/>
        <w:ind w:left="0" w:leftChars="0" w:firstLine="0" w:firstLineChars="0"/>
        <w:textAlignment w:val="auto"/>
        <w:outlineLvl w:val="1"/>
        <w:rPr>
          <w:rFonts w:hint="eastAsia" w:ascii="黑体" w:hAnsi="黑体" w:eastAsia="黑体" w:cs="黑体"/>
          <w:b w:val="0"/>
          <w:bCs w:val="0"/>
          <w:color w:val="auto"/>
          <w:sz w:val="24"/>
          <w:szCs w:val="24"/>
          <w:highlight w:val="none"/>
          <w:lang w:val="en-US" w:eastAsia="zh-CN"/>
        </w:rPr>
      </w:pPr>
      <w:bookmarkStart w:id="126" w:name="_Toc26349"/>
      <w:r>
        <w:rPr>
          <w:rFonts w:hint="eastAsia" w:ascii="黑体" w:hAnsi="黑体" w:eastAsia="黑体" w:cs="黑体"/>
          <w:b w:val="0"/>
          <w:bCs w:val="0"/>
          <w:color w:val="auto"/>
          <w:sz w:val="24"/>
          <w:szCs w:val="24"/>
          <w:highlight w:val="none"/>
          <w:lang w:val="en-US" w:eastAsia="zh-CN"/>
        </w:rPr>
        <w:t>二、技术标准及要求</w:t>
      </w:r>
      <w:bookmarkEnd w:id="126"/>
    </w:p>
    <w:p w14:paraId="6E2AFD3D">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outlineLvl w:val="9"/>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1.</w:t>
      </w:r>
      <w:r>
        <w:rPr>
          <w:rFonts w:hint="eastAsia" w:ascii="宋体" w:hAnsi="宋体" w:cs="宋体"/>
          <w:color w:val="auto"/>
          <w:sz w:val="22"/>
          <w:szCs w:val="22"/>
          <w:highlight w:val="none"/>
        </w:rPr>
        <w:t>本项目在实施过程中设计、施工、材料必须符合现行中华人民共和国以及省、自治区直辖市或行业的工程建设标准、规范的要求。</w:t>
      </w:r>
    </w:p>
    <w:p w14:paraId="7D2848C3">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outlineLvl w:val="9"/>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2.</w:t>
      </w:r>
      <w:r>
        <w:rPr>
          <w:rFonts w:hint="eastAsia" w:ascii="宋体" w:hAnsi="宋体" w:cs="宋体"/>
          <w:color w:val="auto"/>
          <w:sz w:val="22"/>
          <w:szCs w:val="22"/>
          <w:highlight w:val="none"/>
        </w:rPr>
        <w:t>本项目的安全生产、文明施工、环境保护措施应符合中华人民共和国以及省、自治区直辖市或行业以及当地政府的有关法律、法规的要求。</w:t>
      </w:r>
    </w:p>
    <w:p w14:paraId="337C2D5B">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outlineLvl w:val="9"/>
        <w:rPr>
          <w:rFonts w:hint="eastAsia"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3.根据项目所处地域当地政府的相关规定，该项工程的材料、设备、施工必须达到现行标准或规范及其最新相关的要求。</w:t>
      </w:r>
    </w:p>
    <w:p w14:paraId="28730F6E">
      <w:pPr>
        <w:keepNext w:val="0"/>
        <w:keepLines w:val="0"/>
        <w:pageBreakBefore w:val="0"/>
        <w:widowControl w:val="0"/>
        <w:kinsoku/>
        <w:wordWrap w:val="0"/>
        <w:overflowPunct/>
        <w:topLinePunct w:val="0"/>
        <w:autoSpaceDE/>
        <w:autoSpaceDN/>
        <w:bidi w:val="0"/>
        <w:adjustRightInd/>
        <w:snapToGrid w:val="0"/>
        <w:spacing w:before="157" w:beforeLines="50" w:line="360" w:lineRule="auto"/>
        <w:ind w:left="0" w:leftChars="0" w:firstLine="0" w:firstLineChars="0"/>
        <w:textAlignment w:val="auto"/>
        <w:outlineLvl w:val="1"/>
        <w:rPr>
          <w:rFonts w:hint="eastAsia" w:ascii="黑体" w:hAnsi="黑体" w:eastAsia="黑体" w:cs="黑体"/>
          <w:b w:val="0"/>
          <w:bCs w:val="0"/>
          <w:color w:val="auto"/>
          <w:sz w:val="22"/>
          <w:szCs w:val="22"/>
          <w:highlight w:val="none"/>
          <w:lang w:val="en-US" w:eastAsia="zh-CN"/>
        </w:rPr>
      </w:pPr>
      <w:bookmarkStart w:id="127" w:name="_Toc15862"/>
      <w:r>
        <w:rPr>
          <w:rFonts w:hint="eastAsia" w:ascii="黑体" w:hAnsi="黑体" w:eastAsia="黑体" w:cs="黑体"/>
          <w:b w:val="0"/>
          <w:bCs w:val="0"/>
          <w:color w:val="auto"/>
          <w:sz w:val="22"/>
          <w:szCs w:val="22"/>
          <w:highlight w:val="none"/>
          <w:lang w:val="en-US" w:eastAsia="zh-CN"/>
        </w:rPr>
        <w:t>三、招标工程量清单及图纸</w:t>
      </w:r>
      <w:bookmarkEnd w:id="127"/>
    </w:p>
    <w:p w14:paraId="242760C7">
      <w:pPr>
        <w:keepNext w:val="0"/>
        <w:keepLines w:val="0"/>
        <w:pageBreakBefore w:val="0"/>
        <w:widowControl w:val="0"/>
        <w:kinsoku/>
        <w:wordWrap w:val="0"/>
        <w:overflowPunct/>
        <w:topLinePunct w:val="0"/>
        <w:autoSpaceDE/>
        <w:autoSpaceDN/>
        <w:bidi w:val="0"/>
        <w:adjustRightInd/>
        <w:snapToGrid/>
        <w:spacing w:line="360" w:lineRule="auto"/>
        <w:ind w:left="0" w:leftChars="0" w:firstLine="440" w:firstLineChars="200"/>
        <w:textAlignment w:val="auto"/>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另附</w:t>
      </w:r>
      <w:r>
        <w:rPr>
          <w:rFonts w:hint="eastAsia" w:ascii="宋体" w:hAnsi="宋体" w:cs="宋体"/>
          <w:color w:val="auto"/>
          <w:sz w:val="22"/>
          <w:szCs w:val="22"/>
          <w:highlight w:val="none"/>
          <w:lang w:val="en-US" w:eastAsia="zh-CN"/>
        </w:rPr>
        <w:t>：详见随采购文件上传的</w:t>
      </w:r>
      <w:r>
        <w:rPr>
          <w:rFonts w:hint="eastAsia" w:ascii="宋体" w:hAnsi="宋体" w:eastAsia="宋体" w:cs="宋体"/>
          <w:color w:val="auto"/>
          <w:sz w:val="22"/>
          <w:szCs w:val="22"/>
          <w:highlight w:val="none"/>
          <w:lang w:val="en-US" w:eastAsia="zh-CN"/>
        </w:rPr>
        <w:t>招标工程量清单及图纸</w:t>
      </w:r>
      <w:r>
        <w:rPr>
          <w:rFonts w:hint="eastAsia" w:ascii="宋体" w:hAnsi="宋体" w:cs="宋体"/>
          <w:color w:val="auto"/>
          <w:sz w:val="22"/>
          <w:szCs w:val="22"/>
          <w:highlight w:val="none"/>
          <w:lang w:val="en-US" w:eastAsia="zh-CN"/>
        </w:rPr>
        <w:t>。</w:t>
      </w:r>
    </w:p>
    <w:p w14:paraId="2E4EFFC3">
      <w:pPr>
        <w:rPr>
          <w:rFonts w:hint="eastAsia" w:ascii="宋体" w:hAnsi="宋体" w:eastAsia="宋体" w:cs="宋体"/>
          <w:b/>
          <w:caps/>
          <w:color w:val="auto"/>
          <w:sz w:val="40"/>
          <w:szCs w:val="40"/>
          <w:highlight w:val="none"/>
        </w:rPr>
      </w:pPr>
      <w:r>
        <w:rPr>
          <w:rFonts w:hint="eastAsia" w:ascii="宋体" w:hAnsi="宋体" w:eastAsia="宋体" w:cs="宋体"/>
          <w:b/>
          <w:caps/>
          <w:color w:val="auto"/>
          <w:sz w:val="40"/>
          <w:szCs w:val="40"/>
          <w:highlight w:val="none"/>
        </w:rPr>
        <w:br w:type="page"/>
      </w:r>
    </w:p>
    <w:p w14:paraId="59E7E672">
      <w:pPr>
        <w:pageBreakBefore w:val="0"/>
        <w:kinsoku/>
        <w:wordWrap w:val="0"/>
        <w:overflowPunct/>
        <w:bidi w:val="0"/>
        <w:spacing w:line="360" w:lineRule="auto"/>
        <w:jc w:val="center"/>
        <w:outlineLvl w:val="0"/>
        <w:rPr>
          <w:rFonts w:hint="eastAsia" w:ascii="宋体" w:hAnsi="宋体" w:eastAsia="宋体" w:cs="宋体"/>
          <w:b/>
          <w:caps/>
          <w:color w:val="auto"/>
          <w:sz w:val="40"/>
          <w:szCs w:val="40"/>
          <w:highlight w:val="none"/>
        </w:rPr>
      </w:pPr>
      <w:bookmarkStart w:id="128" w:name="_Toc18515"/>
      <w:r>
        <w:rPr>
          <w:rFonts w:hint="eastAsia" w:ascii="宋体" w:hAnsi="宋体" w:eastAsia="宋体" w:cs="宋体"/>
          <w:b/>
          <w:caps/>
          <w:color w:val="auto"/>
          <w:sz w:val="40"/>
          <w:szCs w:val="40"/>
          <w:highlight w:val="none"/>
        </w:rPr>
        <w:t xml:space="preserve">第四章  </w:t>
      </w:r>
      <w:r>
        <w:rPr>
          <w:rFonts w:hint="eastAsia" w:ascii="宋体" w:hAnsi="宋体" w:eastAsia="宋体" w:cs="宋体"/>
          <w:b/>
          <w:caps/>
          <w:color w:val="auto"/>
          <w:sz w:val="40"/>
          <w:szCs w:val="40"/>
          <w:highlight w:val="none"/>
          <w:lang w:eastAsia="zh-CN"/>
        </w:rPr>
        <w:t>评审</w:t>
      </w:r>
      <w:r>
        <w:rPr>
          <w:rFonts w:hint="eastAsia" w:ascii="宋体" w:hAnsi="宋体" w:eastAsia="宋体" w:cs="宋体"/>
          <w:b/>
          <w:caps/>
          <w:color w:val="auto"/>
          <w:sz w:val="40"/>
          <w:szCs w:val="40"/>
          <w:highlight w:val="none"/>
        </w:rPr>
        <w:t>办法</w:t>
      </w:r>
      <w:bookmarkEnd w:id="125"/>
      <w:bookmarkEnd w:id="128"/>
    </w:p>
    <w:bookmarkEnd w:id="55"/>
    <w:bookmarkEnd w:id="56"/>
    <w:p w14:paraId="262CD408">
      <w:pPr>
        <w:keepNext w:val="0"/>
        <w:keepLines w:val="0"/>
        <w:pageBreakBefore w:val="0"/>
        <w:widowControl w:val="0"/>
        <w:kinsoku/>
        <w:wordWrap w:val="0"/>
        <w:overflowPunct/>
        <w:topLinePunct w:val="0"/>
        <w:bidi w:val="0"/>
        <w:spacing w:line="360" w:lineRule="auto"/>
        <w:jc w:val="both"/>
        <w:textAlignment w:val="auto"/>
        <w:outlineLvl w:val="1"/>
        <w:rPr>
          <w:rFonts w:hint="eastAsia" w:ascii="宋体" w:hAnsi="宋体" w:eastAsia="宋体" w:cs="宋体"/>
          <w:b/>
          <w:bCs/>
          <w:color w:val="auto"/>
          <w:sz w:val="24"/>
          <w:szCs w:val="24"/>
          <w:highlight w:val="none"/>
        </w:rPr>
      </w:pPr>
      <w:bookmarkStart w:id="129" w:name="_Toc30597"/>
      <w:bookmarkStart w:id="130" w:name="_Toc8887"/>
      <w:r>
        <w:rPr>
          <w:rFonts w:hint="eastAsia" w:ascii="宋体" w:hAnsi="宋体" w:eastAsia="宋体" w:cs="宋体"/>
          <w:b/>
          <w:bCs/>
          <w:color w:val="auto"/>
          <w:sz w:val="24"/>
          <w:szCs w:val="24"/>
          <w:highlight w:val="none"/>
        </w:rPr>
        <w:t>一、磋商小组</w:t>
      </w:r>
      <w:bookmarkEnd w:id="129"/>
    </w:p>
    <w:p w14:paraId="45B705BA">
      <w:pPr>
        <w:pStyle w:val="16"/>
        <w:keepNext w:val="0"/>
        <w:keepLines w:val="0"/>
        <w:pageBreakBefore w:val="0"/>
        <w:widowControl w:val="0"/>
        <w:kinsoku/>
        <w:wordWrap w:val="0"/>
        <w:overflowPunct/>
        <w:topLinePunct w:val="0"/>
        <w:bidi w:val="0"/>
        <w:spacing w:after="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磋商小组的组成见第二章供应商须知前附表</w:t>
      </w:r>
      <w:r>
        <w:rPr>
          <w:rFonts w:hint="eastAsia" w:ascii="宋体" w:hAnsi="宋体" w:eastAsia="宋体" w:cs="宋体"/>
          <w:color w:val="auto"/>
          <w:sz w:val="21"/>
          <w:szCs w:val="21"/>
          <w:highlight w:val="none"/>
          <w:lang w:val="en-US" w:eastAsia="zh-CN"/>
        </w:rPr>
        <w:t>5.1</w:t>
      </w:r>
      <w:r>
        <w:rPr>
          <w:rFonts w:hint="eastAsia" w:ascii="宋体" w:hAnsi="宋体" w:eastAsia="宋体" w:cs="宋体"/>
          <w:color w:val="auto"/>
          <w:sz w:val="21"/>
          <w:szCs w:val="21"/>
          <w:highlight w:val="none"/>
        </w:rPr>
        <w:t>的规定。</w:t>
      </w:r>
    </w:p>
    <w:p w14:paraId="31C2B828">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rPr>
      </w:pPr>
      <w:bookmarkStart w:id="131" w:name="_Toc18689"/>
      <w:r>
        <w:rPr>
          <w:rFonts w:hint="eastAsia" w:ascii="宋体" w:hAnsi="宋体" w:eastAsia="宋体" w:cs="宋体"/>
          <w:b/>
          <w:bCs/>
          <w:color w:val="auto"/>
          <w:sz w:val="24"/>
          <w:szCs w:val="24"/>
          <w:highlight w:val="none"/>
        </w:rPr>
        <w:t>二、采购人或者采购代理机构职责</w:t>
      </w:r>
      <w:bookmarkEnd w:id="131"/>
    </w:p>
    <w:p w14:paraId="67EAB7C0">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采购人或者采购代理机构负责组织评审工作，并履行下列职责：</w:t>
      </w:r>
    </w:p>
    <w:p w14:paraId="7B5C3FE2">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（一）核对评审专家身份和采购人代表授权函，对评审专家在磋商活动中的职责履行情况予以记录，并及时将有关违法违规行为向有关部门报告；</w:t>
      </w:r>
    </w:p>
    <w:p w14:paraId="4B247469">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（二）宣布评审纪律；</w:t>
      </w:r>
    </w:p>
    <w:p w14:paraId="2A17358A">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（三）公布供应商名单，告知评审专家应当回避的情形；</w:t>
      </w:r>
    </w:p>
    <w:p w14:paraId="7DECC92C">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（四）组织磋商小组推选评审组长，采购人代表不得担任组长；</w:t>
      </w:r>
    </w:p>
    <w:p w14:paraId="1032C335">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（五）在评审期间采取必要的通讯管理措施，保证评审活动不受外界干扰；</w:t>
      </w:r>
    </w:p>
    <w:p w14:paraId="2BC306F6">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132" w:name="_Toc1770"/>
      <w:r>
        <w:rPr>
          <w:rFonts w:hint="eastAsia" w:ascii="宋体" w:hAnsi="宋体" w:eastAsia="宋体" w:cs="宋体"/>
          <w:color w:val="auto"/>
          <w:sz w:val="21"/>
          <w:szCs w:val="21"/>
          <w:highlight w:val="none"/>
        </w:rPr>
        <w:t>（六）根据磋商小组的要求介绍相关政策法规、竞争性磋商文件；</w:t>
      </w:r>
      <w:bookmarkEnd w:id="132"/>
    </w:p>
    <w:p w14:paraId="7312A972">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（七）维护评审秩序，监督磋商小组依照竞争性磋商文件规定的评审程序、方法和标准进行独立评审，及时制止和纠正采购人代表、评审专家的倾向性言论或者违法违规行为；</w:t>
      </w:r>
    </w:p>
    <w:p w14:paraId="773BACEC">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（八）核对评审结果，有不符合规定情形的，要求磋商小组复核或者书面说明理由，磋商小组拒绝的，应予记录并向采购人报告；</w:t>
      </w:r>
    </w:p>
    <w:p w14:paraId="6BC40BA8">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（九）评审工作完成后，按照规定向评审专家支付劳务报酬和异地评审差旅费，不得向评审专家以外的其他人员支付评审劳务报酬；</w:t>
      </w:r>
    </w:p>
    <w:p w14:paraId="0EAA6C13">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133" w:name="_Toc17895"/>
      <w:r>
        <w:rPr>
          <w:rFonts w:hint="eastAsia" w:ascii="宋体" w:hAnsi="宋体" w:eastAsia="宋体" w:cs="宋体"/>
          <w:color w:val="auto"/>
          <w:sz w:val="21"/>
          <w:szCs w:val="21"/>
          <w:highlight w:val="none"/>
        </w:rPr>
        <w:t>（十）处理与评审有关的其他事项。</w:t>
      </w:r>
      <w:bookmarkEnd w:id="133"/>
    </w:p>
    <w:p w14:paraId="28EE9A06">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采购人可以在评审前说明项目背景和服务要求，说明内容不得含有歧视性、倾向性意见，不得超出竞争性磋商文件所述范围。说明应当提交书面材料，并随竞争性磋商文件一并存档。</w:t>
      </w:r>
    </w:p>
    <w:p w14:paraId="31E382AC">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rPr>
      </w:pPr>
      <w:bookmarkStart w:id="134" w:name="_Toc6532"/>
      <w:r>
        <w:rPr>
          <w:rFonts w:hint="eastAsia" w:ascii="宋体" w:hAnsi="宋体" w:eastAsia="宋体" w:cs="宋体"/>
          <w:b/>
          <w:bCs/>
          <w:color w:val="auto"/>
          <w:sz w:val="24"/>
          <w:szCs w:val="24"/>
          <w:highlight w:val="none"/>
        </w:rPr>
        <w:t>三、磋商小组职责</w:t>
      </w:r>
      <w:bookmarkEnd w:id="134"/>
    </w:p>
    <w:p w14:paraId="435BD330">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磋商小组负责具体评审事务，并独立履行下列职责：</w:t>
      </w:r>
    </w:p>
    <w:p w14:paraId="5502AEAA">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（一）审查、评价响应文件是否符合竞争性磋商文件的商务、技术等实质性要求；</w:t>
      </w:r>
    </w:p>
    <w:p w14:paraId="330BF1A8">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（二）要求供应商对响应文件有关事项作出澄清或者说明；</w:t>
      </w:r>
    </w:p>
    <w:p w14:paraId="784A78B1">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（三）对响应文件进行比较和评价；</w:t>
      </w:r>
    </w:p>
    <w:p w14:paraId="40ACF0E3">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（四）确定成交候选供应商名单，以及根据采购人委托直接确定成交供应商；</w:t>
      </w:r>
    </w:p>
    <w:p w14:paraId="3EA517D4">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（五）向采购人、采购代理机构或者有关部门报告评审中发现的违法行为。</w:t>
      </w:r>
    </w:p>
    <w:p w14:paraId="7FAC8EDB">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35" w:name="_Toc29317"/>
      <w:r>
        <w:rPr>
          <w:rFonts w:hint="eastAsia" w:ascii="宋体" w:hAnsi="宋体" w:eastAsia="宋体" w:cs="宋体"/>
          <w:b/>
          <w:bCs/>
          <w:color w:val="auto"/>
          <w:sz w:val="24"/>
          <w:szCs w:val="24"/>
          <w:highlight w:val="none"/>
          <w:lang w:eastAsia="zh-CN"/>
        </w:rPr>
        <w:t>四、评审纪律</w:t>
      </w:r>
      <w:bookmarkEnd w:id="135"/>
    </w:p>
    <w:p w14:paraId="5059CF66">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（一）对评审内容和评审过程要严格保密，不得向供应商或与该过程无关的其它人员泄露。</w:t>
      </w:r>
    </w:p>
    <w:p w14:paraId="5330B746">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（二）评审期间的一切资料，包括评审意见、评审记录和评审结论，一律不得向外传和泄露。</w:t>
      </w:r>
    </w:p>
    <w:p w14:paraId="26A29FA6">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（三）任何属于响应文件审查、澄清、评价和比较的资料，不得向供应商或与该过程无关的其它人员泄露。</w:t>
      </w:r>
    </w:p>
    <w:p w14:paraId="28AE5EFF">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（四）所有资料（包括竞争性磋商文件、响应文件、评审表格及各种文字记录）在评审结束后均应分别整理、存档备查，任何人不得复制和保留。</w:t>
      </w:r>
    </w:p>
    <w:p w14:paraId="76FC281C">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（五）评审期间，未经允许磋商小组以外的任何单位或部门不得参加评审和采访评审工作。</w:t>
      </w:r>
    </w:p>
    <w:p w14:paraId="3AEB2FEB">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bookmarkStart w:id="136" w:name="_Toc25433"/>
      <w:r>
        <w:rPr>
          <w:rFonts w:hint="eastAsia" w:ascii="宋体" w:hAnsi="宋体" w:eastAsia="宋体" w:cs="宋体"/>
          <w:color w:val="auto"/>
          <w:sz w:val="21"/>
          <w:szCs w:val="21"/>
          <w:highlight w:val="none"/>
        </w:rPr>
        <w:t>（六）评审期间，评审人员不得外出，确需外出时应事先请假。</w:t>
      </w:r>
      <w:bookmarkEnd w:id="136"/>
    </w:p>
    <w:p w14:paraId="3AA1D879">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（七）评审期间，所有与会人员均不得私自以任何方式和供应商进行联系，需询问、澄清的问题由磋商小组会统一组织办理。</w:t>
      </w:r>
    </w:p>
    <w:p w14:paraId="0029E691">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（八）评审结束后，与会人员不得向外界透露评审人员的评审意见，如因此造成的后果由责任者承担。</w:t>
      </w:r>
    </w:p>
    <w:p w14:paraId="66CCC98C">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37" w:name="_Toc31639"/>
      <w:r>
        <w:rPr>
          <w:rFonts w:hint="eastAsia" w:ascii="宋体" w:hAnsi="宋体" w:eastAsia="宋体" w:cs="宋体"/>
          <w:b/>
          <w:bCs/>
          <w:color w:val="auto"/>
          <w:sz w:val="24"/>
          <w:szCs w:val="24"/>
          <w:highlight w:val="none"/>
          <w:lang w:eastAsia="zh-CN"/>
        </w:rPr>
        <w:t>五、评审原则</w:t>
      </w:r>
      <w:bookmarkEnd w:id="137"/>
    </w:p>
    <w:p w14:paraId="26DA7EEE">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2E949C1">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38" w:name="_Toc2322"/>
      <w:r>
        <w:rPr>
          <w:rFonts w:hint="eastAsia" w:ascii="宋体" w:hAnsi="宋体" w:eastAsia="宋体" w:cs="宋体"/>
          <w:b/>
          <w:bCs/>
          <w:color w:val="auto"/>
          <w:sz w:val="24"/>
          <w:szCs w:val="24"/>
          <w:highlight w:val="none"/>
          <w:lang w:eastAsia="zh-CN"/>
        </w:rPr>
        <w:t>六、评审程序</w:t>
      </w:r>
      <w:bookmarkEnd w:id="138"/>
    </w:p>
    <w:p w14:paraId="0BA8E3F7">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磋商小组对所有响应文件进行评审，评审按：资格审查→符合性审查→磋商小组分别与通过符合性审查的各供应商就竞争性磋商内容进行磋商</w:t>
      </w:r>
      <w:r>
        <w:rPr>
          <w:rFonts w:hint="eastAsia" w:hAnsi="宋体" w:cs="宋体"/>
          <w:color w:val="auto"/>
          <w:sz w:val="21"/>
          <w:szCs w:val="21"/>
          <w:highlight w:val="none"/>
          <w:lang w:eastAsia="zh-CN"/>
        </w:rPr>
        <w:t>，</w:t>
      </w:r>
      <w:r>
        <w:rPr>
          <w:rFonts w:hint="eastAsia" w:ascii="宋体" w:hAnsi="宋体" w:eastAsia="宋体" w:cs="宋体"/>
          <w:color w:val="auto"/>
          <w:sz w:val="21"/>
          <w:szCs w:val="21"/>
          <w:highlight w:val="none"/>
        </w:rPr>
        <w:t>磋商结束后，磋商小组应当要求所有实质性响应的供应商在规定时间内提交最后报价→经磋商确定最终</w:t>
      </w:r>
      <w:r>
        <w:rPr>
          <w:rFonts w:hint="eastAsia" w:ascii="宋体" w:hAnsi="宋体" w:eastAsia="宋体" w:cs="宋体"/>
          <w:color w:val="auto"/>
          <w:sz w:val="21"/>
          <w:szCs w:val="21"/>
          <w:highlight w:val="none"/>
          <w:lang w:eastAsia="zh-CN"/>
        </w:rPr>
        <w:t>工程质量</w:t>
      </w:r>
      <w:r>
        <w:rPr>
          <w:rFonts w:hint="eastAsia" w:ascii="宋体" w:hAnsi="宋体" w:eastAsia="宋体" w:cs="宋体"/>
          <w:color w:val="auto"/>
          <w:sz w:val="21"/>
          <w:szCs w:val="21"/>
          <w:highlight w:val="none"/>
        </w:rPr>
        <w:t>要求和提交最后报价的供应商后，由磋商小组采用综合评分法对提交最后报价的供应商的响应文件和最后报价进行综合评分→磋商小组应当根据综合评分情况，按照评审得分由高到低顺序推荐1～3名成交候选供应商，并编写评审报告。</w:t>
      </w:r>
    </w:p>
    <w:p w14:paraId="7F2C2879">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39" w:name="_Toc30650"/>
      <w:r>
        <w:rPr>
          <w:rFonts w:hint="eastAsia" w:ascii="宋体" w:hAnsi="宋体" w:eastAsia="宋体" w:cs="宋体"/>
          <w:b/>
          <w:bCs/>
          <w:color w:val="auto"/>
          <w:sz w:val="24"/>
          <w:szCs w:val="24"/>
          <w:highlight w:val="none"/>
          <w:lang w:eastAsia="zh-CN"/>
        </w:rPr>
        <w:t>七、评审方法</w:t>
      </w:r>
      <w:bookmarkEnd w:id="139"/>
    </w:p>
    <w:p w14:paraId="715929A3">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本项目所采用的评审方法为“综合评分法”，即：是指响应文件满足磋商文件全部实质性要求且按评审因素的量化指标评审得分最高的供应商为成交候选供应商的评审方法。</w:t>
      </w:r>
    </w:p>
    <w:p w14:paraId="468B0FC8">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2" w:firstLineChars="200"/>
        <w:textAlignment w:val="auto"/>
        <w:outlineLvl w:val="9"/>
        <w:rPr>
          <w:rFonts w:hint="eastAsia" w:ascii="宋体" w:hAnsi="宋体" w:eastAsia="宋体" w:cs="宋体"/>
          <w:b/>
          <w:bCs/>
          <w:color w:val="auto"/>
          <w:sz w:val="21"/>
          <w:szCs w:val="21"/>
          <w:highlight w:val="none"/>
        </w:rPr>
      </w:pPr>
      <w:bookmarkStart w:id="140" w:name="_Toc21038"/>
      <w:r>
        <w:rPr>
          <w:rFonts w:hint="eastAsia" w:ascii="宋体" w:hAnsi="宋体" w:eastAsia="宋体" w:cs="宋体"/>
          <w:b/>
          <w:bCs/>
          <w:color w:val="auto"/>
          <w:sz w:val="21"/>
          <w:szCs w:val="21"/>
          <w:highlight w:val="none"/>
        </w:rPr>
        <w:t>（一）资格审查</w:t>
      </w:r>
      <w:bookmarkEnd w:id="140"/>
    </w:p>
    <w:p w14:paraId="51BB31BA">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磋商小组依据资格审查标准对各供应商的响应文件进行资格审查，未实质性响应磋商文件的响应文件按无效响应处理，磋商小组应当告知提交响应文件的供应商。</w:t>
      </w:r>
    </w:p>
    <w:p w14:paraId="20E95C7D">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2" w:firstLineChars="200"/>
        <w:textAlignment w:val="auto"/>
        <w:outlineLvl w:val="9"/>
        <w:rPr>
          <w:rFonts w:hint="eastAsia" w:ascii="宋体" w:hAnsi="宋体" w:eastAsia="宋体" w:cs="宋体"/>
          <w:color w:val="auto"/>
          <w:sz w:val="21"/>
          <w:szCs w:val="21"/>
          <w:highlight w:val="none"/>
        </w:rPr>
      </w:pPr>
      <w:bookmarkStart w:id="141" w:name="_Toc20673"/>
      <w:r>
        <w:rPr>
          <w:rFonts w:hint="eastAsia" w:ascii="宋体" w:hAnsi="宋体" w:eastAsia="宋体" w:cs="宋体"/>
          <w:b/>
          <w:bCs/>
          <w:color w:val="auto"/>
          <w:sz w:val="21"/>
          <w:szCs w:val="21"/>
          <w:highlight w:val="none"/>
        </w:rPr>
        <w:t>（二）符合性审查</w:t>
      </w:r>
      <w:bookmarkEnd w:id="141"/>
    </w:p>
    <w:p w14:paraId="4DAAC46A">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磋商小组依据符合性审查标准对各通过资格审查的供应商的响应文件进行符合性审查，未实质性响应磋商文件的响应文件按无效响应处理，磋商小组应当告知提交响应文件的供应商。</w:t>
      </w:r>
    </w:p>
    <w:p w14:paraId="0FD6AA97">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aps/>
          <w:color w:val="auto"/>
          <w:sz w:val="21"/>
          <w:szCs w:val="21"/>
          <w:highlight w:val="none"/>
          <w:lang w:eastAsia="zh-CN"/>
        </w:rPr>
        <w:t>（三）</w:t>
      </w:r>
      <w:r>
        <w:rPr>
          <w:rFonts w:hint="eastAsia" w:ascii="宋体" w:hAnsi="宋体" w:eastAsia="宋体" w:cs="宋体"/>
          <w:b/>
          <w:bCs/>
          <w:color w:val="auto"/>
          <w:sz w:val="21"/>
          <w:szCs w:val="21"/>
          <w:highlight w:val="none"/>
        </w:rPr>
        <w:t>磋商小组所有成员应当集中与通过符合性审查的单一供应商分别进行磋商，供应商在规定时间内以书面形式递交竞争性磋商承诺及最后报价。</w:t>
      </w:r>
    </w:p>
    <w:p w14:paraId="711B8C39">
      <w:pPr>
        <w:keepNext w:val="0"/>
        <w:keepLines w:val="0"/>
        <w:pageBreakBefore w:val="0"/>
        <w:widowControl w:val="0"/>
        <w:kinsoku/>
        <w:wordWrap w:val="0"/>
        <w:overflowPunct/>
        <w:topLinePunct w:val="0"/>
        <w:autoSpaceDE/>
        <w:autoSpaceDN/>
        <w:bidi w:val="0"/>
        <w:adjustRightInd w:val="0"/>
        <w:snapToGrid w:val="0"/>
        <w:spacing w:line="360" w:lineRule="auto"/>
        <w:ind w:left="0" w:leftChars="0" w:firstLine="422" w:firstLineChars="200"/>
        <w:jc w:val="left"/>
        <w:textAlignment w:val="auto"/>
        <w:outlineLvl w:val="9"/>
        <w:rPr>
          <w:rFonts w:hint="eastAsia" w:ascii="宋体" w:hAnsi="宋体" w:eastAsia="宋体" w:cs="宋体"/>
          <w:b/>
          <w:caps/>
          <w:color w:val="auto"/>
          <w:sz w:val="21"/>
          <w:szCs w:val="21"/>
          <w:highlight w:val="none"/>
        </w:rPr>
      </w:pPr>
      <w:bookmarkStart w:id="142" w:name="_Toc375657670"/>
      <w:bookmarkEnd w:id="142"/>
      <w:bookmarkStart w:id="143" w:name="_Toc375657073"/>
      <w:bookmarkEnd w:id="143"/>
      <w:bookmarkStart w:id="144" w:name="_Toc24168"/>
      <w:bookmarkEnd w:id="144"/>
      <w:bookmarkStart w:id="145" w:name="_Toc458778460"/>
      <w:bookmarkEnd w:id="145"/>
      <w:bookmarkStart w:id="146" w:name="_Toc16923"/>
      <w:bookmarkEnd w:id="146"/>
      <w:bookmarkStart w:id="147" w:name="_Toc22371"/>
      <w:r>
        <w:rPr>
          <w:rFonts w:hint="eastAsia" w:ascii="宋体" w:hAnsi="宋体" w:eastAsia="宋体" w:cs="宋体"/>
          <w:b/>
          <w:caps/>
          <w:color w:val="auto"/>
          <w:sz w:val="21"/>
          <w:szCs w:val="21"/>
          <w:highlight w:val="none"/>
          <w:lang w:eastAsia="zh-CN"/>
        </w:rPr>
        <w:t>（四）</w:t>
      </w:r>
      <w:r>
        <w:rPr>
          <w:rFonts w:hint="eastAsia" w:ascii="宋体" w:hAnsi="宋体" w:eastAsia="宋体" w:cs="宋体"/>
          <w:b/>
          <w:caps/>
          <w:color w:val="auto"/>
          <w:sz w:val="21"/>
          <w:szCs w:val="21"/>
          <w:highlight w:val="none"/>
        </w:rPr>
        <w:t>响应文件的澄清和补正</w:t>
      </w:r>
      <w:bookmarkEnd w:id="147"/>
    </w:p>
    <w:p w14:paraId="5D3DC4AB">
      <w:pPr>
        <w:pStyle w:val="16"/>
        <w:keepNext w:val="0"/>
        <w:keepLines w:val="0"/>
        <w:pageBreakBefore w:val="0"/>
        <w:widowControl w:val="0"/>
        <w:kinsoku/>
        <w:wordWrap w:val="0"/>
        <w:overflowPunct/>
        <w:topLinePunct w:val="0"/>
        <w:autoSpaceDE/>
        <w:autoSpaceDN/>
        <w:bidi w:val="0"/>
        <w:spacing w:after="0"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1.响应文件内容澄清</w:t>
      </w:r>
    </w:p>
    <w:p w14:paraId="27D587B6">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88A21E0">
      <w:pPr>
        <w:pStyle w:val="16"/>
        <w:keepNext w:val="0"/>
        <w:keepLines w:val="0"/>
        <w:pageBreakBefore w:val="0"/>
        <w:widowControl w:val="0"/>
        <w:kinsoku/>
        <w:wordWrap w:val="0"/>
        <w:overflowPunct/>
        <w:topLinePunct w:val="0"/>
        <w:autoSpaceDE/>
        <w:autoSpaceDN/>
        <w:bidi w:val="0"/>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磋商小组要求供应商澄清、说明或者更正响应文件应当以书面形式作出。供应商的澄清、说明或者更正应当由法定代表人或其授权代表签字或者</w:t>
      </w:r>
      <w:r>
        <w:rPr>
          <w:rFonts w:hint="eastAsia" w:hAnsi="宋体" w:cs="宋体"/>
          <w:color w:val="auto"/>
          <w:sz w:val="21"/>
          <w:szCs w:val="21"/>
          <w:highlight w:val="none"/>
          <w:lang w:eastAsia="zh-CN"/>
        </w:rPr>
        <w:t>电子签章</w:t>
      </w:r>
      <w:r>
        <w:rPr>
          <w:rFonts w:hint="eastAsia" w:ascii="宋体" w:hAnsi="宋体" w:eastAsia="宋体" w:cs="宋体"/>
          <w:color w:val="auto"/>
          <w:sz w:val="21"/>
          <w:szCs w:val="21"/>
          <w:highlight w:val="none"/>
        </w:rPr>
        <w:t>。由授权代表签字的，应当附法定代表人授权书。供应商为自然人的，应当由本人签字并附身份证明。</w:t>
      </w:r>
    </w:p>
    <w:p w14:paraId="5B3D21C4">
      <w:pPr>
        <w:pStyle w:val="16"/>
        <w:keepNext w:val="0"/>
        <w:keepLines w:val="0"/>
        <w:pageBreakBefore w:val="0"/>
        <w:widowControl w:val="0"/>
        <w:kinsoku/>
        <w:wordWrap w:val="0"/>
        <w:overflowPunct/>
        <w:topLinePunct w:val="0"/>
        <w:autoSpaceDE/>
        <w:autoSpaceDN/>
        <w:bidi w:val="0"/>
        <w:spacing w:after="0"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2.报价不一致情形澄清</w:t>
      </w:r>
    </w:p>
    <w:p w14:paraId="380F1592">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响应文件报价出现前后不一致的，除竞争性磋商文件另有规定外，按照下列规定修正：</w:t>
      </w:r>
    </w:p>
    <w:p w14:paraId="5ACBD283">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（1）响应文件中《报价表》内容与响应文件中相应内容不一致的，以《报价表》为准；</w:t>
      </w:r>
    </w:p>
    <w:p w14:paraId="02FCC7DF">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（2）大写金额和小写金额不一致的，以大写金额为准；</w:t>
      </w:r>
    </w:p>
    <w:p w14:paraId="63F7770C">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（3）单价金额小数点或者百分比有明显错位的，以初次报价表的总价为准，并修改单价；</w:t>
      </w:r>
    </w:p>
    <w:p w14:paraId="1D490201">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（4）总价金额与按单价汇总金额不一致的，以单价金额计算结果为准。</w:t>
      </w:r>
    </w:p>
    <w:p w14:paraId="4DE9913C">
      <w:pPr>
        <w:keepNext w:val="0"/>
        <w:keepLines w:val="0"/>
        <w:pageBreakBefore w:val="0"/>
        <w:widowControl w:val="0"/>
        <w:kinsoku/>
        <w:wordWrap w:val="0"/>
        <w:overflowPunct/>
        <w:topLinePunct w:val="0"/>
        <w:autoSpaceDE/>
        <w:autoSpaceDN/>
        <w:bidi w:val="0"/>
        <w:spacing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同时出现两种以上不一致的，按照前款规定的顺序修正。修正后的报价经供应商确认后产生约束力，供应商不确认的，其磋商无效。</w:t>
      </w:r>
    </w:p>
    <w:p w14:paraId="526F5621">
      <w:pPr>
        <w:pStyle w:val="16"/>
        <w:keepNext w:val="0"/>
        <w:keepLines w:val="0"/>
        <w:pageBreakBefore w:val="0"/>
        <w:widowControl w:val="0"/>
        <w:kinsoku/>
        <w:wordWrap w:val="0"/>
        <w:overflowPunct/>
        <w:topLinePunct w:val="0"/>
        <w:autoSpaceDE/>
        <w:autoSpaceDN/>
        <w:bidi w:val="0"/>
        <w:spacing w:after="0" w:line="360" w:lineRule="auto"/>
        <w:ind w:left="0" w:leftChars="0"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3.报价合理性说明</w:t>
      </w:r>
    </w:p>
    <w:p w14:paraId="101B4142">
      <w:pPr>
        <w:pStyle w:val="16"/>
        <w:keepNext w:val="0"/>
        <w:keepLines w:val="0"/>
        <w:pageBreakBefore w:val="0"/>
        <w:widowControl w:val="0"/>
        <w:kinsoku/>
        <w:wordWrap w:val="0"/>
        <w:overflowPunct/>
        <w:topLinePunct w:val="0"/>
        <w:autoSpaceDE/>
        <w:autoSpaceDN/>
        <w:bidi w:val="0"/>
        <w:adjustRightInd/>
        <w:snapToGrid/>
        <w:spacing w:after="0" w:line="360" w:lineRule="auto"/>
        <w:ind w:left="0" w:leftChars="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磋商小组认为供应商的报价明显低于其他通过符合性审查供应商的报价，有可能影响</w:t>
      </w:r>
      <w:r>
        <w:rPr>
          <w:rFonts w:hint="eastAsia" w:ascii="宋体" w:hAnsi="宋体" w:eastAsia="宋体" w:cs="宋体"/>
          <w:color w:val="auto"/>
          <w:sz w:val="21"/>
          <w:szCs w:val="21"/>
          <w:highlight w:val="none"/>
          <w:lang w:eastAsia="zh-CN"/>
        </w:rPr>
        <w:t>工程</w:t>
      </w:r>
      <w:r>
        <w:rPr>
          <w:rFonts w:hint="eastAsia" w:ascii="宋体" w:hAnsi="宋体" w:eastAsia="宋体" w:cs="宋体"/>
          <w:color w:val="auto"/>
          <w:sz w:val="21"/>
          <w:szCs w:val="21"/>
          <w:highlight w:val="none"/>
        </w:rPr>
        <w:t>质量或者不能诚信履约的，应当要求其在评审现场合理的时间内提供书面说明，必要时提交相关证明材料；供应商不能证明其报价合理性的，磋商小组应当将其作为无效磋商处理。</w:t>
      </w:r>
    </w:p>
    <w:p w14:paraId="2570C4EC">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482"/>
        <w:jc w:val="center"/>
        <w:textAlignment w:val="auto"/>
        <w:outlineLvl w:val="2"/>
        <w:rPr>
          <w:rFonts w:hint="eastAsia" w:ascii="宋体" w:hAnsi="宋体" w:eastAsia="宋体" w:cs="宋体"/>
          <w:b/>
          <w:color w:val="auto"/>
          <w:kern w:val="10"/>
          <w:sz w:val="28"/>
          <w:szCs w:val="21"/>
          <w:highlight w:val="none"/>
        </w:rPr>
      </w:pPr>
      <w:bookmarkStart w:id="148" w:name="_Toc9368"/>
      <w:bookmarkStart w:id="149" w:name="_Toc29417"/>
      <w:r>
        <w:rPr>
          <w:rFonts w:hint="eastAsia" w:ascii="宋体" w:hAnsi="宋体" w:eastAsia="宋体" w:cs="宋体"/>
          <w:b/>
          <w:color w:val="auto"/>
          <w:kern w:val="10"/>
          <w:sz w:val="28"/>
          <w:szCs w:val="21"/>
          <w:highlight w:val="none"/>
          <w:lang w:eastAsia="zh-CN"/>
        </w:rPr>
        <w:t>评审</w:t>
      </w:r>
      <w:r>
        <w:rPr>
          <w:rFonts w:hint="eastAsia" w:ascii="宋体" w:hAnsi="宋体" w:eastAsia="宋体" w:cs="宋体"/>
          <w:b/>
          <w:color w:val="auto"/>
          <w:kern w:val="10"/>
          <w:sz w:val="28"/>
          <w:szCs w:val="21"/>
          <w:highlight w:val="none"/>
        </w:rPr>
        <w:t>办法附表一（资格评审指标表）</w:t>
      </w:r>
      <w:bookmarkEnd w:id="148"/>
      <w:bookmarkEnd w:id="149"/>
    </w:p>
    <w:tbl>
      <w:tblPr>
        <w:tblStyle w:val="39"/>
        <w:tblW w:w="4994" w:type="pct"/>
        <w:jc w:val="center"/>
        <w:tblLayout w:type="autofit"/>
        <w:tblCellMar>
          <w:top w:w="0" w:type="dxa"/>
          <w:left w:w="108" w:type="dxa"/>
          <w:bottom w:w="0" w:type="dxa"/>
          <w:right w:w="108" w:type="dxa"/>
        </w:tblCellMar>
      </w:tblPr>
      <w:tblGrid>
        <w:gridCol w:w="904"/>
        <w:gridCol w:w="2109"/>
        <w:gridCol w:w="6546"/>
      </w:tblGrid>
      <w:tr w14:paraId="49C4DEE9">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47F5CE45">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03" w:type="pct"/>
            <w:tcBorders>
              <w:top w:val="single" w:color="auto" w:sz="4" w:space="0"/>
              <w:left w:val="single" w:color="auto" w:sz="4" w:space="0"/>
              <w:bottom w:val="single" w:color="auto" w:sz="4" w:space="0"/>
              <w:right w:val="single" w:color="auto" w:sz="4" w:space="0"/>
            </w:tcBorders>
            <w:vAlign w:val="center"/>
          </w:tcPr>
          <w:p w14:paraId="726EDA0F">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3422" w:type="pct"/>
            <w:tcBorders>
              <w:top w:val="single" w:color="auto" w:sz="4" w:space="0"/>
              <w:left w:val="single" w:color="auto" w:sz="4" w:space="0"/>
              <w:bottom w:val="single" w:color="auto" w:sz="4" w:space="0"/>
              <w:right w:val="single" w:color="auto" w:sz="4" w:space="0"/>
            </w:tcBorders>
            <w:vAlign w:val="center"/>
          </w:tcPr>
          <w:p w14:paraId="2063205A">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资格评审标准</w:t>
            </w:r>
          </w:p>
        </w:tc>
      </w:tr>
      <w:tr w14:paraId="36D6DCB5">
        <w:tblPrEx>
          <w:tblCellMar>
            <w:top w:w="0" w:type="dxa"/>
            <w:left w:w="108" w:type="dxa"/>
            <w:bottom w:w="0" w:type="dxa"/>
            <w:right w:w="108" w:type="dxa"/>
          </w:tblCellMar>
        </w:tblPrEx>
        <w:trPr>
          <w:trHeight w:val="57" w:hRule="atLeast"/>
          <w:jc w:val="center"/>
        </w:trPr>
        <w:tc>
          <w:tcPr>
            <w:tcW w:w="5000" w:type="pct"/>
            <w:gridSpan w:val="3"/>
            <w:tcBorders>
              <w:top w:val="single" w:color="auto" w:sz="4" w:space="0"/>
              <w:left w:val="single" w:color="auto" w:sz="4" w:space="0"/>
              <w:right w:val="single" w:color="auto" w:sz="4" w:space="0"/>
            </w:tcBorders>
            <w:vAlign w:val="center"/>
          </w:tcPr>
          <w:p w14:paraId="3F3573F1">
            <w:pPr>
              <w:keepNext w:val="0"/>
              <w:keepLines w:val="0"/>
              <w:pageBreakBefore w:val="0"/>
              <w:widowControl w:val="0"/>
              <w:kinsoku/>
              <w:wordWrap w:val="0"/>
              <w:overflowPunct/>
              <w:topLinePunct w:val="0"/>
              <w:autoSpaceDE/>
              <w:autoSpaceDN/>
              <w:bidi w:val="0"/>
              <w:snapToGrid/>
              <w:spacing w:line="360" w:lineRule="auto"/>
              <w:textAlignment w:val="auto"/>
              <w:outlineLvl w:val="9"/>
              <w:rPr>
                <w:rFonts w:hint="eastAsia" w:ascii="宋体" w:hAnsi="宋体" w:eastAsia="宋体" w:cs="宋体"/>
                <w:color w:val="auto"/>
                <w:spacing w:val="1"/>
                <w:w w:val="100"/>
                <w:sz w:val="21"/>
                <w:szCs w:val="21"/>
                <w:highlight w:val="none"/>
              </w:rPr>
            </w:pPr>
            <w:r>
              <w:rPr>
                <w:rFonts w:hint="eastAsia" w:ascii="宋体" w:hAnsi="宋体" w:cs="宋体"/>
                <w:b/>
                <w:bCs/>
                <w:color w:val="auto"/>
                <w:spacing w:val="1"/>
                <w:w w:val="100"/>
                <w:sz w:val="21"/>
                <w:szCs w:val="21"/>
                <w:highlight w:val="none"/>
                <w:lang w:val="en-US" w:eastAsia="zh-CN"/>
              </w:rPr>
              <w:t>一</w:t>
            </w:r>
            <w:r>
              <w:rPr>
                <w:rFonts w:hint="eastAsia" w:ascii="宋体" w:hAnsi="宋体" w:eastAsia="宋体" w:cs="宋体"/>
                <w:b/>
                <w:bCs/>
                <w:color w:val="auto"/>
                <w:spacing w:val="1"/>
                <w:w w:val="100"/>
                <w:sz w:val="21"/>
                <w:szCs w:val="21"/>
                <w:highlight w:val="none"/>
                <w:lang w:val="en-US" w:eastAsia="zh-CN"/>
              </w:rPr>
              <w:t>.满足《中华人民共和国政府采购法》第二十二条规定：</w:t>
            </w:r>
          </w:p>
        </w:tc>
      </w:tr>
      <w:tr w14:paraId="19CFCEB3">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right w:val="single" w:color="auto" w:sz="4" w:space="0"/>
            </w:tcBorders>
            <w:vAlign w:val="center"/>
          </w:tcPr>
          <w:p w14:paraId="7914F9C1">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03" w:type="pct"/>
            <w:tcBorders>
              <w:top w:val="single" w:color="auto" w:sz="4" w:space="0"/>
              <w:left w:val="single" w:color="auto" w:sz="4" w:space="0"/>
              <w:right w:val="single" w:color="auto" w:sz="4" w:space="0"/>
            </w:tcBorders>
            <w:vAlign w:val="center"/>
          </w:tcPr>
          <w:p w14:paraId="35E89455">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具有独立承担民事责任的能力</w:t>
            </w:r>
          </w:p>
        </w:tc>
        <w:tc>
          <w:tcPr>
            <w:tcW w:w="3422" w:type="pct"/>
            <w:tcBorders>
              <w:top w:val="single" w:color="auto" w:sz="4" w:space="0"/>
              <w:left w:val="single" w:color="auto" w:sz="4" w:space="0"/>
              <w:bottom w:val="single" w:color="auto" w:sz="4" w:space="0"/>
              <w:right w:val="single" w:color="auto" w:sz="4" w:space="0"/>
            </w:tcBorders>
            <w:vAlign w:val="center"/>
          </w:tcPr>
          <w:p w14:paraId="45F9E115">
            <w:pPr>
              <w:keepNext w:val="0"/>
              <w:keepLines w:val="0"/>
              <w:pageBreakBefore w:val="0"/>
              <w:widowControl w:val="0"/>
              <w:kinsoku/>
              <w:wordWrap w:val="0"/>
              <w:overflowPunct/>
              <w:topLinePunct w:val="0"/>
              <w:autoSpaceDE/>
              <w:autoSpaceDN/>
              <w:bidi w:val="0"/>
              <w:snapToGrid/>
              <w:spacing w:line="360" w:lineRule="auto"/>
              <w:jc w:val="left"/>
              <w:textAlignment w:val="auto"/>
              <w:outlineLvl w:val="9"/>
              <w:rPr>
                <w:rFonts w:hint="eastAsia" w:ascii="宋体" w:hAnsi="宋体" w:eastAsia="宋体" w:cs="宋体"/>
                <w:caps/>
                <w:color w:val="auto"/>
                <w:sz w:val="21"/>
                <w:szCs w:val="21"/>
                <w:highlight w:val="none"/>
                <w:lang w:eastAsia="zh-CN"/>
              </w:rPr>
            </w:pPr>
            <w:r>
              <w:rPr>
                <w:rFonts w:hint="eastAsia" w:ascii="宋体" w:hAnsi="宋体" w:cs="宋体"/>
                <w:color w:val="auto"/>
                <w:spacing w:val="1"/>
                <w:w w:val="100"/>
                <w:sz w:val="21"/>
                <w:szCs w:val="21"/>
                <w:highlight w:val="none"/>
                <w:lang w:eastAsia="zh-CN"/>
              </w:rPr>
              <w:t>提供有效的营业执照或事业单位法人证书或其他类似的法定证明文件</w:t>
            </w:r>
            <w:r>
              <w:rPr>
                <w:rFonts w:hint="eastAsia" w:ascii="宋体" w:hAnsi="宋体" w:eastAsia="宋体" w:cs="宋体"/>
                <w:caps/>
                <w:color w:val="auto"/>
                <w:sz w:val="21"/>
                <w:szCs w:val="21"/>
                <w:highlight w:val="none"/>
                <w:lang w:eastAsia="zh-CN"/>
              </w:rPr>
              <w:t>。</w:t>
            </w:r>
          </w:p>
          <w:p w14:paraId="31EB650A">
            <w:pPr>
              <w:keepNext w:val="0"/>
              <w:keepLines w:val="0"/>
              <w:pageBreakBefore w:val="0"/>
              <w:widowControl w:val="0"/>
              <w:kinsoku/>
              <w:wordWrap w:val="0"/>
              <w:overflowPunct/>
              <w:topLinePunct w:val="0"/>
              <w:autoSpaceDE/>
              <w:autoSpaceDN/>
              <w:bidi w:val="0"/>
              <w:snapToGrid/>
              <w:spacing w:line="360" w:lineRule="auto"/>
              <w:jc w:val="left"/>
              <w:textAlignment w:val="auto"/>
              <w:outlineLvl w:val="9"/>
              <w:rPr>
                <w:rFonts w:hint="eastAsia" w:ascii="宋体" w:hAnsi="宋体" w:eastAsia="宋体" w:cs="宋体"/>
                <w:caps/>
                <w:color w:val="auto"/>
                <w:sz w:val="21"/>
                <w:szCs w:val="21"/>
                <w:highlight w:val="none"/>
                <w:lang w:val="zh-CN"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p>
        </w:tc>
      </w:tr>
      <w:tr w14:paraId="11C0B5D5">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0DB73231">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103" w:type="pct"/>
            <w:tcBorders>
              <w:top w:val="single" w:color="auto" w:sz="4" w:space="0"/>
              <w:left w:val="single" w:color="auto" w:sz="4" w:space="0"/>
              <w:bottom w:val="single" w:color="auto" w:sz="4" w:space="0"/>
              <w:right w:val="single" w:color="auto" w:sz="4" w:space="0"/>
            </w:tcBorders>
            <w:vAlign w:val="center"/>
          </w:tcPr>
          <w:p w14:paraId="6B3E7250">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具有良好的商业信誉</w:t>
            </w:r>
          </w:p>
        </w:tc>
        <w:tc>
          <w:tcPr>
            <w:tcW w:w="3422" w:type="pct"/>
            <w:tcBorders>
              <w:top w:val="single" w:color="auto" w:sz="4" w:space="0"/>
              <w:left w:val="single" w:color="auto" w:sz="4" w:space="0"/>
              <w:bottom w:val="single" w:color="auto" w:sz="4" w:space="0"/>
              <w:right w:val="single" w:color="auto" w:sz="4" w:space="0"/>
            </w:tcBorders>
            <w:vAlign w:val="center"/>
          </w:tcPr>
          <w:p w14:paraId="50D3863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投标人在中国执行信息公开网（https://zxgk.court.gov.cn/）中未被列入失信被执行人；</w:t>
            </w:r>
            <w:r>
              <w:rPr>
                <w:rFonts w:hint="eastAsia" w:ascii="宋体" w:hAnsi="宋体" w:eastAsia="宋体" w:cs="宋体"/>
                <w:color w:val="auto"/>
                <w:sz w:val="21"/>
                <w:szCs w:val="21"/>
                <w:highlight w:val="none"/>
              </w:rPr>
              <w:t>投标人未被列入信用中国（www.creditchina.gov.cn）严重失信主体名单、重大税收违法失信主体名单，在中国政府采购网（www.ccgp.gov.cn）未被列入政府采购严重违法失信行为记录名单（被禁止在一定期限内参加政府采购活动但期限届满的除外）</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由采购人或采购代理机构在资格审查时查询，若投标人有失信行为，视为不满足资格要求，为无效投标。</w:t>
            </w:r>
          </w:p>
          <w:p w14:paraId="375FA39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1.经查询无失信行为，2.按给定格式填写，3.按规定签章。</w:t>
            </w:r>
          </w:p>
        </w:tc>
      </w:tr>
      <w:tr w14:paraId="53613A40">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1FC3CE74">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103" w:type="pct"/>
            <w:tcBorders>
              <w:top w:val="single" w:color="auto" w:sz="4" w:space="0"/>
              <w:left w:val="single" w:color="auto" w:sz="4" w:space="0"/>
              <w:bottom w:val="single" w:color="auto" w:sz="4" w:space="0"/>
              <w:right w:val="single" w:color="auto" w:sz="4" w:space="0"/>
            </w:tcBorders>
            <w:vAlign w:val="center"/>
          </w:tcPr>
          <w:p w14:paraId="465571FA">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具有健全的财务会计制度</w:t>
            </w:r>
          </w:p>
        </w:tc>
        <w:tc>
          <w:tcPr>
            <w:tcW w:w="3422" w:type="pct"/>
            <w:tcBorders>
              <w:top w:val="single" w:color="auto" w:sz="4" w:space="0"/>
              <w:left w:val="single" w:color="auto" w:sz="4" w:space="0"/>
              <w:bottom w:val="single" w:color="auto" w:sz="4" w:space="0"/>
              <w:right w:val="single" w:color="auto" w:sz="4" w:space="0"/>
            </w:tcBorders>
            <w:vAlign w:val="center"/>
          </w:tcPr>
          <w:p w14:paraId="45FFD6F9">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2024年或2025年任意年度的财务报表，新成立的公司（成立不满1年）提供自成立之日至响应文件提交截止时间前1个月公司自行编制的财务报表，无法提供上述材料的，可提供财务情况说明或银行存款证明或相关承诺书。</w:t>
            </w:r>
          </w:p>
          <w:p w14:paraId="7151B811">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r>
              <w:rPr>
                <w:rFonts w:hint="eastAsia" w:ascii="宋体" w:hAnsi="宋体" w:eastAsia="宋体" w:cs="宋体"/>
                <w:color w:val="auto"/>
                <w:sz w:val="21"/>
                <w:szCs w:val="21"/>
                <w:highlight w:val="none"/>
                <w:lang w:eastAsia="zh-CN"/>
              </w:rPr>
              <w:t>。</w:t>
            </w:r>
          </w:p>
        </w:tc>
      </w:tr>
      <w:tr w14:paraId="2A10C6DA">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5A30E301">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103" w:type="pct"/>
            <w:tcBorders>
              <w:top w:val="single" w:color="auto" w:sz="4" w:space="0"/>
              <w:left w:val="single" w:color="auto" w:sz="4" w:space="0"/>
              <w:bottom w:val="single" w:color="auto" w:sz="4" w:space="0"/>
              <w:right w:val="single" w:color="auto" w:sz="4" w:space="0"/>
            </w:tcBorders>
            <w:vAlign w:val="center"/>
          </w:tcPr>
          <w:p w14:paraId="24878808">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w w:val="100"/>
                <w:sz w:val="21"/>
                <w:szCs w:val="21"/>
                <w:highlight w:val="none"/>
                <w:lang w:eastAsia="zh-CN"/>
              </w:rPr>
              <w:t>具有履行合同所必需的设备和专业技术能力</w:t>
            </w:r>
          </w:p>
        </w:tc>
        <w:tc>
          <w:tcPr>
            <w:tcW w:w="3422" w:type="pct"/>
            <w:tcBorders>
              <w:top w:val="single" w:color="auto" w:sz="4" w:space="0"/>
              <w:left w:val="single" w:color="auto" w:sz="4" w:space="0"/>
              <w:bottom w:val="single" w:color="auto" w:sz="4" w:space="0"/>
              <w:right w:val="single" w:color="auto" w:sz="4" w:space="0"/>
            </w:tcBorders>
            <w:vAlign w:val="center"/>
          </w:tcPr>
          <w:p w14:paraId="3DE328D7">
            <w:pPr>
              <w:keepNext w:val="0"/>
              <w:keepLines w:val="0"/>
              <w:pageBreakBefore w:val="0"/>
              <w:widowControl w:val="0"/>
              <w:kinsoku/>
              <w:wordWrap w:val="0"/>
              <w:overflowPunct/>
              <w:topLinePunct w:val="0"/>
              <w:autoSpaceDE/>
              <w:autoSpaceDN/>
              <w:bidi w:val="0"/>
              <w:snapToGrid/>
              <w:spacing w:line="360" w:lineRule="auto"/>
              <w:jc w:val="left"/>
              <w:textAlignment w:val="auto"/>
              <w:outlineLvl w:val="9"/>
              <w:rPr>
                <w:rFonts w:hint="eastAsia" w:ascii="宋体" w:hAnsi="宋体" w:eastAsia="宋体" w:cs="宋体"/>
                <w:color w:val="auto"/>
                <w:w w:val="100"/>
                <w:sz w:val="21"/>
                <w:szCs w:val="21"/>
                <w:highlight w:val="none"/>
                <w:lang w:eastAsia="zh-CN"/>
              </w:rPr>
            </w:pPr>
            <w:r>
              <w:rPr>
                <w:rFonts w:hint="eastAsia" w:ascii="宋体" w:hAnsi="宋体" w:eastAsia="宋体" w:cs="宋体"/>
                <w:color w:val="auto"/>
                <w:w w:val="100"/>
                <w:sz w:val="21"/>
                <w:szCs w:val="21"/>
                <w:highlight w:val="none"/>
                <w:lang w:eastAsia="zh-CN"/>
              </w:rPr>
              <w:t>提供书面声明或证明材料</w:t>
            </w:r>
          </w:p>
          <w:p w14:paraId="2EC0EC3A">
            <w:pPr>
              <w:keepNext w:val="0"/>
              <w:keepLines w:val="0"/>
              <w:pageBreakBefore w:val="0"/>
              <w:widowControl w:val="0"/>
              <w:kinsoku/>
              <w:wordWrap w:val="0"/>
              <w:overflowPunct/>
              <w:topLinePunct w:val="0"/>
              <w:autoSpaceDE/>
              <w:autoSpaceDN/>
              <w:bidi w:val="0"/>
              <w:snapToGrid/>
              <w:spacing w:line="360" w:lineRule="auto"/>
              <w:jc w:val="left"/>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1.按要求提供，2.合法有效。</w:t>
            </w:r>
          </w:p>
        </w:tc>
      </w:tr>
      <w:tr w14:paraId="4A2BB44B">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3C5D61D2">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1103" w:type="pct"/>
            <w:tcBorders>
              <w:top w:val="single" w:color="auto" w:sz="4" w:space="0"/>
              <w:left w:val="single" w:color="auto" w:sz="4" w:space="0"/>
              <w:bottom w:val="single" w:color="auto" w:sz="4" w:space="0"/>
              <w:right w:val="single" w:color="auto" w:sz="4" w:space="0"/>
            </w:tcBorders>
            <w:vAlign w:val="center"/>
          </w:tcPr>
          <w:p w14:paraId="24F6FCA2">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依法缴纳税收</w:t>
            </w:r>
          </w:p>
        </w:tc>
        <w:tc>
          <w:tcPr>
            <w:tcW w:w="3422" w:type="pct"/>
            <w:tcBorders>
              <w:top w:val="single" w:color="auto" w:sz="4" w:space="0"/>
              <w:left w:val="single" w:color="auto" w:sz="4" w:space="0"/>
              <w:bottom w:val="single" w:color="auto" w:sz="4" w:space="0"/>
              <w:right w:val="single" w:color="auto" w:sz="4" w:space="0"/>
            </w:tcBorders>
            <w:vAlign w:val="center"/>
          </w:tcPr>
          <w:p w14:paraId="584889D8">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投标供应商须提供缴费所属时间在</w:t>
            </w:r>
            <w:r>
              <w:rPr>
                <w:rFonts w:hint="eastAsia" w:ascii="宋体" w:hAnsi="宋体" w:cs="宋体"/>
                <w:color w:val="auto"/>
                <w:sz w:val="21"/>
                <w:szCs w:val="21"/>
                <w:highlight w:val="none"/>
                <w:lang w:val="en-US" w:eastAsia="zh-CN"/>
              </w:rPr>
              <w:t>2026年1月至</w:t>
            </w:r>
            <w:r>
              <w:rPr>
                <w:rFonts w:hint="eastAsia" w:ascii="宋体" w:hAnsi="宋体" w:eastAsia="宋体" w:cs="宋体"/>
                <w:color w:val="auto"/>
                <w:sz w:val="21"/>
                <w:szCs w:val="21"/>
                <w:highlight w:val="none"/>
                <w:lang w:val="en-US" w:eastAsia="zh-CN"/>
              </w:rPr>
              <w:t>本项目响应文件提交截止时间前任意1个月的税收缴纳凭证（新成立未产生税务缴纳的单位提供情况说明）或提供依法缴纳税收的书面声明。</w:t>
            </w:r>
          </w:p>
          <w:p w14:paraId="452130FB">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r>
              <w:rPr>
                <w:rFonts w:hint="eastAsia" w:ascii="宋体" w:hAnsi="宋体" w:eastAsia="宋体" w:cs="宋体"/>
                <w:color w:val="auto"/>
                <w:sz w:val="21"/>
                <w:szCs w:val="21"/>
                <w:highlight w:val="none"/>
                <w:lang w:eastAsia="zh-CN"/>
              </w:rPr>
              <w:t>。</w:t>
            </w:r>
          </w:p>
        </w:tc>
      </w:tr>
      <w:tr w14:paraId="124548E5">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5EA24ED8">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1103" w:type="pct"/>
            <w:tcBorders>
              <w:top w:val="single" w:color="auto" w:sz="4" w:space="0"/>
              <w:left w:val="single" w:color="auto" w:sz="4" w:space="0"/>
              <w:bottom w:val="single" w:color="auto" w:sz="4" w:space="0"/>
              <w:right w:val="single" w:color="auto" w:sz="4" w:space="0"/>
            </w:tcBorders>
            <w:vAlign w:val="center"/>
          </w:tcPr>
          <w:p w14:paraId="24360265">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供依法缴纳社会保障资金</w:t>
            </w:r>
          </w:p>
        </w:tc>
        <w:tc>
          <w:tcPr>
            <w:tcW w:w="3422" w:type="pct"/>
            <w:tcBorders>
              <w:top w:val="single" w:color="auto" w:sz="4" w:space="0"/>
              <w:left w:val="single" w:color="auto" w:sz="4" w:space="0"/>
              <w:bottom w:val="single" w:color="auto" w:sz="4" w:space="0"/>
              <w:right w:val="single" w:color="auto" w:sz="4" w:space="0"/>
            </w:tcBorders>
            <w:vAlign w:val="center"/>
          </w:tcPr>
          <w:p w14:paraId="61255C72">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投标供应商须提供缴费所属时间在</w:t>
            </w:r>
            <w:r>
              <w:rPr>
                <w:rFonts w:hint="eastAsia" w:ascii="宋体" w:hAnsi="宋体" w:cs="宋体"/>
                <w:color w:val="auto"/>
                <w:sz w:val="21"/>
                <w:szCs w:val="21"/>
                <w:highlight w:val="none"/>
                <w:lang w:val="en-US" w:eastAsia="zh-CN"/>
              </w:rPr>
              <w:t>2026年1月至</w:t>
            </w:r>
            <w:r>
              <w:rPr>
                <w:rFonts w:hint="eastAsia" w:ascii="宋体" w:hAnsi="宋体" w:eastAsia="宋体" w:cs="宋体"/>
                <w:color w:val="auto"/>
                <w:sz w:val="21"/>
                <w:szCs w:val="21"/>
                <w:highlight w:val="none"/>
                <w:lang w:val="en-US" w:eastAsia="zh-CN"/>
              </w:rPr>
              <w:t>本项目响应文件提交截止时间前任意1个月的社保资金缴纳凭证（新成立尚未缴纳社保的单位提供情况说明）或提供依法缴纳社会保障资金的书面声明。</w:t>
            </w:r>
          </w:p>
          <w:p w14:paraId="26EF344C">
            <w:pPr>
              <w:keepNext w:val="0"/>
              <w:keepLines w:val="0"/>
              <w:pageBreakBefore w:val="0"/>
              <w:widowControl w:val="0"/>
              <w:kinsoku/>
              <w:wordWrap w:val="0"/>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r>
              <w:rPr>
                <w:rFonts w:hint="eastAsia" w:ascii="宋体" w:hAnsi="宋体" w:eastAsia="宋体" w:cs="宋体"/>
                <w:color w:val="auto"/>
                <w:sz w:val="21"/>
                <w:szCs w:val="21"/>
                <w:highlight w:val="none"/>
                <w:lang w:eastAsia="zh-CN"/>
              </w:rPr>
              <w:t>。</w:t>
            </w:r>
          </w:p>
        </w:tc>
      </w:tr>
      <w:tr w14:paraId="08FD9F92">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09FF90B6">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1103" w:type="pct"/>
            <w:tcBorders>
              <w:top w:val="single" w:color="auto" w:sz="4" w:space="0"/>
              <w:left w:val="single" w:color="auto" w:sz="4" w:space="0"/>
              <w:bottom w:val="single" w:color="auto" w:sz="4" w:space="0"/>
              <w:right w:val="single" w:color="auto" w:sz="4" w:space="0"/>
            </w:tcBorders>
            <w:vAlign w:val="center"/>
          </w:tcPr>
          <w:p w14:paraId="27B537DE">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无重大违法记录声明</w:t>
            </w:r>
          </w:p>
        </w:tc>
        <w:tc>
          <w:tcPr>
            <w:tcW w:w="3422" w:type="pct"/>
            <w:tcBorders>
              <w:top w:val="single" w:color="auto" w:sz="4" w:space="0"/>
              <w:left w:val="single" w:color="auto" w:sz="4" w:space="0"/>
              <w:bottom w:val="single" w:color="auto" w:sz="4" w:space="0"/>
              <w:right w:val="single" w:color="auto" w:sz="4" w:space="0"/>
            </w:tcBorders>
            <w:vAlign w:val="center"/>
          </w:tcPr>
          <w:p w14:paraId="72222032">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pacing w:val="1"/>
                <w:w w:val="100"/>
                <w:sz w:val="21"/>
                <w:szCs w:val="21"/>
                <w:highlight w:val="none"/>
                <w:lang w:eastAsia="zh-CN"/>
              </w:rPr>
            </w:pPr>
            <w:r>
              <w:rPr>
                <w:rFonts w:hint="eastAsia" w:ascii="宋体" w:hAnsi="宋体" w:eastAsia="宋体" w:cs="宋体"/>
                <w:color w:val="auto"/>
                <w:spacing w:val="1"/>
                <w:w w:val="100"/>
                <w:sz w:val="21"/>
                <w:szCs w:val="21"/>
                <w:highlight w:val="none"/>
              </w:rPr>
              <w:t>提供参加政府采购活动前3年内在经营活动中没有重大违法记录的书面声明（重大违法记录，是指供应商因违法经营受到刑事处罚或者责令停产停业、吊销许可证或者执照、较大数额罚款等行政处罚）</w:t>
            </w:r>
            <w:r>
              <w:rPr>
                <w:rFonts w:hint="eastAsia" w:ascii="宋体" w:hAnsi="宋体" w:eastAsia="宋体" w:cs="宋体"/>
                <w:color w:val="auto"/>
                <w:spacing w:val="1"/>
                <w:w w:val="100"/>
                <w:sz w:val="21"/>
                <w:szCs w:val="21"/>
                <w:highlight w:val="none"/>
                <w:lang w:eastAsia="zh-CN"/>
              </w:rPr>
              <w:t>。</w:t>
            </w:r>
            <w:r>
              <w:rPr>
                <w:rFonts w:hint="eastAsia" w:ascii="宋体" w:hAnsi="宋体" w:cs="宋体"/>
                <w:color w:val="auto"/>
                <w:kern w:val="0"/>
                <w:sz w:val="21"/>
                <w:szCs w:val="21"/>
                <w:highlight w:val="none"/>
                <w:lang w:val="en-US" w:eastAsia="zh-CN"/>
              </w:rPr>
              <w:t>提供声明函。</w:t>
            </w:r>
          </w:p>
          <w:p w14:paraId="768F7447">
            <w:pPr>
              <w:keepNext w:val="0"/>
              <w:keepLines w:val="0"/>
              <w:pageBreakBefore w:val="0"/>
              <w:widowControl w:val="0"/>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pacing w:val="1"/>
                <w:w w:val="100"/>
                <w:sz w:val="21"/>
                <w:szCs w:val="21"/>
                <w:highlight w:val="none"/>
                <w:lang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1.按给定格式填写，2.按规定签章。</w:t>
            </w:r>
          </w:p>
        </w:tc>
      </w:tr>
      <w:tr w14:paraId="7094FCD8">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5CEE7C0B">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1103" w:type="pct"/>
            <w:tcBorders>
              <w:top w:val="single" w:color="auto" w:sz="4" w:space="0"/>
              <w:left w:val="single" w:color="auto" w:sz="4" w:space="0"/>
              <w:bottom w:val="single" w:color="auto" w:sz="4" w:space="0"/>
              <w:right w:val="single" w:color="auto" w:sz="4" w:space="0"/>
            </w:tcBorders>
            <w:vAlign w:val="center"/>
          </w:tcPr>
          <w:p w14:paraId="74A92FB4">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法律、行政法规规定的其他条件</w:t>
            </w:r>
          </w:p>
        </w:tc>
        <w:tc>
          <w:tcPr>
            <w:tcW w:w="3422" w:type="pct"/>
            <w:tcBorders>
              <w:top w:val="single" w:color="auto" w:sz="4" w:space="0"/>
              <w:left w:val="single" w:color="auto" w:sz="4" w:space="0"/>
              <w:bottom w:val="single" w:color="auto" w:sz="4" w:space="0"/>
              <w:right w:val="single" w:color="auto" w:sz="4" w:space="0"/>
            </w:tcBorders>
            <w:vAlign w:val="center"/>
          </w:tcPr>
          <w:p w14:paraId="67F38CDE">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宋体" w:hAnsi="宋体" w:cs="宋体"/>
                <w:color w:val="auto"/>
                <w:kern w:val="0"/>
                <w:sz w:val="21"/>
                <w:szCs w:val="21"/>
                <w:highlight w:val="none"/>
                <w:lang w:val="en-US" w:eastAsia="zh-CN"/>
              </w:rPr>
              <w:t>。提供声明函。</w:t>
            </w:r>
          </w:p>
          <w:p w14:paraId="382FDBE0">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kern w:val="0"/>
                <w:sz w:val="21"/>
                <w:szCs w:val="21"/>
                <w:highlight w:val="none"/>
                <w:lang w:val="en-US" w:eastAsia="zh-CN"/>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1.按给定格式填写，2.按规定签章。</w:t>
            </w:r>
          </w:p>
        </w:tc>
      </w:tr>
      <w:tr w14:paraId="53A6BFEB">
        <w:tblPrEx>
          <w:tblCellMar>
            <w:top w:w="0" w:type="dxa"/>
            <w:left w:w="108" w:type="dxa"/>
            <w:bottom w:w="0" w:type="dxa"/>
            <w:right w:w="108" w:type="dxa"/>
          </w:tblCellMar>
        </w:tblPrEx>
        <w:trPr>
          <w:trHeight w:val="57" w:hRule="atLeast"/>
          <w:jc w:val="center"/>
        </w:trPr>
        <w:tc>
          <w:tcPr>
            <w:tcW w:w="5000" w:type="pct"/>
            <w:gridSpan w:val="3"/>
            <w:tcBorders>
              <w:top w:val="single" w:color="auto" w:sz="4" w:space="0"/>
              <w:left w:val="single" w:color="auto" w:sz="4" w:space="0"/>
              <w:bottom w:val="single" w:color="auto" w:sz="4" w:space="0"/>
              <w:right w:val="single" w:color="auto" w:sz="4" w:space="0"/>
            </w:tcBorders>
            <w:vAlign w:val="center"/>
          </w:tcPr>
          <w:p w14:paraId="7DA3C45E">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1"/>
                <w:szCs w:val="21"/>
                <w:highlight w:val="none"/>
                <w:lang w:val="en-US" w:eastAsia="zh-CN"/>
              </w:rPr>
            </w:pPr>
            <w:r>
              <w:rPr>
                <w:rFonts w:hint="eastAsia" w:ascii="宋体" w:hAnsi="宋体" w:cs="宋体"/>
                <w:b/>
                <w:bCs/>
                <w:color w:val="auto"/>
                <w:spacing w:val="1"/>
                <w:w w:val="100"/>
                <w:sz w:val="21"/>
                <w:szCs w:val="21"/>
                <w:highlight w:val="none"/>
                <w:lang w:val="en-US" w:eastAsia="zh-CN"/>
              </w:rPr>
              <w:t>二.本项目落实政府采购政策需满足的资格要求：</w:t>
            </w:r>
          </w:p>
        </w:tc>
      </w:tr>
      <w:tr w14:paraId="42A3877B">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6D4DAFD4">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03" w:type="pct"/>
            <w:tcBorders>
              <w:top w:val="single" w:color="auto" w:sz="4" w:space="0"/>
              <w:left w:val="single" w:color="auto" w:sz="4" w:space="0"/>
              <w:bottom w:val="single" w:color="auto" w:sz="4" w:space="0"/>
              <w:right w:val="single" w:color="auto" w:sz="4" w:space="0"/>
            </w:tcBorders>
            <w:vAlign w:val="center"/>
          </w:tcPr>
          <w:p w14:paraId="2B3F4030">
            <w:pPr>
              <w:keepNext w:val="0"/>
              <w:keepLines w:val="0"/>
              <w:pageBreakBefore w:val="0"/>
              <w:widowControl w:val="0"/>
              <w:kinsoku/>
              <w:wordWrap w:val="0"/>
              <w:overflowPunct/>
              <w:topLinePunct w:val="0"/>
              <w:autoSpaceDE/>
              <w:autoSpaceDN/>
              <w:bidi w:val="0"/>
              <w:adjustRightInd w:val="0"/>
              <w:snapToGrid w:val="0"/>
              <w:spacing w:line="360" w:lineRule="auto"/>
              <w:jc w:val="center"/>
              <w:textAlignment w:val="auto"/>
              <w:rPr>
                <w:rFonts w:hint="eastAsia" w:ascii="宋体" w:hAnsi="宋体" w:eastAsia="宋体" w:cs="宋体"/>
                <w:b w:val="0"/>
                <w:bCs w:val="0"/>
                <w:color w:val="auto"/>
                <w:spacing w:val="1"/>
                <w:w w:val="100"/>
                <w:sz w:val="21"/>
                <w:szCs w:val="21"/>
                <w:highlight w:val="none"/>
                <w:lang w:val="en-US"/>
              </w:rPr>
            </w:pPr>
            <w:r>
              <w:rPr>
                <w:rFonts w:hint="eastAsia" w:ascii="宋体" w:hAnsi="宋体" w:eastAsia="宋体" w:cs="宋体"/>
                <w:b w:val="0"/>
                <w:bCs w:val="0"/>
                <w:color w:val="auto"/>
                <w:spacing w:val="1"/>
                <w:w w:val="100"/>
                <w:sz w:val="21"/>
                <w:szCs w:val="21"/>
                <w:highlight w:val="none"/>
                <w:lang w:val="en-US" w:eastAsia="zh-CN"/>
              </w:rPr>
              <w:t>本项目落实政府采购政策需满足的资格要求</w:t>
            </w:r>
          </w:p>
        </w:tc>
        <w:tc>
          <w:tcPr>
            <w:tcW w:w="3422" w:type="pct"/>
            <w:tcBorders>
              <w:top w:val="single" w:color="auto" w:sz="4" w:space="0"/>
              <w:left w:val="single" w:color="auto" w:sz="4" w:space="0"/>
              <w:bottom w:val="single" w:color="auto" w:sz="4" w:space="0"/>
              <w:right w:val="single" w:color="auto" w:sz="4" w:space="0"/>
            </w:tcBorders>
            <w:shd w:val="clear" w:color="auto" w:fill="auto"/>
            <w:vAlign w:val="center"/>
          </w:tcPr>
          <w:p w14:paraId="1FD542C6">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本项目专门面向中小微企业采购。投标人应按照文件格式要求出具《中小企业声明函》，并对声明函的合法有效性负责；未按规定提交声明函的投标人，资格审查不通过；残疾人福利性单位和监狱企业视同小微企业。</w:t>
            </w:r>
          </w:p>
          <w:p w14:paraId="0A61228E">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1.按给定格式填写，2.按规定签章。</w:t>
            </w:r>
          </w:p>
        </w:tc>
      </w:tr>
      <w:tr w14:paraId="6BFD2DAF">
        <w:tblPrEx>
          <w:tblCellMar>
            <w:top w:w="0" w:type="dxa"/>
            <w:left w:w="108" w:type="dxa"/>
            <w:bottom w:w="0" w:type="dxa"/>
            <w:right w:w="108" w:type="dxa"/>
          </w:tblCellMar>
        </w:tblPrEx>
        <w:trPr>
          <w:trHeight w:val="57" w:hRule="atLeast"/>
          <w:jc w:val="center"/>
        </w:trPr>
        <w:tc>
          <w:tcPr>
            <w:tcW w:w="5000"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EF237B6">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textAlignment w:val="auto"/>
              <w:rPr>
                <w:rFonts w:hint="eastAsia" w:ascii="宋体" w:hAnsi="宋体" w:eastAsia="宋体" w:cs="宋体"/>
                <w:b w:val="0"/>
                <w:bCs w:val="0"/>
                <w:color w:val="auto"/>
                <w:spacing w:val="1"/>
                <w:w w:val="100"/>
                <w:kern w:val="2"/>
                <w:sz w:val="21"/>
                <w:szCs w:val="21"/>
                <w:highlight w:val="none"/>
                <w:lang w:val="en-US" w:eastAsia="zh-CN" w:bidi="ar-SA"/>
              </w:rPr>
            </w:pPr>
            <w:r>
              <w:rPr>
                <w:rFonts w:hint="eastAsia" w:ascii="宋体" w:hAnsi="宋体" w:cs="宋体"/>
                <w:b/>
                <w:bCs/>
                <w:color w:val="auto"/>
                <w:spacing w:val="1"/>
                <w:w w:val="100"/>
                <w:kern w:val="2"/>
                <w:sz w:val="21"/>
                <w:szCs w:val="21"/>
                <w:highlight w:val="none"/>
                <w:lang w:val="en-US" w:eastAsia="zh-CN" w:bidi="ar-SA"/>
              </w:rPr>
              <w:t>三</w:t>
            </w:r>
            <w:r>
              <w:rPr>
                <w:rFonts w:hint="eastAsia" w:ascii="宋体" w:hAnsi="宋体" w:eastAsia="宋体" w:cs="宋体"/>
                <w:b/>
                <w:bCs/>
                <w:color w:val="auto"/>
                <w:spacing w:val="1"/>
                <w:w w:val="100"/>
                <w:kern w:val="2"/>
                <w:sz w:val="21"/>
                <w:szCs w:val="21"/>
                <w:highlight w:val="none"/>
                <w:lang w:val="en-US" w:eastAsia="zh-CN" w:bidi="ar-SA"/>
              </w:rPr>
              <w:t>.本项目的特定资格要求：</w:t>
            </w:r>
          </w:p>
        </w:tc>
      </w:tr>
      <w:tr w14:paraId="417E6E09">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604DA8FC">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103" w:type="pct"/>
            <w:tcBorders>
              <w:top w:val="single" w:color="auto" w:sz="4" w:space="0"/>
              <w:left w:val="single" w:color="auto" w:sz="4" w:space="0"/>
              <w:bottom w:val="single" w:color="auto" w:sz="4" w:space="0"/>
              <w:right w:val="single" w:color="auto" w:sz="4" w:space="0"/>
            </w:tcBorders>
            <w:vAlign w:val="center"/>
          </w:tcPr>
          <w:p w14:paraId="4180DF62">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jc w:val="center"/>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cs="宋体"/>
                <w:color w:val="auto"/>
                <w:kern w:val="2"/>
                <w:sz w:val="21"/>
                <w:szCs w:val="21"/>
                <w:highlight w:val="none"/>
                <w:lang w:val="en-US" w:eastAsia="zh-CN" w:bidi="ar-SA"/>
              </w:rPr>
              <w:t>资质要求</w:t>
            </w:r>
          </w:p>
        </w:tc>
        <w:tc>
          <w:tcPr>
            <w:tcW w:w="3422" w:type="pct"/>
            <w:tcBorders>
              <w:top w:val="single" w:color="auto" w:sz="4" w:space="0"/>
              <w:left w:val="single" w:color="auto" w:sz="4" w:space="0"/>
              <w:bottom w:val="single" w:color="auto" w:sz="4" w:space="0"/>
              <w:right w:val="single" w:color="auto" w:sz="4" w:space="0"/>
            </w:tcBorders>
            <w:vAlign w:val="center"/>
          </w:tcPr>
          <w:p w14:paraId="6A615B12">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cs="宋体"/>
                <w:color w:val="auto"/>
                <w:spacing w:val="1"/>
                <w:w w:val="100"/>
                <w:kern w:val="2"/>
                <w:sz w:val="21"/>
                <w:szCs w:val="21"/>
                <w:highlight w:val="none"/>
                <w:lang w:val="en-US" w:eastAsia="zh-CN" w:bidi="ar-SA"/>
              </w:rPr>
              <w:t>具备行政主管部门颁发的水利水电工程施工总承包叁级（含叁级）及以上资质证书，并具备有效的安全生产许可证</w:t>
            </w:r>
            <w:r>
              <w:rPr>
                <w:rFonts w:hint="eastAsia" w:ascii="宋体" w:hAnsi="宋体" w:eastAsia="宋体" w:cs="宋体"/>
                <w:color w:val="auto"/>
                <w:spacing w:val="1"/>
                <w:w w:val="100"/>
                <w:kern w:val="2"/>
                <w:sz w:val="21"/>
                <w:szCs w:val="21"/>
                <w:highlight w:val="none"/>
                <w:lang w:val="en-US" w:eastAsia="zh-CN" w:bidi="ar-SA"/>
              </w:rPr>
              <w:t>。</w:t>
            </w:r>
          </w:p>
          <w:p w14:paraId="2F5DD439">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textAlignment w:val="auto"/>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r>
              <w:rPr>
                <w:rFonts w:hint="eastAsia" w:ascii="宋体" w:hAnsi="宋体" w:eastAsia="宋体" w:cs="宋体"/>
                <w:color w:val="auto"/>
                <w:sz w:val="21"/>
                <w:szCs w:val="21"/>
                <w:highlight w:val="none"/>
                <w:lang w:eastAsia="zh-CN"/>
              </w:rPr>
              <w:t>。</w:t>
            </w:r>
          </w:p>
        </w:tc>
      </w:tr>
      <w:tr w14:paraId="5DBCB9AF">
        <w:tblPrEx>
          <w:tblCellMar>
            <w:top w:w="0" w:type="dxa"/>
            <w:left w:w="108" w:type="dxa"/>
            <w:bottom w:w="0" w:type="dxa"/>
            <w:right w:w="108" w:type="dxa"/>
          </w:tblCellMar>
        </w:tblPrEx>
        <w:trPr>
          <w:trHeight w:val="57" w:hRule="atLeast"/>
          <w:jc w:val="center"/>
        </w:trPr>
        <w:tc>
          <w:tcPr>
            <w:tcW w:w="473" w:type="pct"/>
            <w:tcBorders>
              <w:top w:val="single" w:color="auto" w:sz="4" w:space="0"/>
              <w:left w:val="single" w:color="auto" w:sz="4" w:space="0"/>
              <w:bottom w:val="single" w:color="auto" w:sz="4" w:space="0"/>
              <w:right w:val="single" w:color="auto" w:sz="4" w:space="0"/>
            </w:tcBorders>
            <w:vAlign w:val="center"/>
          </w:tcPr>
          <w:p w14:paraId="40018DF4">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103" w:type="pct"/>
            <w:tcBorders>
              <w:top w:val="single" w:color="auto" w:sz="4" w:space="0"/>
              <w:left w:val="single" w:color="auto" w:sz="4" w:space="0"/>
              <w:bottom w:val="single" w:color="auto" w:sz="4" w:space="0"/>
              <w:right w:val="single" w:color="auto" w:sz="4" w:space="0"/>
            </w:tcBorders>
            <w:vAlign w:val="center"/>
          </w:tcPr>
          <w:p w14:paraId="72F24C07">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eastAsia="宋体" w:cs="宋体"/>
                <w:b w:val="0"/>
                <w:bCs w:val="0"/>
                <w:color w:val="auto"/>
                <w:spacing w:val="1"/>
                <w:w w:val="100"/>
                <w:sz w:val="21"/>
                <w:szCs w:val="21"/>
                <w:highlight w:val="none"/>
                <w:lang w:val="en-US" w:eastAsia="zh-CN"/>
              </w:rPr>
              <w:t>项目经理要求</w:t>
            </w:r>
          </w:p>
        </w:tc>
        <w:tc>
          <w:tcPr>
            <w:tcW w:w="3422" w:type="pct"/>
            <w:tcBorders>
              <w:top w:val="single" w:color="auto" w:sz="4" w:space="0"/>
              <w:left w:val="single" w:color="auto" w:sz="4" w:space="0"/>
              <w:bottom w:val="single" w:color="auto" w:sz="4" w:space="0"/>
              <w:right w:val="single" w:color="auto" w:sz="4" w:space="0"/>
            </w:tcBorders>
            <w:vAlign w:val="center"/>
          </w:tcPr>
          <w:p w14:paraId="09899BEF">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cs="宋体"/>
                <w:color w:val="auto"/>
                <w:spacing w:val="1"/>
                <w:w w:val="100"/>
                <w:kern w:val="2"/>
                <w:sz w:val="21"/>
                <w:szCs w:val="21"/>
                <w:highlight w:val="none"/>
                <w:lang w:val="en-US" w:eastAsia="zh-CN" w:bidi="ar-SA"/>
              </w:rPr>
              <w:t>拟投入本工程的项目经理必须具备水利水电工程专业贰级以上（含贰级）建造师资格和有效的安全生产考核合格证（B证）。提供为本单位人员的社保证明，提供项目经理无在建承诺</w:t>
            </w:r>
            <w:r>
              <w:rPr>
                <w:rFonts w:hint="eastAsia" w:ascii="宋体" w:hAnsi="宋体" w:eastAsia="宋体" w:cs="宋体"/>
                <w:color w:val="auto"/>
                <w:spacing w:val="1"/>
                <w:w w:val="100"/>
                <w:kern w:val="2"/>
                <w:sz w:val="21"/>
                <w:szCs w:val="21"/>
                <w:highlight w:val="none"/>
                <w:lang w:val="en-US" w:eastAsia="zh-CN" w:bidi="ar-SA"/>
              </w:rPr>
              <w:t>。</w:t>
            </w:r>
          </w:p>
          <w:p w14:paraId="61761D8C">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color w:val="auto"/>
                <w:spacing w:val="1"/>
                <w:w w:val="100"/>
                <w:kern w:val="2"/>
                <w:sz w:val="21"/>
                <w:szCs w:val="21"/>
                <w:highlight w:val="none"/>
                <w:lang w:val="en-US" w:eastAsia="zh-CN" w:bidi="ar-SA"/>
              </w:rPr>
            </w:pPr>
            <w:r>
              <w:rPr>
                <w:rFonts w:hint="eastAsia" w:ascii="宋体" w:hAnsi="宋体" w:eastAsia="宋体" w:cs="宋体"/>
                <w:b/>
                <w:bCs/>
                <w:color w:val="auto"/>
                <w:sz w:val="21"/>
                <w:szCs w:val="21"/>
                <w:highlight w:val="none"/>
              </w:rPr>
              <w:t>审查标准</w:t>
            </w:r>
            <w:r>
              <w:rPr>
                <w:rFonts w:hint="eastAsia" w:ascii="宋体" w:hAnsi="宋体" w:eastAsia="宋体" w:cs="宋体"/>
                <w:b/>
                <w:bCs/>
                <w:color w:val="auto"/>
                <w:sz w:val="21"/>
                <w:szCs w:val="21"/>
                <w:highlight w:val="none"/>
                <w:lang w:eastAsia="zh-CN"/>
              </w:rPr>
              <w:t>：</w:t>
            </w:r>
            <w:r>
              <w:rPr>
                <w:rFonts w:hint="eastAsia" w:ascii="宋体" w:hAnsi="宋体" w:eastAsia="宋体" w:cs="宋体"/>
                <w:color w:val="auto"/>
                <w:sz w:val="21"/>
                <w:szCs w:val="21"/>
                <w:highlight w:val="none"/>
              </w:rPr>
              <w:t>1.按要求提供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2.合法有效</w:t>
            </w:r>
            <w:r>
              <w:rPr>
                <w:rFonts w:hint="eastAsia" w:ascii="宋体" w:hAnsi="宋体" w:eastAsia="宋体" w:cs="宋体"/>
                <w:color w:val="auto"/>
                <w:sz w:val="21"/>
                <w:szCs w:val="21"/>
                <w:highlight w:val="none"/>
                <w:lang w:eastAsia="zh-CN"/>
              </w:rPr>
              <w:t>。</w:t>
            </w:r>
          </w:p>
        </w:tc>
      </w:tr>
    </w:tbl>
    <w:p w14:paraId="79C2D08E">
      <w:pPr>
        <w:pageBreakBefore w:val="0"/>
        <w:kinsoku/>
        <w:wordWrap w:val="0"/>
        <w:overflowPunct/>
        <w:bidi w:val="0"/>
        <w:rPr>
          <w:rFonts w:hint="eastAsia" w:ascii="宋体" w:hAnsi="宋体" w:eastAsia="宋体" w:cs="宋体"/>
          <w:b/>
          <w:color w:val="auto"/>
          <w:kern w:val="10"/>
          <w:sz w:val="28"/>
          <w:szCs w:val="21"/>
          <w:highlight w:val="none"/>
          <w:lang w:eastAsia="zh-CN"/>
        </w:rPr>
      </w:pPr>
      <w:r>
        <w:rPr>
          <w:rFonts w:hint="eastAsia" w:ascii="宋体" w:hAnsi="宋体" w:eastAsia="宋体" w:cs="宋体"/>
          <w:b/>
          <w:color w:val="auto"/>
          <w:kern w:val="10"/>
          <w:sz w:val="28"/>
          <w:szCs w:val="21"/>
          <w:highlight w:val="none"/>
          <w:lang w:eastAsia="zh-CN"/>
        </w:rPr>
        <w:br w:type="page"/>
      </w:r>
    </w:p>
    <w:p w14:paraId="765DCEA9">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482"/>
        <w:jc w:val="center"/>
        <w:textAlignment w:val="auto"/>
        <w:outlineLvl w:val="2"/>
        <w:rPr>
          <w:rFonts w:hint="eastAsia" w:ascii="宋体" w:hAnsi="宋体" w:eastAsia="宋体" w:cs="宋体"/>
          <w:b/>
          <w:color w:val="auto"/>
          <w:kern w:val="10"/>
          <w:sz w:val="28"/>
          <w:szCs w:val="21"/>
          <w:highlight w:val="none"/>
          <w:lang w:eastAsia="zh-CN"/>
        </w:rPr>
      </w:pPr>
      <w:bookmarkStart w:id="150" w:name="_Toc18071"/>
      <w:r>
        <w:rPr>
          <w:rFonts w:hint="eastAsia" w:ascii="宋体" w:hAnsi="宋体" w:eastAsia="宋体" w:cs="宋体"/>
          <w:b/>
          <w:color w:val="auto"/>
          <w:kern w:val="10"/>
          <w:sz w:val="28"/>
          <w:szCs w:val="21"/>
          <w:highlight w:val="none"/>
          <w:lang w:eastAsia="zh-CN"/>
        </w:rPr>
        <w:t>评审办法附表二（符合性评审指标表）</w:t>
      </w:r>
      <w:bookmarkEnd w:id="150"/>
    </w:p>
    <w:tbl>
      <w:tblPr>
        <w:tblStyle w:val="39"/>
        <w:tblW w:w="9178" w:type="dxa"/>
        <w:jc w:val="center"/>
        <w:tblLayout w:type="fixed"/>
        <w:tblCellMar>
          <w:top w:w="0" w:type="dxa"/>
          <w:left w:w="108" w:type="dxa"/>
          <w:bottom w:w="0" w:type="dxa"/>
          <w:right w:w="108" w:type="dxa"/>
        </w:tblCellMar>
      </w:tblPr>
      <w:tblGrid>
        <w:gridCol w:w="859"/>
        <w:gridCol w:w="2086"/>
        <w:gridCol w:w="6233"/>
      </w:tblGrid>
      <w:tr w14:paraId="45A3811F">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4E251BC">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086" w:type="dxa"/>
            <w:tcBorders>
              <w:top w:val="single" w:color="auto" w:sz="4" w:space="0"/>
              <w:left w:val="single" w:color="auto" w:sz="4" w:space="0"/>
              <w:bottom w:val="single" w:color="auto" w:sz="4" w:space="0"/>
              <w:right w:val="single" w:color="auto" w:sz="4" w:space="0"/>
            </w:tcBorders>
            <w:vAlign w:val="center"/>
          </w:tcPr>
          <w:p w14:paraId="084CF772">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评审因素</w:t>
            </w:r>
          </w:p>
        </w:tc>
        <w:tc>
          <w:tcPr>
            <w:tcW w:w="6233" w:type="dxa"/>
            <w:tcBorders>
              <w:top w:val="single" w:color="auto" w:sz="4" w:space="0"/>
              <w:left w:val="single" w:color="auto" w:sz="4" w:space="0"/>
              <w:bottom w:val="single" w:color="auto" w:sz="4" w:space="0"/>
              <w:right w:val="single" w:color="auto" w:sz="4" w:space="0"/>
            </w:tcBorders>
            <w:vAlign w:val="center"/>
          </w:tcPr>
          <w:p w14:paraId="472E41F1">
            <w:pPr>
              <w:keepNext w:val="0"/>
              <w:keepLines w:val="0"/>
              <w:pageBreakBefore w:val="0"/>
              <w:widowControl w:val="0"/>
              <w:kinsoku/>
              <w:wordWrap w:val="0"/>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符合性评审标准</w:t>
            </w:r>
          </w:p>
        </w:tc>
      </w:tr>
      <w:tr w14:paraId="733AF26C">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2BFD1DA5">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086" w:type="dxa"/>
            <w:tcBorders>
              <w:top w:val="single" w:color="auto" w:sz="4" w:space="0"/>
              <w:left w:val="single" w:color="auto" w:sz="4" w:space="0"/>
              <w:bottom w:val="single" w:color="auto" w:sz="4" w:space="0"/>
              <w:right w:val="single" w:color="auto" w:sz="4" w:space="0"/>
            </w:tcBorders>
            <w:vAlign w:val="center"/>
          </w:tcPr>
          <w:p w14:paraId="142E0337">
            <w:pPr>
              <w:shd w:val="clear" w:color="auto" w:fill="auto"/>
              <w:wordWrap w:val="0"/>
              <w:spacing w:before="100" w:beforeAutospacing="1" w:after="100" w:afterAutospacing="1" w:line="36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供应商名称</w:t>
            </w:r>
          </w:p>
        </w:tc>
        <w:tc>
          <w:tcPr>
            <w:tcW w:w="6233" w:type="dxa"/>
            <w:tcBorders>
              <w:top w:val="single" w:color="auto" w:sz="4" w:space="0"/>
              <w:left w:val="single" w:color="auto" w:sz="4" w:space="0"/>
              <w:bottom w:val="single" w:color="auto" w:sz="4" w:space="0"/>
              <w:right w:val="single" w:color="auto" w:sz="4" w:space="0"/>
            </w:tcBorders>
            <w:vAlign w:val="center"/>
          </w:tcPr>
          <w:p w14:paraId="40A49F36">
            <w:pPr>
              <w:shd w:val="clear" w:color="auto" w:fill="auto"/>
              <w:wordWrap w:val="0"/>
              <w:spacing w:before="100" w:beforeAutospacing="1" w:after="100" w:afterAutospacing="1"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响应文件签章与政采云平台、营业执照登记（</w:t>
            </w:r>
            <w:r>
              <w:rPr>
                <w:rFonts w:hint="eastAsia" w:ascii="宋体" w:hAnsi="宋体" w:eastAsia="宋体" w:cs="宋体"/>
                <w:bCs/>
                <w:color w:val="auto"/>
                <w:w w:val="100"/>
                <w:kern w:val="2"/>
                <w:sz w:val="21"/>
                <w:szCs w:val="21"/>
                <w:highlight w:val="none"/>
                <w:lang w:val="en-US" w:eastAsia="zh-CN" w:bidi="ar-SA"/>
              </w:rPr>
              <w:t>营业执照或事业单位法人证书或其他类似的法定证明文件</w:t>
            </w:r>
            <w:r>
              <w:rPr>
                <w:rFonts w:hint="eastAsia" w:ascii="宋体" w:hAnsi="宋体" w:eastAsia="宋体" w:cs="宋体"/>
                <w:color w:val="auto"/>
                <w:sz w:val="21"/>
                <w:szCs w:val="21"/>
                <w:highlight w:val="none"/>
              </w:rPr>
              <w:t>）的名称一致</w:t>
            </w:r>
            <w:r>
              <w:rPr>
                <w:rFonts w:hint="eastAsia" w:ascii="宋体" w:hAnsi="宋体" w:eastAsia="宋体" w:cs="宋体"/>
                <w:color w:val="auto"/>
                <w:sz w:val="21"/>
                <w:szCs w:val="21"/>
                <w:highlight w:val="none"/>
                <w:lang w:eastAsia="zh-CN"/>
              </w:rPr>
              <w:t>。</w:t>
            </w:r>
          </w:p>
        </w:tc>
      </w:tr>
      <w:tr w14:paraId="79538FCC">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6E1BDAE">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086" w:type="dxa"/>
            <w:tcBorders>
              <w:top w:val="single" w:color="auto" w:sz="4" w:space="0"/>
              <w:left w:val="single" w:color="auto" w:sz="4" w:space="0"/>
              <w:bottom w:val="single" w:color="auto" w:sz="4" w:space="0"/>
              <w:right w:val="single" w:color="auto" w:sz="4" w:space="0"/>
            </w:tcBorders>
            <w:vAlign w:val="center"/>
          </w:tcPr>
          <w:p w14:paraId="616B56D5">
            <w:pPr>
              <w:keepNext w:val="0"/>
              <w:keepLines w:val="0"/>
              <w:pageBreakBefore w:val="0"/>
              <w:widowControl w:val="0"/>
              <w:kinsoku/>
              <w:wordWrap/>
              <w:overflowPunct/>
              <w:topLinePunct w:val="0"/>
              <w:autoSpaceDE/>
              <w:autoSpaceDN/>
              <w:bidi w:val="0"/>
              <w:adjustRightInd/>
              <w:snapToGrid/>
              <w:spacing w:before="100" w:after="100" w:line="44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磋商申请函</w:t>
            </w:r>
          </w:p>
        </w:tc>
        <w:tc>
          <w:tcPr>
            <w:tcW w:w="6233" w:type="dxa"/>
            <w:tcBorders>
              <w:top w:val="single" w:color="auto" w:sz="4" w:space="0"/>
              <w:left w:val="single" w:color="auto" w:sz="4" w:space="0"/>
              <w:bottom w:val="single" w:color="auto" w:sz="4" w:space="0"/>
              <w:right w:val="single" w:color="auto" w:sz="4" w:space="0"/>
            </w:tcBorders>
            <w:vAlign w:val="center"/>
          </w:tcPr>
          <w:p w14:paraId="282E82F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有法定代表人或其委托代理人</w:t>
            </w:r>
            <w:r>
              <w:rPr>
                <w:rFonts w:hint="eastAsia" w:ascii="宋体" w:hAnsi="宋体" w:eastAsia="宋体" w:cs="宋体"/>
                <w:color w:val="auto"/>
                <w:sz w:val="21"/>
                <w:szCs w:val="21"/>
                <w:highlight w:val="none"/>
                <w:lang w:eastAsia="zh-CN"/>
              </w:rPr>
              <w:t>签名或签章</w:t>
            </w: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响应文件格式</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中规定的格式及内容。</w:t>
            </w:r>
          </w:p>
        </w:tc>
      </w:tr>
      <w:tr w14:paraId="39AD2EB4">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0C95693">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086" w:type="dxa"/>
            <w:tcBorders>
              <w:top w:val="single" w:color="auto" w:sz="4" w:space="0"/>
              <w:left w:val="single" w:color="auto" w:sz="4" w:space="0"/>
              <w:bottom w:val="single" w:color="auto" w:sz="4" w:space="0"/>
              <w:right w:val="single" w:color="auto" w:sz="4" w:space="0"/>
            </w:tcBorders>
            <w:vAlign w:val="center"/>
          </w:tcPr>
          <w:p w14:paraId="7DDC0B7B">
            <w:pPr>
              <w:shd w:val="clear" w:color="auto" w:fill="auto"/>
              <w:wordWrap w:val="0"/>
              <w:spacing w:before="100" w:beforeAutospacing="1" w:after="100" w:afterAutospacing="1" w:line="36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磋商保证金</w:t>
            </w:r>
          </w:p>
        </w:tc>
        <w:tc>
          <w:tcPr>
            <w:tcW w:w="6233" w:type="dxa"/>
            <w:tcBorders>
              <w:top w:val="single" w:color="auto" w:sz="4" w:space="0"/>
              <w:left w:val="single" w:color="auto" w:sz="4" w:space="0"/>
              <w:bottom w:val="single" w:color="auto" w:sz="4" w:space="0"/>
              <w:right w:val="single" w:color="auto" w:sz="4" w:space="0"/>
            </w:tcBorders>
            <w:vAlign w:val="center"/>
          </w:tcPr>
          <w:p w14:paraId="012D8DCF">
            <w:pPr>
              <w:shd w:val="clear" w:color="auto" w:fill="auto"/>
              <w:wordWrap w:val="0"/>
              <w:spacing w:before="100" w:beforeAutospacing="1" w:after="100" w:afterAutospacing="1"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符合第二章“供应商须知</w:t>
            </w:r>
            <w:r>
              <w:rPr>
                <w:rFonts w:hint="eastAsia" w:ascii="宋体" w:hAnsi="宋体" w:eastAsia="宋体" w:cs="宋体"/>
                <w:color w:val="auto"/>
                <w:sz w:val="21"/>
                <w:szCs w:val="21"/>
                <w:highlight w:val="none"/>
                <w:lang w:eastAsia="zh-CN"/>
              </w:rPr>
              <w:t>前附表</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3.5.1</w:t>
            </w:r>
            <w:r>
              <w:rPr>
                <w:rFonts w:hint="eastAsia" w:ascii="宋体" w:hAnsi="宋体" w:eastAsia="宋体" w:cs="宋体"/>
                <w:color w:val="auto"/>
                <w:sz w:val="21"/>
                <w:szCs w:val="21"/>
                <w:highlight w:val="none"/>
              </w:rPr>
              <w:t>项规定</w:t>
            </w:r>
            <w:r>
              <w:rPr>
                <w:rFonts w:hint="eastAsia" w:ascii="宋体" w:hAnsi="宋体" w:eastAsia="宋体" w:cs="宋体"/>
                <w:color w:val="auto"/>
                <w:sz w:val="21"/>
                <w:szCs w:val="21"/>
                <w:highlight w:val="none"/>
                <w:lang w:eastAsia="zh-CN"/>
              </w:rPr>
              <w:t>。</w:t>
            </w:r>
          </w:p>
        </w:tc>
      </w:tr>
      <w:tr w14:paraId="64257E7D">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7DC5A5EF">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086" w:type="dxa"/>
            <w:tcBorders>
              <w:top w:val="single" w:color="auto" w:sz="4" w:space="0"/>
              <w:left w:val="single" w:color="auto" w:sz="4" w:space="0"/>
              <w:bottom w:val="single" w:color="auto" w:sz="4" w:space="0"/>
              <w:right w:val="single" w:color="auto" w:sz="4" w:space="0"/>
            </w:tcBorders>
            <w:vAlign w:val="center"/>
          </w:tcPr>
          <w:p w14:paraId="4C1F6258">
            <w:pPr>
              <w:shd w:val="clear" w:color="auto" w:fill="auto"/>
              <w:wordWrap w:val="0"/>
              <w:spacing w:before="100" w:beforeAutospacing="1" w:after="100" w:afterAutospacing="1" w:line="36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响应文件格式</w:t>
            </w:r>
          </w:p>
        </w:tc>
        <w:tc>
          <w:tcPr>
            <w:tcW w:w="6233" w:type="dxa"/>
            <w:tcBorders>
              <w:top w:val="single" w:color="auto" w:sz="4" w:space="0"/>
              <w:left w:val="single" w:color="auto" w:sz="4" w:space="0"/>
              <w:bottom w:val="single" w:color="auto" w:sz="4" w:space="0"/>
              <w:right w:val="single" w:color="auto" w:sz="4" w:space="0"/>
            </w:tcBorders>
            <w:vAlign w:val="center"/>
          </w:tcPr>
          <w:p w14:paraId="1F66A731">
            <w:pPr>
              <w:shd w:val="clear" w:color="auto" w:fill="auto"/>
              <w:wordWrap w:val="0"/>
              <w:spacing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按</w:t>
            </w:r>
            <w:r>
              <w:rPr>
                <w:rFonts w:hint="eastAsia" w:ascii="宋体" w:hAnsi="宋体" w:eastAsia="宋体" w:cs="宋体"/>
                <w:color w:val="auto"/>
                <w:sz w:val="21"/>
                <w:szCs w:val="21"/>
                <w:highlight w:val="none"/>
                <w:lang w:val="en-US" w:eastAsia="zh-CN"/>
              </w:rPr>
              <w:t>竞争性磋商文件</w:t>
            </w:r>
            <w:r>
              <w:rPr>
                <w:rFonts w:hint="eastAsia" w:ascii="宋体" w:hAnsi="宋体" w:eastAsia="宋体" w:cs="宋体"/>
                <w:color w:val="auto"/>
                <w:sz w:val="21"/>
                <w:szCs w:val="21"/>
                <w:highlight w:val="none"/>
              </w:rPr>
              <w:t>要求提供资料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w:t>
            </w:r>
            <w:r>
              <w:rPr>
                <w:rFonts w:hint="eastAsia" w:ascii="宋体" w:hAnsi="宋体" w:eastAsia="宋体" w:cs="宋体"/>
                <w:color w:val="auto"/>
                <w:sz w:val="21"/>
                <w:szCs w:val="21"/>
                <w:highlight w:val="none"/>
                <w:lang w:eastAsia="zh-CN"/>
              </w:rPr>
              <w:t>按要求</w:t>
            </w:r>
            <w:r>
              <w:rPr>
                <w:rFonts w:hint="eastAsia" w:ascii="宋体" w:hAnsi="宋体" w:eastAsia="宋体" w:cs="宋体"/>
                <w:color w:val="auto"/>
                <w:sz w:val="21"/>
                <w:szCs w:val="21"/>
                <w:highlight w:val="none"/>
              </w:rPr>
              <w:t>签章</w:t>
            </w:r>
            <w:r>
              <w:rPr>
                <w:rFonts w:hint="eastAsia" w:ascii="宋体" w:hAnsi="宋体" w:eastAsia="宋体" w:cs="宋体"/>
                <w:color w:val="auto"/>
                <w:sz w:val="21"/>
                <w:szCs w:val="21"/>
                <w:highlight w:val="none"/>
                <w:lang w:eastAsia="zh-CN"/>
              </w:rPr>
              <w:t>。</w:t>
            </w:r>
          </w:p>
        </w:tc>
      </w:tr>
      <w:tr w14:paraId="3C003CA3">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F8C0714">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086" w:type="dxa"/>
            <w:tcBorders>
              <w:top w:val="single" w:color="auto" w:sz="4" w:space="0"/>
              <w:left w:val="single" w:color="auto" w:sz="4" w:space="0"/>
              <w:bottom w:val="single" w:color="auto" w:sz="4" w:space="0"/>
              <w:right w:val="single" w:color="auto" w:sz="4" w:space="0"/>
            </w:tcBorders>
            <w:vAlign w:val="center"/>
          </w:tcPr>
          <w:p w14:paraId="53635B36">
            <w:pPr>
              <w:shd w:val="clear" w:color="auto" w:fill="auto"/>
              <w:wordWrap w:val="0"/>
              <w:spacing w:line="360" w:lineRule="auto"/>
              <w:jc w:val="center"/>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法定代表人身份证明书及法定代表人授权委托书</w:t>
            </w:r>
          </w:p>
        </w:tc>
        <w:tc>
          <w:tcPr>
            <w:tcW w:w="6233" w:type="dxa"/>
            <w:tcBorders>
              <w:top w:val="single" w:color="auto" w:sz="4" w:space="0"/>
              <w:left w:val="single" w:color="auto" w:sz="4" w:space="0"/>
              <w:bottom w:val="single" w:color="auto" w:sz="4" w:space="0"/>
              <w:right w:val="single" w:color="auto" w:sz="4" w:space="0"/>
            </w:tcBorders>
            <w:vAlign w:val="center"/>
          </w:tcPr>
          <w:p w14:paraId="70225FF2">
            <w:pPr>
              <w:shd w:val="clear" w:color="auto" w:fill="auto"/>
              <w:wordWrap w:val="0"/>
              <w:spacing w:line="360" w:lineRule="auto"/>
              <w:jc w:val="left"/>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符合竞争性磋商文件规定格式及内容，并</w:t>
            </w:r>
            <w:r>
              <w:rPr>
                <w:rFonts w:hint="eastAsia" w:ascii="宋体" w:hAnsi="宋体" w:eastAsia="宋体" w:cs="宋体"/>
                <w:color w:val="auto"/>
                <w:sz w:val="21"/>
                <w:szCs w:val="21"/>
                <w:highlight w:val="none"/>
                <w:lang w:eastAsia="zh-CN"/>
              </w:rPr>
              <w:t>按要求</w:t>
            </w:r>
            <w:r>
              <w:rPr>
                <w:rFonts w:hint="eastAsia" w:ascii="宋体" w:hAnsi="宋体" w:eastAsia="宋体" w:cs="宋体"/>
                <w:color w:val="auto"/>
                <w:sz w:val="21"/>
                <w:szCs w:val="21"/>
                <w:highlight w:val="none"/>
              </w:rPr>
              <w:t>签章</w:t>
            </w:r>
            <w:r>
              <w:rPr>
                <w:rFonts w:hint="eastAsia" w:ascii="宋体" w:hAnsi="宋体" w:eastAsia="宋体" w:cs="宋体"/>
                <w:color w:val="auto"/>
                <w:sz w:val="21"/>
                <w:szCs w:val="21"/>
                <w:highlight w:val="none"/>
                <w:lang w:eastAsia="zh-CN"/>
              </w:rPr>
              <w:t>。</w:t>
            </w:r>
          </w:p>
        </w:tc>
      </w:tr>
      <w:tr w14:paraId="76332DFC">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5F32D5BF">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2086" w:type="dxa"/>
            <w:tcBorders>
              <w:top w:val="single" w:color="auto" w:sz="4" w:space="0"/>
              <w:left w:val="single" w:color="auto" w:sz="4" w:space="0"/>
              <w:bottom w:val="single" w:color="auto" w:sz="4" w:space="0"/>
              <w:right w:val="single" w:color="auto" w:sz="4" w:space="0"/>
            </w:tcBorders>
            <w:vAlign w:val="center"/>
          </w:tcPr>
          <w:p w14:paraId="54493331">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b w:val="0"/>
                <w:bCs w:val="0"/>
                <w:color w:val="auto"/>
                <w:spacing w:val="1"/>
                <w:w w:val="100"/>
                <w:sz w:val="21"/>
                <w:szCs w:val="21"/>
                <w:highlight w:val="none"/>
                <w:lang w:val="en-US" w:eastAsia="zh-CN"/>
              </w:rPr>
            </w:pPr>
            <w:r>
              <w:rPr>
                <w:rFonts w:hint="eastAsia" w:ascii="宋体" w:hAnsi="宋体" w:eastAsia="宋体" w:cs="宋体"/>
                <w:color w:val="auto"/>
                <w:sz w:val="21"/>
                <w:szCs w:val="21"/>
                <w:highlight w:val="none"/>
                <w:lang w:eastAsia="zh-CN"/>
              </w:rPr>
              <w:t>报价</w:t>
            </w:r>
          </w:p>
        </w:tc>
        <w:tc>
          <w:tcPr>
            <w:tcW w:w="6233" w:type="dxa"/>
            <w:tcBorders>
              <w:top w:val="single" w:color="auto" w:sz="4" w:space="0"/>
              <w:left w:val="single" w:color="auto" w:sz="4" w:space="0"/>
              <w:bottom w:val="single" w:color="auto" w:sz="4" w:space="0"/>
              <w:right w:val="single" w:color="auto" w:sz="4" w:space="0"/>
            </w:tcBorders>
            <w:vAlign w:val="center"/>
          </w:tcPr>
          <w:p w14:paraId="27F35459">
            <w:pPr>
              <w:keepNext w:val="0"/>
              <w:keepLines w:val="0"/>
              <w:pageBreakBefore w:val="0"/>
              <w:widowControl w:val="0"/>
              <w:numPr>
                <w:ilvl w:val="0"/>
                <w:numId w:val="0"/>
              </w:numPr>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1</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未超过采购预算控制价</w:t>
            </w:r>
            <w:r>
              <w:rPr>
                <w:rFonts w:hint="eastAsia" w:ascii="宋体" w:hAnsi="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val="en-US" w:eastAsia="zh-CN"/>
              </w:rPr>
              <w:t>，未出现缺项、漏项。</w:t>
            </w:r>
          </w:p>
          <w:p w14:paraId="430F51BE">
            <w:pPr>
              <w:keepNext w:val="0"/>
              <w:keepLines w:val="0"/>
              <w:pageBreakBefore w:val="0"/>
              <w:widowControl w:val="0"/>
              <w:numPr>
                <w:ilvl w:val="0"/>
                <w:numId w:val="0"/>
              </w:numPr>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2"/>
                <w:sz w:val="21"/>
                <w:szCs w:val="21"/>
                <w:highlight w:val="none"/>
                <w:lang w:val="en-US" w:eastAsia="zh-CN" w:bidi="ar-SA"/>
              </w:rPr>
              <w:t>2</w:t>
            </w:r>
            <w:r>
              <w:rPr>
                <w:rFonts w:hint="eastAsia" w:ascii="宋体" w:hAnsi="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lang w:val="en-US" w:eastAsia="zh-CN"/>
              </w:rPr>
              <w:t>政府采购评审中，出现《关于推动解决政府采购异常低价问题的通知》财库[2026]2号中规定情形之一的，评审委员会将启动异常低价投标(响应)审查程序，投标(响应)供应商不能提供书面说明、证明材料，或者提供的书面说明、证明材料不能证明其报价合理性的，评审委员会将其作为无效投标(响应)处理。其中，第1项至第3项中启动异常低价投标(响应)审查的数值标准65%。</w:t>
            </w:r>
          </w:p>
        </w:tc>
      </w:tr>
      <w:tr w14:paraId="778CD451">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67F27C6">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086" w:type="dxa"/>
            <w:tcBorders>
              <w:top w:val="single" w:color="auto" w:sz="4" w:space="0"/>
              <w:left w:val="single" w:color="auto" w:sz="4" w:space="0"/>
              <w:bottom w:val="single" w:color="auto" w:sz="4" w:space="0"/>
              <w:right w:val="single" w:color="auto" w:sz="4" w:space="0"/>
            </w:tcBorders>
            <w:vAlign w:val="center"/>
          </w:tcPr>
          <w:p w14:paraId="08A41DBF">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有效期</w:t>
            </w:r>
          </w:p>
        </w:tc>
        <w:tc>
          <w:tcPr>
            <w:tcW w:w="6233" w:type="dxa"/>
            <w:tcBorders>
              <w:top w:val="single" w:color="auto" w:sz="4" w:space="0"/>
              <w:left w:val="single" w:color="auto" w:sz="4" w:space="0"/>
              <w:bottom w:val="single" w:color="auto" w:sz="4" w:space="0"/>
              <w:right w:val="single" w:color="auto" w:sz="4" w:space="0"/>
            </w:tcBorders>
            <w:vAlign w:val="center"/>
          </w:tcPr>
          <w:p w14:paraId="0CA34ADF">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符合第二章“供应商须知</w:t>
            </w:r>
            <w:r>
              <w:rPr>
                <w:rFonts w:hint="eastAsia" w:ascii="宋体" w:hAnsi="宋体" w:eastAsia="宋体" w:cs="宋体"/>
                <w:color w:val="auto"/>
                <w:sz w:val="21"/>
                <w:szCs w:val="21"/>
                <w:highlight w:val="none"/>
                <w:lang w:eastAsia="zh-CN"/>
              </w:rPr>
              <w:t>前附表</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3.4.1项</w:t>
            </w:r>
            <w:r>
              <w:rPr>
                <w:rFonts w:hint="eastAsia" w:ascii="宋体" w:hAnsi="宋体" w:eastAsia="宋体" w:cs="宋体"/>
                <w:color w:val="auto"/>
                <w:sz w:val="21"/>
                <w:szCs w:val="21"/>
                <w:highlight w:val="none"/>
              </w:rPr>
              <w:t>规定</w:t>
            </w:r>
          </w:p>
        </w:tc>
      </w:tr>
      <w:tr w14:paraId="112331BE">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1CCFE018">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2086" w:type="dxa"/>
            <w:tcBorders>
              <w:top w:val="single" w:color="auto" w:sz="4" w:space="0"/>
              <w:left w:val="single" w:color="auto" w:sz="4" w:space="0"/>
              <w:bottom w:val="single" w:color="auto" w:sz="4" w:space="0"/>
              <w:right w:val="single" w:color="auto" w:sz="4" w:space="0"/>
            </w:tcBorders>
            <w:vAlign w:val="center"/>
          </w:tcPr>
          <w:p w14:paraId="6032BF88">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合同履行期限</w:t>
            </w:r>
          </w:p>
        </w:tc>
        <w:tc>
          <w:tcPr>
            <w:tcW w:w="6233" w:type="dxa"/>
            <w:tcBorders>
              <w:top w:val="single" w:color="auto" w:sz="4" w:space="0"/>
              <w:left w:val="single" w:color="auto" w:sz="4" w:space="0"/>
              <w:bottom w:val="single" w:color="auto" w:sz="4" w:space="0"/>
              <w:right w:val="single" w:color="auto" w:sz="4" w:space="0"/>
            </w:tcBorders>
            <w:vAlign w:val="center"/>
          </w:tcPr>
          <w:p w14:paraId="3A1C3AEF">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合同履行期限不得超</w:t>
            </w:r>
            <w:r>
              <w:rPr>
                <w:rFonts w:hint="eastAsia" w:ascii="宋体" w:hAnsi="宋体" w:cs="宋体"/>
                <w:color w:val="auto"/>
                <w:sz w:val="21"/>
                <w:szCs w:val="21"/>
                <w:highlight w:val="none"/>
                <w:lang w:val="en-US" w:eastAsia="zh-CN"/>
              </w:rPr>
              <w:t>出</w:t>
            </w:r>
            <w:r>
              <w:rPr>
                <w:rFonts w:hint="eastAsia" w:ascii="宋体" w:hAnsi="宋体" w:eastAsia="宋体" w:cs="宋体"/>
                <w:color w:val="auto"/>
                <w:sz w:val="21"/>
                <w:szCs w:val="21"/>
                <w:highlight w:val="none"/>
                <w:lang w:val="en-US" w:eastAsia="zh-CN"/>
              </w:rPr>
              <w:t>采购文件规定的期限</w:t>
            </w:r>
          </w:p>
        </w:tc>
      </w:tr>
      <w:tr w14:paraId="5C48F31F">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4EC05AA8">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086" w:type="dxa"/>
            <w:tcBorders>
              <w:top w:val="single" w:color="auto" w:sz="4" w:space="0"/>
              <w:left w:val="single" w:color="auto" w:sz="4" w:space="0"/>
              <w:bottom w:val="single" w:color="auto" w:sz="4" w:space="0"/>
              <w:right w:val="single" w:color="auto" w:sz="4" w:space="0"/>
            </w:tcBorders>
            <w:vAlign w:val="center"/>
          </w:tcPr>
          <w:p w14:paraId="77F8BFFE">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无串通投标情形</w:t>
            </w:r>
          </w:p>
        </w:tc>
        <w:tc>
          <w:tcPr>
            <w:tcW w:w="6233" w:type="dxa"/>
            <w:tcBorders>
              <w:top w:val="single" w:color="auto" w:sz="4" w:space="0"/>
              <w:left w:val="single" w:color="auto" w:sz="4" w:space="0"/>
              <w:bottom w:val="single" w:color="auto" w:sz="4" w:space="0"/>
              <w:right w:val="single" w:color="auto" w:sz="4" w:space="0"/>
            </w:tcBorders>
            <w:vAlign w:val="center"/>
          </w:tcPr>
          <w:p w14:paraId="34ED0F8D">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有下列情形之一的，视为供应商串通投标：</w:t>
            </w:r>
          </w:p>
          <w:p w14:paraId="5B71CDEE">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①不同供应商的响应文件由同一单位或者个人编制；</w:t>
            </w:r>
          </w:p>
          <w:p w14:paraId="2A153968">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②不同供应商委托同一单位或者个人办理投标事宜；</w:t>
            </w:r>
          </w:p>
          <w:p w14:paraId="3328AD1E">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③不同供应商的响应文件载明的项目管理成员或者联系人员为同一人；</w:t>
            </w:r>
          </w:p>
          <w:p w14:paraId="6218F55B">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④不同供应商的响应文件异常一致或者磋商报价呈规律性差异；</w:t>
            </w:r>
          </w:p>
          <w:p w14:paraId="63BF45F3">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⑤不同供应商的响应文件相互混装；</w:t>
            </w:r>
          </w:p>
          <w:p w14:paraId="2867846F">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⑥不同供应商的</w:t>
            </w:r>
            <w:r>
              <w:rPr>
                <w:rFonts w:hint="eastAsia" w:ascii="宋体" w:hAnsi="宋体" w:eastAsia="宋体" w:cs="宋体"/>
                <w:color w:val="auto"/>
                <w:sz w:val="21"/>
                <w:szCs w:val="21"/>
                <w:highlight w:val="none"/>
                <w:lang w:eastAsia="zh-CN"/>
              </w:rPr>
              <w:t>磋商保证金</w:t>
            </w:r>
            <w:r>
              <w:rPr>
                <w:rFonts w:hint="eastAsia" w:ascii="宋体" w:hAnsi="宋体" w:eastAsia="宋体" w:cs="宋体"/>
                <w:color w:val="auto"/>
                <w:sz w:val="21"/>
                <w:szCs w:val="21"/>
                <w:highlight w:val="none"/>
              </w:rPr>
              <w:t>从同一单位或者个人的账户转出</w:t>
            </w:r>
            <w:r>
              <w:rPr>
                <w:rFonts w:hint="eastAsia" w:ascii="宋体" w:hAnsi="宋体" w:eastAsia="宋体" w:cs="宋体"/>
                <w:color w:val="auto"/>
                <w:sz w:val="21"/>
                <w:szCs w:val="21"/>
                <w:highlight w:val="none"/>
                <w:lang w:eastAsia="zh-CN"/>
              </w:rPr>
              <w:t>；</w:t>
            </w:r>
          </w:p>
          <w:p w14:paraId="33C7E93C">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⑦其他围标串标的情形</w:t>
            </w:r>
            <w:r>
              <w:rPr>
                <w:rFonts w:hint="eastAsia" w:ascii="宋体" w:hAnsi="宋体" w:eastAsia="宋体" w:cs="宋体"/>
                <w:color w:val="auto"/>
                <w:sz w:val="21"/>
                <w:szCs w:val="21"/>
                <w:highlight w:val="none"/>
                <w:lang w:eastAsia="zh-CN"/>
              </w:rPr>
              <w:t>。</w:t>
            </w:r>
          </w:p>
        </w:tc>
      </w:tr>
      <w:tr w14:paraId="1A6DDB90">
        <w:tblPrEx>
          <w:tblCellMar>
            <w:top w:w="0" w:type="dxa"/>
            <w:left w:w="108" w:type="dxa"/>
            <w:bottom w:w="0" w:type="dxa"/>
            <w:right w:w="108" w:type="dxa"/>
          </w:tblCellMar>
        </w:tblPrEx>
        <w:trPr>
          <w:trHeight w:val="454" w:hRule="atLeast"/>
          <w:jc w:val="center"/>
        </w:trPr>
        <w:tc>
          <w:tcPr>
            <w:tcW w:w="859" w:type="dxa"/>
            <w:tcBorders>
              <w:top w:val="single" w:color="auto" w:sz="4" w:space="0"/>
              <w:left w:val="single" w:color="auto" w:sz="4" w:space="0"/>
              <w:bottom w:val="single" w:color="auto" w:sz="4" w:space="0"/>
              <w:right w:val="single" w:color="auto" w:sz="4" w:space="0"/>
            </w:tcBorders>
            <w:vAlign w:val="center"/>
          </w:tcPr>
          <w:p w14:paraId="067C8574">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2086" w:type="dxa"/>
            <w:tcBorders>
              <w:top w:val="single" w:color="auto" w:sz="4" w:space="0"/>
              <w:left w:val="single" w:color="auto" w:sz="4" w:space="0"/>
              <w:bottom w:val="single" w:color="auto" w:sz="4" w:space="0"/>
              <w:right w:val="single" w:color="auto" w:sz="4" w:space="0"/>
            </w:tcBorders>
            <w:vAlign w:val="center"/>
          </w:tcPr>
          <w:p w14:paraId="5BF018C6">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实质性</w:t>
            </w:r>
            <w:r>
              <w:rPr>
                <w:rFonts w:hint="eastAsia" w:ascii="宋体" w:hAnsi="宋体" w:eastAsia="宋体" w:cs="宋体"/>
                <w:color w:val="auto"/>
                <w:sz w:val="21"/>
                <w:szCs w:val="21"/>
                <w:highlight w:val="none"/>
                <w:lang w:eastAsia="zh-CN"/>
              </w:rPr>
              <w:t>要求</w:t>
            </w:r>
          </w:p>
        </w:tc>
        <w:tc>
          <w:tcPr>
            <w:tcW w:w="6233" w:type="dxa"/>
            <w:tcBorders>
              <w:top w:val="single" w:color="auto" w:sz="4" w:space="0"/>
              <w:left w:val="single" w:color="auto" w:sz="4" w:space="0"/>
              <w:bottom w:val="single" w:color="auto" w:sz="4" w:space="0"/>
              <w:right w:val="single" w:color="auto" w:sz="4" w:space="0"/>
            </w:tcBorders>
            <w:vAlign w:val="center"/>
          </w:tcPr>
          <w:p w14:paraId="063699B4">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lang w:eastAsia="zh-CN"/>
              </w:rPr>
              <w:t>实质性响应竞争性磋商文件中★号条款；</w:t>
            </w:r>
          </w:p>
          <w:p w14:paraId="78FCC5B4">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lang w:eastAsia="zh-CN"/>
              </w:rPr>
              <w:t>响应文件未含有采购人不能接受的附加条件的；</w:t>
            </w:r>
          </w:p>
          <w:p w14:paraId="109592E9">
            <w:pPr>
              <w:keepNext w:val="0"/>
              <w:keepLines w:val="0"/>
              <w:pageBreakBefore w:val="0"/>
              <w:widowControl w:val="0"/>
              <w:kinsoku/>
              <w:wordWrap w:val="0"/>
              <w:overflowPunct/>
              <w:topLinePunct w:val="0"/>
              <w:autoSpaceDE/>
              <w:autoSpaceDN/>
              <w:bidi w:val="0"/>
              <w:adjustRightInd w:val="0"/>
              <w:snapToGrid w:val="0"/>
              <w:spacing w:line="45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lang w:eastAsia="zh-CN"/>
              </w:rPr>
              <w:t>法律、法规和竞争性磋商文件规定的其他无效情形。</w:t>
            </w:r>
          </w:p>
        </w:tc>
      </w:tr>
      <w:tr w14:paraId="3DD11CA7">
        <w:tblPrEx>
          <w:tblCellMar>
            <w:top w:w="0" w:type="dxa"/>
            <w:left w:w="108" w:type="dxa"/>
            <w:bottom w:w="0" w:type="dxa"/>
            <w:right w:w="108" w:type="dxa"/>
          </w:tblCellMar>
        </w:tblPrEx>
        <w:trPr>
          <w:trHeight w:val="454" w:hRule="atLeast"/>
          <w:jc w:val="center"/>
        </w:trPr>
        <w:tc>
          <w:tcPr>
            <w:tcW w:w="9178" w:type="dxa"/>
            <w:gridSpan w:val="3"/>
            <w:tcBorders>
              <w:top w:val="single" w:color="auto" w:sz="4" w:space="0"/>
              <w:left w:val="single" w:color="auto" w:sz="4" w:space="0"/>
              <w:bottom w:val="single" w:color="auto" w:sz="4" w:space="0"/>
              <w:right w:val="single" w:color="auto" w:sz="4" w:space="0"/>
            </w:tcBorders>
            <w:vAlign w:val="center"/>
          </w:tcPr>
          <w:p w14:paraId="5678273F">
            <w:pPr>
              <w:keepNext w:val="0"/>
              <w:keepLines w:val="0"/>
              <w:pageBreakBefore w:val="0"/>
              <w:widowControl w:val="0"/>
              <w:kinsoku/>
              <w:wordWrap w:val="0"/>
              <w:overflowPunct/>
              <w:topLinePunct w:val="0"/>
              <w:autoSpaceDE/>
              <w:autoSpaceDN/>
              <w:bidi w:val="0"/>
              <w:adjustRightInd w:val="0"/>
              <w:snapToGrid w:val="0"/>
              <w:spacing w:line="45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资格评审标准或符合性评审标准无法通过者，</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文件无效。</w:t>
            </w:r>
          </w:p>
        </w:tc>
      </w:tr>
    </w:tbl>
    <w:p w14:paraId="7772A76A">
      <w:pPr>
        <w:keepNext w:val="0"/>
        <w:keepLines w:val="0"/>
        <w:pageBreakBefore w:val="0"/>
        <w:kinsoku/>
        <w:wordWrap w:val="0"/>
        <w:overflowPunct/>
        <w:topLinePunct w:val="0"/>
        <w:bidi w:val="0"/>
        <w:adjustRightInd w:val="0"/>
        <w:snapToGrid w:val="0"/>
        <w:spacing w:line="450" w:lineRule="exact"/>
        <w:jc w:val="both"/>
        <w:textAlignment w:val="auto"/>
        <w:rPr>
          <w:rFonts w:hint="eastAsia" w:ascii="宋体" w:hAnsi="宋体" w:eastAsia="宋体" w:cs="宋体"/>
          <w:b/>
          <w:color w:val="auto"/>
          <w:kern w:val="10"/>
          <w:sz w:val="24"/>
          <w:highlight w:val="none"/>
        </w:rPr>
      </w:pPr>
    </w:p>
    <w:p w14:paraId="2E6DA9B6">
      <w:pPr>
        <w:keepNext w:val="0"/>
        <w:keepLines w:val="0"/>
        <w:pageBreakBefore w:val="0"/>
        <w:widowControl w:val="0"/>
        <w:kinsoku/>
        <w:wordWrap w:val="0"/>
        <w:overflowPunct/>
        <w:topLinePunct w:val="0"/>
        <w:autoSpaceDE/>
        <w:autoSpaceDN/>
        <w:bidi w:val="0"/>
        <w:adjustRightInd/>
        <w:snapToGrid/>
        <w:spacing w:before="157" w:beforeLines="50" w:line="360" w:lineRule="auto"/>
        <w:ind w:firstLine="482"/>
        <w:jc w:val="center"/>
        <w:textAlignment w:val="auto"/>
        <w:outlineLvl w:val="2"/>
        <w:rPr>
          <w:rFonts w:hint="eastAsia" w:ascii="宋体" w:hAnsi="宋体" w:eastAsia="宋体" w:cs="宋体"/>
          <w:b/>
          <w:color w:val="auto"/>
          <w:kern w:val="10"/>
          <w:sz w:val="28"/>
          <w:szCs w:val="21"/>
          <w:highlight w:val="none"/>
          <w:lang w:eastAsia="zh-CN"/>
        </w:rPr>
      </w:pPr>
      <w:bookmarkStart w:id="151" w:name="_Toc27596"/>
      <w:r>
        <w:rPr>
          <w:rFonts w:hint="eastAsia" w:ascii="宋体" w:hAnsi="宋体" w:eastAsia="宋体" w:cs="宋体"/>
          <w:b/>
          <w:color w:val="auto"/>
          <w:kern w:val="10"/>
          <w:sz w:val="28"/>
          <w:szCs w:val="21"/>
          <w:highlight w:val="none"/>
          <w:lang w:eastAsia="zh-CN"/>
        </w:rPr>
        <w:t>评审办法附表三（综合评分指标）</w:t>
      </w:r>
      <w:bookmarkEnd w:id="151"/>
    </w:p>
    <w:tbl>
      <w:tblPr>
        <w:tblStyle w:val="39"/>
        <w:tblW w:w="9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9"/>
        <w:gridCol w:w="1317"/>
        <w:gridCol w:w="5981"/>
      </w:tblGrid>
      <w:tr w14:paraId="165F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631947D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项目</w:t>
            </w:r>
          </w:p>
        </w:tc>
        <w:tc>
          <w:tcPr>
            <w:tcW w:w="1317" w:type="dxa"/>
            <w:vAlign w:val="center"/>
          </w:tcPr>
          <w:p w14:paraId="59E10B7E">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c>
          <w:tcPr>
            <w:tcW w:w="5981" w:type="dxa"/>
            <w:vAlign w:val="center"/>
          </w:tcPr>
          <w:p w14:paraId="2001831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lang w:eastAsia="zh-CN"/>
              </w:rPr>
              <w:t>评审</w:t>
            </w:r>
            <w:r>
              <w:rPr>
                <w:rFonts w:hint="eastAsia" w:ascii="宋体" w:hAnsi="宋体" w:eastAsia="宋体" w:cs="宋体"/>
                <w:b/>
                <w:bCs/>
                <w:color w:val="auto"/>
                <w:kern w:val="0"/>
                <w:sz w:val="21"/>
                <w:szCs w:val="21"/>
                <w:highlight w:val="none"/>
              </w:rPr>
              <w:t>标准</w:t>
            </w:r>
          </w:p>
        </w:tc>
      </w:tr>
      <w:tr w14:paraId="527D8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17" w:type="dxa"/>
            <w:gridSpan w:val="3"/>
            <w:vAlign w:val="center"/>
          </w:tcPr>
          <w:p w14:paraId="29A73646">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both"/>
              <w:textAlignment w:val="auto"/>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eastAsia="zh-CN"/>
              </w:rPr>
              <w:t>一、报价评审（</w:t>
            </w:r>
            <w:r>
              <w:rPr>
                <w:rFonts w:hint="eastAsia" w:ascii="宋体" w:hAnsi="宋体" w:eastAsia="宋体" w:cs="宋体"/>
                <w:b/>
                <w:bCs/>
                <w:color w:val="auto"/>
                <w:kern w:val="0"/>
                <w:sz w:val="21"/>
                <w:szCs w:val="21"/>
                <w:highlight w:val="none"/>
                <w:lang w:val="en-US" w:eastAsia="zh-CN"/>
              </w:rPr>
              <w:t>30</w:t>
            </w:r>
            <w:r>
              <w:rPr>
                <w:rFonts w:hint="eastAsia" w:ascii="宋体" w:hAnsi="宋体" w:eastAsia="宋体" w:cs="宋体"/>
                <w:b/>
                <w:bCs/>
                <w:color w:val="auto"/>
                <w:kern w:val="0"/>
                <w:sz w:val="21"/>
                <w:szCs w:val="21"/>
                <w:highlight w:val="none"/>
                <w:lang w:eastAsia="zh-CN"/>
              </w:rPr>
              <w:t>分）</w:t>
            </w:r>
          </w:p>
        </w:tc>
      </w:tr>
      <w:tr w14:paraId="654D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4B21F8D9">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磋商报价</w:t>
            </w:r>
          </w:p>
        </w:tc>
        <w:tc>
          <w:tcPr>
            <w:tcW w:w="1317" w:type="dxa"/>
            <w:vAlign w:val="center"/>
          </w:tcPr>
          <w:p w14:paraId="2FE0532A">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5981" w:type="dxa"/>
            <w:vAlign w:val="center"/>
          </w:tcPr>
          <w:p w14:paraId="309550D2">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报价评分采用低价优先法计算，即满足磋商文件要求且最终报价最低的供应商的价格为磋商基准价，其报价分为满分。其他供应商的报价分统一按照下列公式计算：</w:t>
            </w:r>
          </w:p>
          <w:p w14:paraId="73C3EE3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磋商报价得分=[磋商基准价/供应商</w:t>
            </w:r>
            <w:r>
              <w:rPr>
                <w:rFonts w:hint="eastAsia" w:ascii="宋体" w:hAnsi="宋体" w:cs="宋体"/>
                <w:color w:val="auto"/>
                <w:kern w:val="0"/>
                <w:sz w:val="21"/>
                <w:szCs w:val="21"/>
                <w:highlight w:val="none"/>
                <w:lang w:val="en-US" w:eastAsia="zh-CN"/>
              </w:rPr>
              <w:t>有效</w:t>
            </w:r>
            <w:r>
              <w:rPr>
                <w:rFonts w:hint="eastAsia" w:ascii="宋体" w:hAnsi="宋体" w:eastAsia="宋体" w:cs="宋体"/>
                <w:color w:val="auto"/>
                <w:kern w:val="0"/>
                <w:sz w:val="21"/>
                <w:szCs w:val="21"/>
                <w:highlight w:val="none"/>
                <w:lang w:val="en-US" w:eastAsia="zh-CN"/>
              </w:rPr>
              <w:t>最终磋商报价]×30</w:t>
            </w:r>
          </w:p>
          <w:p w14:paraId="679D95A5">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0"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即：F1=C/（B1，B2，…，Bn）×30</w:t>
            </w:r>
          </w:p>
          <w:p w14:paraId="605BDAAB">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注：C为磋商基准价，即满足磋商文件符合性评审且最终报价最低的供应商的价格为磋商基准价；</w:t>
            </w:r>
          </w:p>
          <w:p w14:paraId="53FDAFDA">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0" w:firstLineChars="20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B1，B2，…，Bn为第n个经符合性评审合格的最终报价。</w:t>
            </w:r>
          </w:p>
          <w:p w14:paraId="22F370A5">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lang w:val="en-US" w:eastAsia="zh-CN"/>
              </w:rPr>
              <w:t>本项目专门面向中小微企业采购，不再执行价格评审优惠政策。</w:t>
            </w:r>
          </w:p>
        </w:tc>
      </w:tr>
      <w:tr w14:paraId="07A06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17" w:type="dxa"/>
            <w:gridSpan w:val="3"/>
            <w:vAlign w:val="center"/>
          </w:tcPr>
          <w:p w14:paraId="05AEF369">
            <w:pPr>
              <w:keepNext w:val="0"/>
              <w:keepLines w:val="0"/>
              <w:pageBreakBefore w:val="0"/>
              <w:widowControl w:val="0"/>
              <w:kinsoku/>
              <w:wordWrap w:val="0"/>
              <w:overflowPunct/>
              <w:topLinePunct w:val="0"/>
              <w:bidi w:val="0"/>
              <w:snapToGrid/>
              <w:spacing w:line="360" w:lineRule="auto"/>
              <w:ind w:left="0" w:leftChars="0" w:right="0" w:righ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lang w:eastAsia="zh-CN"/>
              </w:rPr>
              <w:t>二、</w:t>
            </w:r>
            <w:r>
              <w:rPr>
                <w:rFonts w:hint="eastAsia" w:ascii="宋体" w:hAnsi="宋体" w:cs="宋体"/>
                <w:b/>
                <w:bCs/>
                <w:color w:val="auto"/>
                <w:kern w:val="0"/>
                <w:sz w:val="21"/>
                <w:szCs w:val="21"/>
                <w:highlight w:val="none"/>
                <w:lang w:eastAsia="zh-CN"/>
              </w:rPr>
              <w:t>商务</w:t>
            </w:r>
            <w:r>
              <w:rPr>
                <w:rFonts w:hint="eastAsia" w:ascii="宋体" w:hAnsi="宋体" w:eastAsia="宋体" w:cs="宋体"/>
                <w:b/>
                <w:bCs/>
                <w:color w:val="auto"/>
                <w:kern w:val="0"/>
                <w:sz w:val="21"/>
                <w:szCs w:val="21"/>
                <w:highlight w:val="none"/>
                <w:lang w:eastAsia="zh-CN"/>
              </w:rPr>
              <w:t>技术评审（</w:t>
            </w:r>
            <w:r>
              <w:rPr>
                <w:rFonts w:hint="eastAsia" w:ascii="宋体" w:hAnsi="宋体" w:eastAsia="宋体" w:cs="宋体"/>
                <w:b/>
                <w:bCs/>
                <w:color w:val="auto"/>
                <w:kern w:val="0"/>
                <w:sz w:val="21"/>
                <w:szCs w:val="21"/>
                <w:highlight w:val="none"/>
                <w:lang w:val="en-US" w:eastAsia="zh-CN"/>
              </w:rPr>
              <w:t>70</w:t>
            </w:r>
            <w:r>
              <w:rPr>
                <w:rFonts w:hint="eastAsia" w:ascii="宋体" w:hAnsi="宋体" w:eastAsia="宋体" w:cs="宋体"/>
                <w:b/>
                <w:bCs/>
                <w:color w:val="auto"/>
                <w:kern w:val="0"/>
                <w:sz w:val="21"/>
                <w:szCs w:val="21"/>
                <w:highlight w:val="none"/>
                <w:lang w:eastAsia="zh-CN"/>
              </w:rPr>
              <w:t>分）</w:t>
            </w:r>
          </w:p>
        </w:tc>
      </w:tr>
      <w:tr w14:paraId="1C2BF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1C0A25FC">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施工技术方案</w:t>
            </w:r>
          </w:p>
        </w:tc>
        <w:tc>
          <w:tcPr>
            <w:tcW w:w="1317" w:type="dxa"/>
            <w:vAlign w:val="center"/>
          </w:tcPr>
          <w:p w14:paraId="51F40B60">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20分</w:t>
            </w:r>
          </w:p>
        </w:tc>
        <w:tc>
          <w:tcPr>
            <w:tcW w:w="5981" w:type="dxa"/>
            <w:vAlign w:val="center"/>
          </w:tcPr>
          <w:p w14:paraId="3EF74354">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1.施工技术方案合理且能指导施工，施工措施具体且有针对性，施工部署全面的，得</w:t>
            </w:r>
            <w:r>
              <w:rPr>
                <w:rFonts w:hint="eastAsia" w:ascii="宋体" w:hAnsi="宋体" w:cs="宋体"/>
                <w:color w:val="auto"/>
                <w:kern w:val="0"/>
                <w:sz w:val="21"/>
                <w:szCs w:val="21"/>
                <w:highlight w:val="none"/>
                <w:lang w:val="en-US" w:eastAsia="zh-CN"/>
              </w:rPr>
              <w:t>16-</w:t>
            </w:r>
            <w:r>
              <w:rPr>
                <w:rFonts w:hint="eastAsia" w:ascii="宋体" w:hAnsi="宋体" w:eastAsia="宋体" w:cs="宋体"/>
                <w:color w:val="auto"/>
                <w:kern w:val="0"/>
                <w:sz w:val="21"/>
                <w:szCs w:val="21"/>
                <w:highlight w:val="none"/>
                <w:lang w:val="en-US" w:eastAsia="zh-CN"/>
              </w:rPr>
              <w:t>20分；</w:t>
            </w:r>
          </w:p>
          <w:p w14:paraId="59F39D06">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2.施工技术方案合理但对施工指导性一般，施工措施具体但针对性一般，施工部署全面的，得</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lang w:val="en-US" w:eastAsia="zh-CN"/>
              </w:rPr>
              <w:t>15分；</w:t>
            </w:r>
          </w:p>
          <w:p w14:paraId="6994B12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3.施工技术方案基本合理、对施工缺乏指导性，施工措施、施工部署基本合理但存在一些问题的，得</w:t>
            </w: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10分；</w:t>
            </w:r>
          </w:p>
          <w:p w14:paraId="518C44A6">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4.施工技术方案、施工措施、施工部署存在明显错误的，得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5分；</w:t>
            </w:r>
          </w:p>
          <w:p w14:paraId="73A7663E">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5.无施工技术方案的不得分。</w:t>
            </w:r>
          </w:p>
        </w:tc>
      </w:tr>
      <w:tr w14:paraId="18CF8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0D489B80">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施工主要工序</w:t>
            </w:r>
          </w:p>
        </w:tc>
        <w:tc>
          <w:tcPr>
            <w:tcW w:w="1317" w:type="dxa"/>
            <w:vAlign w:val="center"/>
          </w:tcPr>
          <w:p w14:paraId="2F12F077">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15分</w:t>
            </w:r>
          </w:p>
        </w:tc>
        <w:tc>
          <w:tcPr>
            <w:tcW w:w="5981" w:type="dxa"/>
            <w:vAlign w:val="center"/>
          </w:tcPr>
          <w:p w14:paraId="0EFD31F8">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1.施工主要工序阐述明细、全面、合理，主要工种施工方法得当，且对招标项目的关键技术、工艺有明确、深入的表述，对施工重点、难点有合理、经济、安全的解决方案和可行保证措施的，得</w:t>
            </w:r>
            <w:r>
              <w:rPr>
                <w:rFonts w:hint="eastAsia" w:ascii="宋体" w:hAnsi="宋体" w:cs="宋体"/>
                <w:color w:val="auto"/>
                <w:kern w:val="0"/>
                <w:sz w:val="21"/>
                <w:szCs w:val="21"/>
                <w:highlight w:val="none"/>
                <w:lang w:val="en-US" w:eastAsia="zh-CN"/>
              </w:rPr>
              <w:t>11-</w:t>
            </w:r>
            <w:r>
              <w:rPr>
                <w:rFonts w:hint="eastAsia" w:ascii="宋体" w:hAnsi="宋体" w:eastAsia="宋体" w:cs="宋体"/>
                <w:color w:val="auto"/>
                <w:kern w:val="0"/>
                <w:sz w:val="21"/>
                <w:szCs w:val="21"/>
                <w:highlight w:val="none"/>
                <w:lang w:val="en-US" w:eastAsia="zh-CN"/>
              </w:rPr>
              <w:t>15分；</w:t>
            </w:r>
          </w:p>
          <w:p w14:paraId="5EE85537">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2.施工主要工序有阐述全面、合理，主要工种施工方法基本得当，且对招标项目的关键技术、工艺有明确的表述，对施工重点、难点有合理的解决方案，保证措施基本可行的，得</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en-US" w:eastAsia="zh-CN"/>
              </w:rPr>
              <w:t>0</w:t>
            </w:r>
            <w:r>
              <w:rPr>
                <w:rFonts w:hint="eastAsia" w:ascii="宋体" w:hAnsi="宋体" w:eastAsia="宋体" w:cs="宋体"/>
                <w:color w:val="auto"/>
                <w:kern w:val="0"/>
                <w:sz w:val="21"/>
                <w:szCs w:val="21"/>
                <w:highlight w:val="none"/>
                <w:lang w:val="en-US" w:eastAsia="zh-CN"/>
              </w:rPr>
              <w:t>分；</w:t>
            </w:r>
          </w:p>
          <w:p w14:paraId="51BD5CE2">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3.施工主要工序阐述全面、基本合理，有主要工种施工方法，且对招标项目的关键技术、工艺有一定了解，对施工重点、难点有建议，解决方案和保证措施基本可行的，得</w:t>
            </w:r>
            <w:r>
              <w:rPr>
                <w:rFonts w:hint="eastAsia" w:ascii="宋体" w:hAnsi="宋体" w:cs="宋体"/>
                <w:color w:val="auto"/>
                <w:kern w:val="0"/>
                <w:sz w:val="21"/>
                <w:szCs w:val="21"/>
                <w:highlight w:val="none"/>
                <w:lang w:val="en-US" w:eastAsia="zh-CN"/>
              </w:rPr>
              <w:t>4-6</w:t>
            </w:r>
            <w:r>
              <w:rPr>
                <w:rFonts w:hint="eastAsia" w:ascii="宋体" w:hAnsi="宋体" w:eastAsia="宋体" w:cs="宋体"/>
                <w:color w:val="auto"/>
                <w:kern w:val="0"/>
                <w:sz w:val="21"/>
                <w:szCs w:val="21"/>
                <w:highlight w:val="none"/>
                <w:lang w:val="en-US" w:eastAsia="zh-CN"/>
              </w:rPr>
              <w:t>分；</w:t>
            </w:r>
          </w:p>
          <w:p w14:paraId="3A8D376E">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4.施工主要工序阐述基本全面，且对招标项目的关键技术、工艺有一定了解，对施工重点、难点有建议，但解决方案和保证措施不可行的，得</w:t>
            </w:r>
            <w:r>
              <w:rPr>
                <w:rFonts w:hint="eastAsia" w:ascii="宋体" w:hAnsi="宋体" w:cs="宋体"/>
                <w:color w:val="auto"/>
                <w:kern w:val="0"/>
                <w:sz w:val="21"/>
                <w:szCs w:val="21"/>
                <w:highlight w:val="none"/>
                <w:lang w:val="en-US" w:eastAsia="zh-CN"/>
              </w:rPr>
              <w:t>1-3</w:t>
            </w:r>
            <w:r>
              <w:rPr>
                <w:rFonts w:hint="eastAsia" w:ascii="宋体" w:hAnsi="宋体" w:eastAsia="宋体" w:cs="宋体"/>
                <w:color w:val="auto"/>
                <w:kern w:val="0"/>
                <w:sz w:val="21"/>
                <w:szCs w:val="21"/>
                <w:highlight w:val="none"/>
                <w:lang w:val="en-US" w:eastAsia="zh-CN"/>
              </w:rPr>
              <w:t>分</w:t>
            </w:r>
            <w:r>
              <w:rPr>
                <w:rFonts w:hint="eastAsia" w:ascii="宋体" w:hAnsi="宋体" w:cs="宋体"/>
                <w:color w:val="auto"/>
                <w:kern w:val="0"/>
                <w:sz w:val="21"/>
                <w:szCs w:val="21"/>
                <w:highlight w:val="none"/>
                <w:lang w:val="en-US" w:eastAsia="zh-CN"/>
              </w:rPr>
              <w:t>；</w:t>
            </w:r>
          </w:p>
          <w:p w14:paraId="441D48A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5.无施工主要工序阐述的不得分。</w:t>
            </w:r>
          </w:p>
        </w:tc>
      </w:tr>
      <w:tr w14:paraId="729E3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3CBC7CA8">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质量承诺及保证措施</w:t>
            </w:r>
          </w:p>
        </w:tc>
        <w:tc>
          <w:tcPr>
            <w:tcW w:w="1317" w:type="dxa"/>
            <w:vAlign w:val="center"/>
          </w:tcPr>
          <w:p w14:paraId="66AD9AE9">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分</w:t>
            </w:r>
          </w:p>
        </w:tc>
        <w:tc>
          <w:tcPr>
            <w:tcW w:w="5981" w:type="dxa"/>
            <w:vAlign w:val="top"/>
          </w:tcPr>
          <w:p w14:paraId="29CEA50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1.质量承诺满足</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lang w:eastAsia="zh-CN"/>
              </w:rPr>
              <w:t>文件且有具体的违约责任承诺，质量保证措施严格按施工技术规范、标准编制，内容完整、针对性强，能充分响应项目实际需求</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得5分</w:t>
            </w:r>
            <w:r>
              <w:rPr>
                <w:rFonts w:hint="eastAsia" w:ascii="宋体" w:hAnsi="宋体" w:cs="宋体"/>
                <w:color w:val="auto"/>
                <w:kern w:val="0"/>
                <w:sz w:val="21"/>
                <w:szCs w:val="21"/>
                <w:highlight w:val="none"/>
                <w:lang w:eastAsia="zh-CN"/>
              </w:rPr>
              <w:t>；</w:t>
            </w:r>
          </w:p>
          <w:p w14:paraId="536CA1C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2.质量承诺满足</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lang w:eastAsia="zh-CN"/>
              </w:rPr>
              <w:t>文件且有具体的违约责任承诺，质量保证措施基本达到施工技术规范、标准要求，但针对性一般（或存在部分不足，整体尚可）</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得3分</w:t>
            </w:r>
            <w:r>
              <w:rPr>
                <w:rFonts w:hint="eastAsia" w:ascii="宋体" w:hAnsi="宋体" w:cs="宋体"/>
                <w:color w:val="auto"/>
                <w:kern w:val="0"/>
                <w:sz w:val="21"/>
                <w:szCs w:val="21"/>
                <w:highlight w:val="none"/>
                <w:lang w:eastAsia="zh-CN"/>
              </w:rPr>
              <w:t>；</w:t>
            </w:r>
          </w:p>
          <w:p w14:paraId="791136F4">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3.质量承诺满足</w:t>
            </w:r>
            <w:r>
              <w:rPr>
                <w:rFonts w:hint="eastAsia" w:ascii="宋体" w:hAnsi="宋体" w:cs="宋体"/>
                <w:color w:val="auto"/>
                <w:kern w:val="0"/>
                <w:sz w:val="21"/>
                <w:szCs w:val="21"/>
                <w:highlight w:val="none"/>
                <w:lang w:eastAsia="zh-CN"/>
              </w:rPr>
              <w:t>采购</w:t>
            </w:r>
            <w:r>
              <w:rPr>
                <w:rFonts w:hint="eastAsia" w:ascii="宋体" w:hAnsi="宋体" w:eastAsia="宋体" w:cs="宋体"/>
                <w:color w:val="auto"/>
                <w:kern w:val="0"/>
                <w:sz w:val="21"/>
                <w:szCs w:val="21"/>
                <w:highlight w:val="none"/>
                <w:lang w:eastAsia="zh-CN"/>
              </w:rPr>
              <w:t>文件且有具体的违约责任承诺，但质量保证措施未能严格按施工技术规范、标准编制，或明显缺乏针对性，或存在较大缺陷</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eastAsia="zh-CN"/>
              </w:rPr>
              <w:t>得1分</w:t>
            </w:r>
            <w:r>
              <w:rPr>
                <w:rFonts w:hint="eastAsia" w:ascii="宋体" w:hAnsi="宋体" w:cs="宋体"/>
                <w:color w:val="auto"/>
                <w:kern w:val="0"/>
                <w:sz w:val="21"/>
                <w:szCs w:val="21"/>
                <w:highlight w:val="none"/>
                <w:lang w:eastAsia="zh-CN"/>
              </w:rPr>
              <w:t>；</w:t>
            </w:r>
          </w:p>
          <w:p w14:paraId="6D5F99AB">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default"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4.无</w:t>
            </w:r>
            <w:r>
              <w:rPr>
                <w:rFonts w:hint="eastAsia" w:ascii="宋体" w:hAnsi="宋体" w:eastAsia="宋体" w:cs="宋体"/>
                <w:color w:val="auto"/>
                <w:kern w:val="0"/>
                <w:sz w:val="21"/>
                <w:szCs w:val="21"/>
                <w:highlight w:val="none"/>
                <w:lang w:val="en-US" w:eastAsia="zh-CN"/>
              </w:rPr>
              <w:t>质量承诺及保证措施</w:t>
            </w:r>
            <w:r>
              <w:rPr>
                <w:rFonts w:hint="eastAsia" w:ascii="宋体" w:hAnsi="宋体" w:cs="宋体"/>
                <w:color w:val="auto"/>
                <w:kern w:val="0"/>
                <w:sz w:val="21"/>
                <w:szCs w:val="21"/>
                <w:highlight w:val="none"/>
                <w:lang w:val="en-US" w:eastAsia="zh-CN"/>
              </w:rPr>
              <w:t>不得分。</w:t>
            </w:r>
          </w:p>
        </w:tc>
      </w:tr>
      <w:tr w14:paraId="72F0A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57C8DF6A">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安全文明施工保证措施</w:t>
            </w:r>
          </w:p>
        </w:tc>
        <w:tc>
          <w:tcPr>
            <w:tcW w:w="1317" w:type="dxa"/>
            <w:vAlign w:val="center"/>
          </w:tcPr>
          <w:p w14:paraId="260553D5">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5分</w:t>
            </w:r>
          </w:p>
        </w:tc>
        <w:tc>
          <w:tcPr>
            <w:tcW w:w="5981" w:type="dxa"/>
            <w:shd w:val="clear" w:color="auto" w:fill="auto"/>
            <w:vAlign w:val="top"/>
          </w:tcPr>
          <w:p w14:paraId="163F4900">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zh-TW" w:eastAsia="zh-TW"/>
              </w:rPr>
            </w:pPr>
            <w:r>
              <w:rPr>
                <w:rFonts w:hint="eastAsia" w:ascii="宋体" w:hAnsi="宋体" w:cs="宋体"/>
                <w:color w:val="auto"/>
                <w:kern w:val="0"/>
                <w:sz w:val="21"/>
                <w:szCs w:val="21"/>
                <w:highlight w:val="none"/>
                <w:lang w:val="en-US" w:eastAsia="zh-CN"/>
              </w:rPr>
              <w:t>1、</w:t>
            </w:r>
            <w:r>
              <w:rPr>
                <w:rFonts w:hint="eastAsia" w:ascii="宋体" w:hAnsi="宋体" w:cs="宋体"/>
                <w:color w:val="auto"/>
                <w:kern w:val="0"/>
                <w:sz w:val="21"/>
                <w:szCs w:val="21"/>
                <w:highlight w:val="none"/>
                <w:lang w:val="zh-TW" w:eastAsia="zh-TW"/>
              </w:rPr>
              <w:t>有具体、完整、可行的安全文明施工实施措施且合理、先进、针对性好的</w:t>
            </w:r>
            <w:r>
              <w:rPr>
                <w:rFonts w:hint="eastAsia" w:ascii="宋体" w:hAnsi="宋体" w:cs="宋体"/>
                <w:color w:val="auto"/>
                <w:kern w:val="0"/>
                <w:sz w:val="21"/>
                <w:szCs w:val="21"/>
                <w:highlight w:val="none"/>
                <w:lang w:val="zh-TW" w:eastAsia="zh-CN"/>
              </w:rPr>
              <w:t>，</w:t>
            </w:r>
            <w:r>
              <w:rPr>
                <w:rFonts w:hint="eastAsia" w:ascii="宋体" w:hAnsi="宋体" w:cs="宋体"/>
                <w:color w:val="auto"/>
                <w:kern w:val="0"/>
                <w:sz w:val="21"/>
                <w:szCs w:val="21"/>
                <w:highlight w:val="none"/>
                <w:lang w:val="en-US" w:eastAsia="zh-CN"/>
              </w:rPr>
              <w:t>得5分</w:t>
            </w:r>
            <w:r>
              <w:rPr>
                <w:rFonts w:hint="eastAsia" w:ascii="宋体" w:hAnsi="宋体" w:cs="宋体"/>
                <w:color w:val="auto"/>
                <w:kern w:val="0"/>
                <w:sz w:val="21"/>
                <w:szCs w:val="21"/>
                <w:highlight w:val="none"/>
                <w:lang w:val="zh-TW" w:eastAsia="zh-TW"/>
              </w:rPr>
              <w:t>；</w:t>
            </w:r>
          </w:p>
          <w:p w14:paraId="03E8515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zh-TW" w:eastAsia="zh-TW"/>
              </w:rPr>
            </w:pP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val="zh-TW" w:eastAsia="zh-TW"/>
              </w:rPr>
              <w:t>有具体、完整、可行的安全文明施工实施措施且合理但针对性一般的</w:t>
            </w:r>
            <w:r>
              <w:rPr>
                <w:rFonts w:hint="eastAsia" w:ascii="宋体" w:hAnsi="宋体" w:cs="宋体"/>
                <w:color w:val="auto"/>
                <w:kern w:val="0"/>
                <w:sz w:val="21"/>
                <w:szCs w:val="21"/>
                <w:highlight w:val="none"/>
                <w:lang w:val="zh-TW" w:eastAsia="zh-CN"/>
              </w:rPr>
              <w:t>，</w:t>
            </w:r>
            <w:r>
              <w:rPr>
                <w:rFonts w:hint="eastAsia" w:ascii="宋体" w:hAnsi="宋体" w:cs="宋体"/>
                <w:color w:val="auto"/>
                <w:kern w:val="0"/>
                <w:sz w:val="21"/>
                <w:szCs w:val="21"/>
                <w:highlight w:val="none"/>
                <w:lang w:val="en-US" w:eastAsia="zh-CN"/>
              </w:rPr>
              <w:t>得3分</w:t>
            </w:r>
            <w:r>
              <w:rPr>
                <w:rFonts w:hint="eastAsia" w:ascii="宋体" w:hAnsi="宋体" w:cs="宋体"/>
                <w:color w:val="auto"/>
                <w:kern w:val="0"/>
                <w:sz w:val="21"/>
                <w:szCs w:val="21"/>
                <w:highlight w:val="none"/>
                <w:lang w:val="zh-TW" w:eastAsia="zh-TW"/>
              </w:rPr>
              <w:t>；</w:t>
            </w:r>
          </w:p>
          <w:p w14:paraId="3934AB83">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zh-TW" w:eastAsia="zh-TW"/>
              </w:rPr>
            </w:pP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val="zh-TW" w:eastAsia="zh-TW"/>
              </w:rPr>
              <w:t>有安全文明施工保证措施的，但不具体存有错漏的</w:t>
            </w:r>
            <w:r>
              <w:rPr>
                <w:rFonts w:hint="eastAsia" w:ascii="宋体" w:hAnsi="宋体" w:cs="宋体"/>
                <w:color w:val="auto"/>
                <w:kern w:val="0"/>
                <w:sz w:val="21"/>
                <w:szCs w:val="21"/>
                <w:highlight w:val="none"/>
                <w:lang w:val="zh-TW" w:eastAsia="zh-CN"/>
              </w:rPr>
              <w:t>，</w:t>
            </w:r>
            <w:r>
              <w:rPr>
                <w:rFonts w:hint="eastAsia" w:ascii="宋体" w:hAnsi="宋体" w:cs="宋体"/>
                <w:color w:val="auto"/>
                <w:kern w:val="0"/>
                <w:sz w:val="21"/>
                <w:szCs w:val="21"/>
                <w:highlight w:val="none"/>
                <w:lang w:val="en-US" w:eastAsia="zh-CN"/>
              </w:rPr>
              <w:t>得1分</w:t>
            </w:r>
            <w:r>
              <w:rPr>
                <w:rFonts w:hint="eastAsia" w:ascii="宋体" w:hAnsi="宋体" w:cs="宋体"/>
                <w:color w:val="auto"/>
                <w:kern w:val="0"/>
                <w:sz w:val="21"/>
                <w:szCs w:val="21"/>
                <w:highlight w:val="none"/>
                <w:lang w:val="zh-TW" w:eastAsia="zh-TW"/>
              </w:rPr>
              <w:t>。</w:t>
            </w:r>
          </w:p>
          <w:p w14:paraId="3162320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val="zh-TW" w:eastAsia="zh-TW"/>
              </w:rPr>
              <w:t>无安全文明保证措施的不得分。</w:t>
            </w:r>
          </w:p>
        </w:tc>
      </w:tr>
      <w:tr w14:paraId="272B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3DE1457C">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工期承诺和保证措施</w:t>
            </w:r>
          </w:p>
        </w:tc>
        <w:tc>
          <w:tcPr>
            <w:tcW w:w="1317" w:type="dxa"/>
            <w:vAlign w:val="center"/>
          </w:tcPr>
          <w:p w14:paraId="586558E3">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分</w:t>
            </w:r>
          </w:p>
        </w:tc>
        <w:tc>
          <w:tcPr>
            <w:tcW w:w="5981" w:type="dxa"/>
            <w:vAlign w:val="center"/>
          </w:tcPr>
          <w:p w14:paraId="414DA604">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1.工期承诺满足</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要求，工期保证措施合理且有针对性，有具体的违约责任承诺的；施工进度计划严格按投标工期安排，工序搭配逻辑关系和关键线路清晰、合理，并能指导施工且针对性好的，得</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分；</w:t>
            </w:r>
          </w:p>
          <w:p w14:paraId="232200B6">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工期承诺满足</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要求，工期保证措施合理但针对性一般，有具体的违约责任承诺的；施工进度计划按投标工期安排，工序搭配逻辑关系和关键线路合理，但针对性一般的，得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分；</w:t>
            </w:r>
          </w:p>
          <w:p w14:paraId="5EBFB4EE">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工期承诺满足</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要求，工期保证措施基本合理，有具体的违约责任承诺的；施工进度计划符合投标工期要求，工序搭配逻辑关系和关键线路基本合理，但缺乏针对性的，得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分</w:t>
            </w:r>
            <w:r>
              <w:rPr>
                <w:rFonts w:hint="eastAsia" w:ascii="宋体" w:hAnsi="宋体" w:cs="宋体"/>
                <w:color w:val="auto"/>
                <w:kern w:val="0"/>
                <w:sz w:val="21"/>
                <w:szCs w:val="21"/>
                <w:highlight w:val="none"/>
                <w:lang w:val="en-US" w:eastAsia="zh-CN"/>
              </w:rPr>
              <w:t>；</w:t>
            </w:r>
          </w:p>
          <w:p w14:paraId="742E9272">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val="zh-TW" w:eastAsia="zh-TW"/>
              </w:rPr>
              <w:t>无工期承诺和保证措施的不得分</w:t>
            </w:r>
            <w:r>
              <w:rPr>
                <w:rFonts w:hint="eastAsia" w:ascii="宋体" w:hAnsi="宋体" w:eastAsia="宋体" w:cs="宋体"/>
                <w:color w:val="auto"/>
                <w:kern w:val="0"/>
                <w:sz w:val="21"/>
                <w:szCs w:val="21"/>
                <w:highlight w:val="none"/>
                <w:lang w:val="en-US" w:eastAsia="zh-CN"/>
              </w:rPr>
              <w:t>。</w:t>
            </w:r>
          </w:p>
        </w:tc>
      </w:tr>
      <w:tr w14:paraId="2D6C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201B1121">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资源配备计划</w:t>
            </w:r>
          </w:p>
        </w:tc>
        <w:tc>
          <w:tcPr>
            <w:tcW w:w="1317" w:type="dxa"/>
            <w:vAlign w:val="center"/>
          </w:tcPr>
          <w:p w14:paraId="0C439087">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5分</w:t>
            </w:r>
          </w:p>
        </w:tc>
        <w:tc>
          <w:tcPr>
            <w:tcW w:w="5981" w:type="dxa"/>
            <w:shd w:val="clear" w:color="auto" w:fill="FFFFFF"/>
            <w:vAlign w:val="center"/>
          </w:tcPr>
          <w:p w14:paraId="7EFD90CC">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1.劳动力计划、主要材料用量计划、资金使用计划安排合理，得5分；</w:t>
            </w:r>
          </w:p>
          <w:p w14:paraId="1B5B72B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2.劳动力计划、主要材料用量计划、资金使用计划安排基本合理，得3分；</w:t>
            </w:r>
          </w:p>
          <w:p w14:paraId="2649FC11">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3.劳动力计划、主要材料用量计划、资金使用计划安排不合理，得1分。</w:t>
            </w:r>
          </w:p>
        </w:tc>
      </w:tr>
      <w:tr w14:paraId="3DEC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41F22E4D">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施工机械设备配置及试验和检测仪器设备配置</w:t>
            </w:r>
          </w:p>
        </w:tc>
        <w:tc>
          <w:tcPr>
            <w:tcW w:w="1317" w:type="dxa"/>
            <w:vAlign w:val="center"/>
          </w:tcPr>
          <w:p w14:paraId="71BC6B21">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分</w:t>
            </w:r>
          </w:p>
        </w:tc>
        <w:tc>
          <w:tcPr>
            <w:tcW w:w="5981" w:type="dxa"/>
            <w:shd w:val="clear" w:color="auto" w:fill="FFFFFF"/>
            <w:vAlign w:val="center"/>
          </w:tcPr>
          <w:p w14:paraId="573A2981">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1.施工机械设备配置满足施工工艺要求，施工进度计划、设备配套及数量合理，能较好满足工程要求</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得</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分；</w:t>
            </w:r>
          </w:p>
          <w:p w14:paraId="43FA0CAA">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2.施工机械设备配置满足施工工艺要求，施工进度计划、设备配套及数量合理，能基本满足工程要求</w:t>
            </w:r>
            <w:r>
              <w:rPr>
                <w:rFonts w:hint="eastAsia" w:ascii="宋体" w:hAnsi="宋体" w:cs="宋体"/>
                <w:color w:val="auto"/>
                <w:kern w:val="0"/>
                <w:sz w:val="21"/>
                <w:szCs w:val="21"/>
                <w:highlight w:val="none"/>
                <w:lang w:val="en-US" w:eastAsia="zh-CN"/>
              </w:rPr>
              <w:t>，得3</w:t>
            </w:r>
            <w:r>
              <w:rPr>
                <w:rFonts w:hint="eastAsia" w:ascii="宋体" w:hAnsi="宋体" w:eastAsia="宋体" w:cs="宋体"/>
                <w:color w:val="auto"/>
                <w:kern w:val="0"/>
                <w:sz w:val="21"/>
                <w:szCs w:val="21"/>
                <w:highlight w:val="none"/>
                <w:lang w:val="en-US" w:eastAsia="zh-CN"/>
              </w:rPr>
              <w:t>分；</w:t>
            </w:r>
          </w:p>
          <w:p w14:paraId="5D5EB5BC">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3.施工机械设备配置满足施工工艺要求，施工进度计划、设备配套及数量基本合理，但不能满足工程要求</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分。</w:t>
            </w:r>
          </w:p>
        </w:tc>
      </w:tr>
      <w:tr w14:paraId="0CADF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19" w:type="dxa"/>
            <w:vAlign w:val="center"/>
          </w:tcPr>
          <w:p w14:paraId="4F223CEC">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项目负责人及项目管理人员配置</w:t>
            </w:r>
          </w:p>
        </w:tc>
        <w:tc>
          <w:tcPr>
            <w:tcW w:w="1317" w:type="dxa"/>
            <w:vAlign w:val="center"/>
          </w:tcPr>
          <w:p w14:paraId="49DC6A33">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center"/>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10分</w:t>
            </w:r>
          </w:p>
        </w:tc>
        <w:tc>
          <w:tcPr>
            <w:tcW w:w="5981" w:type="dxa"/>
            <w:vAlign w:val="center"/>
          </w:tcPr>
          <w:p w14:paraId="2C66E589">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lang w:val="en-US" w:eastAsia="zh-CN"/>
              </w:rPr>
              <w:t>投标人拟定的项目负责人符合</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规定的资格条件；项目管理人员针对工程实际配置且合理，能满足工程管理需要且有针对性的，得8-10分；</w:t>
            </w:r>
          </w:p>
          <w:p w14:paraId="7C811D55">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lang w:val="en-US" w:eastAsia="zh-CN"/>
              </w:rPr>
              <w:t>投标人拟定的项目负责人符合</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规定的资格条件；项目管理人员配置合理，能满足工程管理需要，但专业配置针对性一般的，得4-7分；</w:t>
            </w:r>
          </w:p>
          <w:p w14:paraId="2DC52AEF">
            <w:pPr>
              <w:keepNext w:val="0"/>
              <w:keepLines w:val="0"/>
              <w:pageBreakBefore w:val="0"/>
              <w:widowControl w:val="0"/>
              <w:kinsoku/>
              <w:wordWrap w:val="0"/>
              <w:overflowPunct/>
              <w:topLinePunct w:val="0"/>
              <w:autoSpaceDE w:val="0"/>
              <w:autoSpaceDN w:val="0"/>
              <w:bidi w:val="0"/>
              <w:adjustRightInd w:val="0"/>
              <w:snapToGrid/>
              <w:spacing w:line="360" w:lineRule="auto"/>
              <w:ind w:left="0" w:leftChars="0" w:right="0" w:rightChars="0" w:firstLine="0" w:firstLineChars="0"/>
              <w:jc w:val="left"/>
              <w:textAlignment w:val="auto"/>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val="en-US" w:eastAsia="zh-CN"/>
              </w:rPr>
              <w:t>投标人拟定的项目负责人符合</w:t>
            </w:r>
            <w:r>
              <w:rPr>
                <w:rFonts w:hint="eastAsia" w:ascii="宋体" w:hAnsi="宋体" w:cs="宋体"/>
                <w:color w:val="auto"/>
                <w:kern w:val="0"/>
                <w:sz w:val="21"/>
                <w:szCs w:val="21"/>
                <w:highlight w:val="none"/>
                <w:lang w:val="en-US" w:eastAsia="zh-CN"/>
              </w:rPr>
              <w:t>采购文件</w:t>
            </w:r>
            <w:r>
              <w:rPr>
                <w:rFonts w:hint="eastAsia" w:ascii="宋体" w:hAnsi="宋体" w:eastAsia="宋体" w:cs="宋体"/>
                <w:color w:val="auto"/>
                <w:kern w:val="0"/>
                <w:sz w:val="21"/>
                <w:szCs w:val="21"/>
                <w:highlight w:val="none"/>
                <w:lang w:val="en-US" w:eastAsia="zh-CN"/>
              </w:rPr>
              <w:t>规定的资格条件；项目管理人员配置基本合理，基本能满足工程管理需要，但专业配置没有针对性的，得1-3分。</w:t>
            </w:r>
          </w:p>
        </w:tc>
      </w:tr>
    </w:tbl>
    <w:p w14:paraId="1C6DDF04">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52" w:name="_Toc2976"/>
      <w:r>
        <w:rPr>
          <w:rFonts w:hint="eastAsia" w:ascii="宋体" w:hAnsi="宋体" w:eastAsia="宋体" w:cs="宋体"/>
          <w:b/>
          <w:bCs/>
          <w:color w:val="auto"/>
          <w:sz w:val="24"/>
          <w:szCs w:val="24"/>
          <w:highlight w:val="none"/>
          <w:lang w:eastAsia="zh-CN"/>
        </w:rPr>
        <w:t>八、得分汇总</w:t>
      </w:r>
      <w:bookmarkEnd w:id="152"/>
    </w:p>
    <w:p w14:paraId="1704DB88">
      <w:pPr>
        <w:keepNext w:val="0"/>
        <w:keepLines w:val="0"/>
        <w:pageBreakBefore w:val="0"/>
        <w:widowControl w:val="0"/>
        <w:kinsoku/>
        <w:wordWrap w:val="0"/>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评分：磋商小组成员按照评分标准独立对供应商的商务、技术和其他因素进行评分。报价评分由磋商小组统一计算。各项得分汇总后为该成员给供应商的评分总分。评分分值计算保留小数点后两位，小数点后第三位“四舍五入”。</w:t>
      </w:r>
    </w:p>
    <w:p w14:paraId="66719CCF">
      <w:pPr>
        <w:keepNext w:val="0"/>
        <w:keepLines w:val="0"/>
        <w:pageBreakBefore w:val="0"/>
        <w:widowControl w:val="0"/>
        <w:kinsoku/>
        <w:wordWrap w:val="0"/>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2.汇总：磋商小组汇总每个成员对供应商的评分总分，每个供应商的评分总分的算术平均值为供应商最终得分。</w:t>
      </w:r>
    </w:p>
    <w:p w14:paraId="2DE334C8">
      <w:pPr>
        <w:keepNext w:val="0"/>
        <w:keepLines w:val="0"/>
        <w:pageBreakBefore w:val="0"/>
        <w:widowControl w:val="0"/>
        <w:kinsoku/>
        <w:wordWrap w:val="0"/>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3.经磋商小组认定评分畸高、畸低的，磋商小组应当当场修改评审结果，并在评审报告中记载。</w:t>
      </w:r>
    </w:p>
    <w:p w14:paraId="0F4830E6">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53" w:name="_Toc27957"/>
      <w:r>
        <w:rPr>
          <w:rFonts w:hint="eastAsia" w:ascii="宋体" w:hAnsi="宋体" w:eastAsia="宋体" w:cs="宋体"/>
          <w:b/>
          <w:bCs/>
          <w:color w:val="auto"/>
          <w:sz w:val="24"/>
          <w:szCs w:val="24"/>
          <w:highlight w:val="none"/>
          <w:lang w:eastAsia="zh-CN"/>
        </w:rPr>
        <w:t>九、评审结果</w:t>
      </w:r>
      <w:bookmarkEnd w:id="153"/>
    </w:p>
    <w:p w14:paraId="266C2FB8">
      <w:pPr>
        <w:keepNext w:val="0"/>
        <w:keepLines w:val="0"/>
        <w:pageBreakBefore w:val="0"/>
        <w:widowControl w:val="0"/>
        <w:kinsoku/>
        <w:wordWrap w:val="0"/>
        <w:overflowPunct/>
        <w:topLinePunct w:val="0"/>
        <w:bidi w:val="0"/>
        <w:adjustRightInd w:val="0"/>
        <w:snapToGrid w:val="0"/>
        <w:spacing w:line="360" w:lineRule="auto"/>
        <w:ind w:firstLine="420" w:firstLineChars="20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磋商小组应当根据综合评分情况，按照评审得分由高到低顺序推荐1～3名成交候选供应商，并编写评审报告。评审得分相同的，按照最后报价由低到高的顺序推荐。评审得分且最后报价相同的，按照</w:t>
      </w:r>
      <w:r>
        <w:rPr>
          <w:rFonts w:hint="eastAsia" w:ascii="宋体" w:hAnsi="宋体" w:eastAsia="宋体" w:cs="宋体"/>
          <w:b/>
          <w:color w:val="auto"/>
          <w:sz w:val="21"/>
          <w:szCs w:val="21"/>
          <w:highlight w:val="none"/>
          <w:lang w:val="en-US" w:eastAsia="zh-CN"/>
        </w:rPr>
        <w:t>施工技术方案</w:t>
      </w:r>
      <w:r>
        <w:rPr>
          <w:rFonts w:hint="eastAsia" w:ascii="宋体" w:hAnsi="宋体" w:eastAsia="宋体" w:cs="宋体"/>
          <w:b/>
          <w:color w:val="auto"/>
          <w:sz w:val="21"/>
          <w:szCs w:val="21"/>
          <w:highlight w:val="none"/>
          <w:lang w:eastAsia="zh-CN"/>
        </w:rPr>
        <w:t>评审</w:t>
      </w:r>
      <w:r>
        <w:rPr>
          <w:rFonts w:hint="eastAsia" w:ascii="宋体" w:hAnsi="宋体" w:eastAsia="宋体" w:cs="宋体"/>
          <w:color w:val="auto"/>
          <w:sz w:val="21"/>
          <w:szCs w:val="21"/>
          <w:highlight w:val="none"/>
        </w:rPr>
        <w:t>得分由高到低的顺序推荐。</w:t>
      </w:r>
      <w:r>
        <w:rPr>
          <w:rFonts w:hint="eastAsia" w:ascii="宋体" w:hAnsi="宋体" w:eastAsia="宋体" w:cs="宋体"/>
          <w:color w:val="auto"/>
          <w:kern w:val="2"/>
          <w:sz w:val="21"/>
          <w:szCs w:val="21"/>
          <w:highlight w:val="none"/>
          <w:lang w:val="en-US" w:eastAsia="zh-CN" w:bidi="ar-SA"/>
        </w:rPr>
        <w:t>采购人根据磋商小组提出的书面评审报告和推荐的成交候选人名单，确定成交供应商。当第一成交候选人放弃成交资格时，采购人可以选择第二成交候选人为成交供应商，以此类推；也可以选择重新采购。</w:t>
      </w:r>
    </w:p>
    <w:p w14:paraId="00EA091B">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outlineLvl w:val="1"/>
        <w:rPr>
          <w:rFonts w:hint="eastAsia" w:ascii="宋体" w:hAnsi="宋体" w:eastAsia="宋体" w:cs="宋体"/>
          <w:b/>
          <w:bCs/>
          <w:color w:val="auto"/>
          <w:sz w:val="24"/>
          <w:szCs w:val="24"/>
          <w:highlight w:val="none"/>
          <w:lang w:eastAsia="zh-CN"/>
        </w:rPr>
      </w:pPr>
      <w:bookmarkStart w:id="154" w:name="_Toc30452"/>
      <w:r>
        <w:rPr>
          <w:rFonts w:hint="eastAsia" w:ascii="宋体" w:hAnsi="宋体" w:eastAsia="宋体" w:cs="宋体"/>
          <w:b/>
          <w:bCs/>
          <w:color w:val="auto"/>
          <w:sz w:val="24"/>
          <w:szCs w:val="24"/>
          <w:highlight w:val="none"/>
          <w:lang w:eastAsia="zh-CN"/>
        </w:rPr>
        <w:t>十、评审报告编写</w:t>
      </w:r>
      <w:bookmarkEnd w:id="154"/>
    </w:p>
    <w:p w14:paraId="473E3D76">
      <w:pPr>
        <w:keepNext w:val="0"/>
        <w:keepLines w:val="0"/>
        <w:pageBreakBefore w:val="0"/>
        <w:widowControl w:val="0"/>
        <w:kinsoku/>
        <w:wordWrap w:val="0"/>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磋商小组根据全体评审成员签字的原始评审记录评审结果编写评审报告。</w:t>
      </w:r>
    </w:p>
    <w:p w14:paraId="605C9598">
      <w:pPr>
        <w:keepNext w:val="0"/>
        <w:keepLines w:val="0"/>
        <w:pageBreakBefore w:val="0"/>
        <w:widowControl w:val="0"/>
        <w:kinsoku/>
        <w:wordWrap w:val="0"/>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479377A">
      <w:pPr>
        <w:keepNext w:val="0"/>
        <w:keepLines w:val="0"/>
        <w:pageBreakBefore w:val="0"/>
        <w:widowControl w:val="0"/>
        <w:kinsoku/>
        <w:wordWrap w:val="0"/>
        <w:overflowPunct/>
        <w:topLinePunct w:val="0"/>
        <w:bidi w:val="0"/>
        <w:snapToGrid/>
        <w:spacing w:line="360" w:lineRule="auto"/>
        <w:ind w:left="0" w:leftChars="0" w:right="0" w:rightChars="0" w:firstLine="0" w:firstLineChars="0"/>
        <w:textAlignment w:val="auto"/>
        <w:rPr>
          <w:rFonts w:hint="eastAsia" w:ascii="宋体" w:hAnsi="宋体" w:eastAsia="宋体" w:cs="宋体"/>
          <w:color w:val="auto"/>
          <w:kern w:val="0"/>
          <w:sz w:val="21"/>
          <w:szCs w:val="21"/>
          <w:highlight w:val="none"/>
        </w:rPr>
      </w:pPr>
    </w:p>
    <w:bookmarkEnd w:id="57"/>
    <w:bookmarkEnd w:id="58"/>
    <w:bookmarkEnd w:id="130"/>
    <w:p w14:paraId="34974743">
      <w:pPr>
        <w:pageBreakBefore w:val="0"/>
        <w:kinsoku/>
        <w:wordWrap w:val="0"/>
        <w:overflowPunct/>
        <w:bidi w:val="0"/>
        <w:jc w:val="center"/>
        <w:outlineLvl w:val="9"/>
        <w:rPr>
          <w:rFonts w:hint="eastAsia" w:ascii="宋体" w:hAnsi="宋体" w:eastAsia="宋体" w:cs="宋体"/>
          <w:b/>
          <w:caps/>
          <w:color w:val="auto"/>
          <w:sz w:val="32"/>
          <w:szCs w:val="32"/>
          <w:highlight w:val="none"/>
        </w:rPr>
      </w:pPr>
    </w:p>
    <w:p w14:paraId="056150B2">
      <w:pPr>
        <w:pageBreakBefore w:val="0"/>
        <w:kinsoku/>
        <w:wordWrap w:val="0"/>
        <w:overflowPunct/>
        <w:bidi w:val="0"/>
        <w:rPr>
          <w:rFonts w:hint="eastAsia" w:ascii="宋体" w:hAnsi="宋体" w:eastAsia="宋体" w:cs="宋体"/>
          <w:b/>
          <w:caps/>
          <w:color w:val="auto"/>
          <w:sz w:val="40"/>
          <w:szCs w:val="40"/>
          <w:highlight w:val="none"/>
        </w:rPr>
      </w:pPr>
      <w:r>
        <w:rPr>
          <w:rFonts w:hint="eastAsia" w:ascii="宋体" w:hAnsi="宋体" w:eastAsia="宋体" w:cs="宋体"/>
          <w:b/>
          <w:caps/>
          <w:color w:val="auto"/>
          <w:sz w:val="40"/>
          <w:szCs w:val="40"/>
          <w:highlight w:val="none"/>
        </w:rPr>
        <w:br w:type="page"/>
      </w:r>
    </w:p>
    <w:p w14:paraId="5D690898">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aps/>
          <w:color w:val="auto"/>
          <w:sz w:val="40"/>
          <w:szCs w:val="40"/>
          <w:highlight w:val="none"/>
        </w:rPr>
      </w:pPr>
      <w:bookmarkStart w:id="155" w:name="_Toc14639"/>
      <w:r>
        <w:rPr>
          <w:rFonts w:hint="eastAsia" w:ascii="宋体" w:hAnsi="宋体" w:eastAsia="宋体" w:cs="宋体"/>
          <w:b/>
          <w:caps/>
          <w:color w:val="auto"/>
          <w:sz w:val="40"/>
          <w:szCs w:val="40"/>
          <w:highlight w:val="none"/>
        </w:rPr>
        <w:t>第五章  合同条款及合同书样式</w:t>
      </w:r>
      <w:bookmarkEnd w:id="155"/>
    </w:p>
    <w:p w14:paraId="34092139">
      <w:pPr>
        <w:pageBreakBefore w:val="0"/>
        <w:kinsoku/>
        <w:wordWrap w:val="0"/>
        <w:overflowPunct/>
        <w:bidi w:val="0"/>
        <w:jc w:val="center"/>
        <w:outlineLvl w:val="9"/>
        <w:rPr>
          <w:rFonts w:hint="eastAsia" w:ascii="宋体" w:hAnsi="宋体" w:eastAsia="宋体" w:cs="宋体"/>
          <w:color w:val="auto"/>
          <w:sz w:val="24"/>
          <w:szCs w:val="24"/>
          <w:highlight w:val="none"/>
        </w:rPr>
      </w:pPr>
      <w:bookmarkStart w:id="156" w:name="_Toc31562"/>
      <w:r>
        <w:rPr>
          <w:rFonts w:hint="eastAsia" w:ascii="宋体" w:hAnsi="宋体" w:eastAsia="宋体" w:cs="宋体"/>
          <w:color w:val="auto"/>
          <w:sz w:val="24"/>
          <w:szCs w:val="24"/>
          <w:highlight w:val="none"/>
        </w:rPr>
        <w:t>（合同格式仅供参考，以最终签订的合同为准）</w:t>
      </w:r>
    </w:p>
    <w:bookmarkEnd w:id="156"/>
    <w:p w14:paraId="0EEDB152">
      <w:pPr>
        <w:pStyle w:val="4"/>
        <w:snapToGrid w:val="0"/>
        <w:spacing w:line="360" w:lineRule="auto"/>
        <w:jc w:val="center"/>
        <w:rPr>
          <w:rFonts w:hint="eastAsia" w:ascii="宋体" w:hAnsi="宋体"/>
          <w:color w:val="auto"/>
          <w:kern w:val="0"/>
          <w:sz w:val="36"/>
          <w:szCs w:val="36"/>
          <w:highlight w:val="none"/>
        </w:rPr>
      </w:pPr>
      <w:bookmarkStart w:id="157" w:name="_Toc21324"/>
      <w:r>
        <w:rPr>
          <w:rFonts w:ascii="宋体" w:hAnsi="宋体"/>
          <w:b w:val="0"/>
          <w:bCs w:val="0"/>
          <w:color w:val="auto"/>
          <w:kern w:val="0"/>
          <w:sz w:val="21"/>
          <w:szCs w:val="24"/>
          <w:highlight w:val="none"/>
        </w:rPr>
        <w:fldChar w:fldCharType="begin"/>
      </w:r>
      <w:r>
        <w:rPr>
          <w:rFonts w:ascii="宋体" w:hAnsi="宋体"/>
          <w:b w:val="0"/>
          <w:bCs w:val="0"/>
          <w:color w:val="auto"/>
          <w:kern w:val="0"/>
          <w:sz w:val="21"/>
          <w:szCs w:val="24"/>
          <w:highlight w:val="none"/>
        </w:rPr>
        <w:instrText xml:space="preserve"> </w:instrText>
      </w:r>
      <w:r>
        <w:rPr>
          <w:rFonts w:hint="eastAsia" w:ascii="宋体" w:hAnsi="宋体"/>
          <w:b w:val="0"/>
          <w:bCs w:val="0"/>
          <w:color w:val="auto"/>
          <w:kern w:val="0"/>
          <w:sz w:val="21"/>
          <w:szCs w:val="24"/>
          <w:highlight w:val="none"/>
        </w:rPr>
        <w:instrText xml:space="preserve">AUTOTEXT  合同条款及格式 \* MERGEFORMAT</w:instrText>
      </w:r>
      <w:r>
        <w:rPr>
          <w:rFonts w:ascii="宋体" w:hAnsi="宋体"/>
          <w:b w:val="0"/>
          <w:bCs w:val="0"/>
          <w:color w:val="auto"/>
          <w:kern w:val="0"/>
          <w:sz w:val="21"/>
          <w:szCs w:val="24"/>
          <w:highlight w:val="none"/>
        </w:rPr>
        <w:instrText xml:space="preserve"> </w:instrText>
      </w:r>
      <w:r>
        <w:rPr>
          <w:rFonts w:ascii="宋体" w:hAnsi="宋体"/>
          <w:b w:val="0"/>
          <w:bCs w:val="0"/>
          <w:color w:val="auto"/>
          <w:kern w:val="0"/>
          <w:sz w:val="21"/>
          <w:szCs w:val="24"/>
          <w:highlight w:val="none"/>
        </w:rPr>
        <w:fldChar w:fldCharType="separate"/>
      </w:r>
      <w:r>
        <w:rPr>
          <w:rFonts w:ascii="宋体" w:hAnsi="宋体"/>
          <w:b w:val="0"/>
          <w:bCs w:val="0"/>
          <w:color w:val="auto"/>
          <w:kern w:val="0"/>
          <w:sz w:val="21"/>
          <w:szCs w:val="24"/>
          <w:highlight w:val="none"/>
        </w:rPr>
        <w:fldChar w:fldCharType="end"/>
      </w:r>
      <w:r>
        <w:rPr>
          <w:rFonts w:hint="eastAsia" w:ascii="宋体" w:hAnsi="宋体"/>
          <w:color w:val="auto"/>
          <w:kern w:val="0"/>
          <w:sz w:val="36"/>
          <w:szCs w:val="36"/>
          <w:highlight w:val="none"/>
        </w:rPr>
        <w:t>第一节  通用合同条款</w:t>
      </w:r>
      <w:bookmarkEnd w:id="157"/>
    </w:p>
    <w:p w14:paraId="4FB841B9">
      <w:pPr>
        <w:autoSpaceDE w:val="0"/>
        <w:autoSpaceDN w:val="0"/>
        <w:adjustRightInd w:val="0"/>
        <w:snapToGrid w:val="0"/>
        <w:spacing w:line="360" w:lineRule="auto"/>
        <w:ind w:firstLine="400" w:firstLineChars="200"/>
        <w:rPr>
          <w:rFonts w:hint="eastAsia" w:ascii="宋体" w:hAnsi="宋体"/>
          <w:color w:val="auto"/>
          <w:kern w:val="0"/>
          <w:sz w:val="20"/>
          <w:highlight w:val="none"/>
        </w:rPr>
      </w:pPr>
      <w:bookmarkStart w:id="158" w:name="_Toc221951109"/>
      <w:r>
        <w:rPr>
          <w:rFonts w:hint="eastAsia" w:ascii="宋体" w:hAnsi="宋体"/>
          <w:color w:val="auto"/>
          <w:kern w:val="0"/>
          <w:sz w:val="20"/>
          <w:highlight w:val="none"/>
        </w:rPr>
        <w:t>1. 一般约定</w:t>
      </w:r>
    </w:p>
    <w:p w14:paraId="6ABE331E">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 词语定义</w:t>
      </w:r>
    </w:p>
    <w:p w14:paraId="1DBBE8BB">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通用合同条款、专用合同条款中的下列词语应具有本款所赋予的含义。</w:t>
      </w:r>
    </w:p>
    <w:p w14:paraId="4CDC17D0">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 合同</w:t>
      </w:r>
    </w:p>
    <w:p w14:paraId="328A6426">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1.1.1.1 合同文件（或称合同）：指合同协议书、中标通知书、投标函及投标函附录、专用合同条款、通用合同条款、技术标准和要求、图纸、已标价工程量清单，以及其他合同文件。</w:t>
      </w:r>
    </w:p>
    <w:p w14:paraId="0230DAA1">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1.1.1.2 合同协议书：指第 1.5 款所指的合同协议书。</w:t>
      </w:r>
    </w:p>
    <w:p w14:paraId="273FF748">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1.1.1.3 中标通知书：指发包人通知承包人中标的函件。</w:t>
      </w:r>
    </w:p>
    <w:p w14:paraId="5BFE3FC0">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1.1.1.4 投标函：指构成合同文件组成部分的由承包人填写并签署的投标函。</w:t>
      </w:r>
    </w:p>
    <w:p w14:paraId="43E09B3E">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1.1.1.5 投标函附录：指附在投标函后构成合同文件的投标函附录。</w:t>
      </w:r>
    </w:p>
    <w:p w14:paraId="1AB061FB">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1.1.1.6 技术标准和要求：指构成合同文件组成部分的名为技术标准和要求（合同技术条款）的文件，包括合同双方当事人约定对其所做的修改或补充。</w:t>
      </w:r>
    </w:p>
    <w:p w14:paraId="7BABA675">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31DD343">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1.1.1.8 已标价工程量清单：指构成合同文件组成部分的由承包人按照规定的格式和要求填写并标明价格的工程量清单。</w:t>
      </w:r>
    </w:p>
    <w:p w14:paraId="2A3E7574">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1.1.1.9 其他合同文件：指经合同双方当事人确认构成合同文件的其他文件。</w:t>
      </w:r>
    </w:p>
    <w:p w14:paraId="392C9AE4">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 合同当事人和人员。</w:t>
      </w:r>
    </w:p>
    <w:p w14:paraId="7F3EECB3">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1.1.2.1 合同当事人:指发包人和（或）承包人。</w:t>
      </w:r>
    </w:p>
    <w:p w14:paraId="2C0B80FF">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1.1.2.2 发包人：指专用合同条款中指明并与承包人在合同协议书中签字的当事人。</w:t>
      </w:r>
    </w:p>
    <w:p w14:paraId="506074C0">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1.1.2.3 承包人：指专用条款中指明并与发包人在合同协议书中签字的当事人。</w:t>
      </w:r>
    </w:p>
    <w:p w14:paraId="1F6BD9D8">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1.1.2.4 承包人项目经理：指承包人派驻施工场地的全权负责人。</w:t>
      </w:r>
    </w:p>
    <w:p w14:paraId="0791031F">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1.1.2.5 分包人：指专用条款中指明的，从承包人处分包合同中某一部分工程，并与其签订分包合同的分包人。</w:t>
      </w:r>
    </w:p>
    <w:p w14:paraId="613172F5">
      <w:pPr>
        <w:autoSpaceDE w:val="0"/>
        <w:autoSpaceDN w:val="0"/>
        <w:adjustRightInd w:val="0"/>
        <w:snapToGrid w:val="0"/>
        <w:spacing w:line="360" w:lineRule="auto"/>
        <w:ind w:firstLine="400" w:firstLineChars="200"/>
        <w:rPr>
          <w:rFonts w:hint="eastAsia" w:ascii="宋体" w:hAnsi="宋体"/>
          <w:color w:val="auto"/>
          <w:kern w:val="0"/>
          <w:sz w:val="20"/>
          <w:highlight w:val="none"/>
        </w:rPr>
      </w:pPr>
      <w:r>
        <w:rPr>
          <w:rFonts w:hint="eastAsia" w:ascii="宋体" w:hAnsi="宋体"/>
          <w:color w:val="auto"/>
          <w:kern w:val="0"/>
          <w:sz w:val="20"/>
          <w:highlight w:val="none"/>
        </w:rPr>
        <w:t>1.1.2.6 监理人：指在专用合同条款中指明的，受发包人委托对合同履行实施管理的法人或其他组织。</w:t>
      </w:r>
    </w:p>
    <w:p w14:paraId="411411C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1.1.2.7 总监理工程师（总监）：指由监理人委派常驻施工场地对合同履行实施管理的全权负责人。</w:t>
      </w:r>
    </w:p>
    <w:p w14:paraId="39FA9A9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 工程和设备</w:t>
      </w:r>
    </w:p>
    <w:p w14:paraId="5E088B0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1.1.3.1 工程：指永久工程和（或）临时工程。</w:t>
      </w:r>
    </w:p>
    <w:p w14:paraId="08C9BFD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1.1.3.2 永久工程：指按合同约定建造并移交给发包人的工程，包括工程设备。</w:t>
      </w:r>
    </w:p>
    <w:p w14:paraId="3ED26FF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1.1.3.3 临时工程：指为完成合同约定的永久工程所修建的各类临时性工程，不包括施工设备。</w:t>
      </w:r>
    </w:p>
    <w:p w14:paraId="2A1DC85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1.1.3.4 单位工程：指专用合同条款中指明特定范围的永久工程。</w:t>
      </w:r>
    </w:p>
    <w:p w14:paraId="539BB69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1.1.3.5 工程设备：指构成或计划构成永久工程一部分的机电设备、金属结构设备、仪器装置及其他类似的设备和装置。</w:t>
      </w:r>
    </w:p>
    <w:p w14:paraId="17B91B9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1.1.3.6 施工设备：指为完成合同约定的各项工作所需的设备、器具和其他物品，不包括临时工程和材料。</w:t>
      </w:r>
    </w:p>
    <w:p w14:paraId="3364746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1.1.3.7 临时设施：指为完成合同约定的各项工作所服务的临时性生产和生活设施。</w:t>
      </w:r>
    </w:p>
    <w:p w14:paraId="2FD2799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1.1.3.8 承包人设备：指承包人自带的施工设备。</w:t>
      </w:r>
    </w:p>
    <w:p w14:paraId="3890994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1.1.3.9 施工场地（或称工地、现场）：指用于合同工程施工的场所，以及在合同中指定作为施工场地组成部分的其他场所，包括永久占地和临时占地。</w:t>
      </w:r>
    </w:p>
    <w:p w14:paraId="1E564FA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1.1.3.10 永久占地：指发包人为建设本合同工程永久征用的场地。</w:t>
      </w:r>
    </w:p>
    <w:p w14:paraId="703A9F5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1.1.3.11 临时占地：指发包人为建设本合同工程临时征用，并应在完工后须按合同要求退还的场地</w:t>
      </w:r>
    </w:p>
    <w:p w14:paraId="13FFDF7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 日期：</w:t>
      </w:r>
    </w:p>
    <w:p w14:paraId="5A2CB2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1.1.4.1 开工通知：指监理人按第 11.1 款通知承包人开工的函件。</w:t>
      </w:r>
    </w:p>
    <w:p w14:paraId="7FCF2D2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1.1.4.2 开工日期：指监理人按第 11.1 款发出的开工通知中写明的开工日期。</w:t>
      </w:r>
    </w:p>
    <w:p w14:paraId="4A04F62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1.1.4.3 工期：指承包人在投标函中承诺的完成合同工程所需的期限，包括按第 11.3 款、第 11. 4款和第 11.6 款约定所作的变更。</w:t>
      </w:r>
    </w:p>
    <w:p w14:paraId="3B6347A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1.1.4.4 竣工日期：即合同工程完工日期，指第 1.1.4.3 目约定工期届满时的日期。实际完工日期以合同工程完工证书中写明的日期为准。</w:t>
      </w:r>
    </w:p>
    <w:p w14:paraId="6AC0883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1.1.4.5 缺陷责任期：即工程质量保修期，指履行第 19.2 款约定的缺陷责任的期限，包括根据第 19.3 款约定所作的延长，具体期限由专用合同条款约定。</w:t>
      </w:r>
    </w:p>
    <w:p w14:paraId="773688C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1.1.4.6 基准日期：指投标截止时间前 28 天的日期。</w:t>
      </w:r>
    </w:p>
    <w:p w14:paraId="022B5D7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1.1.4.7 天：除特别指明外，指日历天。合同中按天计算时间的，开始当天不计入，从次日开始计算。期限最后一天的截止时间为当天 24:00。</w:t>
      </w:r>
    </w:p>
    <w:p w14:paraId="54AC95C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 合同价格和费用</w:t>
      </w:r>
    </w:p>
    <w:p w14:paraId="7BFB22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1.1.5.1 签约合同价：指签定合同时合同协议书中写明的，包括了暂列金额、暂估价的合同总金额。</w:t>
      </w:r>
    </w:p>
    <w:p w14:paraId="6C72063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1.1.5.2 合同价格：指承包人按合同约定完成了包括缺陷责任期内的全部承包工作后，发包人应付给承包人的金额，包括在履行合同过程中按合同约定进行的变更和调整。</w:t>
      </w:r>
    </w:p>
    <w:p w14:paraId="6D64F7E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1.1.5.3 费用：指为履行合同所发生的或将要发生的所有合理开支，包括管理费和应分摊的其他费用，但不包括利润。</w:t>
      </w:r>
    </w:p>
    <w:p w14:paraId="5586E18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1.1.5.4 暂列金额：指已标价工程量清单中所列的暂列金额，用于在签订协议书时尚未确定或不可预见变更的施工及其所需材料、工程设备、服务等的金额，包括以计日工方式支付的金额。</w:t>
      </w:r>
    </w:p>
    <w:p w14:paraId="32871A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1.1.5.5 暂估价：指发包人在工程量清单中给定的用于支付必然发生但暂时不能确定价格的材料、设备以及专业工程的金额。</w:t>
      </w:r>
    </w:p>
    <w:p w14:paraId="040D1F9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1.1.5.6 计日工：指对零星工作采取的一种计价方式，按合同中的计日工子目及其单价计价付款。</w:t>
      </w:r>
    </w:p>
    <w:p w14:paraId="068197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1.1.5.7 质量保证金（或称保留金）：指按第 17.4.1 项约定用于保证在缺陷责任期内履行缺陷修复义务的金额。</w:t>
      </w:r>
    </w:p>
    <w:p w14:paraId="349D294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1.1.6 其他</w:t>
      </w:r>
    </w:p>
    <w:p w14:paraId="0C45F3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1.1.6.1 书面形式：指合同文件、信函、电报、传真等可以有形地表现所载内容的形式。</w:t>
      </w:r>
    </w:p>
    <w:p w14:paraId="729738A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 语言文字</w:t>
      </w:r>
    </w:p>
    <w:p w14:paraId="2E65BC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除专用术语外，合同使用的语言文字为中文。必要时专用术语应附有中文注释。</w:t>
      </w:r>
    </w:p>
    <w:p w14:paraId="100A009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 法律</w:t>
      </w:r>
    </w:p>
    <w:p w14:paraId="6AC53FB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适用于合同的法律包括中华人民共和国法律、行政法规、部门规章，以及工程所在地的地方法规、自治条例、单行条例和地方政府规章。</w:t>
      </w:r>
    </w:p>
    <w:p w14:paraId="2C2A961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 合同文件的优先顺序</w:t>
      </w:r>
    </w:p>
    <w:p w14:paraId="78CDC4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组成合同的各项文件应互相解释，互为说明。除专用合同条款另有约定外，解释合同文件的优先顺序如下：</w:t>
      </w:r>
    </w:p>
    <w:p w14:paraId="0902016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（1）合同协议书；</w:t>
      </w:r>
    </w:p>
    <w:p w14:paraId="2CFB6AA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（2）中标通知书；</w:t>
      </w:r>
    </w:p>
    <w:p w14:paraId="4437A45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（3）投标函及投标函附录；</w:t>
      </w:r>
    </w:p>
    <w:p w14:paraId="25A9953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（4）专用合同条款；</w:t>
      </w:r>
    </w:p>
    <w:p w14:paraId="75CE74D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（5）通用合同条款；</w:t>
      </w:r>
    </w:p>
    <w:p w14:paraId="0C651A6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（6）技术标准和要求；</w:t>
      </w:r>
    </w:p>
    <w:p w14:paraId="1DB1864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（7）图纸；</w:t>
      </w:r>
    </w:p>
    <w:p w14:paraId="3E7839F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（8）已标价工程量清单；</w:t>
      </w:r>
    </w:p>
    <w:p w14:paraId="2555789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（9）其他合同文件。</w:t>
      </w:r>
    </w:p>
    <w:p w14:paraId="5B006FA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 合同协议书</w:t>
      </w:r>
    </w:p>
    <w:p w14:paraId="3AC947D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56D5F6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 图纸和承包人文件</w:t>
      </w:r>
    </w:p>
    <w:p w14:paraId="696F74B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 图纸的提供</w:t>
      </w:r>
    </w:p>
    <w:p w14:paraId="73DD38F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发包人应按技术标准和要求（合同技术条款）约定的期限和数量将施工图纸以及其它图纸（包括配套说明和有关资料）提供给承包人。由于发包人未按时提供图纸造成工期延误的，按第 11.3 款的约定办理。</w:t>
      </w:r>
    </w:p>
    <w:p w14:paraId="08DE52B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1.6.2 承包人提供的文件</w:t>
      </w:r>
    </w:p>
    <w:p w14:paraId="5416FB6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承包人提供的文件应按技术标准和要求（合同技术条款）约定的期限和数量提供给监理人。监理人应按技术标准和要求（合同技术条款）约定的期限批复承包人。</w:t>
      </w:r>
    </w:p>
    <w:p w14:paraId="10B6C97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1.6.3 图纸的修改</w:t>
      </w:r>
    </w:p>
    <w:p w14:paraId="4F5B1B5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7535AF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1.6.4 图纸的错误</w:t>
      </w:r>
    </w:p>
    <w:p w14:paraId="27A53BD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承包人发现发包人提供的图纸存在明显错误或疏忽，应及时通知监理人。</w:t>
      </w:r>
    </w:p>
    <w:p w14:paraId="08F552C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1.6.5 图纸和承包人文件的保管</w:t>
      </w:r>
    </w:p>
    <w:p w14:paraId="4675E5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监理人和承包人均应在施工场地各保存一套完整的包含第 1.6.1 项、第 1.6.2 项、第 1.6.3 项约定内容的图纸和承包人文件。</w:t>
      </w:r>
    </w:p>
    <w:p w14:paraId="33E8A8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 联络</w:t>
      </w:r>
    </w:p>
    <w:p w14:paraId="7F8AD36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 与合同有关的通知、批准、证明、证书、指示、要求、请求、同意、意见、确定和决定等，均应采用书面形式。</w:t>
      </w:r>
    </w:p>
    <w:p w14:paraId="0BDDB6F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 第 1.7.1 项中的通知、批准、证明、证书、指示、要求、请求、同意、意见、确定和决定等来往函件，均应在合同约定的期限内送达指定地点和接收人，并办理签收手续。来往函件的送期限在技术标准和要求（合同技术条款）中约定，送达地点在专用合同条款中约定。</w:t>
      </w:r>
    </w:p>
    <w:p w14:paraId="53C10E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 来往函件均应按合同约定的期限及时发出和答复，不得无故扣压和拖延，亦不得拒收。否则，由此造成的后果由责任方负责。</w:t>
      </w:r>
    </w:p>
    <w:p w14:paraId="305FC09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 转让</w:t>
      </w:r>
    </w:p>
    <w:p w14:paraId="646CC08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除合同另有约定外，未经对方当事人同意，一方当事人不得将合同权利全部或部分转让给第三人，也不得全部或部分转移合同义务。</w:t>
      </w:r>
    </w:p>
    <w:p w14:paraId="3B22695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 严禁贿赂</w:t>
      </w:r>
    </w:p>
    <w:p w14:paraId="3230CD5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合同双方当事人不得以贿赂或变相贿赂的方式，谋取不当利益或损害对方权益。因贿赂造成对方损失的，行为人应赔偿损失，并承担相应的法律责任。</w:t>
      </w:r>
    </w:p>
    <w:p w14:paraId="1542FB3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1.10 化石、文物</w:t>
      </w:r>
    </w:p>
    <w:p w14:paraId="45AC610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0113CA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1.10.2 承包人发现文物后不及时报告或隐瞒不报，致使文物丢失或损坏的，应赔偿损失，并承担相应的法律责任。</w:t>
      </w:r>
    </w:p>
    <w:p w14:paraId="6F53F7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 1.11 专利技术</w:t>
      </w:r>
    </w:p>
    <w:p w14:paraId="034A54A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1.11.1 承包人在使用任何材料、承包人设备、工程设备或采用施工工艺时，因侵犯专利权或其他知识产权所引起的责任，由承包人承担，但由于遵照发包人提供的设计或技术标准和要求引起的除外。</w:t>
      </w:r>
    </w:p>
    <w:p w14:paraId="559F1CD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1.11.2 承包人在投标文件中采用专利技术的，专利技术的使用费包含在投标报价内。</w:t>
      </w:r>
    </w:p>
    <w:p w14:paraId="5421E2C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1.11.3 承包人的技术秘密和声明需要保密的资料和信息，发包人和监理人不得为合同以外的目的泄露给他人。</w:t>
      </w:r>
    </w:p>
    <w:p w14:paraId="330512F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1.11.4 合同实施过程中，发包人要求承包人采用专利技术的，发包人应办理相应的使用手续，</w:t>
      </w:r>
    </w:p>
    <w:p w14:paraId="64B5ED3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承包人应按发包人约定的条件使用，并承担使用专利技术的相关试验工作。所需的费用由发包人承担。</w:t>
      </w:r>
    </w:p>
    <w:p w14:paraId="325B36F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1.12 图纸和文件的保密</w:t>
      </w:r>
    </w:p>
    <w:p w14:paraId="7059957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1.12.1 发包人提供的图纸和文件，未经发包人同意，承包人不得为合同以外的目的泄露给他人或公开发表与引用。</w:t>
      </w:r>
    </w:p>
    <w:p w14:paraId="37C73B3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1.12.2 承包人提供的文件，未经承包人同意，发包人和监理人不得为合同以外的目的泄露给他人或公开发表与引用。</w:t>
      </w:r>
    </w:p>
    <w:p w14:paraId="7136752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 发包人义务</w:t>
      </w:r>
    </w:p>
    <w:p w14:paraId="513A504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 遵守法律</w:t>
      </w:r>
    </w:p>
    <w:p w14:paraId="4525D93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发包人在履行合同过程中应遵守法律，并保证承包人免于承担因发包人违反法律而引起的任何责任。</w:t>
      </w:r>
    </w:p>
    <w:p w14:paraId="580A88F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 发出开工通知</w:t>
      </w:r>
    </w:p>
    <w:p w14:paraId="2734525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发包人应委托监理人按第 11.1 款的约定向承包人发出开工通知。</w:t>
      </w:r>
    </w:p>
    <w:p w14:paraId="1D48278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 2.3 提供施工场地</w:t>
      </w:r>
    </w:p>
    <w:p w14:paraId="74204D6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2.3.1 发包人应在合同双方签定合同协议书后的 14 天内，将本合同工程的施工场地范围图提交给承包人。发包人提供的施工用地范围图应标明用地范围内永久占地与临时占地的范围和界限，以及指明提供给承包人用于施工场地布置的范围和界限及其有关资料 。</w:t>
      </w:r>
    </w:p>
    <w:p w14:paraId="1646B54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2.3.2 发包人提供的施工用地范围在专用合同条款中约定。</w:t>
      </w:r>
    </w:p>
    <w:p w14:paraId="31A5094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2.3.3 除专用合同条款另有约定外，发包人应按技术标准和要求（合同技术条款）的约定，向承包人提供施工场地内的工程地质图纸和报告，以及地下障碍物图纸等施工场地有关资料，并保</w:t>
      </w:r>
    </w:p>
    <w:p w14:paraId="2361FA9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证资料的真实、准确、完整。</w:t>
      </w:r>
    </w:p>
    <w:p w14:paraId="00D7D1E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 协助承包人办理证件和批件</w:t>
      </w:r>
    </w:p>
    <w:p w14:paraId="729CF46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发包人应协助承包人办理法律规定的有关施工证件和批件。</w:t>
      </w:r>
    </w:p>
    <w:p w14:paraId="0A58A0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2.5 组织设计交底</w:t>
      </w:r>
    </w:p>
    <w:p w14:paraId="0507DF3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发包人应根据合同进度计划，组织设计单位向承包人进行设计交底。</w:t>
      </w:r>
    </w:p>
    <w:p w14:paraId="1A0AE40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2.6 支付合同价款</w:t>
      </w:r>
    </w:p>
    <w:p w14:paraId="2EDB7A8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发包人应按合同约定向承包人及时支付合同价款。</w:t>
      </w:r>
    </w:p>
    <w:p w14:paraId="34F747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2.7 组织竣工验收（组织法人验收）</w:t>
      </w:r>
    </w:p>
    <w:p w14:paraId="0D85CD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发包人应按合同约定及时组织法人验收。</w:t>
      </w:r>
    </w:p>
    <w:p w14:paraId="6128B76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2.8 其它义务</w:t>
      </w:r>
    </w:p>
    <w:p w14:paraId="7210F4C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其它义务在专用合同条款中补充约定。</w:t>
      </w:r>
    </w:p>
    <w:p w14:paraId="0F8C95D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 监理人</w:t>
      </w:r>
    </w:p>
    <w:p w14:paraId="1F5D67F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 3.1 监理人的职责和权利</w:t>
      </w:r>
    </w:p>
    <w:p w14:paraId="5D6B640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3.1.1 监理人受发包人的委托，享有合同约定的权力。监理人的权力范围在专用合同条款中约定。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w:t>
      </w:r>
    </w:p>
    <w:p w14:paraId="7BE9117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3.1.2 监理人发出的任何指示应视为已得到发包人的批准，但监理人无权免除或变更合同约定的发包人和承包人的权利、义务和责任。</w:t>
      </w:r>
    </w:p>
    <w:p w14:paraId="375019E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3.1.3 合同约定应由承包人承担的义务和责任，不因监理人对承包人提交文件的审查或批准，对工程、材料和设备的检查和检验，以及为实施监理作出的指示等职务行为而减轻或解除。</w:t>
      </w:r>
    </w:p>
    <w:p w14:paraId="16FDE58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3.2 总监理工程师</w:t>
      </w:r>
    </w:p>
    <w:p w14:paraId="255AE0C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发包人应在发出开工通知前将总监理工程师的任命通知承包人。总监理工程师更换时，应在调离 14 天前通知承包人。总监理工程师短期离开施工场地的，应委派代表代行其职责，并通知承包人。</w:t>
      </w:r>
    </w:p>
    <w:p w14:paraId="2A6F0F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3.3 监理人员</w:t>
      </w:r>
    </w:p>
    <w:p w14:paraId="01A846D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2FB187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3.3.2 监理人员对承包人的任何工作、工程或其采用的材料和工程设备未在约定的或合理的期限内提出否定意见的，视为已获批准，但不影响监理人在以后拒绝该项工作、工程、材料或工程设备的权利。</w:t>
      </w:r>
    </w:p>
    <w:p w14:paraId="48A7656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3.3.3 承包人对总监理工程师授权的监理人员发出的指示有疑问的，可向总监理工程师提出书面异议，总监理工程师应在 48 小时内对该指示予以确认、更改或撤销。</w:t>
      </w:r>
    </w:p>
    <w:p w14:paraId="58EB19F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3.3.4 除专用合同条款另有约定外，总监理工程师不应将第 3.5 款约定应由总监理工程师作出确定的权力授权或委托给其他监理人员。</w:t>
      </w:r>
    </w:p>
    <w:p w14:paraId="4E4F272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 监理人的指示</w:t>
      </w:r>
    </w:p>
    <w:p w14:paraId="4D9D5B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3.4.1 监理人应按第 3.1 款的约定向承包人发出指示，监理人的指示应盖有监理人授权的施工场地机构章，并由总监理工程师或总监理工程师按第 3.3.1 项约定授权的监理人员签字。</w:t>
      </w:r>
    </w:p>
    <w:p w14:paraId="28D8C65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3.4.2 承包人收到监理人按第 3.4.1 项作出的指示后应遵照执行。指示构成变更的，应按第 15 条处理。</w:t>
      </w:r>
    </w:p>
    <w:p w14:paraId="1F3E71F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3.4.3 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w:t>
      </w:r>
    </w:p>
    <w:p w14:paraId="39A5FF1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3.4.4 除合同另有约定外，承包人只从总监理工程师或按第 3.3.1 项被授权的监理人员处取得指示。</w:t>
      </w:r>
    </w:p>
    <w:p w14:paraId="30372B2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3.4.5 由于监理人未能按合同约定发出指示、指示延误或指示错误而导致承包人费用增加和（或）工期延误的，由发包人承担赔偿责任。</w:t>
      </w:r>
    </w:p>
    <w:p w14:paraId="4F80752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3.5 商定或确定</w:t>
      </w:r>
    </w:p>
    <w:p w14:paraId="0E1B332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3.5.1 合同约定总监理工程师应按照本款对任何事项进行商定或确定时，总监理工程师应与合同当事人协商，尽量达成一致。不能达成一致的，总监理工程师应认真研究后审慎确定。</w:t>
      </w:r>
    </w:p>
    <w:p w14:paraId="4486652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3.5.2 总监理工程师应将商定或确定的事项通知合同当事人，并附详细依据。对总监理工程师的确定有异议的，构成争议，按照第 24 条的约定处理。在争议解决前，双方应暂按总监理工程师的确定执行，按照第 24 条的约定对总监理工程师的确定作出修改的，按修改后的结果执行。</w:t>
      </w:r>
    </w:p>
    <w:p w14:paraId="72E2E73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 承包人</w:t>
      </w:r>
    </w:p>
    <w:p w14:paraId="05CD6B0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 4.1 承包人的一般义务</w:t>
      </w:r>
    </w:p>
    <w:p w14:paraId="3490703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4.1.1 遵守法律</w:t>
      </w:r>
    </w:p>
    <w:p w14:paraId="242DEB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承包人在履行合同过程中应遵守法律，并保证发包人免于承担因承包人违反法律而引起的任何责任。</w:t>
      </w:r>
    </w:p>
    <w:p w14:paraId="10ACF78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4.1.2 依法纳税</w:t>
      </w:r>
    </w:p>
    <w:p w14:paraId="56A0F4D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承包人应按有关法律规定纳税，应缴纳的税金包括在合同价格内。</w:t>
      </w:r>
    </w:p>
    <w:p w14:paraId="77DD030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4.1.3 完成各项承包工作</w:t>
      </w:r>
    </w:p>
    <w:p w14:paraId="74C98B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承包人应按合同约定以及监理人根据第 3.4 款作出的指示，实施、完成全部工程，并修补工程中的任何缺陷。除第 5.2 款、第 6.2 款另有外，承包人应提供为完成合同工作所需的劳务、材料、施工设备、工程设备和其它物品，并按合同约定负责临时设施的设计、建造、运行、维护、管理和拆除。</w:t>
      </w:r>
    </w:p>
    <w:p w14:paraId="72F64F2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4.1.4 对施工作业和施工方法的完备性负责</w:t>
      </w:r>
    </w:p>
    <w:p w14:paraId="6E4674E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承包人应按合同约定的工作内容和施工进度要求，编制施工组织设计和施工措施计划，并对所有施工作业和施工方法的完备性和安全可靠性负责。</w:t>
      </w:r>
    </w:p>
    <w:p w14:paraId="2000EDD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4.1.5 保证工程施工和人员的安全</w:t>
      </w:r>
    </w:p>
    <w:p w14:paraId="5EB0EBB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承包人应按第 9.2 款约定采取施工安全措施，确保工程及其人员、材料、设备和设施的安全，防止因工程施工造成的人身伤害和财产损失。</w:t>
      </w:r>
    </w:p>
    <w:p w14:paraId="444F44B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4.1.6 负责施工场地及其周边环境与生态的保护工作</w:t>
      </w:r>
    </w:p>
    <w:p w14:paraId="300CD32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承包人应按照第 9.4 款约定负责施工场地及其周边环境与生态的保护工作。</w:t>
      </w:r>
    </w:p>
    <w:p w14:paraId="770DB73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4.1.7 避免施工对公众与他人的利益造成损害</w:t>
      </w:r>
    </w:p>
    <w:p w14:paraId="6439B0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441DA1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4.1.8 为他人提供方便</w:t>
      </w:r>
    </w:p>
    <w:p w14:paraId="3D58376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承包人应按监理人的指示为他人在施工场地或附近实施与工程有关的其他各项工作提供可能的条件。除合同另有约定外，提供有关条件的内容和可能发生的费用，由监理人按第 3.5 款商定或确定。</w:t>
      </w:r>
    </w:p>
    <w:p w14:paraId="7C51B00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4.1.9 工程的维护和照管</w:t>
      </w:r>
    </w:p>
    <w:p w14:paraId="64DBA97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除合同另有约定外，工程完工证书颁发前，承包人应负责照管和维护工程。合同工程完工证书颁发时尚有部分未完工程的，承包人还应负责该未完工程的照管和维护工作，直至完工后移交给发包人为止。</w:t>
      </w:r>
    </w:p>
    <w:p w14:paraId="5A00B2F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4.1.10 其它义务</w:t>
      </w:r>
    </w:p>
    <w:p w14:paraId="67DE6FD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其它义务在专用合同条款中补充约定。</w:t>
      </w:r>
    </w:p>
    <w:p w14:paraId="5B7486B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4.2 履约担保</w:t>
      </w:r>
    </w:p>
    <w:p w14:paraId="2060A92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承包人应保证其履约担保在发包人颁发合同工程完工证书前一直有效。发包人应在合同工程完工证书颁布发后 28 天内将履约担保退还给承包人。</w:t>
      </w:r>
    </w:p>
    <w:p w14:paraId="3746A12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 分包</w:t>
      </w:r>
    </w:p>
    <w:p w14:paraId="2BA20AE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4.3.1 承包人不得将其承包的全部工程转包给第三人，或将其承包的全部工程肢解后以分包的名义转包给第三人。</w:t>
      </w:r>
    </w:p>
    <w:p w14:paraId="0289D5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4.3.2 承包人不得将工程主体、关键性工作分包给第三人。除专用合同条款另有约定外，未经发包人同意，承包人不得将工程的其他部分或工作分包给第三人。</w:t>
      </w:r>
    </w:p>
    <w:p w14:paraId="7CDCF48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4.3.3 分包人的资格能力应与其分包工程的标准和规模相适应。</w:t>
      </w:r>
    </w:p>
    <w:p w14:paraId="439E39C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4.3.4 按投标函附录约定分包工程的，承包人应向发包人和监理人提交分包合同副本。</w:t>
      </w:r>
    </w:p>
    <w:p w14:paraId="281AC05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4.3.5 承包人应与分包人就分包工程向发包人承担连带责任。</w:t>
      </w:r>
    </w:p>
    <w:p w14:paraId="25517C8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4.3.6分包工程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4224413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得增加承包人的额外费用；因承包人原因形成指定分包条件的，承包人应承担指定分包所增加的费用。由指定分包人造成的与其分包工作有关的一切索赔、诉讼和损失赔偿由指定分包人直接对发包人负责，承包人不对此承担责任。</w:t>
      </w:r>
    </w:p>
    <w:p w14:paraId="03E65E2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4.3.8 承包人和发包人应当签订分包合同，并履行合同约定的义务。分包合同必须遵循承包合同的各项原则，满足相应条款的要求。发包人可以对分包合同实施情况进行监督检查。承包人应将分包合同副本提交发包人和监理人。</w:t>
      </w:r>
    </w:p>
    <w:p w14:paraId="37B5E39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4.3.9 除 4.3.7 项规定的指定分包外，承包人对其分包项目的实施以及分包人的行为向发包人负全部责任。承包人应对分包项目的工程进度、质量、安全、计量和验收等实施监督和管理。</w:t>
      </w:r>
    </w:p>
    <w:p w14:paraId="57E8FC4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4.3.10 分包人应按专用合同条款的约定设立项目管理机构组织管理分包工程的施工活动。</w:t>
      </w:r>
    </w:p>
    <w:p w14:paraId="2AD1489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4.5 承包人项目经理</w:t>
      </w:r>
    </w:p>
    <w:p w14:paraId="39DB186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4.5.1 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p>
    <w:p w14:paraId="25442D2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4.5.2 承包人项目经理应按合同约定以及监理人按第 3.4 款作出的指示，负责组织合同工程的实施。在情况紧急且无法与监理人取得联系时，可采取保证工程和人员生命财产安全的紧急措施，并在采取措施后 24 小时内向监理人提交书面报告。</w:t>
      </w:r>
    </w:p>
    <w:p w14:paraId="438586D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4.5.3 承包人为履行合同发出的一切函件均应盖有承包人授权的施工场地管理机构章，并由承包人项目经理或其授权代表签字。</w:t>
      </w:r>
    </w:p>
    <w:p w14:paraId="7493A79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4.5.4 承包人项目经理可以授权其下属人员履行其某项职责，但事先应将这些人员的姓名和授权范围通知监理人。</w:t>
      </w:r>
    </w:p>
    <w:p w14:paraId="5F9268B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4.6 承包人人员的管理</w:t>
      </w:r>
    </w:p>
    <w:p w14:paraId="0EC7E1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25347E0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4.6.2 为完成合同约定的各项工作，承包人应向施工场地派遣或雇佣足够数量的下列人员：</w:t>
      </w:r>
    </w:p>
    <w:p w14:paraId="69D375F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（1）具有相应资格的专业技工和合格的普工；</w:t>
      </w:r>
    </w:p>
    <w:p w14:paraId="70621B2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（2）具有相应施工经验的技术人员；</w:t>
      </w:r>
    </w:p>
    <w:p w14:paraId="7EB8F33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（3）具有相应岗位资格的各级管理人员。</w:t>
      </w:r>
    </w:p>
    <w:p w14:paraId="1856B66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4.6.3 承包人安排在施工场地的主要管理人员和技术骨干应相对稳定。承包人更换主要管理人员和技术骨干时，应取得监理人的同意。</w:t>
      </w:r>
    </w:p>
    <w:p w14:paraId="519F92C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4.6.4 特殊岗位的工作人员均应持有相应的资格证明，监理人有权随时检查。监理人认为有必要时，可进行现场考核。</w:t>
      </w:r>
    </w:p>
    <w:p w14:paraId="71CE0F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4.7 撤换承包人项目经理和其他人员</w:t>
      </w:r>
    </w:p>
    <w:p w14:paraId="093247C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承包人应对其项目经理和其他人员进行有效管理。监理人要求撤换不能胜任本职工作、行为不端或玩忽职守的承包人项目经理和其他人员的，承包人应予以撤换。</w:t>
      </w:r>
    </w:p>
    <w:p w14:paraId="68F850E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 保障承包人人员的合法权益</w:t>
      </w:r>
    </w:p>
    <w:p w14:paraId="194526F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4.8.1 承包人应与其雇佣的人员签订劳动合同，并按时发放工资。</w:t>
      </w:r>
    </w:p>
    <w:p w14:paraId="0CF53C5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4.8.2 承包人应按劳动法的规定安排工作时间，保证其雇佣人员享有休息和休假的权利。因工程施工的特殊需要占用休假日或延长工作时间的，应不超过法律规定的限度，并按法律规定给予补休或付酬。</w:t>
      </w:r>
    </w:p>
    <w:p w14:paraId="371857D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4.8.3 承包人应为其雇佣人员提供必要的食宿条件，以及符合环境保护和卫生要求的生活环境，在远离城镇的施工场地，还应配备必要的伤病防治和急救的医务人员与医疗设施。</w:t>
      </w:r>
    </w:p>
    <w:p w14:paraId="3BEF314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6241ED3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4.8.5 承包人应按有关法律规定和合同约定，为其雇佣人员办理保险。</w:t>
      </w:r>
    </w:p>
    <w:p w14:paraId="16357BC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4.8.6 承包人应负责处理其雇佣人员因工伤亡事故的善后事宜。</w:t>
      </w:r>
    </w:p>
    <w:p w14:paraId="1CDAF2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4.9 工程价款应专款专用</w:t>
      </w:r>
    </w:p>
    <w:p w14:paraId="169293E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发包人按合同约定支付给承包人的各项价款应专用于合同工程。</w:t>
      </w:r>
    </w:p>
    <w:p w14:paraId="104155D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4.10 承包人现场查勘</w:t>
      </w:r>
    </w:p>
    <w:p w14:paraId="35861CA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4.10.1 发包人应将其持有的现场地质勘探资料、水文气象资料提供给承包人，并对其准确性负责。但承包人应对其阅读上述有关资料后所作出的解释和推断负责。</w:t>
      </w:r>
    </w:p>
    <w:p w14:paraId="7505F17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00CF79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4.11 不利物质条件</w:t>
      </w:r>
    </w:p>
    <w:p w14:paraId="0C83067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4.11.1 除专用合同条款另有约定外，不利的物质条件是指在施工中遭遇不可预见的外界障碍或自然条件造成施工受阻。</w:t>
      </w:r>
    </w:p>
    <w:p w14:paraId="199CD0D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4.11.2 承包人遇到不利物质条件时，应采取适应不利物质条件的合理措施继续施工，并及时通知监理人。承包人应有权根据第 23.1 款的约定，要求延长工期及增加费用。监理人收到此类要求后，应在分析上述外界障碍或自然条件是否不可预见及不可预见程度的基础上，按照通用合同条款第 15条的约定办理．</w:t>
      </w:r>
    </w:p>
    <w:p w14:paraId="3003962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 材料和工程设备</w:t>
      </w:r>
    </w:p>
    <w:p w14:paraId="14A4D8C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5.1 承包人提供的材料和工程设备</w:t>
      </w:r>
    </w:p>
    <w:p w14:paraId="131CA31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5.1.1 除 5.2 款约定由发包人提供的材料和工程设备外，承包人负责采购、验收、运输和保管完成本合同工作所需的材料和工程设备。承包人应对其采购的材料和工程设备负责。</w:t>
      </w:r>
    </w:p>
    <w:p w14:paraId="4CAA1CB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351CBDD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2AAC031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 发包人提供的材料和工程设备</w:t>
      </w:r>
    </w:p>
    <w:p w14:paraId="23FFCB0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5.2.1 发包人提供的材料和工程设备，应在专用合同条款中写明材料和工程设备的名称、规格、数量、价格、交货方式、交货地点和计划交货日期等。</w:t>
      </w:r>
    </w:p>
    <w:p w14:paraId="271D539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5.2.2 承包人应根据合同进度计划的安排，向监理人报送要求发包人交货的日期计划。发包人应按照监理人与合同双方当事人商定的交货日期，向承包人提交材料和工程设备。</w:t>
      </w:r>
    </w:p>
    <w:p w14:paraId="2B1CA59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5.2.3 发包人应在材料和工程设备到货 7 天前通知承包人，承包人应会同监理人在约定的时间内，赴交货地点共同进行验收。发包人提供的材料和工程设备运至交货地点验收后，由承包人负责接收、卸货、运输和保管。</w:t>
      </w:r>
    </w:p>
    <w:p w14:paraId="050974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5.2.4 发包人要求向承包人提前交货的，承包人不得拒绝，但发包人应承担承包人由此增加的费用。</w:t>
      </w:r>
    </w:p>
    <w:p w14:paraId="56CB6D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5.2.5 承包人要求更改交货日期或地点的，应事先报请监理人批准。由于承包人要求更改交货时间或地点所增加的费用和（或）工期延误由承包人承担。</w:t>
      </w:r>
    </w:p>
    <w:p w14:paraId="5545BE9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5.2.6 发包人提供的材料和工程设备的规格、数量或质量不符合合同要求，或由于发包人原因发生交货日期延误及交货地点变更等情况的，发包人应承担由此增加的费用和（或）工期延误，并向承包人支付合理利润。</w:t>
      </w:r>
    </w:p>
    <w:p w14:paraId="6FAEAE3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5.3 材料和工程设备专用于合同工程</w:t>
      </w:r>
    </w:p>
    <w:p w14:paraId="1B5DF5E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5.3.1 运入施工场地的材料、工程设备，包括备品备件、安装专用工器具与随机资料，必须专用于合同工程，未经监理人同意，承包人不得运出施工场地或挪作他用。</w:t>
      </w:r>
    </w:p>
    <w:p w14:paraId="7EB07AC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3643E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5.4 禁止使用不合格的材料和工程设备</w:t>
      </w:r>
    </w:p>
    <w:p w14:paraId="47C826C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5.4.1 监理人有权拒绝承包人提供的不合格材料或工程设备，并要求承包人立即进行更换。监理人应在更换后再次进行检查和检验，由此增加的费用和（或）工期延误由承包人承担。</w:t>
      </w:r>
    </w:p>
    <w:p w14:paraId="6484E17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5.4.2 监理人发现承包人使用了不合格的材料和工程设备，应即时发出指示要求承包人立即改正，并禁止在工程中继续使用不合格的材料和工程设备。</w:t>
      </w:r>
    </w:p>
    <w:p w14:paraId="58CA29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5.4.3 发包人提供的材料或工程设备不符合合同要求的，承包人有权拒绝，并可要求发包人更换，由此增加的费用和（或）工期延误由发包人承担。</w:t>
      </w:r>
    </w:p>
    <w:p w14:paraId="5EADF2C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 施工设备和临时设施</w:t>
      </w:r>
    </w:p>
    <w:p w14:paraId="524835E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6.1 承包人提供的施工设备和临时设施</w:t>
      </w:r>
    </w:p>
    <w:p w14:paraId="3747D44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6.1.1 承包人应按合同进度计划的要求，及时配置施工设备和修建临时设施。进入施工场地的承包人设备需经监理人核查后才能投入使用。承包人更换合同约定的承包人设备的，应报监理人批准。</w:t>
      </w:r>
    </w:p>
    <w:p w14:paraId="59A866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6.1.2 除专用合同条款另有约定外，承包人应自行承担修建临时设施的费用，需要临时占地的，应由发包人办理申请手续并承担相应费用。</w:t>
      </w:r>
    </w:p>
    <w:p w14:paraId="2C6FAA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6.2 发包人提供的施工设备和临时设施</w:t>
      </w:r>
    </w:p>
    <w:p w14:paraId="52EF2D2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发包人提供的施工设备或临时设施在专用合同条款中约定。</w:t>
      </w:r>
    </w:p>
    <w:p w14:paraId="3CA41F0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6.3 要求承包人增加或更换施工设备</w:t>
      </w:r>
    </w:p>
    <w:p w14:paraId="7F469AD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承包人使用的施工设备不能满足合同进度计划和（或）质量要求时，监理人有权要求承包人增加或更换施工设备，承包人应及时增加或更换，由此增加的费用和（或）工期延误由承包人承担。</w:t>
      </w:r>
    </w:p>
    <w:p w14:paraId="52B01C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6.4 施工设备和临时设施专用于合同工程</w:t>
      </w:r>
    </w:p>
    <w:p w14:paraId="4938A8C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6.4.1 除合同另有约定外，运入施工场地的所有施工设备以及在施工场地建设的临时设施应专用于合同工程。未经监理人同意，不得将上述施工设备和临时设施中的任何部分运出施工场地或挪作他用。</w:t>
      </w:r>
    </w:p>
    <w:p w14:paraId="1DAFB8D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6.4.2 经监理人同意，承包人可根据合同进度计划撤走闲置的施工设备。</w:t>
      </w:r>
    </w:p>
    <w:p w14:paraId="795365D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 交通运输</w:t>
      </w:r>
    </w:p>
    <w:p w14:paraId="0F7824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7.1 道路通行权和场外设施</w:t>
      </w:r>
    </w:p>
    <w:p w14:paraId="0F240D0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75150C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7.2 场内施工道路</w:t>
      </w:r>
    </w:p>
    <w:p w14:paraId="4395279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p>
    <w:p w14:paraId="4C1C895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7.2.2 承包人修建的临时道路和交通设施,应免费提供发包人、监理人，以及与本合同有关的其他承包人使用。</w:t>
      </w:r>
    </w:p>
    <w:p w14:paraId="7DCEE03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7.3 场外交通</w:t>
      </w:r>
    </w:p>
    <w:p w14:paraId="047CB4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7.3.1 承包人车辆外出行驶所需的场外公共道路的通行费、养路费和税款等由承包人承担。</w:t>
      </w:r>
    </w:p>
    <w:p w14:paraId="3F371B8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7.3.2 承包人应遵守有关交通法规，严格按照道路和桥梁的限制荷重安全行驶，并服从交通管理部门的检查和监督。</w:t>
      </w:r>
    </w:p>
    <w:p w14:paraId="4027116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7.4 超大件和超重件的运输</w:t>
      </w:r>
    </w:p>
    <w:p w14:paraId="35D3B20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15626C7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7.5 道路和桥梁的损坏责任</w:t>
      </w:r>
    </w:p>
    <w:p w14:paraId="7BE7357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因承包人运输造成施工场地内外公共道路和桥梁损坏的，由承包人承担修复损坏的全部费用和可能引起的赔偿。</w:t>
      </w:r>
    </w:p>
    <w:p w14:paraId="6FFA1CB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7.6 水路和航空运输</w:t>
      </w:r>
    </w:p>
    <w:p w14:paraId="692BC13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本条上述各款的内容适用于水路运输和航空运输，其中“道路”一词的涵义包括河道、航线、船闸、机场、码头、堤防以及水路或航空运输中其他相似结构物；“车辆”一词的涵义包括船舶和飞机等。</w:t>
      </w:r>
    </w:p>
    <w:p w14:paraId="4E9F374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 测量放线</w:t>
      </w:r>
    </w:p>
    <w:p w14:paraId="4D17E39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8.1 施工控制网</w:t>
      </w:r>
    </w:p>
    <w:p w14:paraId="288351C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8.1.1 除专用条款另有约定外，施工控制网由承包人负责测设，发包人应在本合同协议书签订后的 14 天内，向承包人提供测量基准点、基准线和水准点及其相关资料。承包人应在收到上述资料后的 28 天内，将施测的施工控制网资料提交监理人审批。监理人应在收到报批件后的 14 天内批复承包人。</w:t>
      </w:r>
    </w:p>
    <w:p w14:paraId="50E4258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8.1.2 承包人应负责管理施工控制网点。施工控制网点丢失或损坏的，承包人应及时修复。承包</w:t>
      </w:r>
    </w:p>
    <w:p w14:paraId="5B8103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人应承担施工控制网点的管理与修复费用，并在工程竣工后将施工控制网点移交发包人。</w:t>
      </w:r>
    </w:p>
    <w:p w14:paraId="7F6EA8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8.2 施工测量</w:t>
      </w:r>
    </w:p>
    <w:p w14:paraId="5330C61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8.2.1 承包人应负责施工过程中的全部施工测量放线工作，并配置合格的人员、仪器、设备和其他物品。</w:t>
      </w:r>
    </w:p>
    <w:p w14:paraId="112B7CE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8.2.2 监理人可以指示承包人进行抽样复测，当复测中发现错误或出现超过合同约定的误差时，承包人应按监理人指示进行修正或补测，并承担相应的复测费用。</w:t>
      </w:r>
    </w:p>
    <w:p w14:paraId="4C64688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8.3 基准资料错误的责任</w:t>
      </w:r>
    </w:p>
    <w:p w14:paraId="430A505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7DB80E6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8.4 监理人使用施工控制网</w:t>
      </w:r>
    </w:p>
    <w:p w14:paraId="190CD97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监理人需要使用施工控制网的，承包人应提供必要的协助，发包人不再为此支付费用。</w:t>
      </w:r>
    </w:p>
    <w:p w14:paraId="1CFE5FB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8.5 补充地质勘探</w:t>
      </w:r>
    </w:p>
    <w:p w14:paraId="65AA30D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所需进行的补充地质勘探，其费用由承包人承担。</w:t>
      </w:r>
    </w:p>
    <w:p w14:paraId="4D2087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 施工安全、治安保卫和环境保护</w:t>
      </w:r>
    </w:p>
    <w:p w14:paraId="740068C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 发包人的施工安全责任</w:t>
      </w:r>
    </w:p>
    <w:p w14:paraId="4EBFAD9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9.1.1 发包人应按合同约定履行安全职责，发包人委托监理人根据国家有关安全的法律、法规、强制性标准以及部门规章，对承包人的安全责任改选情况进行监督和检查。监理人的监督检查不减轻承包人应负的安全责任。</w:t>
      </w:r>
    </w:p>
    <w:p w14:paraId="2A72A4D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9.1.2 发包人应对其现场机构雇佣的全部人员的工伤事故承担责任，但由于承包人原因造成发包人人员工伤的，应由承包人承担责任。</w:t>
      </w:r>
    </w:p>
    <w:p w14:paraId="0B29933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9.1.3 发包人应负责赔偿以下各种情况造成的第三者人身伤亡和财产损失：</w:t>
      </w:r>
    </w:p>
    <w:p w14:paraId="550040D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 工程或工程的任何部分对土地的占用所造成的第三者财产损失；</w:t>
      </w:r>
    </w:p>
    <w:p w14:paraId="05C3B4D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 由于发包人原因在施工场地及其毗邻地带造成的第三者人身伤亡和财产损失。</w:t>
      </w:r>
    </w:p>
    <w:p w14:paraId="3FFCB1C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9.1.4 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满足有关技术规程的要求。</w:t>
      </w:r>
    </w:p>
    <w:p w14:paraId="5C3D292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9.1.5 发包人按照已标价工程量清单所列金额和合同约定的计量支付规定，支付安全作业环境及安全施工措施所需费用。</w:t>
      </w:r>
    </w:p>
    <w:p w14:paraId="3160EC2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9.1.6 发包人负责组织工程参建单位编制保证安全生产的措施方案。工程开工前，就落实安全生产的措施进行全面系统的布置，进一步明确承包人的安全生产责任。</w:t>
      </w:r>
    </w:p>
    <w:p w14:paraId="6E4F667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9.1.7 发包人负责在拆除工程和爆破工程施工 14 天前向有关部门或机构报送相关备案资料。</w:t>
      </w:r>
    </w:p>
    <w:p w14:paraId="771B7B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 承包人的施工安全责任</w:t>
      </w:r>
    </w:p>
    <w:p w14:paraId="7453A50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9.2.1 承包人应按合同约定履行安全职责,执行监理人有关安全工作的指示。承包人应按技术标准和要求（合同技术条款）约定的内容和期限，以及监理人的指示，编制施工安全技术措施提交监理人审批。监理人应技术标准和要求（合同技术条款）约定的期限内批复承包人。</w:t>
      </w:r>
    </w:p>
    <w:p w14:paraId="47EFF87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9.2.2 承包人应加强施工作业安全管理，特别应加强易燃、易爆材料、火工器材、有毒与腐蚀性材料和其他危险品的管理，以及对爆破作业和地下工程施工等危险作业的管理。</w:t>
      </w:r>
    </w:p>
    <w:p w14:paraId="5C1B696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9.2.3 承包人应严格按照国家安全标准制定施工安全操作规程，配备必要的安全生产和劳动保护设施，加强对承包人人员的安全教育，并发放安全工作手册和劳动保护用具。</w:t>
      </w:r>
    </w:p>
    <w:p w14:paraId="22A7B0D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9.2.4 承包人应按监理人的指示制定应对灾害的紧急预案，报送监理人审批。承包人还应按预案做好安全检查，配置必要的救助物资和器材，切实保护好有关人员的人身和财产安全。</w:t>
      </w:r>
    </w:p>
    <w:p w14:paraId="163918A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9.2.5 合同约定的安全作业环境及安全施工措施所需费用应遵守有关规定，并包括在相关工作的合同价格中。因采取合同未约定的安全作业环境及安全施工措施增加的费用，由监理人按第 3.5 款商定或确定。</w:t>
      </w:r>
    </w:p>
    <w:p w14:paraId="2774917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9.2.6 承包人应对其履行合同所雇佣的全部人员，包括分包人人员的工伤事故承担责任，但由于发包人原因造成承包人人员工伤事故的，应由发包人承担责任。</w:t>
      </w:r>
    </w:p>
    <w:p w14:paraId="3DFE772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9.2.7 由于承包人原因在施工场地内及其毗邻地带造成的第三者人员伤亡和财产损失，由承包人负责赔偿。</w:t>
      </w:r>
    </w:p>
    <w:p w14:paraId="662DC79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9.2.8 承包人已标价工程量清单应包含工程安全作业环境及安全施工措施所需费用。</w:t>
      </w:r>
    </w:p>
    <w:p w14:paraId="054FD7F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9.2.9 承包人应建立健全安全生产责任制度和安全生产教育培训制度，制定安全生产规章制度和操作规程，保证本单位建立和完善安全生产条件所需资金的投入，对本工程进行定期和专项安全检查，并做好安全检查记录。</w:t>
      </w:r>
    </w:p>
    <w:p w14:paraId="631BB60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9.2.10 承包人应设立安全生产管理机构，施工现场应有专职安全生产管理人员。</w:t>
      </w:r>
    </w:p>
    <w:p w14:paraId="392217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9.2.11 承包人应负责对特种作业人员进行专门的安全作业培训，并保证特种作业人员持证上岗。</w:t>
      </w:r>
    </w:p>
    <w:p w14:paraId="6BEACE3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9.2.12 承包人应施工组织设计中编制安全技术措施和施工现场临时用电方案。对专用合同条款</w:t>
      </w:r>
    </w:p>
    <w:p w14:paraId="29F56D8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约定的工程，应编制专项施工方案报监理人批准。对专用合同条款约定的专项施工方案，还应组织专家进行论证、审查，其中专家 1/2 人员应经发包人同意。</w:t>
      </w:r>
    </w:p>
    <w:p w14:paraId="4778407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9.2.13 承包人在使用施工起重机构和整体提升脚手架、模板等自升式架设设施前，应组织有关单位进行验收。</w:t>
      </w:r>
    </w:p>
    <w:p w14:paraId="6B4D0BC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9.3 治安保卫</w:t>
      </w:r>
    </w:p>
    <w:p w14:paraId="05CAFF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9.3.1 除合同另有约定外，发包人应与当地公安部门协商，在现场建立治安管理机构或联防组织，统一管理施工场地的治安保卫事项，履行合同工程的治安保卫职责。</w:t>
      </w:r>
    </w:p>
    <w:p w14:paraId="57B6FD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9.3.2 发包人和承包人除应协助现场治安管理机构或联防组织维护施工场地的社会治安外，还应做好包括生活区在内的各自管辖区的治安保卫工作。</w:t>
      </w:r>
    </w:p>
    <w:p w14:paraId="222F9F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813861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 环境保护</w:t>
      </w:r>
    </w:p>
    <w:p w14:paraId="400D21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9.4.1 承包人在施工过程中，应遵守有关环境保护的法律，履行合同约定的环境保护义务，并对违反法律和合同约定义务所造成的环境破坏、人身伤害和财产损失负责。</w:t>
      </w:r>
    </w:p>
    <w:p w14:paraId="52D043E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9.4.2 承包人应按合同约定的环保工作内容，编制施工环保措施计划，报送监理人审批。</w:t>
      </w:r>
    </w:p>
    <w:p w14:paraId="1AC9DF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D7D7E1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9.4.4 承包人应按合同约定采取有效措施，对施工开挖的边坡及时进行支护,维护排水设施，并进行水土保护，避免因施工造成的地质灾害。</w:t>
      </w:r>
    </w:p>
    <w:p w14:paraId="625ADF7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9.4.5 承包人应按国家饮用水管理标准定期对饮用水源进行监测，防止施工活动污染饮用水源。</w:t>
      </w:r>
    </w:p>
    <w:p w14:paraId="533BD16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9.4.6 承包人应按合同约定，加强对噪声、粉尘、废气、废水和废油的控制，努力降低噪声，控制粉尘和废气浓度，做好废水和废油的治理和排放。</w:t>
      </w:r>
    </w:p>
    <w:p w14:paraId="38DCB82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 事故处理</w:t>
      </w:r>
    </w:p>
    <w:p w14:paraId="06918D4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9.5.1 发包人负责组织制定本建设项目的质量与安全事故应急预案，建立质量与安全事故应急处置指挥部。</w:t>
      </w:r>
    </w:p>
    <w:p w14:paraId="18E6BAB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9.5.2 承包人应对易发生质量和安全事故的部位、环节的进行监控，配备救援器材、设备并定期组织演练。</w:t>
      </w:r>
    </w:p>
    <w:p w14:paraId="669595A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9.5.3 工程开工前，承包人应根据本工程特点制定施工现场施工质量与安全事故应急预案，并报发包人备案。</w:t>
      </w:r>
    </w:p>
    <w:p w14:paraId="139A46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9.5.4 施工过程中发生事故时，发包人、承包人应立即启动应急预案。</w:t>
      </w:r>
    </w:p>
    <w:p w14:paraId="2091CC9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9.5.5 事故调查处理由发包人按相关规定履行手续，承包人应配合。</w:t>
      </w:r>
    </w:p>
    <w:p w14:paraId="1461B0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9.6 水土保持</w:t>
      </w:r>
    </w:p>
    <w:p w14:paraId="02C6293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9.6.1 发包人应及时向承包人提供水土保持方案。</w:t>
      </w:r>
    </w:p>
    <w:p w14:paraId="0728D63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9.6.2 承包人在施工过程中，应遵守有关水土保持的法律，履行合同约定的水土保持义务，并对其违反法律和合同约定义务所造成的水土流失灾害、人身伤害和财产损失负责。</w:t>
      </w:r>
    </w:p>
    <w:p w14:paraId="44ADBEC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9.6.3 承包人的水土保持措施计划，应满足技术标准和要求（合同技术条款）约定的要求。</w:t>
      </w:r>
    </w:p>
    <w:p w14:paraId="587D23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9.7 文明工地</w:t>
      </w:r>
    </w:p>
    <w:p w14:paraId="53CA34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9.7.1 发包人应按专用合同条款的约定，负责建立创建文明建设工地的组织机构，制定创建文明建设工地的规划和办法。</w:t>
      </w:r>
    </w:p>
    <w:p w14:paraId="0F41E0D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9.7.2 承包人应按创建文明建设工地的规划和办法，履行职责，承担相应责任。所需费用应含在已标价工程量清单中。</w:t>
      </w:r>
    </w:p>
    <w:p w14:paraId="6D5BA78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9.8 防汛度汛</w:t>
      </w:r>
    </w:p>
    <w:p w14:paraId="7036661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9.8.1 发包人负责组织工程参建单位编制本工程的度汛方案和措施。</w:t>
      </w:r>
    </w:p>
    <w:p w14:paraId="71F86DC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9.8.2 承包人应根据发包人编制的本工程度汛方案和措施，制定相应的度汛方案，报发包人批准后实施。</w:t>
      </w:r>
    </w:p>
    <w:p w14:paraId="629866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10 进度计划</w:t>
      </w:r>
    </w:p>
    <w:p w14:paraId="0B9781F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10.1 合同进度计划</w:t>
      </w:r>
    </w:p>
    <w:p w14:paraId="4E60A21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p>
    <w:p w14:paraId="6C3808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10.2 合同进度计划的修订</w:t>
      </w:r>
    </w:p>
    <w:p w14:paraId="3CB596C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不论何种原因造成工程的实际进度与第 10.1 款的合同进度计划不符时，承包人均应在 14 天内向监理人提交修订合同进度计划的申请报告，并附有关措施和相关资料，报监理人审批；监理人应在收到申请报告后的 14 天内批复。当监理人认为需要修订合同进度计划时，承包人应按监理人的指示，在 14 天内向监理人提交修订的合同进度计划，并附调整计划的相关资料，提交监理人审批。监理人应在收到进度计划后的 14 天内批复。</w:t>
      </w:r>
    </w:p>
    <w:p w14:paraId="1D6549A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不论何种原因造成施工进度计划延迟，承包人均应按监理人的指示，采取有效措施赶上进度。承包人应在向监理人提交修订合同进度计划的同时，编制一份赶工措施报告提交监理人审批。由于发包人原因造成施工进度延迟，应按第 11.3 款的约定办理；由于承包人原因造成施工进度延迟，应按第 11.5 款的约定办理。</w:t>
      </w:r>
    </w:p>
    <w:p w14:paraId="51C72F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10.3 单位工程进度计划</w:t>
      </w:r>
    </w:p>
    <w:p w14:paraId="61757B2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监理人认为有必要时，承包人应按监理人指示的内容和期限，并根据合同进度计划的进度控制要求，编制单位工程进度计划，提交监理人审批。</w:t>
      </w:r>
    </w:p>
    <w:p w14:paraId="7301FE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10.4 提交资金流估算表</w:t>
      </w:r>
    </w:p>
    <w:p w14:paraId="2E97E4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承包人应在按第 10.1 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1436EADD">
      <w:pPr>
        <w:spacing w:line="360" w:lineRule="auto"/>
        <w:ind w:right="248"/>
        <w:jc w:val="center"/>
        <w:rPr>
          <w:rFonts w:ascii="宋体"/>
          <w:color w:val="auto"/>
          <w:kern w:val="0"/>
          <w:sz w:val="24"/>
          <w:highlight w:val="none"/>
        </w:rPr>
      </w:pPr>
      <w:bookmarkStart w:id="159" w:name="_Toc221950850"/>
      <w:r>
        <w:rPr>
          <w:rFonts w:hint="eastAsia" w:ascii="宋体"/>
          <w:b/>
          <w:color w:val="auto"/>
          <w:kern w:val="0"/>
          <w:sz w:val="24"/>
          <w:highlight w:val="none"/>
        </w:rPr>
        <w:t>资金流估算表</w:t>
      </w:r>
      <w:r>
        <w:rPr>
          <w:rFonts w:ascii="宋体"/>
          <w:b/>
          <w:color w:val="auto"/>
          <w:kern w:val="0"/>
          <w:sz w:val="24"/>
          <w:highlight w:val="none"/>
        </w:rPr>
        <w:t>(</w:t>
      </w:r>
      <w:r>
        <w:rPr>
          <w:rFonts w:hint="eastAsia" w:ascii="楷体_GB2312" w:eastAsia="楷体_GB2312"/>
          <w:color w:val="auto"/>
          <w:kern w:val="0"/>
          <w:sz w:val="24"/>
          <w:highlight w:val="none"/>
        </w:rPr>
        <w:t>参考格式</w:t>
      </w:r>
      <w:r>
        <w:rPr>
          <w:rFonts w:ascii="宋体"/>
          <w:b/>
          <w:color w:val="auto"/>
          <w:kern w:val="0"/>
          <w:sz w:val="24"/>
          <w:highlight w:val="none"/>
        </w:rPr>
        <w:t>)</w:t>
      </w:r>
      <w:r>
        <w:rPr>
          <w:rFonts w:hint="eastAsia" w:ascii="宋体"/>
          <w:b/>
          <w:color w:val="auto"/>
          <w:kern w:val="0"/>
          <w:sz w:val="24"/>
          <w:highlight w:val="none"/>
        </w:rPr>
        <w:t xml:space="preserve">         </w:t>
      </w:r>
      <w:r>
        <w:rPr>
          <w:rFonts w:hint="eastAsia" w:ascii="宋体"/>
          <w:color w:val="auto"/>
          <w:kern w:val="0"/>
          <w:sz w:val="24"/>
          <w:highlight w:val="none"/>
        </w:rPr>
        <w:t xml:space="preserve"> 金额单位</w:t>
      </w:r>
      <w:bookmarkEnd w:id="159"/>
    </w:p>
    <w:tbl>
      <w:tblPr>
        <w:tblStyle w:val="39"/>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14"/>
        <w:gridCol w:w="414"/>
        <w:gridCol w:w="960"/>
        <w:gridCol w:w="1155"/>
        <w:gridCol w:w="945"/>
        <w:gridCol w:w="1050"/>
        <w:gridCol w:w="945"/>
        <w:gridCol w:w="945"/>
        <w:gridCol w:w="1050"/>
        <w:gridCol w:w="1155"/>
      </w:tblGrid>
      <w:tr w14:paraId="7306DE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19DCD6B0">
            <w:pPr>
              <w:ind w:right="248"/>
              <w:jc w:val="center"/>
              <w:rPr>
                <w:rFonts w:ascii="宋体"/>
                <w:color w:val="auto"/>
                <w:kern w:val="0"/>
                <w:sz w:val="20"/>
                <w:szCs w:val="21"/>
                <w:highlight w:val="none"/>
              </w:rPr>
            </w:pPr>
            <w:bookmarkStart w:id="160" w:name="_Toc221950851"/>
            <w:r>
              <w:rPr>
                <w:rFonts w:hint="eastAsia" w:ascii="宋体"/>
                <w:color w:val="auto"/>
                <w:kern w:val="0"/>
                <w:sz w:val="20"/>
                <w:szCs w:val="21"/>
                <w:highlight w:val="none"/>
              </w:rPr>
              <w:t>年</w:t>
            </w:r>
            <w:bookmarkEnd w:id="160"/>
          </w:p>
        </w:tc>
        <w:tc>
          <w:tcPr>
            <w:tcW w:w="414" w:type="dxa"/>
            <w:vAlign w:val="center"/>
          </w:tcPr>
          <w:p w14:paraId="4824CC78">
            <w:pPr>
              <w:ind w:right="248"/>
              <w:jc w:val="center"/>
              <w:rPr>
                <w:rFonts w:ascii="宋体"/>
                <w:color w:val="auto"/>
                <w:kern w:val="0"/>
                <w:sz w:val="20"/>
                <w:szCs w:val="21"/>
                <w:highlight w:val="none"/>
              </w:rPr>
            </w:pPr>
            <w:bookmarkStart w:id="161" w:name="_Toc221950852"/>
            <w:r>
              <w:rPr>
                <w:rFonts w:hint="eastAsia" w:ascii="宋体"/>
                <w:color w:val="auto"/>
                <w:kern w:val="0"/>
                <w:sz w:val="20"/>
                <w:szCs w:val="21"/>
                <w:highlight w:val="none"/>
              </w:rPr>
              <w:t>月</w:t>
            </w:r>
            <w:bookmarkEnd w:id="161"/>
          </w:p>
        </w:tc>
        <w:tc>
          <w:tcPr>
            <w:tcW w:w="960" w:type="dxa"/>
            <w:vAlign w:val="center"/>
          </w:tcPr>
          <w:p w14:paraId="46C4E9B7">
            <w:pPr>
              <w:ind w:right="7"/>
              <w:jc w:val="center"/>
              <w:rPr>
                <w:rFonts w:ascii="宋体"/>
                <w:color w:val="auto"/>
                <w:kern w:val="0"/>
                <w:sz w:val="20"/>
                <w:szCs w:val="21"/>
                <w:highlight w:val="none"/>
              </w:rPr>
            </w:pPr>
            <w:bookmarkStart w:id="162" w:name="_Toc221950853"/>
            <w:r>
              <w:rPr>
                <w:rFonts w:hint="eastAsia" w:ascii="宋体"/>
                <w:color w:val="auto"/>
                <w:kern w:val="0"/>
                <w:sz w:val="20"/>
                <w:szCs w:val="21"/>
                <w:highlight w:val="none"/>
              </w:rPr>
              <w:t>工程</w:t>
            </w:r>
            <w:bookmarkEnd w:id="162"/>
          </w:p>
          <w:p w14:paraId="0B46EE52">
            <w:pPr>
              <w:ind w:right="7"/>
              <w:jc w:val="center"/>
              <w:rPr>
                <w:rFonts w:ascii="宋体"/>
                <w:color w:val="auto"/>
                <w:kern w:val="0"/>
                <w:sz w:val="20"/>
                <w:szCs w:val="21"/>
                <w:highlight w:val="none"/>
              </w:rPr>
            </w:pPr>
            <w:bookmarkStart w:id="163" w:name="_Toc221950854"/>
            <w:r>
              <w:rPr>
                <w:rFonts w:hint="eastAsia" w:ascii="宋体"/>
                <w:color w:val="auto"/>
                <w:kern w:val="0"/>
                <w:sz w:val="20"/>
                <w:szCs w:val="21"/>
                <w:highlight w:val="none"/>
              </w:rPr>
              <w:t>预付款</w:t>
            </w:r>
            <w:bookmarkEnd w:id="163"/>
          </w:p>
        </w:tc>
        <w:tc>
          <w:tcPr>
            <w:tcW w:w="1155" w:type="dxa"/>
            <w:vAlign w:val="center"/>
          </w:tcPr>
          <w:p w14:paraId="3B31754A">
            <w:pPr>
              <w:jc w:val="center"/>
              <w:rPr>
                <w:rFonts w:ascii="宋体"/>
                <w:color w:val="auto"/>
                <w:kern w:val="0"/>
                <w:sz w:val="20"/>
                <w:szCs w:val="21"/>
                <w:highlight w:val="none"/>
              </w:rPr>
            </w:pPr>
            <w:bookmarkStart w:id="164" w:name="_Toc221950855"/>
            <w:r>
              <w:rPr>
                <w:rFonts w:hint="eastAsia" w:ascii="宋体"/>
                <w:color w:val="auto"/>
                <w:kern w:val="0"/>
                <w:sz w:val="20"/>
                <w:szCs w:val="21"/>
                <w:highlight w:val="none"/>
              </w:rPr>
              <w:t>完成工作量付款</w:t>
            </w:r>
            <w:bookmarkEnd w:id="164"/>
          </w:p>
        </w:tc>
        <w:tc>
          <w:tcPr>
            <w:tcW w:w="945" w:type="dxa"/>
            <w:vAlign w:val="center"/>
          </w:tcPr>
          <w:p w14:paraId="736D65E1">
            <w:pPr>
              <w:jc w:val="center"/>
              <w:rPr>
                <w:rFonts w:ascii="宋体"/>
                <w:color w:val="auto"/>
                <w:kern w:val="0"/>
                <w:sz w:val="20"/>
                <w:szCs w:val="21"/>
                <w:highlight w:val="none"/>
              </w:rPr>
            </w:pPr>
            <w:bookmarkStart w:id="165" w:name="_Toc221950856"/>
            <w:r>
              <w:rPr>
                <w:rFonts w:hint="eastAsia" w:ascii="宋体"/>
                <w:color w:val="auto"/>
                <w:kern w:val="0"/>
                <w:sz w:val="20"/>
                <w:szCs w:val="21"/>
                <w:highlight w:val="none"/>
              </w:rPr>
              <w:t>保留金</w:t>
            </w:r>
            <w:bookmarkEnd w:id="165"/>
          </w:p>
          <w:p w14:paraId="46EA6C50">
            <w:pPr>
              <w:jc w:val="center"/>
              <w:rPr>
                <w:rFonts w:ascii="宋体"/>
                <w:color w:val="auto"/>
                <w:kern w:val="0"/>
                <w:sz w:val="20"/>
                <w:szCs w:val="21"/>
                <w:highlight w:val="none"/>
              </w:rPr>
            </w:pPr>
            <w:bookmarkStart w:id="166" w:name="_Toc221950857"/>
            <w:r>
              <w:rPr>
                <w:rFonts w:hint="eastAsia" w:ascii="宋体"/>
                <w:color w:val="auto"/>
                <w:kern w:val="0"/>
                <w:sz w:val="20"/>
                <w:szCs w:val="21"/>
                <w:highlight w:val="none"/>
              </w:rPr>
              <w:t>扣留</w:t>
            </w:r>
            <w:bookmarkEnd w:id="166"/>
          </w:p>
        </w:tc>
        <w:tc>
          <w:tcPr>
            <w:tcW w:w="1050" w:type="dxa"/>
            <w:vAlign w:val="center"/>
          </w:tcPr>
          <w:p w14:paraId="2A4A1168">
            <w:pPr>
              <w:ind w:right="-21"/>
              <w:jc w:val="center"/>
              <w:rPr>
                <w:rFonts w:ascii="宋体"/>
                <w:color w:val="auto"/>
                <w:kern w:val="0"/>
                <w:sz w:val="20"/>
                <w:szCs w:val="21"/>
                <w:highlight w:val="none"/>
              </w:rPr>
            </w:pPr>
            <w:bookmarkStart w:id="167" w:name="_Toc221950858"/>
            <w:r>
              <w:rPr>
                <w:rFonts w:hint="eastAsia" w:ascii="宋体"/>
                <w:color w:val="auto"/>
                <w:kern w:val="0"/>
                <w:sz w:val="20"/>
                <w:szCs w:val="21"/>
                <w:highlight w:val="none"/>
              </w:rPr>
              <w:t>材料款</w:t>
            </w:r>
            <w:bookmarkEnd w:id="167"/>
          </w:p>
          <w:p w14:paraId="768A7C2C">
            <w:pPr>
              <w:ind w:right="-21"/>
              <w:jc w:val="center"/>
              <w:rPr>
                <w:rFonts w:ascii="宋体"/>
                <w:color w:val="auto"/>
                <w:kern w:val="0"/>
                <w:sz w:val="20"/>
                <w:szCs w:val="21"/>
                <w:highlight w:val="none"/>
              </w:rPr>
            </w:pPr>
            <w:bookmarkStart w:id="168" w:name="_Toc221950859"/>
            <w:r>
              <w:rPr>
                <w:rFonts w:hint="eastAsia" w:ascii="宋体"/>
                <w:color w:val="auto"/>
                <w:kern w:val="0"/>
                <w:sz w:val="20"/>
                <w:szCs w:val="21"/>
                <w:highlight w:val="none"/>
              </w:rPr>
              <w:t>扣除</w:t>
            </w:r>
            <w:bookmarkEnd w:id="168"/>
          </w:p>
        </w:tc>
        <w:tc>
          <w:tcPr>
            <w:tcW w:w="945" w:type="dxa"/>
            <w:vAlign w:val="center"/>
          </w:tcPr>
          <w:p w14:paraId="39CAA96F">
            <w:pPr>
              <w:ind w:right="-21"/>
              <w:jc w:val="center"/>
              <w:rPr>
                <w:rFonts w:ascii="宋体"/>
                <w:color w:val="auto"/>
                <w:kern w:val="0"/>
                <w:sz w:val="20"/>
                <w:szCs w:val="21"/>
                <w:highlight w:val="none"/>
              </w:rPr>
            </w:pPr>
            <w:bookmarkStart w:id="169" w:name="_Toc221950860"/>
            <w:r>
              <w:rPr>
                <w:rFonts w:hint="eastAsia" w:ascii="宋体"/>
                <w:color w:val="auto"/>
                <w:kern w:val="0"/>
                <w:sz w:val="20"/>
                <w:szCs w:val="21"/>
                <w:highlight w:val="none"/>
              </w:rPr>
              <w:t>预付款</w:t>
            </w:r>
            <w:bookmarkEnd w:id="169"/>
          </w:p>
          <w:p w14:paraId="2ED2CE22">
            <w:pPr>
              <w:jc w:val="center"/>
              <w:rPr>
                <w:rFonts w:ascii="宋体"/>
                <w:color w:val="auto"/>
                <w:kern w:val="0"/>
                <w:sz w:val="20"/>
                <w:szCs w:val="21"/>
                <w:highlight w:val="none"/>
              </w:rPr>
            </w:pPr>
            <w:bookmarkStart w:id="170" w:name="_Toc221950861"/>
            <w:r>
              <w:rPr>
                <w:rFonts w:hint="eastAsia" w:ascii="宋体"/>
                <w:color w:val="auto"/>
                <w:kern w:val="0"/>
                <w:sz w:val="20"/>
                <w:szCs w:val="21"/>
                <w:highlight w:val="none"/>
              </w:rPr>
              <w:t>扣还</w:t>
            </w:r>
            <w:bookmarkEnd w:id="170"/>
          </w:p>
        </w:tc>
        <w:tc>
          <w:tcPr>
            <w:tcW w:w="945" w:type="dxa"/>
            <w:vAlign w:val="center"/>
          </w:tcPr>
          <w:p w14:paraId="683ABAC7">
            <w:pPr>
              <w:jc w:val="center"/>
              <w:rPr>
                <w:rFonts w:ascii="宋体"/>
                <w:color w:val="auto"/>
                <w:kern w:val="0"/>
                <w:sz w:val="20"/>
                <w:szCs w:val="21"/>
                <w:highlight w:val="none"/>
              </w:rPr>
            </w:pPr>
            <w:bookmarkStart w:id="171" w:name="_Toc221950862"/>
            <w:r>
              <w:rPr>
                <w:rFonts w:hint="eastAsia" w:ascii="宋体"/>
                <w:color w:val="auto"/>
                <w:kern w:val="0"/>
                <w:sz w:val="20"/>
                <w:szCs w:val="21"/>
                <w:highlight w:val="none"/>
              </w:rPr>
              <w:t>其他</w:t>
            </w:r>
            <w:bookmarkEnd w:id="171"/>
          </w:p>
        </w:tc>
        <w:tc>
          <w:tcPr>
            <w:tcW w:w="1050" w:type="dxa"/>
            <w:vAlign w:val="center"/>
          </w:tcPr>
          <w:p w14:paraId="301C48A0">
            <w:pPr>
              <w:jc w:val="center"/>
              <w:rPr>
                <w:rFonts w:ascii="宋体"/>
                <w:color w:val="auto"/>
                <w:kern w:val="0"/>
                <w:sz w:val="20"/>
                <w:szCs w:val="21"/>
                <w:highlight w:val="none"/>
              </w:rPr>
            </w:pPr>
            <w:bookmarkStart w:id="172" w:name="_Toc221950863"/>
            <w:r>
              <w:rPr>
                <w:rFonts w:hint="eastAsia" w:ascii="宋体"/>
                <w:color w:val="auto"/>
                <w:kern w:val="0"/>
                <w:sz w:val="20"/>
                <w:szCs w:val="21"/>
                <w:highlight w:val="none"/>
              </w:rPr>
              <w:t>应收款</w:t>
            </w:r>
            <w:bookmarkEnd w:id="172"/>
          </w:p>
        </w:tc>
        <w:tc>
          <w:tcPr>
            <w:tcW w:w="1155" w:type="dxa"/>
            <w:vAlign w:val="center"/>
          </w:tcPr>
          <w:p w14:paraId="481ADDEB">
            <w:pPr>
              <w:jc w:val="center"/>
              <w:rPr>
                <w:rFonts w:ascii="宋体"/>
                <w:color w:val="auto"/>
                <w:kern w:val="0"/>
                <w:sz w:val="20"/>
                <w:szCs w:val="21"/>
                <w:highlight w:val="none"/>
              </w:rPr>
            </w:pPr>
            <w:bookmarkStart w:id="173" w:name="_Toc221950864"/>
            <w:r>
              <w:rPr>
                <w:rFonts w:hint="eastAsia" w:ascii="宋体"/>
                <w:color w:val="auto"/>
                <w:kern w:val="0"/>
                <w:sz w:val="20"/>
                <w:szCs w:val="21"/>
                <w:highlight w:val="none"/>
              </w:rPr>
              <w:t>累计</w:t>
            </w:r>
            <w:bookmarkEnd w:id="173"/>
          </w:p>
          <w:p w14:paraId="49C05843">
            <w:pPr>
              <w:jc w:val="center"/>
              <w:rPr>
                <w:rFonts w:ascii="宋体"/>
                <w:color w:val="auto"/>
                <w:kern w:val="0"/>
                <w:sz w:val="20"/>
                <w:szCs w:val="21"/>
                <w:highlight w:val="none"/>
              </w:rPr>
            </w:pPr>
            <w:bookmarkStart w:id="174" w:name="_Toc221950865"/>
            <w:r>
              <w:rPr>
                <w:rFonts w:hint="eastAsia" w:ascii="宋体"/>
                <w:color w:val="auto"/>
                <w:kern w:val="0"/>
                <w:sz w:val="20"/>
                <w:szCs w:val="21"/>
                <w:highlight w:val="none"/>
              </w:rPr>
              <w:t>应收款</w:t>
            </w:r>
            <w:bookmarkEnd w:id="174"/>
          </w:p>
        </w:tc>
      </w:tr>
      <w:tr w14:paraId="2EA3CA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69987E1D">
            <w:pPr>
              <w:ind w:right="248"/>
              <w:jc w:val="center"/>
              <w:rPr>
                <w:rFonts w:ascii="宋体"/>
                <w:color w:val="auto"/>
                <w:kern w:val="0"/>
                <w:sz w:val="24"/>
                <w:highlight w:val="none"/>
              </w:rPr>
            </w:pPr>
          </w:p>
        </w:tc>
        <w:tc>
          <w:tcPr>
            <w:tcW w:w="414" w:type="dxa"/>
            <w:vAlign w:val="center"/>
          </w:tcPr>
          <w:p w14:paraId="1A2B0976">
            <w:pPr>
              <w:ind w:right="248"/>
              <w:jc w:val="center"/>
              <w:rPr>
                <w:rFonts w:ascii="宋体"/>
                <w:color w:val="auto"/>
                <w:kern w:val="0"/>
                <w:sz w:val="24"/>
                <w:highlight w:val="none"/>
              </w:rPr>
            </w:pPr>
          </w:p>
        </w:tc>
        <w:tc>
          <w:tcPr>
            <w:tcW w:w="960" w:type="dxa"/>
            <w:vAlign w:val="center"/>
          </w:tcPr>
          <w:p w14:paraId="0016AF11">
            <w:pPr>
              <w:ind w:right="248"/>
              <w:jc w:val="center"/>
              <w:rPr>
                <w:rFonts w:ascii="宋体"/>
                <w:color w:val="auto"/>
                <w:kern w:val="0"/>
                <w:sz w:val="24"/>
                <w:highlight w:val="none"/>
              </w:rPr>
            </w:pPr>
          </w:p>
        </w:tc>
        <w:tc>
          <w:tcPr>
            <w:tcW w:w="1155" w:type="dxa"/>
            <w:vAlign w:val="center"/>
          </w:tcPr>
          <w:p w14:paraId="0146BF53">
            <w:pPr>
              <w:ind w:right="248"/>
              <w:jc w:val="center"/>
              <w:rPr>
                <w:rFonts w:ascii="宋体"/>
                <w:color w:val="auto"/>
                <w:kern w:val="0"/>
                <w:sz w:val="24"/>
                <w:highlight w:val="none"/>
              </w:rPr>
            </w:pPr>
          </w:p>
        </w:tc>
        <w:tc>
          <w:tcPr>
            <w:tcW w:w="945" w:type="dxa"/>
            <w:vAlign w:val="center"/>
          </w:tcPr>
          <w:p w14:paraId="122683B6">
            <w:pPr>
              <w:ind w:right="248"/>
              <w:jc w:val="center"/>
              <w:rPr>
                <w:rFonts w:ascii="宋体"/>
                <w:color w:val="auto"/>
                <w:kern w:val="0"/>
                <w:sz w:val="24"/>
                <w:highlight w:val="none"/>
              </w:rPr>
            </w:pPr>
          </w:p>
        </w:tc>
        <w:tc>
          <w:tcPr>
            <w:tcW w:w="1050" w:type="dxa"/>
            <w:vAlign w:val="center"/>
          </w:tcPr>
          <w:p w14:paraId="6A9792DB">
            <w:pPr>
              <w:ind w:right="248"/>
              <w:jc w:val="center"/>
              <w:rPr>
                <w:rFonts w:ascii="宋体"/>
                <w:color w:val="auto"/>
                <w:kern w:val="0"/>
                <w:sz w:val="24"/>
                <w:highlight w:val="none"/>
              </w:rPr>
            </w:pPr>
          </w:p>
        </w:tc>
        <w:tc>
          <w:tcPr>
            <w:tcW w:w="945" w:type="dxa"/>
            <w:vAlign w:val="center"/>
          </w:tcPr>
          <w:p w14:paraId="53E9D17A">
            <w:pPr>
              <w:ind w:right="248"/>
              <w:jc w:val="center"/>
              <w:rPr>
                <w:rFonts w:ascii="宋体"/>
                <w:color w:val="auto"/>
                <w:kern w:val="0"/>
                <w:sz w:val="24"/>
                <w:highlight w:val="none"/>
              </w:rPr>
            </w:pPr>
          </w:p>
        </w:tc>
        <w:tc>
          <w:tcPr>
            <w:tcW w:w="945" w:type="dxa"/>
          </w:tcPr>
          <w:p w14:paraId="4C161348">
            <w:pPr>
              <w:ind w:right="248"/>
              <w:jc w:val="center"/>
              <w:rPr>
                <w:rFonts w:ascii="宋体"/>
                <w:color w:val="auto"/>
                <w:kern w:val="0"/>
                <w:sz w:val="24"/>
                <w:highlight w:val="none"/>
              </w:rPr>
            </w:pPr>
          </w:p>
        </w:tc>
        <w:tc>
          <w:tcPr>
            <w:tcW w:w="1050" w:type="dxa"/>
          </w:tcPr>
          <w:p w14:paraId="05EE8275">
            <w:pPr>
              <w:ind w:right="248"/>
              <w:jc w:val="center"/>
              <w:rPr>
                <w:rFonts w:ascii="宋体"/>
                <w:color w:val="auto"/>
                <w:kern w:val="0"/>
                <w:sz w:val="24"/>
                <w:highlight w:val="none"/>
              </w:rPr>
            </w:pPr>
          </w:p>
        </w:tc>
        <w:tc>
          <w:tcPr>
            <w:tcW w:w="1155" w:type="dxa"/>
            <w:vAlign w:val="center"/>
          </w:tcPr>
          <w:p w14:paraId="2A0F790E">
            <w:pPr>
              <w:ind w:right="248"/>
              <w:jc w:val="center"/>
              <w:rPr>
                <w:rFonts w:ascii="宋体"/>
                <w:color w:val="auto"/>
                <w:kern w:val="0"/>
                <w:sz w:val="24"/>
                <w:highlight w:val="none"/>
              </w:rPr>
            </w:pPr>
          </w:p>
        </w:tc>
      </w:tr>
      <w:tr w14:paraId="26669B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5C9E7377">
            <w:pPr>
              <w:ind w:right="248"/>
              <w:jc w:val="center"/>
              <w:rPr>
                <w:rFonts w:ascii="宋体"/>
                <w:color w:val="auto"/>
                <w:kern w:val="0"/>
                <w:sz w:val="24"/>
                <w:highlight w:val="none"/>
              </w:rPr>
            </w:pPr>
          </w:p>
        </w:tc>
        <w:tc>
          <w:tcPr>
            <w:tcW w:w="414" w:type="dxa"/>
            <w:vAlign w:val="center"/>
          </w:tcPr>
          <w:p w14:paraId="45C079D1">
            <w:pPr>
              <w:ind w:right="248"/>
              <w:jc w:val="center"/>
              <w:rPr>
                <w:rFonts w:ascii="宋体"/>
                <w:color w:val="auto"/>
                <w:kern w:val="0"/>
                <w:sz w:val="24"/>
                <w:highlight w:val="none"/>
              </w:rPr>
            </w:pPr>
          </w:p>
        </w:tc>
        <w:tc>
          <w:tcPr>
            <w:tcW w:w="960" w:type="dxa"/>
            <w:vAlign w:val="center"/>
          </w:tcPr>
          <w:p w14:paraId="040E1BC0">
            <w:pPr>
              <w:ind w:right="248"/>
              <w:jc w:val="center"/>
              <w:rPr>
                <w:rFonts w:ascii="宋体"/>
                <w:color w:val="auto"/>
                <w:kern w:val="0"/>
                <w:sz w:val="24"/>
                <w:highlight w:val="none"/>
              </w:rPr>
            </w:pPr>
          </w:p>
        </w:tc>
        <w:tc>
          <w:tcPr>
            <w:tcW w:w="1155" w:type="dxa"/>
            <w:vAlign w:val="center"/>
          </w:tcPr>
          <w:p w14:paraId="2C4B398B">
            <w:pPr>
              <w:ind w:right="248"/>
              <w:jc w:val="center"/>
              <w:rPr>
                <w:rFonts w:ascii="宋体"/>
                <w:color w:val="auto"/>
                <w:kern w:val="0"/>
                <w:sz w:val="24"/>
                <w:highlight w:val="none"/>
              </w:rPr>
            </w:pPr>
          </w:p>
        </w:tc>
        <w:tc>
          <w:tcPr>
            <w:tcW w:w="945" w:type="dxa"/>
            <w:vAlign w:val="center"/>
          </w:tcPr>
          <w:p w14:paraId="5CEB4417">
            <w:pPr>
              <w:ind w:right="248"/>
              <w:jc w:val="center"/>
              <w:rPr>
                <w:rFonts w:ascii="宋体"/>
                <w:color w:val="auto"/>
                <w:kern w:val="0"/>
                <w:sz w:val="24"/>
                <w:highlight w:val="none"/>
              </w:rPr>
            </w:pPr>
          </w:p>
        </w:tc>
        <w:tc>
          <w:tcPr>
            <w:tcW w:w="1050" w:type="dxa"/>
            <w:vAlign w:val="center"/>
          </w:tcPr>
          <w:p w14:paraId="48A001D8">
            <w:pPr>
              <w:ind w:right="248"/>
              <w:jc w:val="center"/>
              <w:rPr>
                <w:rFonts w:ascii="宋体"/>
                <w:color w:val="auto"/>
                <w:kern w:val="0"/>
                <w:sz w:val="24"/>
                <w:highlight w:val="none"/>
              </w:rPr>
            </w:pPr>
          </w:p>
        </w:tc>
        <w:tc>
          <w:tcPr>
            <w:tcW w:w="945" w:type="dxa"/>
            <w:vAlign w:val="center"/>
          </w:tcPr>
          <w:p w14:paraId="3D738CFE">
            <w:pPr>
              <w:ind w:right="248"/>
              <w:jc w:val="center"/>
              <w:rPr>
                <w:rFonts w:ascii="宋体"/>
                <w:color w:val="auto"/>
                <w:kern w:val="0"/>
                <w:sz w:val="24"/>
                <w:highlight w:val="none"/>
              </w:rPr>
            </w:pPr>
          </w:p>
        </w:tc>
        <w:tc>
          <w:tcPr>
            <w:tcW w:w="945" w:type="dxa"/>
          </w:tcPr>
          <w:p w14:paraId="14F4B7BB">
            <w:pPr>
              <w:ind w:right="248"/>
              <w:jc w:val="center"/>
              <w:rPr>
                <w:rFonts w:ascii="宋体"/>
                <w:color w:val="auto"/>
                <w:kern w:val="0"/>
                <w:sz w:val="24"/>
                <w:highlight w:val="none"/>
              </w:rPr>
            </w:pPr>
          </w:p>
        </w:tc>
        <w:tc>
          <w:tcPr>
            <w:tcW w:w="1050" w:type="dxa"/>
          </w:tcPr>
          <w:p w14:paraId="0B39310B">
            <w:pPr>
              <w:ind w:right="248"/>
              <w:jc w:val="center"/>
              <w:rPr>
                <w:rFonts w:ascii="宋体"/>
                <w:color w:val="auto"/>
                <w:kern w:val="0"/>
                <w:sz w:val="24"/>
                <w:highlight w:val="none"/>
              </w:rPr>
            </w:pPr>
          </w:p>
        </w:tc>
        <w:tc>
          <w:tcPr>
            <w:tcW w:w="1155" w:type="dxa"/>
            <w:vAlign w:val="center"/>
          </w:tcPr>
          <w:p w14:paraId="2C1B17A3">
            <w:pPr>
              <w:ind w:right="248"/>
              <w:jc w:val="center"/>
              <w:rPr>
                <w:rFonts w:ascii="宋体"/>
                <w:color w:val="auto"/>
                <w:kern w:val="0"/>
                <w:sz w:val="24"/>
                <w:highlight w:val="none"/>
              </w:rPr>
            </w:pPr>
          </w:p>
        </w:tc>
      </w:tr>
      <w:tr w14:paraId="721207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4" w:type="dxa"/>
            <w:vAlign w:val="center"/>
          </w:tcPr>
          <w:p w14:paraId="495E3087">
            <w:pPr>
              <w:ind w:right="248"/>
              <w:jc w:val="center"/>
              <w:rPr>
                <w:rFonts w:ascii="宋体"/>
                <w:color w:val="auto"/>
                <w:kern w:val="0"/>
                <w:sz w:val="24"/>
                <w:highlight w:val="none"/>
              </w:rPr>
            </w:pPr>
          </w:p>
        </w:tc>
        <w:tc>
          <w:tcPr>
            <w:tcW w:w="414" w:type="dxa"/>
            <w:vAlign w:val="center"/>
          </w:tcPr>
          <w:p w14:paraId="3D787BD1">
            <w:pPr>
              <w:ind w:right="248"/>
              <w:jc w:val="center"/>
              <w:rPr>
                <w:rFonts w:ascii="宋体"/>
                <w:color w:val="auto"/>
                <w:kern w:val="0"/>
                <w:sz w:val="24"/>
                <w:highlight w:val="none"/>
              </w:rPr>
            </w:pPr>
          </w:p>
        </w:tc>
        <w:tc>
          <w:tcPr>
            <w:tcW w:w="960" w:type="dxa"/>
            <w:vAlign w:val="center"/>
          </w:tcPr>
          <w:p w14:paraId="5232D36C">
            <w:pPr>
              <w:ind w:right="248"/>
              <w:jc w:val="center"/>
              <w:rPr>
                <w:rFonts w:ascii="宋体"/>
                <w:color w:val="auto"/>
                <w:kern w:val="0"/>
                <w:sz w:val="24"/>
                <w:highlight w:val="none"/>
              </w:rPr>
            </w:pPr>
          </w:p>
        </w:tc>
        <w:tc>
          <w:tcPr>
            <w:tcW w:w="1155" w:type="dxa"/>
            <w:vAlign w:val="center"/>
          </w:tcPr>
          <w:p w14:paraId="02E5AF8E">
            <w:pPr>
              <w:ind w:right="248"/>
              <w:jc w:val="center"/>
              <w:rPr>
                <w:rFonts w:ascii="宋体"/>
                <w:color w:val="auto"/>
                <w:kern w:val="0"/>
                <w:sz w:val="24"/>
                <w:highlight w:val="none"/>
              </w:rPr>
            </w:pPr>
          </w:p>
        </w:tc>
        <w:tc>
          <w:tcPr>
            <w:tcW w:w="945" w:type="dxa"/>
            <w:vAlign w:val="center"/>
          </w:tcPr>
          <w:p w14:paraId="408C7B7B">
            <w:pPr>
              <w:ind w:right="248"/>
              <w:jc w:val="center"/>
              <w:rPr>
                <w:rFonts w:ascii="宋体"/>
                <w:color w:val="auto"/>
                <w:kern w:val="0"/>
                <w:sz w:val="24"/>
                <w:highlight w:val="none"/>
              </w:rPr>
            </w:pPr>
          </w:p>
        </w:tc>
        <w:tc>
          <w:tcPr>
            <w:tcW w:w="1050" w:type="dxa"/>
            <w:vAlign w:val="center"/>
          </w:tcPr>
          <w:p w14:paraId="6869ED8F">
            <w:pPr>
              <w:ind w:right="248"/>
              <w:jc w:val="center"/>
              <w:rPr>
                <w:rFonts w:ascii="宋体"/>
                <w:color w:val="auto"/>
                <w:kern w:val="0"/>
                <w:sz w:val="24"/>
                <w:highlight w:val="none"/>
              </w:rPr>
            </w:pPr>
          </w:p>
        </w:tc>
        <w:tc>
          <w:tcPr>
            <w:tcW w:w="945" w:type="dxa"/>
            <w:vAlign w:val="center"/>
          </w:tcPr>
          <w:p w14:paraId="42CB698E">
            <w:pPr>
              <w:ind w:right="248"/>
              <w:jc w:val="center"/>
              <w:rPr>
                <w:rFonts w:ascii="宋体"/>
                <w:color w:val="auto"/>
                <w:kern w:val="0"/>
                <w:sz w:val="24"/>
                <w:highlight w:val="none"/>
              </w:rPr>
            </w:pPr>
          </w:p>
        </w:tc>
        <w:tc>
          <w:tcPr>
            <w:tcW w:w="945" w:type="dxa"/>
          </w:tcPr>
          <w:p w14:paraId="109D47ED">
            <w:pPr>
              <w:ind w:right="248"/>
              <w:jc w:val="center"/>
              <w:rPr>
                <w:rFonts w:ascii="宋体"/>
                <w:color w:val="auto"/>
                <w:kern w:val="0"/>
                <w:sz w:val="24"/>
                <w:highlight w:val="none"/>
              </w:rPr>
            </w:pPr>
          </w:p>
        </w:tc>
        <w:tc>
          <w:tcPr>
            <w:tcW w:w="1050" w:type="dxa"/>
          </w:tcPr>
          <w:p w14:paraId="7CDD12AE">
            <w:pPr>
              <w:ind w:right="248"/>
              <w:jc w:val="center"/>
              <w:rPr>
                <w:rFonts w:ascii="宋体"/>
                <w:color w:val="auto"/>
                <w:kern w:val="0"/>
                <w:sz w:val="24"/>
                <w:highlight w:val="none"/>
              </w:rPr>
            </w:pPr>
          </w:p>
        </w:tc>
        <w:tc>
          <w:tcPr>
            <w:tcW w:w="1155" w:type="dxa"/>
            <w:vAlign w:val="center"/>
          </w:tcPr>
          <w:p w14:paraId="48229745">
            <w:pPr>
              <w:ind w:right="248"/>
              <w:jc w:val="center"/>
              <w:rPr>
                <w:rFonts w:ascii="宋体"/>
                <w:color w:val="auto"/>
                <w:kern w:val="0"/>
                <w:sz w:val="24"/>
                <w:highlight w:val="none"/>
              </w:rPr>
            </w:pPr>
          </w:p>
        </w:tc>
      </w:tr>
    </w:tbl>
    <w:p w14:paraId="38C45BF0">
      <w:pPr>
        <w:spacing w:line="360" w:lineRule="auto"/>
        <w:ind w:firstLine="420" w:firstLineChars="200"/>
        <w:rPr>
          <w:rFonts w:hint="eastAsia" w:ascii="宋体" w:hAnsi="宋体"/>
          <w:color w:val="auto"/>
          <w:szCs w:val="24"/>
          <w:highlight w:val="none"/>
        </w:rPr>
      </w:pPr>
    </w:p>
    <w:p w14:paraId="6007D7E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 开工和竣工（完工）</w:t>
      </w:r>
    </w:p>
    <w:p w14:paraId="27F3CC2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 开工</w:t>
      </w:r>
    </w:p>
    <w:p w14:paraId="4EECF12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11.1.1 监理人应在开工日期 7 天前向承包人发出开工通知。监理人在发出开工通知前应获得发包人同意。工期自监理人发出的开工通知中载明的开工日期起计算。承包人应在开工日期后尽快施工。</w:t>
      </w:r>
    </w:p>
    <w:p w14:paraId="72ED3DD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126A29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11.1.3 若发包人未能按合同约定向承包人提供开工的必要条件，承包人有权要求延长工期。监理人应在收到承包人的书面要求后，按第 3.5 款的约定，与合同双方商定或确定增加的费用和延长的工期。</w:t>
      </w:r>
    </w:p>
    <w:p w14:paraId="0DC945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11.1.4 承包人在接到开工通知后 14 天内未按进度计划要求及时进场组织施工，监理人可通知承包人在接到通知后 7 天内提交一份说明其进场延误的书面报告，报送监理人。书面报告应说明不能及时进场的原因和补救措施，由此增加的费用和工期延误责任由承包人承担。</w:t>
      </w:r>
    </w:p>
    <w:p w14:paraId="7D82681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11.2 竣工（完工）</w:t>
      </w:r>
    </w:p>
    <w:p w14:paraId="0EE12D2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承包人应在第 1.1.4.3 目约定的期限内完成合同工程。合同工程实际完工日期在合同工程完工证书中明确。</w:t>
      </w:r>
    </w:p>
    <w:p w14:paraId="6F8EEEF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11.3 发包人的工期延误</w:t>
      </w:r>
    </w:p>
    <w:p w14:paraId="597153F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在履行合同过程中，由于发包人的下列原因造成工期延误的，承包人有权要求发包人延长工期和（或）增加费用，并支付合理利润。需要修订合同进度计划的，按照第 10.2 款的约定办理。</w:t>
      </w:r>
    </w:p>
    <w:p w14:paraId="6BAFF2D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（1）增加合同工作内容；</w:t>
      </w:r>
    </w:p>
    <w:p w14:paraId="58040B7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（2）改变合同中任何一项工作的质量要求或其他特性；</w:t>
      </w:r>
    </w:p>
    <w:p w14:paraId="2E3849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（3）发包人迟延提供材料、工程设备或变更交货地点的；</w:t>
      </w:r>
    </w:p>
    <w:p w14:paraId="407A66F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（4）因发包人原因导致的暂停施工；</w:t>
      </w:r>
    </w:p>
    <w:p w14:paraId="32CDE51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（5）提供图纸延误；</w:t>
      </w:r>
    </w:p>
    <w:p w14:paraId="1FDA230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（6）未按合同约定及时支付预付款、进度款；</w:t>
      </w:r>
    </w:p>
    <w:p w14:paraId="0E7FB46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（7）发包人造成工期延误的其他原因。</w:t>
      </w:r>
    </w:p>
    <w:p w14:paraId="543928A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 异常恶劣的气候条件</w:t>
      </w:r>
    </w:p>
    <w:p w14:paraId="2FD9D9A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11.4.1 当工程所在地发生危及施工安全的异常恶劣气候时，发包人和承包人应按本合同通用合同条款第 12 条的约定，及时采取暂停施工或部分暂停施工措施。异常恶劣气候条件解除后，承包人应及时安排复工。</w:t>
      </w:r>
    </w:p>
    <w:p w14:paraId="537F919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11.4.2 异常恶劣气候条件造成的工期延误和工程损坏，应由发包人与承包人参照本合同通用合同条款第 21.3 款的约定共同协商处理。</w:t>
      </w:r>
    </w:p>
    <w:p w14:paraId="60022BD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11.4.3 本合同工程界定异常恶劣气候条件的范围在专用合同条款中约定。</w:t>
      </w:r>
    </w:p>
    <w:p w14:paraId="4E58E85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11.5 承包人工期延误</w:t>
      </w:r>
    </w:p>
    <w:p w14:paraId="43D5460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67EBD21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11.6 工期提前</w:t>
      </w:r>
    </w:p>
    <w:p w14:paraId="5CE7462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2F7BD7F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发包人要求提前完工的，双方协商一致后应签订提前完工协议，协议内容包括：</w:t>
      </w:r>
    </w:p>
    <w:p w14:paraId="3D18A0E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（1）提前的时间和修订后的进度计划。</w:t>
      </w:r>
    </w:p>
    <w:p w14:paraId="74E1A2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（2）承包人的赶工措施。</w:t>
      </w:r>
    </w:p>
    <w:p w14:paraId="0F118D6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（3）发包人为赶工提供的条件。</w:t>
      </w:r>
    </w:p>
    <w:p w14:paraId="2F6B994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（4）赶工费用（包括利润和奖金）</w:t>
      </w:r>
    </w:p>
    <w:p w14:paraId="4DE48E0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 暂停施工</w:t>
      </w:r>
    </w:p>
    <w:p w14:paraId="5429ED8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12.1 承包人暂停施工的责任</w:t>
      </w:r>
    </w:p>
    <w:p w14:paraId="678A09F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因下列暂停施工增加的费用和（或）工期延误由承包人承担：</w:t>
      </w:r>
    </w:p>
    <w:p w14:paraId="35AE26B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（1）承包人违约引起的暂停施工；</w:t>
      </w:r>
    </w:p>
    <w:p w14:paraId="75104BB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（2）由于承包人原因为工程合理施工和安全保障所必需的暂停施工；</w:t>
      </w:r>
    </w:p>
    <w:p w14:paraId="0D349FE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（3）承包人擅自暂停施工；</w:t>
      </w:r>
    </w:p>
    <w:p w14:paraId="36E6B88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（4）承包人其他原因引起的暂停施工；</w:t>
      </w:r>
    </w:p>
    <w:p w14:paraId="4C4216E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（5）专用合同条款约定由承包人承担的其他暂停施工。</w:t>
      </w:r>
    </w:p>
    <w:p w14:paraId="1E76033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12.2 发包人暂停施工的责任</w:t>
      </w:r>
    </w:p>
    <w:p w14:paraId="306670F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由于发包人原因引起的暂停施工造成工期延误的，承包人有权要求发包人延长工期和（或）增加费用，并支付合理利润。属于下列任何一种情况引起的暂停施工，均为发包人的责任：</w:t>
      </w:r>
    </w:p>
    <w:p w14:paraId="65092DC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(1)由于发包人违约引起的暂停施工。</w:t>
      </w:r>
    </w:p>
    <w:p w14:paraId="2C2D973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(2)由于不可抗力的自然或社会因素引起的暂停施工。</w:t>
      </w:r>
    </w:p>
    <w:p w14:paraId="6C0ED8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(3)专用合同条款中约定的其它由于发包人原因引起的暂停施工。</w:t>
      </w:r>
    </w:p>
    <w:p w14:paraId="109DE0F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12.3 监理人暂停施工指示</w:t>
      </w:r>
    </w:p>
    <w:p w14:paraId="13CC4BF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12.3.1 监理人认为有必要时，可向承包人作出暂停施工的指示，承包人应按监理人指示暂停施工。不论由于何种原因引起的暂停施工，暂停施工期间承包人应负责妥善保护工程并提供安全保障。</w:t>
      </w:r>
    </w:p>
    <w:p w14:paraId="1F8AC2E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14:paraId="2963198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12.4 暂停施工后的复工</w:t>
      </w:r>
    </w:p>
    <w:p w14:paraId="59D6A66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1AB9D7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12.4.2 承包人无故拖延和拒绝复工的，由此增加的费用和工期延误由承包人承担；因发包人原因无法按时复工的，承包人有权要求发包人延长工期和（或）增加费用，并支付合理利润。</w:t>
      </w:r>
    </w:p>
    <w:p w14:paraId="66965B3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12.5 暂停施工持续 56 天以上</w:t>
      </w:r>
    </w:p>
    <w:p w14:paraId="3135C92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12.5.1 监理人发出暂停施工指示后 56 天内未向承包人发出复工通知，除了该项停工属于第 12. 1款的情况外，承包人可向监理人提交书面通知，要求监理人在收到书面通知后 28 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款的约定办理。</w:t>
      </w:r>
    </w:p>
    <w:p w14:paraId="7772F9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12.5.2 由于承包人责任引起的暂停施工，如承包人在收到监理人暂停施工指示后 56 天内不认真采取有效的复工措施，造成工期延误，可视为承包人违约，应按第 22.1 款的约定办理。</w:t>
      </w:r>
    </w:p>
    <w:p w14:paraId="10DF066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 工程质量</w:t>
      </w:r>
    </w:p>
    <w:p w14:paraId="5706705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13.1 工程质量要求</w:t>
      </w:r>
    </w:p>
    <w:p w14:paraId="2D0FC2C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13.1.1 工程质量验收按合同约定验收标准执行。</w:t>
      </w:r>
    </w:p>
    <w:p w14:paraId="50AFD64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13.1.2 因承包人原因造成工程质量达不到合同约定验收标准的，监理人有权要求承包人返工直至符合合同要求为止，由此造成的费用增加和（或）工期延误由承包人承担。</w:t>
      </w:r>
    </w:p>
    <w:p w14:paraId="04BB81E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13.1.3 因发包人原因造成工程质量达不到合同约定验收标准的，发包人应承担由于承包人返工造成的费用增加和（或）工期延误，并支付承包人合理利润。</w:t>
      </w:r>
    </w:p>
    <w:p w14:paraId="2872A82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13.2 承包人的质量管理</w:t>
      </w:r>
    </w:p>
    <w:p w14:paraId="51A8921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监批。监理人应在技术标准和要求（合同技术条款）约定期限内批复承包人。</w:t>
      </w:r>
    </w:p>
    <w:p w14:paraId="4AFA4F1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13.2.2 承包人应加强对施工人员的质量教育和技术培训，定期考核施工人员的劳动技能，严格执行规范和操作规程。</w:t>
      </w:r>
    </w:p>
    <w:p w14:paraId="7FB9A0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13.3 承包人的质量检查</w:t>
      </w:r>
    </w:p>
    <w:p w14:paraId="0F443CE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承包人应按合同约定对材料、工程设备以及工程的所有部位及其施工工艺进行全过程的质量检查和检验，并作详细记录，编制工程质量报表，报送监理人审查。</w:t>
      </w:r>
    </w:p>
    <w:p w14:paraId="47E1BC3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13.4 监理人的质量检查</w:t>
      </w:r>
    </w:p>
    <w:p w14:paraId="39FF6B3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16C01A6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13.5 工程隐蔽部位覆盖前的检查</w:t>
      </w:r>
    </w:p>
    <w:p w14:paraId="62C0E47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13.5.1 通知监理人检查</w:t>
      </w:r>
    </w:p>
    <w:p w14:paraId="1D08776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68DA692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13.5.2 监理人未到场检查</w:t>
      </w:r>
    </w:p>
    <w:p w14:paraId="1E013E8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监理人未按第 13.5.1 项约定的时间进行检查的，除监理人另有指示外，承包人可自行完成覆盖工作，并作相应记录报送监理人，监理人应签字确认。监理人事后对检查记录有疑问的，可按第 13.5.3项的约定重新检查。</w:t>
      </w:r>
    </w:p>
    <w:p w14:paraId="30C9C6A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13.5.3 监理人重新检查</w:t>
      </w:r>
    </w:p>
    <w:p w14:paraId="47D77C5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30C9F6D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13.5.4 承包人私自覆盖</w:t>
      </w:r>
    </w:p>
    <w:p w14:paraId="4F104D4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承包人未通知监理人到场检查，私自将工程隐蔽部位覆盖的，监理人有权指示承包人钻孔探测或揭开检查，由此增加的费用和（或）工期延误由承包人承担。</w:t>
      </w:r>
    </w:p>
    <w:p w14:paraId="3F71AA8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13.6 清除不合格工程</w:t>
      </w:r>
    </w:p>
    <w:p w14:paraId="06A8FCE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1BFAF24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13.6.2 由于发包人提供的材料或工程设备不合格造成的工程不合格，需要承包人采取措施补救的，发包人应承担由此增加的费用和（或）工期延误，并支付承包人合理利润。</w:t>
      </w:r>
    </w:p>
    <w:p w14:paraId="052E394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 质量评定</w:t>
      </w:r>
    </w:p>
    <w:p w14:paraId="595859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13.7.1 发包人应组织进行工程项目划分，并确定单位工程、主要分部工程、重要隐蔽单元工程和关键部位单元工程。</w:t>
      </w:r>
    </w:p>
    <w:p w14:paraId="2D74DF2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13.7.2 工程实施过程中，单位工程、主要分部工程、重要隐蔽单元工程和关键部位单元工程的项目划分需要调整时，承包人应报发包人确认。</w:t>
      </w:r>
    </w:p>
    <w:p w14:paraId="77A1691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13.7.3 承包人应在单元（工序）工程质量自评合格后，报监理人核定质量等级并签证认可。</w:t>
      </w:r>
    </w:p>
    <w:p w14:paraId="064A026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13.7.4 除专用合同条款另有约定外，承包人应在重要隐蔽单元工程及关键部位单元工程质量自评合格后以及监理人抽检后，由监理人组织承包人等单位组成的联合小组，共同检查核定其质量等级并填写签证表。发包人按有关规定完成质量结论报工程质量监督机构核备手续。</w:t>
      </w:r>
    </w:p>
    <w:p w14:paraId="604B224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13.7.5 承包人应在分部工程质量自评合格后，报监理人复核和发包人认定。发包人负责按有关规定完成分部工程质量结论报工程质量监督机构核备（核定）手续。</w:t>
      </w:r>
    </w:p>
    <w:p w14:paraId="3D6ED71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13.7.6 承包人应在单位工程质量自评合格后，报监理人复核和发包人认定。发包人负责按有关规定完成单位工程质量结论报工程质量监督机构核定手续。</w:t>
      </w:r>
    </w:p>
    <w:p w14:paraId="603F146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13.7.7 除专用合同条款另有约定外，工程质量等级分为合格和优良，应分别达到约定的标准。</w:t>
      </w:r>
    </w:p>
    <w:p w14:paraId="6EFF8FD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13.8 质量事故处理</w:t>
      </w:r>
    </w:p>
    <w:p w14:paraId="5D3DD05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13.8.1 发生质量事故时，承包人应及时向发包人和监理人报告。</w:t>
      </w:r>
    </w:p>
    <w:p w14:paraId="276EA47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13.8.2 质量事故调查处理由发包人按相关规定履行手续，承包人应配合。</w:t>
      </w:r>
    </w:p>
    <w:p w14:paraId="5AA7998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13.8.3 承包人应对质量缺陷进行备案。发包人委托监理人对质量缺陷备案情况进行监督检查并履行相关手续。</w:t>
      </w:r>
    </w:p>
    <w:p w14:paraId="6AB8DFE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13.8.4 除专用合同条款另有约定外，工程竣工验收时，发包人负责向竣工验收委员会汇报并提交历次质量缺陷处理的备案资料。</w:t>
      </w:r>
    </w:p>
    <w:p w14:paraId="5171716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 试验和检验</w:t>
      </w:r>
    </w:p>
    <w:p w14:paraId="0819A01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 14.1 材料、工程设备和工程的试验和检验</w:t>
      </w:r>
    </w:p>
    <w:p w14:paraId="5A1F7A5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04A5D3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14.1.2 监理人未按合同约定派员参加试验和检验的，除监理人另有指示外，承包人可自行试验和检验，并应立即将试验和检验结果报送监理人，监理人应签字确认。</w:t>
      </w:r>
    </w:p>
    <w:p w14:paraId="68AB977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19DE9EE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14.1.4 承包人应按相关规定和标准对水泥、钢材等原材料与中间产品质量进行检验，并报监理人复核。</w:t>
      </w:r>
    </w:p>
    <w:p w14:paraId="0C82C24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0F633C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14.1.6 对专用合同条款约定的试块、试件及有关材料，监理人实行见证取样。见证取样资料由承包人制备，记录应真实齐全，监理人、承包人等参与见证取样人员均应在相关文件上签字。</w:t>
      </w:r>
    </w:p>
    <w:p w14:paraId="6D19165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14.2 现场材料试验</w:t>
      </w:r>
    </w:p>
    <w:p w14:paraId="767A25F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14.2.1 承包人根据合同约定或监理人指示进行的现场材料试验，应由承包人提供试验场所、试验人员、试验设备器材以及其他必要的试验条件。</w:t>
      </w:r>
    </w:p>
    <w:p w14:paraId="470FA7B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14.2.2 监理人在必要时可以使用承包人的试验场所、试验设备器材以及其他试验条件，进行以工程质量检查为目的的复核性材料试验，承包人应予以协助。</w:t>
      </w:r>
    </w:p>
    <w:p w14:paraId="3EA2AEE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14.3 现场工艺试验</w:t>
      </w:r>
    </w:p>
    <w:p w14:paraId="021C214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承包人应按合同约定或监理人指示进行现场工艺试验。对大型的现场工艺试验，监理人认为必要时，应由承包人根据监理人提出的工艺试验要求，编制工艺试验措施计划，报送监理人审批。</w:t>
      </w:r>
    </w:p>
    <w:p w14:paraId="0C350F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 变更</w:t>
      </w:r>
    </w:p>
    <w:p w14:paraId="6AA5A33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15.1 变更的范围和内容</w:t>
      </w:r>
    </w:p>
    <w:p w14:paraId="6F72DB3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在履行合同中发生以下情形之一，应按照本条规定进行变更。</w:t>
      </w:r>
    </w:p>
    <w:p w14:paraId="244FEB8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（1）取消合同中任何一项工作，但被取消的工作不能转由发包人或其它人实施；</w:t>
      </w:r>
    </w:p>
    <w:p w14:paraId="290A5B5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（2）改变合同中任何一项工作的质量或其它特性；</w:t>
      </w:r>
    </w:p>
    <w:p w14:paraId="0D5F5AF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（3）改变合同工程的基线、标高、位置或尺寸；</w:t>
      </w:r>
    </w:p>
    <w:p w14:paraId="1E31BCA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（4）改变合同中任何一项工作的施工时间或改变已批准的施工工艺或顺序；</w:t>
      </w:r>
    </w:p>
    <w:p w14:paraId="752017D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（5）为完成工程需要追加的额外工作。</w:t>
      </w:r>
    </w:p>
    <w:p w14:paraId="6B4012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增加或减少专用合同条款中约定的关键项目工程量超过其工程总量的一定数量的百分比。上述第（1）～（6）目的变更内容引起工程施工组织和进度计划发生实质性变动和影响其原定的价格时，才予调整该项目的单价。第（6）目情形下单价调整方式在专用合同条款中约定。</w:t>
      </w:r>
    </w:p>
    <w:p w14:paraId="1419B39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15.2 变更权</w:t>
      </w:r>
    </w:p>
    <w:p w14:paraId="390B96F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在履行合同过程中，经发包人同意，监理人可按第 15.3 款约定的变更程序向承包人作出变更指示，承包人应遵照执行。没有监理人的变更指示，承包人不得擅自变更。</w:t>
      </w:r>
    </w:p>
    <w:p w14:paraId="0CABB69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15.3 变更程序</w:t>
      </w:r>
    </w:p>
    <w:p w14:paraId="3289449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15.3.1 变更的提出</w:t>
      </w:r>
    </w:p>
    <w:p w14:paraId="5718CDA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p>
    <w:p w14:paraId="6D96BBC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（2）在合同履行过程中，发生第 15.1 款约定情形的，监理人应按照第 15.3.3 项约定向承包人发出变更指示。</w:t>
      </w:r>
    </w:p>
    <w:p w14:paraId="4AAFF83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14:paraId="5BD27EA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（4）若承包人收到监理人的变更意向书后认为难以实施此项变更，应立即通知监理人，说明原因并附详细依据。监理人与承包人和发包人协商后确定撤销、改变或不改变原变更意向书。</w:t>
      </w:r>
    </w:p>
    <w:p w14:paraId="355154E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15.3.2 变更估价</w:t>
      </w:r>
    </w:p>
    <w:p w14:paraId="0C3347B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（1）除专用合同条款对期限另有约定外，承包人应在收到变更指示或变更意向书后的 14 天内，向监理人提交变更报价书，报价内容应根据第 15.4 款约定的估价原则，详细开列变更工作的价格组成及其依据，并附必要的施工方法说明和有关图纸。</w:t>
      </w:r>
    </w:p>
    <w:p w14:paraId="2653D00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（2）变更工作影响工期的，承包人应提出调整工期的具体细节。监理人认为有必要时，可要求承包人提交要求提前或延长工期的施工进度计划及相应施工措施等详细资料。</w:t>
      </w:r>
    </w:p>
    <w:p w14:paraId="785FDF5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（3）除专用合同条款对期限另有约定外，监理人收到承包人变更报价书后的 14 天内，根据第 15.4款约定的估价原则，按照第 3.5 款商定或确定变更价格。</w:t>
      </w:r>
    </w:p>
    <w:p w14:paraId="110763F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15.3.3 变更指示</w:t>
      </w:r>
    </w:p>
    <w:p w14:paraId="6393F66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（1）变更指示只能由监理人发出。</w:t>
      </w:r>
    </w:p>
    <w:p w14:paraId="3E60427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（2）变更指示应说明变更的目的、范围、变更内容以及变更的工程量及其进度和技术要求，并附有关图纸和文件。承包人收到变更指示后，应按变更指示进行变更工作。</w:t>
      </w:r>
    </w:p>
    <w:p w14:paraId="0DE32E9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15.4 变更的估价原则</w:t>
      </w:r>
    </w:p>
    <w:p w14:paraId="5F7F42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除专用合同条款另有约定外，因变更引起的价格调整按照本款约定处理。</w:t>
      </w:r>
    </w:p>
    <w:p w14:paraId="3030AF2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15.4.1 已标价工程量清单中有适用于变更工作的子目的，采用该子目的单价。</w:t>
      </w:r>
    </w:p>
    <w:p w14:paraId="56BCE24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15.4.2 已标价工程量清单中无适用于变更工作的子目，但有类似子目的，可在合理范围内参照类似子目的单价，由监理人按第 3.5 款商定或确定变更工作的单价。</w:t>
      </w:r>
    </w:p>
    <w:p w14:paraId="2741BF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15.4.3 已标价工程量清单中无适用或类似子目的单价，可按照成本加利润的原则，由监理人按第 3.5 款商定或确定变更工作的单价。</w:t>
      </w:r>
    </w:p>
    <w:p w14:paraId="206D6DF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15.5 承包人的合理化建议</w:t>
      </w:r>
    </w:p>
    <w:p w14:paraId="211FBE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14:paraId="59D24ED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15.5.2 承包人提出的合理化建议降低了合同价格、缩短了工期或者提高了工程经济效益的，发包人可按国家有关规定在专用合同条款中约定给予奖励。</w:t>
      </w:r>
    </w:p>
    <w:p w14:paraId="7427E47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15.6 暂列金额</w:t>
      </w:r>
    </w:p>
    <w:p w14:paraId="3974E9A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暂列金额只能按照监理人的指示使用，并对合同价格进行相应调整。</w:t>
      </w:r>
    </w:p>
    <w:p w14:paraId="55344A2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15.7 计日工</w:t>
      </w:r>
    </w:p>
    <w:p w14:paraId="520E045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15.7.1 发包人认为有必要时，由监理人通知承包人以计日工方式实施变更的零星工作。其价款按列入已标价工程量清单中的计日工计价子目及其单价进行计算。</w:t>
      </w:r>
    </w:p>
    <w:p w14:paraId="7EC8C08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15.7.2 采用计日工计价的任何一项变更工作，应从暂列金额中支付，承包人应在该项变更的实施过程中，每天提交以下报表和有关凭证报送监理人审批：</w:t>
      </w:r>
    </w:p>
    <w:p w14:paraId="768F468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（1）工作名称、内容和数量；</w:t>
      </w:r>
    </w:p>
    <w:p w14:paraId="71924F9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（2）投入该工作所有人员的姓名、工种、级别和耗用工时；</w:t>
      </w:r>
    </w:p>
    <w:p w14:paraId="1504088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（3）投入该工作的材料类别和数量；</w:t>
      </w:r>
    </w:p>
    <w:p w14:paraId="56C8178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（4）投入该工作的施工设备型号、台数和耗用台时；</w:t>
      </w:r>
    </w:p>
    <w:p w14:paraId="553C8DB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（5）监理人要求提交的其他资料和凭证。</w:t>
      </w:r>
    </w:p>
    <w:p w14:paraId="0F1635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15.7.3 计日工由承包人汇总后，按第 17.3.2 项的约定列入进度付款申请单，由监理人复核并经发包人同意后列入进度付款。</w:t>
      </w:r>
    </w:p>
    <w:p w14:paraId="620B443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15.8 暂估价</w:t>
      </w:r>
    </w:p>
    <w:p w14:paraId="6544309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与工程量清单中所列金额差以及相应的税金等其他费用列入合同价格。必须招标的暂估价项目招标组织形式、发包人和承包人组织招标时双方的权利义务关系在专用合同条款中约定。</w:t>
      </w:r>
    </w:p>
    <w:p w14:paraId="040814E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15.8.2 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14:paraId="4517914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15.8.3 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p>
    <w:p w14:paraId="342E229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 价格调整</w:t>
      </w:r>
    </w:p>
    <w:p w14:paraId="68F10E9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 物价波动引起的价格调整</w:t>
      </w:r>
    </w:p>
    <w:p w14:paraId="02C9584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由于物价波动原因引起合同价格需要调整的，其价格调整方式在专用合同条款中约定。</w:t>
      </w:r>
    </w:p>
    <w:p w14:paraId="014C4FB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16.1.1 采用价格指数调整价格差额</w:t>
      </w:r>
    </w:p>
    <w:p w14:paraId="679B1AF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16.1.1.1 价格调整公式</w:t>
      </w:r>
    </w:p>
    <w:p w14:paraId="44664D64">
      <w:pPr>
        <w:spacing w:line="360" w:lineRule="auto"/>
        <w:ind w:firstLine="420" w:firstLineChars="200"/>
        <w:rPr>
          <w:rFonts w:hint="eastAsia" w:ascii="宋体" w:hAnsi="宋体" w:cs="宋体"/>
          <w:color w:val="auto"/>
          <w:kern w:val="0"/>
          <w:szCs w:val="21"/>
          <w:highlight w:val="none"/>
        </w:rPr>
      </w:pPr>
      <w:r>
        <w:rPr>
          <w:rFonts w:hint="eastAsia" w:ascii="宋体" w:hAnsi="宋体"/>
          <w:color w:val="auto"/>
          <w:szCs w:val="24"/>
          <w:highlight w:val="none"/>
        </w:rPr>
        <w:t>因人工、材料和设备等价格波动影响合同价格时，根据投标函附录中的价格指数和权重表约定的数据，</w:t>
      </w:r>
      <w:r>
        <w:rPr>
          <w:rFonts w:hint="eastAsia" w:ascii="宋体" w:hAnsi="宋体" w:cs="宋体"/>
          <w:color w:val="auto"/>
          <w:kern w:val="0"/>
          <w:szCs w:val="21"/>
          <w:highlight w:val="none"/>
        </w:rPr>
        <w:t>按以下公式计算差额并调整合同价格。</w:t>
      </w:r>
    </w:p>
    <w:p w14:paraId="23B3CFFE">
      <w:pPr>
        <w:spacing w:line="220" w:lineRule="exact"/>
        <w:ind w:firstLine="2205" w:firstLineChars="1050"/>
        <w:rPr>
          <w:rFonts w:hint="eastAsia" w:ascii="宋体" w:hAnsi="宋体" w:cs="宋体"/>
          <w:color w:val="auto"/>
          <w:kern w:val="0"/>
          <w:szCs w:val="21"/>
          <w:highlight w:val="none"/>
        </w:rPr>
      </w:pP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 xml:space="preserve">t1        </w:t>
      </w:r>
      <w:r>
        <w:rPr>
          <w:rFonts w:hint="eastAsia" w:ascii="宋体" w:hAnsi="宋体" w:cs="宋体"/>
          <w:color w:val="auto"/>
          <w:kern w:val="0"/>
          <w:szCs w:val="21"/>
          <w:highlight w:val="none"/>
        </w:rPr>
        <w:t xml:space="preserve"> F</w:t>
      </w:r>
      <w:r>
        <w:rPr>
          <w:rFonts w:hint="eastAsia" w:ascii="宋体" w:hAnsi="宋体" w:cs="宋体"/>
          <w:color w:val="auto"/>
          <w:kern w:val="0"/>
          <w:szCs w:val="21"/>
          <w:highlight w:val="none"/>
          <w:vertAlign w:val="subscript"/>
        </w:rPr>
        <w:t xml:space="preserve">t2           </w:t>
      </w: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 xml:space="preserve">t3                  </w:t>
      </w: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tn</w:t>
      </w:r>
    </w:p>
    <w:p w14:paraId="443F14DF">
      <w:pPr>
        <w:numPr>
          <w:ilvl w:val="0"/>
          <w:numId w:val="4"/>
        </w:numPr>
        <w:spacing w:line="220" w:lineRule="exact"/>
        <w:ind w:left="780" w:hanging="360"/>
        <w:rPr>
          <w:rFonts w:hint="eastAsia" w:ascii="宋体" w:hAnsi="宋体" w:cs="宋体"/>
          <w:color w:val="auto"/>
          <w:kern w:val="0"/>
          <w:szCs w:val="21"/>
          <w:highlight w:val="none"/>
        </w:rPr>
      </w:pPr>
      <w:r>
        <w:rPr>
          <w:rFonts w:hint="eastAsia" w:ascii="宋体" w:hAnsi="宋体" w:cs="宋体"/>
          <w:color w:val="auto"/>
          <w:kern w:val="0"/>
          <w:szCs w:val="21"/>
          <w:highlight w:val="none"/>
        </w:rPr>
        <w:t>P=P</w:t>
      </w:r>
      <w:r>
        <w:rPr>
          <w:rFonts w:hint="eastAsia" w:ascii="宋体" w:hAnsi="宋体" w:cs="宋体"/>
          <w:color w:val="auto"/>
          <w:kern w:val="0"/>
          <w:szCs w:val="21"/>
          <w:highlight w:val="none"/>
          <w:vertAlign w:val="subscript"/>
        </w:rPr>
        <w:t>O</w:t>
      </w:r>
      <w:r>
        <w:rPr>
          <w:rFonts w:hint="eastAsia" w:ascii="宋体" w:hAnsi="宋体" w:cs="宋体"/>
          <w:color w:val="auto"/>
          <w:kern w:val="0"/>
          <w:szCs w:val="21"/>
          <w:highlight w:val="none"/>
        </w:rPr>
        <w:t>［A+｛B</w:t>
      </w:r>
      <w:r>
        <w:rPr>
          <w:rFonts w:hint="eastAsia" w:ascii="宋体" w:hAnsi="宋体" w:cs="宋体"/>
          <w:color w:val="auto"/>
          <w:kern w:val="0"/>
          <w:szCs w:val="21"/>
          <w:highlight w:val="none"/>
          <w:vertAlign w:val="subscript"/>
        </w:rPr>
        <w:t>1</w:t>
      </w:r>
      <w:r>
        <w:rPr>
          <w:rFonts w:hint="eastAsia" w:ascii="宋体" w:hAnsi="宋体" w:cs="宋体"/>
          <w:color w:val="auto"/>
          <w:kern w:val="0"/>
          <w:szCs w:val="21"/>
          <w:highlight w:val="none"/>
        </w:rPr>
        <w:t>×—＋B</w:t>
      </w:r>
      <w:r>
        <w:rPr>
          <w:rFonts w:hint="eastAsia" w:ascii="宋体" w:hAnsi="宋体" w:cs="宋体"/>
          <w:color w:val="auto"/>
          <w:kern w:val="0"/>
          <w:szCs w:val="21"/>
          <w:highlight w:val="none"/>
          <w:vertAlign w:val="subscript"/>
        </w:rPr>
        <w:t>2</w:t>
      </w:r>
      <w:r>
        <w:rPr>
          <w:rFonts w:hint="eastAsia" w:ascii="宋体" w:hAnsi="宋体" w:cs="宋体"/>
          <w:color w:val="auto"/>
          <w:kern w:val="0"/>
          <w:szCs w:val="21"/>
          <w:highlight w:val="none"/>
        </w:rPr>
        <w:t>×—＋B</w:t>
      </w:r>
      <w:r>
        <w:rPr>
          <w:rFonts w:hint="eastAsia" w:ascii="宋体" w:hAnsi="宋体" w:cs="宋体"/>
          <w:color w:val="auto"/>
          <w:kern w:val="0"/>
          <w:szCs w:val="21"/>
          <w:highlight w:val="none"/>
          <w:vertAlign w:val="subscript"/>
        </w:rPr>
        <w:t>3</w:t>
      </w:r>
      <w:r>
        <w:rPr>
          <w:rFonts w:hint="eastAsia" w:ascii="宋体" w:hAnsi="宋体" w:cs="宋体"/>
          <w:color w:val="auto"/>
          <w:kern w:val="0"/>
          <w:szCs w:val="21"/>
          <w:highlight w:val="none"/>
        </w:rPr>
        <w:t>×—＋…＋B</w:t>
      </w:r>
      <w:r>
        <w:rPr>
          <w:rFonts w:hint="eastAsia" w:ascii="宋体" w:hAnsi="宋体" w:cs="宋体"/>
          <w:color w:val="auto"/>
          <w:kern w:val="0"/>
          <w:szCs w:val="21"/>
          <w:highlight w:val="none"/>
          <w:vertAlign w:val="subscript"/>
        </w:rPr>
        <w:t>n</w:t>
      </w:r>
      <w:r>
        <w:rPr>
          <w:rFonts w:hint="eastAsia" w:ascii="宋体" w:hAnsi="宋体" w:cs="宋体"/>
          <w:color w:val="auto"/>
          <w:kern w:val="0"/>
          <w:szCs w:val="21"/>
          <w:highlight w:val="none"/>
        </w:rPr>
        <w:t xml:space="preserve">×—｝－1］ </w:t>
      </w:r>
    </w:p>
    <w:p w14:paraId="4310816F">
      <w:pPr>
        <w:spacing w:line="220" w:lineRule="exact"/>
        <w:ind w:left="420" w:leftChars="200" w:firstLine="1785" w:firstLineChars="850"/>
        <w:rPr>
          <w:rFonts w:hint="eastAsia" w:ascii="宋体" w:hAnsi="宋体" w:cs="宋体"/>
          <w:color w:val="auto"/>
          <w:kern w:val="0"/>
          <w:szCs w:val="21"/>
          <w:highlight w:val="none"/>
        </w:rPr>
      </w:pP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 xml:space="preserve">01          </w:t>
      </w: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 xml:space="preserve">02           </w:t>
      </w: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 xml:space="preserve">03                   </w:t>
      </w:r>
      <w:r>
        <w:rPr>
          <w:rFonts w:hint="eastAsia" w:ascii="宋体" w:hAnsi="宋体" w:cs="宋体"/>
          <w:color w:val="auto"/>
          <w:kern w:val="0"/>
          <w:szCs w:val="21"/>
          <w:highlight w:val="none"/>
        </w:rPr>
        <w:t>F</w:t>
      </w:r>
      <w:r>
        <w:rPr>
          <w:rFonts w:hint="eastAsia" w:ascii="宋体" w:hAnsi="宋体" w:cs="宋体"/>
          <w:color w:val="auto"/>
          <w:kern w:val="0"/>
          <w:szCs w:val="21"/>
          <w:highlight w:val="none"/>
          <w:vertAlign w:val="subscript"/>
        </w:rPr>
        <w:t>04</w:t>
      </w:r>
    </w:p>
    <w:p w14:paraId="6B4251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式中： △P -- 需调整的价格差额；</w:t>
      </w:r>
    </w:p>
    <w:p w14:paraId="6A43FED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P</w:t>
      </w:r>
      <w:r>
        <w:rPr>
          <w:rFonts w:hint="eastAsia" w:ascii="宋体" w:hAnsi="宋体"/>
          <w:color w:val="auto"/>
          <w:szCs w:val="24"/>
          <w:highlight w:val="none"/>
          <w:vertAlign w:val="subscript"/>
        </w:rPr>
        <w:t>0</w:t>
      </w:r>
      <w:r>
        <w:rPr>
          <w:rFonts w:hint="eastAsia" w:ascii="宋体" w:hAnsi="宋体"/>
          <w:color w:val="auto"/>
          <w:szCs w:val="24"/>
          <w:highlight w:val="none"/>
        </w:rPr>
        <w:t xml:space="preserve">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p>
    <w:p w14:paraId="4D9533E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A -- 定值权重(即不调部分的权重)；</w:t>
      </w:r>
    </w:p>
    <w:p w14:paraId="6FF634E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B</w:t>
      </w:r>
      <w:r>
        <w:rPr>
          <w:rFonts w:hint="eastAsia" w:ascii="宋体" w:hAnsi="宋体"/>
          <w:color w:val="auto"/>
          <w:szCs w:val="24"/>
          <w:highlight w:val="none"/>
          <w:vertAlign w:val="subscript"/>
        </w:rPr>
        <w:t>1</w:t>
      </w:r>
      <w:r>
        <w:rPr>
          <w:rFonts w:hint="eastAsia" w:ascii="宋体" w:hAnsi="宋体"/>
          <w:color w:val="auto"/>
          <w:szCs w:val="24"/>
          <w:highlight w:val="none"/>
        </w:rPr>
        <w:t>; B</w:t>
      </w:r>
      <w:r>
        <w:rPr>
          <w:rFonts w:hint="eastAsia" w:ascii="宋体" w:hAnsi="宋体"/>
          <w:color w:val="auto"/>
          <w:szCs w:val="24"/>
          <w:highlight w:val="none"/>
          <w:vertAlign w:val="subscript"/>
        </w:rPr>
        <w:t>2</w:t>
      </w:r>
      <w:r>
        <w:rPr>
          <w:rFonts w:hint="eastAsia" w:ascii="宋体" w:hAnsi="宋体"/>
          <w:color w:val="auto"/>
          <w:szCs w:val="24"/>
          <w:highlight w:val="none"/>
        </w:rPr>
        <w:t>;B</w:t>
      </w:r>
      <w:r>
        <w:rPr>
          <w:rFonts w:hint="eastAsia" w:ascii="宋体" w:hAnsi="宋体"/>
          <w:color w:val="auto"/>
          <w:szCs w:val="24"/>
          <w:highlight w:val="none"/>
          <w:vertAlign w:val="subscript"/>
        </w:rPr>
        <w:t>3</w:t>
      </w:r>
      <w:r>
        <w:rPr>
          <w:rFonts w:hint="eastAsia" w:ascii="宋体" w:hAnsi="宋体"/>
          <w:color w:val="auto"/>
          <w:szCs w:val="24"/>
          <w:highlight w:val="none"/>
        </w:rPr>
        <w:t>····· B</w:t>
      </w:r>
      <w:r>
        <w:rPr>
          <w:rFonts w:hint="eastAsia" w:ascii="宋体" w:hAnsi="宋体"/>
          <w:color w:val="auto"/>
          <w:szCs w:val="24"/>
          <w:highlight w:val="none"/>
          <w:vertAlign w:val="subscript"/>
        </w:rPr>
        <w:t>n</w:t>
      </w:r>
      <w:r>
        <w:rPr>
          <w:rFonts w:hint="eastAsia" w:ascii="宋体" w:hAnsi="宋体"/>
          <w:color w:val="auto"/>
          <w:szCs w:val="24"/>
          <w:highlight w:val="none"/>
        </w:rPr>
        <w:t xml:space="preserve"> -- 各可调因子的变值权重(即可调部分的权重)为各可调因子在投标函投标总报价中所占的比例；</w:t>
      </w:r>
    </w:p>
    <w:p w14:paraId="5357B2D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F</w:t>
      </w:r>
      <w:r>
        <w:rPr>
          <w:rFonts w:hint="eastAsia" w:ascii="宋体" w:hAnsi="宋体"/>
          <w:color w:val="auto"/>
          <w:szCs w:val="24"/>
          <w:highlight w:val="none"/>
          <w:vertAlign w:val="subscript"/>
        </w:rPr>
        <w:t xml:space="preserve"> t1</w:t>
      </w:r>
      <w:r>
        <w:rPr>
          <w:rFonts w:hint="eastAsia" w:ascii="宋体" w:hAnsi="宋体"/>
          <w:color w:val="auto"/>
          <w:szCs w:val="24"/>
          <w:highlight w:val="none"/>
        </w:rPr>
        <w:t xml:space="preserve"> ;F </w:t>
      </w:r>
      <w:r>
        <w:rPr>
          <w:rFonts w:hint="eastAsia" w:ascii="宋体" w:hAnsi="宋体"/>
          <w:color w:val="auto"/>
          <w:szCs w:val="24"/>
          <w:highlight w:val="none"/>
          <w:vertAlign w:val="subscript"/>
        </w:rPr>
        <w:t>t2</w:t>
      </w:r>
      <w:r>
        <w:rPr>
          <w:rFonts w:hint="eastAsia" w:ascii="宋体" w:hAnsi="宋体"/>
          <w:color w:val="auto"/>
          <w:szCs w:val="24"/>
          <w:highlight w:val="none"/>
        </w:rPr>
        <w:t xml:space="preserve"> ;F </w:t>
      </w:r>
      <w:r>
        <w:rPr>
          <w:rFonts w:hint="eastAsia" w:ascii="宋体" w:hAnsi="宋体"/>
          <w:color w:val="auto"/>
          <w:szCs w:val="24"/>
          <w:highlight w:val="none"/>
          <w:vertAlign w:val="subscript"/>
        </w:rPr>
        <w:t xml:space="preserve">t3 </w:t>
      </w:r>
      <w:r>
        <w:rPr>
          <w:rFonts w:hint="eastAsia" w:ascii="宋体" w:hAnsi="宋体"/>
          <w:color w:val="auto"/>
          <w:szCs w:val="24"/>
          <w:highlight w:val="none"/>
        </w:rPr>
        <w:t xml:space="preserve">····· F </w:t>
      </w:r>
      <w:r>
        <w:rPr>
          <w:rFonts w:hint="eastAsia" w:ascii="宋体" w:hAnsi="宋体"/>
          <w:color w:val="auto"/>
          <w:szCs w:val="24"/>
          <w:highlight w:val="none"/>
          <w:vertAlign w:val="subscript"/>
        </w:rPr>
        <w:t>tn</w:t>
      </w:r>
      <w:r>
        <w:rPr>
          <w:rFonts w:hint="eastAsia" w:ascii="宋体" w:hAnsi="宋体"/>
          <w:color w:val="auto"/>
          <w:szCs w:val="24"/>
          <w:highlight w:val="none"/>
        </w:rPr>
        <w:t xml:space="preserve"> -- 各可调因子的现行价格指数，指第 17.3.3 项、第 17.5.2 项和第17.6.2 项约定的付款证书相关周期最后一天的前 42 天的各可调因子的价格指数；</w:t>
      </w:r>
    </w:p>
    <w:p w14:paraId="6675D6B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F</w:t>
      </w:r>
      <w:r>
        <w:rPr>
          <w:rFonts w:hint="eastAsia" w:ascii="宋体" w:hAnsi="宋体"/>
          <w:color w:val="auto"/>
          <w:szCs w:val="24"/>
          <w:highlight w:val="none"/>
          <w:vertAlign w:val="subscript"/>
        </w:rPr>
        <w:t xml:space="preserve"> o1</w:t>
      </w:r>
      <w:r>
        <w:rPr>
          <w:rFonts w:hint="eastAsia" w:ascii="宋体" w:hAnsi="宋体"/>
          <w:color w:val="auto"/>
          <w:szCs w:val="24"/>
          <w:highlight w:val="none"/>
        </w:rPr>
        <w:t xml:space="preserve"> ; F </w:t>
      </w:r>
      <w:r>
        <w:rPr>
          <w:rFonts w:hint="eastAsia" w:ascii="宋体" w:hAnsi="宋体"/>
          <w:color w:val="auto"/>
          <w:szCs w:val="24"/>
          <w:highlight w:val="none"/>
          <w:vertAlign w:val="subscript"/>
        </w:rPr>
        <w:t xml:space="preserve">o2 </w:t>
      </w:r>
      <w:r>
        <w:rPr>
          <w:rFonts w:hint="eastAsia" w:ascii="宋体" w:hAnsi="宋体"/>
          <w:color w:val="auto"/>
          <w:szCs w:val="24"/>
          <w:highlight w:val="none"/>
        </w:rPr>
        <w:t>; F</w:t>
      </w:r>
      <w:r>
        <w:rPr>
          <w:rFonts w:hint="eastAsia" w:ascii="宋体" w:hAnsi="宋体"/>
          <w:color w:val="auto"/>
          <w:szCs w:val="24"/>
          <w:highlight w:val="none"/>
          <w:vertAlign w:val="subscript"/>
        </w:rPr>
        <w:t xml:space="preserve"> o3 </w:t>
      </w:r>
      <w:r>
        <w:rPr>
          <w:rFonts w:hint="eastAsia" w:ascii="宋体" w:hAnsi="宋体"/>
          <w:color w:val="auto"/>
          <w:szCs w:val="24"/>
          <w:highlight w:val="none"/>
        </w:rPr>
        <w:t xml:space="preserve">····· F </w:t>
      </w:r>
      <w:r>
        <w:rPr>
          <w:rFonts w:hint="eastAsia" w:ascii="宋体" w:hAnsi="宋体"/>
          <w:color w:val="auto"/>
          <w:szCs w:val="24"/>
          <w:highlight w:val="none"/>
          <w:vertAlign w:val="subscript"/>
        </w:rPr>
        <w:t xml:space="preserve">on </w:t>
      </w:r>
      <w:r>
        <w:rPr>
          <w:rFonts w:hint="eastAsia" w:ascii="宋体" w:hAnsi="宋体"/>
          <w:color w:val="auto"/>
          <w:szCs w:val="24"/>
          <w:highlight w:val="none"/>
        </w:rPr>
        <w:t>-- 各可调因子的基本价格指数，指基准日期的各可调因子的价格指数。</w:t>
      </w:r>
    </w:p>
    <w:p w14:paraId="51BB5C8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1BD8D73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16.1.1.2 暂时确定调整差额</w:t>
      </w:r>
    </w:p>
    <w:p w14:paraId="68C6549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在计算调整差额时得不到现行价格指数的，可暂用上一次价格指数计算，并在以后的付款中再按实际价格指数进行调整。</w:t>
      </w:r>
    </w:p>
    <w:p w14:paraId="1BA71FD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16.1.1.3 权重的调整</w:t>
      </w:r>
    </w:p>
    <w:p w14:paraId="757E04F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按第 15.1 款约定的变更导致原定合同中的权重不合理时，由监理人与承包人和发包人协商后进行调整。</w:t>
      </w:r>
    </w:p>
    <w:p w14:paraId="7E90C9C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16.1.1.4 承包人工期延误后的价格调整</w:t>
      </w:r>
    </w:p>
    <w:p w14:paraId="139A8A2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由于承包人原因未在约定的工期内竣工的，则对原约定竣工日期后继续施工的工程，在使用第16.1.1.1 目价格调整公式时，应采用原约定竣工日期与实际竣工日期的两个价格指数中较低的一个作为现行价格指数。</w:t>
      </w:r>
    </w:p>
    <w:p w14:paraId="2AB1C09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16.1.2 采用造价信息调整价格差额</w:t>
      </w:r>
    </w:p>
    <w:p w14:paraId="00357DC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p>
    <w:p w14:paraId="1F27F65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16.2 法律变化引起的价格调整</w:t>
      </w:r>
    </w:p>
    <w:p w14:paraId="5B23464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在基准日后，因法律变化导致承包人在合同履行中所需要的工程费用发生除第 16.1 款约定以外的增减时，监理人应根据法律、国家或省、自治区、直辖市有关部门的规定，按第 3.5 款商定或确定需调整的合同价款。</w:t>
      </w:r>
    </w:p>
    <w:p w14:paraId="734BB04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 计量与支付</w:t>
      </w:r>
    </w:p>
    <w:p w14:paraId="39B6DDF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 计量</w:t>
      </w:r>
    </w:p>
    <w:p w14:paraId="376D8FD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17.1.1 计量单位</w:t>
      </w:r>
    </w:p>
    <w:p w14:paraId="013304E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计量采用国家法定的计量单位。</w:t>
      </w:r>
    </w:p>
    <w:p w14:paraId="1D50637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17.1.2 计量方法</w:t>
      </w:r>
    </w:p>
    <w:p w14:paraId="3005B47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结算工程量应按工程量清单中约定的方法计算。</w:t>
      </w:r>
    </w:p>
    <w:p w14:paraId="65E9EAF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17.1.3 计量周期</w:t>
      </w:r>
    </w:p>
    <w:p w14:paraId="59E8468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除专用合同条款另有约定外，单价子目已完成工程量按月计量，总价子目的计量周期按批准的支付分解报告确定。</w:t>
      </w:r>
    </w:p>
    <w:p w14:paraId="3EE7B3E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17.1.4 单价子目的计量</w:t>
      </w:r>
    </w:p>
    <w:p w14:paraId="59EDFB4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（1）已标价工程量清单中的单价子目工程量为估算工程量。结算工程量是承包人实际完成的，并按合同约定的计量方法进行计量的工程量。</w:t>
      </w:r>
    </w:p>
    <w:p w14:paraId="19CE13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（2）承包人对已完成的工程进行计量，向监理人提交进度付款申请单、已完成工程量报表和有关计量资料。</w:t>
      </w:r>
    </w:p>
    <w:p w14:paraId="11C3C37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p>
    <w:p w14:paraId="1E2EF66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（4）监理人认为有必要时，可通知承包人共同进行联合测量、计量，承包人应遵照执行。</w:t>
      </w:r>
    </w:p>
    <w:p w14:paraId="0AAF105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913251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（6）监理人应在收到承包人提交的工程量报表后的 7 天内进行复核，监理人未在约定时间内复核的，承包人提交的工程量报表中的工程量视为承包人实际完成的工程量，据此计算工程价款。</w:t>
      </w:r>
    </w:p>
    <w:p w14:paraId="6E8389E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17.1.5 总价子目的计量</w:t>
      </w:r>
    </w:p>
    <w:p w14:paraId="474E179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总价子目的分解和计量按照下述约定进行。</w:t>
      </w:r>
    </w:p>
    <w:p w14:paraId="19EBF05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（1）总价子目的计量和支付应以总价为基础，不因第 16.1 款中的因素而进行调整。承包人实际完成的工程量，是进行工程目标管理和控制进度支付的依据。</w:t>
      </w:r>
    </w:p>
    <w:p w14:paraId="0B71314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（2）承包人应按工程量清单的要求对总价子目进行分解，并在签订协议书后的 28 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107D00B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（3）监理人对承包人提交的上述资料进行复核，以确定分阶段实际完成的工程量和工程形象目标。对其有异议的，可要求承包人按第 8.2 款约定进行共同复核和抽样复测。</w:t>
      </w:r>
    </w:p>
    <w:p w14:paraId="2691004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（4）除按照第 15 条约定的变更外，总价子目的工程量是承包人用于结算的最终工程量。</w:t>
      </w:r>
    </w:p>
    <w:p w14:paraId="23C3E26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 预付款</w:t>
      </w:r>
    </w:p>
    <w:p w14:paraId="2CD08D7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 预付款</w:t>
      </w:r>
    </w:p>
    <w:p w14:paraId="57D0BD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17.2.1 预付款</w:t>
      </w:r>
    </w:p>
    <w:p w14:paraId="7E071BA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p>
    <w:p w14:paraId="71BBE96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17.2.2 预付款保函（担保）</w:t>
      </w:r>
    </w:p>
    <w:p w14:paraId="50F5B5E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（1）承包人应在收到第一次工程预付款的同时向发包人提交工程预付款担保，担保金额应与第一次工程预付款金额相同，工程预付款担保在第一次工程预付款被发包人扣回前一直有效。</w:t>
      </w:r>
    </w:p>
    <w:p w14:paraId="7D508CF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（2）工程材料预付款的担保在专用合同条款中约定。</w:t>
      </w:r>
    </w:p>
    <w:p w14:paraId="163D2AC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（3）预付款担保的担保金额可根据预付款扣回的金额相应递减。</w:t>
      </w:r>
    </w:p>
    <w:p w14:paraId="439F447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17.2.3 预付款的扣回与还清</w:t>
      </w:r>
    </w:p>
    <w:p w14:paraId="5011CB0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预付款在进度付款中扣回，扣回与还清办法在专用合同条款中约定。在颁发合同工程完工证书前，由于不可抗力或其它原因解除合同时，预付款尚未扣清的，尚未扣清的预付款余额应作为承包人的到期应付款。</w:t>
      </w:r>
    </w:p>
    <w:p w14:paraId="55A721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 工程进度付款</w:t>
      </w:r>
    </w:p>
    <w:p w14:paraId="07C15BD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17.3.1 付款周期</w:t>
      </w:r>
    </w:p>
    <w:p w14:paraId="1FED8F8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付款周期同计量周期。</w:t>
      </w:r>
    </w:p>
    <w:p w14:paraId="77A876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17.3.2 进度付款申请单</w:t>
      </w:r>
    </w:p>
    <w:p w14:paraId="14DE9B8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3B005B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（1）截至本次付款周期末已实施工程的价款；</w:t>
      </w:r>
    </w:p>
    <w:p w14:paraId="17CA2EC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（2）根据第 15 条应增加和扣减的变更金额；</w:t>
      </w:r>
    </w:p>
    <w:p w14:paraId="427158D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（3）根据第 23 条应增加和扣减的索赔金额；</w:t>
      </w:r>
    </w:p>
    <w:p w14:paraId="116A141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（4）根据第 17.2 款约定应支付的预付款和扣减的返还预付款；</w:t>
      </w:r>
    </w:p>
    <w:p w14:paraId="2D90692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（5）根据第 17.4.1 项约定应扣减的质量保证金；</w:t>
      </w:r>
    </w:p>
    <w:p w14:paraId="181DDD2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（6）根据合同应增加和扣减的其他金额。</w:t>
      </w:r>
    </w:p>
    <w:p w14:paraId="4CB8C8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17.3.3 进度付款证书和支付时间</w:t>
      </w:r>
    </w:p>
    <w:p w14:paraId="67F85E1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3E3E2A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（2）发包人应在监理人收到进度付款申请单后的 28 天内，将进度应付款支付给承包人。发包人不按期支付的，按专用合同条款的约定支付逾期付款违约金。</w:t>
      </w:r>
    </w:p>
    <w:p w14:paraId="71EDF5B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（3）监理人出具进度付款证书，不应视为监理人已同意、批准或接受了承包人完成的该部分工作。</w:t>
      </w:r>
    </w:p>
    <w:p w14:paraId="50F8DCE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（4）进度付款涉及政府投资资金的，按照国库集中支付等国家相关规定和专用合同条款的约定办理。</w:t>
      </w:r>
    </w:p>
    <w:p w14:paraId="763E64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17.3.4 工程进度付款的修正</w:t>
      </w:r>
    </w:p>
    <w:p w14:paraId="529E93E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在对以往历次已签发的进度付款证书进行汇总和复核中发现错、漏或重复的，监理人有权予以修正，承包人也有权提出修正申请。经双方复核同意的修正，应在本次进度付款中支付或扣除。</w:t>
      </w:r>
    </w:p>
    <w:p w14:paraId="289C6E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17.4 质量保证金</w:t>
      </w:r>
    </w:p>
    <w:p w14:paraId="1459CB1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17.4.1 监理人应从第一个工程进度付款周期开始，在发包人的进度付款中，按专用合同条款约定扣留质量保证金，直至扣留的工程质量保证金总额达到专用合同条款约定的金额或比例为止。质量保证金的计算额度不止包括预付款的支付与扣回金额。</w:t>
      </w:r>
    </w:p>
    <w:p w14:paraId="53D1885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17.4.2 合同工程完工证书颁发后 14 天内，发包人将质量保证金总额的一半支付给承包人。在第1.1.4.5 目约定的缺陷责任期（工程质量保修期）满时，发包人将在 30 个工作日内会同承包人按照合同约定的内容核实承包人是否完成保修责任。如无异议，发包人应当在核实后将剩余的质量保证金支付给承包人。</w:t>
      </w:r>
    </w:p>
    <w:p w14:paraId="2867B6D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17.4.3 在第 1.1.4.5 目约定的缺陷责任期满时，承包人没有完成缺陷责任的，发包人有权扣留与未履行责任剩余工作所需金额相应的质量保证金余额，并有权根据第 19.3 款约定要求延长缺陷责任期，直至完成剩余工作为止。</w:t>
      </w:r>
    </w:p>
    <w:p w14:paraId="2DDF068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17.5 竣工结算（完工结算）</w:t>
      </w:r>
    </w:p>
    <w:p w14:paraId="600AB63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17.5.1 竣工（完工）付款申请单</w:t>
      </w:r>
    </w:p>
    <w:p w14:paraId="15FC82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（1）承包人应在工程接收证书颁发后 28 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1330800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（2）监理人对完工付款申请单有异议的，有权要求承包人进行修正和提供补充资料。经监理人和承包人协商后，由承包人向监理人提交修正后的完工付款申请单。</w:t>
      </w:r>
    </w:p>
    <w:p w14:paraId="46AD421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17.5.2 竣工（完工）付款证书及支付时间</w:t>
      </w:r>
    </w:p>
    <w:p w14:paraId="7FCC941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（1）监理人在收到承包人提交的竣工付款申请单后的 14 天内完成核查，提出发包人到期应支付给承包人的价款送发包人审核并抄送承包人。发包人应在收到后 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665A113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（2）发包人应在监理人出具完工付款证书后的 14 天内，将应支付款支付给承包人。发包人不按期支付的，按第 17.3.3（2）目的约定，将逾期付款违约金支付给承包人。</w:t>
      </w:r>
    </w:p>
    <w:p w14:paraId="28545E1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（3）承包人对发包人签认的完工付款证书有异议的，发包人可出具完工付款申请单中承包人已同意部分的临时付款证书。存在争议的部分，按第 24 条的约定办理。</w:t>
      </w:r>
    </w:p>
    <w:p w14:paraId="47AAD87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（4）完工付款涉及政府投资资金的，按第 17.3.3（４）目的约定办理。</w:t>
      </w:r>
    </w:p>
    <w:p w14:paraId="003F694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17.6 最终结清</w:t>
      </w:r>
    </w:p>
    <w:p w14:paraId="1BB7BCE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17.6.1 最终结清申请单</w:t>
      </w:r>
    </w:p>
    <w:p w14:paraId="72D62B5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（1）工程质量保修责任终止证书签发后，承包人应按监理人批准的格式提交最终结清申请单。提交最终结清申请单的份数在专用合同条款中约定。</w:t>
      </w:r>
    </w:p>
    <w:p w14:paraId="1D4A109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（2）发包人对最终结清申请单内容有异议的，有权要求承包人进行修正和提供补充资料，由承包人向监理人提交修正后的最终结清申请单。</w:t>
      </w:r>
    </w:p>
    <w:p w14:paraId="3D6B0BC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17.6.2 最终结清证书和支付时间</w:t>
      </w:r>
    </w:p>
    <w:p w14:paraId="4EAECCF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22FA287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（2）发包人应在监理人出具最终结清证书后的 14 天内，将应支付款支付给承包人。发包人不按期支付的，按第 17.3.3（2）目的约定，将逾期付款违约金支付给承包人。</w:t>
      </w:r>
    </w:p>
    <w:p w14:paraId="71EF96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（3）承包人对发包人签认的最终结清证书有异议的，按第 24 条的约定办理。</w:t>
      </w:r>
    </w:p>
    <w:p w14:paraId="0F773A1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（4）最终结清付款涉及政府投资资金的，按第 17.3.3（４）目的约定办理。</w:t>
      </w:r>
    </w:p>
    <w:p w14:paraId="6BFB4A7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17.7 竣工财务决算</w:t>
      </w:r>
    </w:p>
    <w:p w14:paraId="226451C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发包人负责编制本工程项目竣工财务决算，承包人应按专用合同条款的约定提供竣工财务决算编制所需的相关材料。</w:t>
      </w:r>
    </w:p>
    <w:p w14:paraId="7DA13E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17.8 竣工审计</w:t>
      </w:r>
    </w:p>
    <w:p w14:paraId="2DECF82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发包人负责完成本工程竣工审计手续，承包人应完成相关配合工作。</w:t>
      </w:r>
    </w:p>
    <w:p w14:paraId="76F8398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 竣工验收（验收）</w:t>
      </w:r>
    </w:p>
    <w:p w14:paraId="2BC479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18.1 验收工作分类</w:t>
      </w:r>
    </w:p>
    <w:p w14:paraId="2B7F25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47CA767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18.2 分部工程验收</w:t>
      </w:r>
    </w:p>
    <w:p w14:paraId="3D2EDCB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18.2.1 分部工程具备验收条件时，承包人应向发包人提交验收申请报告，发包人应在收到验收申请报告之日起 10 个工作日内决定是否同意进行验收。</w:t>
      </w:r>
    </w:p>
    <w:p w14:paraId="49D52DA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18.2.2 除专用合同条款另有约定外，监理人主持分部工程验收，承包人应派符合条件的代表参加验收工作组。</w:t>
      </w:r>
    </w:p>
    <w:p w14:paraId="1244E76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18.2.3 分部工程验收通过后，发包人向承包人发送分部工程验收鉴定书。承包人应及时完成分部工程验收鉴定书载明应由承包人处理的遗留问题。</w:t>
      </w:r>
    </w:p>
    <w:p w14:paraId="786D8F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18.3 单位工程验收</w:t>
      </w:r>
    </w:p>
    <w:p w14:paraId="1E2C55C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18.3.1 单位工程具备验收条件时，承包人应向发包人提交验收申请报告，发包人应在收到验收申请报告之日起 10 个工作日内决定是否同意进行验收。</w:t>
      </w:r>
    </w:p>
    <w:p w14:paraId="25E38CF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18.3.2 发包人主持单位工程验收，承包人应派符合条件的代表参加验收工作组。</w:t>
      </w:r>
    </w:p>
    <w:p w14:paraId="25A4634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18.3.3 单位工程验收通过后，发包人向承包人发送单位工程验收鉴定书。承包人应及时完成单位工程验收鉴定书载明应由承包人处理的遗留问题。</w:t>
      </w:r>
    </w:p>
    <w:p w14:paraId="2E81A2C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18.3.4 需提前投入使用的单位工程在专用合同条款中明确。</w:t>
      </w:r>
    </w:p>
    <w:p w14:paraId="3E4EECD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18.4 合同工程完工验收</w:t>
      </w:r>
    </w:p>
    <w:p w14:paraId="74E186B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 4.1 合同工程具备验收条件时，承包人应向发包人提交验收申请报告，发包人应在收到验收申请报告之日起 20 个工作日内决定是否同意进行验收。</w:t>
      </w:r>
    </w:p>
    <w:p w14:paraId="0AFA0FA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18.4.2 发包人主持合同工程完工验收，承包人应派符合条件的代表参加验收工作组。</w:t>
      </w:r>
    </w:p>
    <w:p w14:paraId="3637F04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18.4.3 合同工程完工验收通过后，发包人向承包人发送合同工程完工验收鉴定书。承包人应及时完成合同工程完工验收鉴定书载明应由承包人处理的遗留问题。</w:t>
      </w:r>
    </w:p>
    <w:p w14:paraId="1B08E55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18.4.4 合同工程完工验收通过后，发包人与承包人应 30 个工作日内组织专人负责工程交接，双方交接负责人应在交接记录上签字。承包人应按验收鉴定书约定的时间及时移交工程及其档案资料。</w:t>
      </w:r>
    </w:p>
    <w:p w14:paraId="3F536B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工程移交时，承包人应向发包人递交工程质量保修书。在承包人递交了工程质量保修书、完成施工场地清理以及提交有关资料后，发包人应 30 个工作日内向承包人颁发合同工程完工证书。</w:t>
      </w:r>
    </w:p>
    <w:p w14:paraId="7E44D55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18.5 阶段验收</w:t>
      </w:r>
    </w:p>
    <w:p w14:paraId="31B8C1C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18.5.1 工程建设具备阶段验收条件时，发包人负责提出阶段验收申请报告。承包人应派代表参加阶段验收，并作为被验收单位在验收鉴定书上签字。阶段验收的具体类别在专用合同条款中约定。</w:t>
      </w:r>
    </w:p>
    <w:p w14:paraId="17EE7CB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18.5.2 承包人应及时完成阶段验收鉴定书载明应由承包人处理的遗留问题。</w:t>
      </w:r>
    </w:p>
    <w:p w14:paraId="3332F2F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18.6 专项验收</w:t>
      </w:r>
    </w:p>
    <w:p w14:paraId="099E74D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18.6.1 发包人负责提出专项验收申请报告。承包人应按专项验收的相关规定参加专项验收。专项验收的具体类别在专用合同条款中约定。</w:t>
      </w:r>
    </w:p>
    <w:p w14:paraId="449EAA1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18.6.2 承包应及时完成专项成果性文件载明应由承包人处理的遗留问题。</w:t>
      </w:r>
    </w:p>
    <w:p w14:paraId="15F02A7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 竣工验收</w:t>
      </w:r>
    </w:p>
    <w:p w14:paraId="3999151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18.7.1 申请竣工验收前，发包人组织竣工验收自查，承包人应派代表参加。</w:t>
      </w:r>
    </w:p>
    <w:p w14:paraId="40CA8CE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18.7.2 竣工验收分为竣工技术预验收和竣工验收两个阶段，发包人应通知承包人派代表参加技术预验收和竣工验收。</w:t>
      </w:r>
    </w:p>
    <w:p w14:paraId="358CAF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18.7.3 专用合同条款约定工程需要进行技术鉴定的，承包人应提交有关资料并完成配合工作。</w:t>
      </w:r>
    </w:p>
    <w:p w14:paraId="71232DA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18.7.4 竣工验收需要进行质量检测的，所需费用由发包人承担，但因承包人原因造成质量不合格的除外。</w:t>
      </w:r>
    </w:p>
    <w:p w14:paraId="6D9A59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18.7.5 工程质量保修期满以及竣工验收遗留问题和尾工处理完成并通过验收后，发包人负责将处理情况和验收成果报送竣工验收主持单位，申请领取工程竣工证书，并发送承包人。</w:t>
      </w:r>
    </w:p>
    <w:p w14:paraId="5556056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18.8 施工期运行</w:t>
      </w:r>
    </w:p>
    <w:p w14:paraId="601B4D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18.8.1 施工期运行是指合同工程尚未全部完工，其中某单位工程或部分工程已完工，需要投入施工期运行的，经发包人按第 18.2 款或第 18.3 款的约定验收合格，证明能确保安全后，才能在施工期投入运行。需要在施工期运行的单位工程或部分工程在专用合同条款中约定。</w:t>
      </w:r>
    </w:p>
    <w:p w14:paraId="1277956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18.8.2 在施工期运行中发现工程或工程设备损坏或存在缺陷的，由承包人按第 19.2 款约定进行修复。</w:t>
      </w:r>
    </w:p>
    <w:p w14:paraId="10ABCC6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18.9 试运行</w:t>
      </w:r>
    </w:p>
    <w:p w14:paraId="29CDCE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18.9.1 除专用合同条款另有约定外，承包人应按规定进行工程及工程设备试运行，负责提供试运行所需的人员、器材和必要的条件，并承担全部试运行费用。</w:t>
      </w:r>
    </w:p>
    <w:p w14:paraId="576D91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2172488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18.10 竣工（完工）清场</w:t>
      </w:r>
    </w:p>
    <w:p w14:paraId="3854B1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1810.1 工程项目竣工（完工）清场的工作范围和内容在技术标准和要求（合同技术条款）中约定。</w:t>
      </w:r>
    </w:p>
    <w:p w14:paraId="243C2B8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18.10.2 承包未按监理人的要求恢复临时占地，或者场地清理未达到合同约定的，发包人有权委托其它人恢复或清理，所发生的金额从拟支付给承包人的款项中扣除。</w:t>
      </w:r>
    </w:p>
    <w:p w14:paraId="335F530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18.11 施工队伍的撤离</w:t>
      </w:r>
    </w:p>
    <w:p w14:paraId="6B01241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合同工程接收证书颁发后的 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25D2331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 缺陷责任与保修责任</w:t>
      </w:r>
    </w:p>
    <w:p w14:paraId="0BFEBDC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19.1 缺陷责任期（工程质量保修期）的起算时间</w:t>
      </w:r>
    </w:p>
    <w:p w14:paraId="46C2DBD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14:paraId="3C77FC6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19.2 缺陷责任</w:t>
      </w:r>
    </w:p>
    <w:p w14:paraId="621AD19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19.2.1 承包人应在缺陷责任期内对已交付使用的工程承担缺陷责任。</w:t>
      </w:r>
    </w:p>
    <w:p w14:paraId="39E73CF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19.2.2 缺陷责任期内，发包人对已接收使用的工程负责日常维护工作。发包人在使用过程中，发现已接收的工程存在新的缺陷或已修复的缺陷部位或部件又遭损坏的，承包人应负责修复，直至检验合格为止。</w:t>
      </w:r>
    </w:p>
    <w:p w14:paraId="771B730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19.2.3 监理人和承包人应共同查清缺陷和（或）损坏的原因。经查明属承包人原因造成的，应由承包人承担修复和查验的费用。经查验属发包人原因造成的，发包人应承担修复和查验的费用，并支付承包人合理利润。</w:t>
      </w:r>
    </w:p>
    <w:p w14:paraId="73199BF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19.2.4 承包人不能在合理时间内修复缺陷的，发包人可自行修复或委托其他人修复，所需费用和利润的承担，按第 19.2.3 项约定办理。</w:t>
      </w:r>
    </w:p>
    <w:p w14:paraId="3880BE9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19.3 缺陷责任期的延长</w:t>
      </w:r>
    </w:p>
    <w:p w14:paraId="3E1BEC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由于承包人原因造成某项缺陷或损坏使某项工程或工程设备不能按原定目标使用而需要再次检查、检验和修复的，发包人有权要求承包人相应延长缺陷责任期，但缺陷责任期最长不超过 2 年。</w:t>
      </w:r>
    </w:p>
    <w:p w14:paraId="5051FDE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19.4 进一步试验和试运行</w:t>
      </w:r>
    </w:p>
    <w:p w14:paraId="7485AAA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任何一项缺陷或损坏修复后，经检查证明其影响了工程或工程设备的使用性能，承包人应重新进行合同约定的试验和试运行，试验和试运行的全部费用应由责任方承担。</w:t>
      </w:r>
    </w:p>
    <w:p w14:paraId="46F1BE6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19.5 承包人的进入权</w:t>
      </w:r>
    </w:p>
    <w:p w14:paraId="43229CE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缺陷责任期内承包人为缺陷修复工作需要，有权进入工程现场，但应遵守发包人的保安和保密规定。</w:t>
      </w:r>
    </w:p>
    <w:p w14:paraId="21E962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19.6 缺陷责任期终止证书（工程质量保修责任终止证书）</w:t>
      </w:r>
    </w:p>
    <w:p w14:paraId="117B086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合同工程完工验收或投入使用验收后，发包人与承包人应办理工程交接手续，承包人应向发包人递交工程质量保修书。</w:t>
      </w:r>
    </w:p>
    <w:p w14:paraId="37FEE9F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缺陷责任期（工程质量保修期）满后 30 个工作日内，发包人应向承包人颁发工程质量保修责任终止证书，并退还剩余的质量保证金，但保修责任范围内的质量缺陷未处理完成的应除外。</w:t>
      </w:r>
    </w:p>
    <w:p w14:paraId="496223D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19.7 保修责任</w:t>
      </w:r>
    </w:p>
    <w:p w14:paraId="5506902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77D605B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 保险</w:t>
      </w:r>
    </w:p>
    <w:p w14:paraId="68A5D82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20.1 工程保险</w:t>
      </w:r>
    </w:p>
    <w:p w14:paraId="3D6243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7DC3B46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20.2 人员工伤事故的保险</w:t>
      </w:r>
    </w:p>
    <w:p w14:paraId="57EDA54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20.2.1 承包人员工伤事故的保险</w:t>
      </w:r>
    </w:p>
    <w:p w14:paraId="52EA22A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承包人应依照有关法律规定参加工伤保险，为其履行合同所雇佣的全部人员，缴纳工伤保险费，并要求其分包人也进行此项保险。</w:t>
      </w:r>
    </w:p>
    <w:p w14:paraId="7B4051A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20.2.2 发包人员工伤事故的保险</w:t>
      </w:r>
    </w:p>
    <w:p w14:paraId="6D8996E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发包人应依照有关法律规定参加工伤保险，为其现场机构雇佣的全部人员，缴纳工伤保险费，并要求其监理人也进行此项保险。</w:t>
      </w:r>
    </w:p>
    <w:p w14:paraId="527047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20.3 人身意外伤害险</w:t>
      </w:r>
    </w:p>
    <w:p w14:paraId="38699EB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20.3.1 发包人应在整个施工期间为其现场机构雇用的全部人员，投保人身意外伤害险，缴纳保险费，并要求其监理人也进行此项保险。</w:t>
      </w:r>
    </w:p>
    <w:p w14:paraId="46FB9F9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20.3.2 承包人应在整个施工期间为其现场机构雇用的全部人员，投保人身意外伤害险，缴纳保险费，并要求其分包人也进行此项保险。</w:t>
      </w:r>
    </w:p>
    <w:p w14:paraId="3E27138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20.4 第三者责任险</w:t>
      </w:r>
    </w:p>
    <w:p w14:paraId="7C25763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4435EB9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20.4.2 在缺陷责任期终止证书颁发前，承包人应以承包人和发包人的共同名义，投保第 20.4.1项约定的第三者责任险，其保险费率、保险金额等有关内容在专用合同条款中约定。</w:t>
      </w:r>
    </w:p>
    <w:p w14:paraId="639BA2D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20.5 其他保险</w:t>
      </w:r>
    </w:p>
    <w:p w14:paraId="64C3320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除专用合同条款另有约定外，承包人应为其施工设备、进场的材料和工程设备等办理保险。</w:t>
      </w:r>
    </w:p>
    <w:p w14:paraId="2F621BA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 对各项保险的一般要求</w:t>
      </w:r>
    </w:p>
    <w:p w14:paraId="61CC37A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20.6.1 保险凭证</w:t>
      </w:r>
    </w:p>
    <w:p w14:paraId="727FD4E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承包人应在专用合同条款约定的期限内向发包人提交各项保险生效的证据和保险单副本，保险单必须与专用合同条款约定的条件保持一致。</w:t>
      </w:r>
    </w:p>
    <w:p w14:paraId="2D17E74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20.6.2 保险合同条款的变动</w:t>
      </w:r>
    </w:p>
    <w:p w14:paraId="091079B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承包人需要变动保险合同条款时，应事先征得发包人同意，并通知监理人。保险人作出变动的，承包人应在收到保险人通知后立即通知发包人和监理人。</w:t>
      </w:r>
    </w:p>
    <w:p w14:paraId="581A430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20.6.3 持续保险</w:t>
      </w:r>
    </w:p>
    <w:p w14:paraId="028A9D2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承包人应与保险人保持联系，使保险人能够随时了解工程实施中的变动，并确保按保险合同条款要求持续保险。</w:t>
      </w:r>
    </w:p>
    <w:p w14:paraId="1ABB44F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20.6.4 保险金不足的补偿</w:t>
      </w:r>
    </w:p>
    <w:p w14:paraId="1D52B91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保险金不足以补偿损失时，应由承包人和发包人各自负责补偿的范围和金额在专用合同条款中约定。</w:t>
      </w:r>
    </w:p>
    <w:p w14:paraId="099378A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20.6.5 未按约定投保的补救</w:t>
      </w:r>
    </w:p>
    <w:p w14:paraId="79887B9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（1）由于负有投保义务的一方当事人未按合同约定办理保险，或未能使保险持续有效的，另一方当事人可代为办理，所需费用由对方当事人承担。</w:t>
      </w:r>
    </w:p>
    <w:p w14:paraId="03F9BF9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（2）由于负有投保义务的一方当事人未按合同约定办理某项保险，导致受益人未能得到保险人的赔偿，原应从该项保险得到的保险金应由负有投保义务的一方当事人支付。</w:t>
      </w:r>
    </w:p>
    <w:p w14:paraId="1F381A8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20.6.6 报告义务</w:t>
      </w:r>
    </w:p>
    <w:p w14:paraId="465EDE5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当保险事故发生时，投保人应按照保险单规定的条件和期限及时向保险人报告。</w:t>
      </w:r>
    </w:p>
    <w:p w14:paraId="4083E6D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20.7 风险责任的转移</w:t>
      </w:r>
    </w:p>
    <w:p w14:paraId="1F3C04B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工程通过合同工程完工验收并移交给发包人后，原由承包人应承担的风险责任，以及保险的责任、权利和义务同时转移给发包人，但承包人在缺陷责任期（工程质量保修期）前造成损失和损坏情形除外。</w:t>
      </w:r>
    </w:p>
    <w:p w14:paraId="5C8E0AA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 不可抗力</w:t>
      </w:r>
    </w:p>
    <w:p w14:paraId="503B22D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21.1 不可抗力的确认</w:t>
      </w:r>
    </w:p>
    <w:p w14:paraId="07B3CC0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21.1.1 不可抗力是指承包人和发包人在订立合同时不可预见，在工程施工过程中不可避免发生</w:t>
      </w:r>
    </w:p>
    <w:p w14:paraId="17A7C89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并不能克服的自然灾害和社会性突发事件，如地震、海啸、瘟疫、水灾、骚乱、暴动、战争和专用合同条款约定的其他情形。</w:t>
      </w:r>
    </w:p>
    <w:p w14:paraId="1AC645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21.1.2 不可抗力发生后，发包人和承包人应及时认真统计所造成的损失，收集不可抗力造成损失的证据。合同双方对是否属于不可抗力或其损失的意见不一致的，由监理人按第 3.5 款商定或确定。发生争议时，按第 24 条的约定办理。</w:t>
      </w:r>
    </w:p>
    <w:p w14:paraId="4359D6A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21.2 不可抗力的通知</w:t>
      </w:r>
    </w:p>
    <w:p w14:paraId="688B7FD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21.2.1 合同一方当事人遇到不可抗力事件，使其履行合同义务受到阻碍时，应立即通知合同另一方当事人和监理人，书面说明不可抗力和受阻碍的详细情况，并提供必要的证明。</w:t>
      </w:r>
    </w:p>
    <w:p w14:paraId="4AB3E1B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21.2.2 如不可抗力持续发生，合同一方当事人应及时向合同另一方当事人和监理人提交中间报告，说明不可抗力和履行合同受阻的情况，并于不可抗力事件结束后 28 天内提交最终报告及有关资料。</w:t>
      </w:r>
    </w:p>
    <w:p w14:paraId="71E6694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21.3 不可抗力后果及其处理</w:t>
      </w:r>
    </w:p>
    <w:p w14:paraId="2F613C5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21.3.1 不可抗力造成损害的责任</w:t>
      </w:r>
    </w:p>
    <w:p w14:paraId="4055433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除专用合同条款另有约定外，不可抗力导致的人员伤亡、财产损失、费用增加和（或）工期延误等后果，由合同双方按以下原则承担：</w:t>
      </w:r>
    </w:p>
    <w:p w14:paraId="21FFFB0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（1）永久工程，包括已运至施工场地的材料和工程设备的损害，以及因工程损害造成的第三者人员伤亡和财产损失由发包人承担；</w:t>
      </w:r>
    </w:p>
    <w:p w14:paraId="744F27C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（2）承包人设备的损坏由承包人承担；</w:t>
      </w:r>
    </w:p>
    <w:p w14:paraId="1BB588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（3）发包人和承包人各自承担其人员伤亡和其他财产损失及其相关费用；</w:t>
      </w:r>
    </w:p>
    <w:p w14:paraId="1E496C6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（4）承包人的停工损失由承包人承担，但停工期间应监理人要求照管工程和清理、修复工程的金额由发包人承担；</w:t>
      </w:r>
    </w:p>
    <w:p w14:paraId="01D17D0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（5）不能按期竣工的，应合理延长工期，承包人不需支付逾期竣工违约金。发包人要求赶工的，承包人应采取赶工措施，赶工费用由发包人承担。</w:t>
      </w:r>
    </w:p>
    <w:p w14:paraId="5CB6FAF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21.3.2 延迟履行期间发生的不可抗力</w:t>
      </w:r>
    </w:p>
    <w:p w14:paraId="72C6CC1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合同一方当事人延迟履行，在延迟履行期间发生不可抗力的，不免除其责任。</w:t>
      </w:r>
    </w:p>
    <w:p w14:paraId="4F918B7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21.3.3 避免和减少不可抗力损失</w:t>
      </w:r>
    </w:p>
    <w:p w14:paraId="1D9F414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不可抗力发生后，发包人和承包人均应采取措施尽量避免和减少损失的扩大，任何一方没有采取有效措施导致损失扩大的，应对扩大的损失承担责任。</w:t>
      </w:r>
    </w:p>
    <w:p w14:paraId="0198D2E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21.3.4 因不可抗力解除合同</w:t>
      </w:r>
    </w:p>
    <w:p w14:paraId="5EDEEC8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w:t>
      </w:r>
    </w:p>
    <w:p w14:paraId="292431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 违约</w:t>
      </w:r>
    </w:p>
    <w:p w14:paraId="6C80BED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 承包人违约</w:t>
      </w:r>
    </w:p>
    <w:p w14:paraId="2225BF8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22.1.1 承包人违约的情形</w:t>
      </w:r>
    </w:p>
    <w:p w14:paraId="1D31894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在履行合同过程中发生的下列情况属承包人违约：</w:t>
      </w:r>
    </w:p>
    <w:p w14:paraId="106BCC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（1）承包人违反第 1.8 款或第 4.3 款的约定，私自将合同的全部或部分权利转让给其他人，或私自将合同的全部或部分义务转移给其他人；</w:t>
      </w:r>
    </w:p>
    <w:p w14:paraId="129B7DF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（2）承包人违反第 5.3 款或第 6.4 款的约定，未经监理人批准，私自将已按合同约定进入施工场地的施工设备、临时设施或材料撤离施工场地；</w:t>
      </w:r>
    </w:p>
    <w:p w14:paraId="723BD20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（3）承包人违反第 5.4 款的约定使用了不合格材料或工程设备，工程质量达不到标准要求，又拒绝清除不合格工程；</w:t>
      </w:r>
    </w:p>
    <w:p w14:paraId="7BF649C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（4）承包人未能按合同进度计划及时完成合同约定的工作，已造成或预期造成工期延误；</w:t>
      </w:r>
    </w:p>
    <w:p w14:paraId="327A8B9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（5）承包人在缺陷责任期（工程质量保修期）内，未能对合同工程完工验收鉴定书中所列的缺陷清单的内容或缺陷责任期（工程质量保修期）内发生的缺陷进行修复，而又拒绝按监理人指示再进行修补；</w:t>
      </w:r>
    </w:p>
    <w:p w14:paraId="224A611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（6）承包人无法继续履行或明确表示不履行或实质上已停止履行合同；</w:t>
      </w:r>
    </w:p>
    <w:p w14:paraId="1A7BC0D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（7）承包人不按合同约定履行义务的其他情况。</w:t>
      </w:r>
    </w:p>
    <w:p w14:paraId="18A2D4C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22.1.2 对承包人违约的处理</w:t>
      </w:r>
    </w:p>
    <w:p w14:paraId="39C883E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（1）承包人发生第 22.1.1（6）目约定的违约情况时，发包人可通知承包人立即解除合同，并按有关法律处理。</w:t>
      </w:r>
    </w:p>
    <w:p w14:paraId="5C78C03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（2）承包人发生除第 22.1.1（6）目约定以外的其他违约情况时，监理人可向承包人发出整改通知，要求其在指定的期限内改正。承包人应承担其违约所引起的费用增加和（或）工期延误。</w:t>
      </w:r>
    </w:p>
    <w:p w14:paraId="1F7381A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（3）经检查证明承包人已采取了有效措施纠正违约行为，具备复工条件的，可由监理人签发复工通知复工。</w:t>
      </w:r>
    </w:p>
    <w:p w14:paraId="2D42DFC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22.1.3 承包人违约解除合同</w:t>
      </w:r>
    </w:p>
    <w:p w14:paraId="798FC0E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14:paraId="1AE7BE6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22.1.4 合同解除后的估价、付款和结清</w:t>
      </w:r>
    </w:p>
    <w:p w14:paraId="477F30B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（1）合同解除后，监理人按第 3.5 款商定或确定承包人实际完成工作的价值，以及承包人已提供的材料、施工设备、工程设备和临时工程等的价值。</w:t>
      </w:r>
    </w:p>
    <w:p w14:paraId="757D573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（2）合同解除后，发包人应暂停对承包人的一切付款，查清各项付款和已扣款金额，包括承包人应支付的违约金。</w:t>
      </w:r>
    </w:p>
    <w:p w14:paraId="6486C3C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（3）合同解除后，发包人应按第 23.4 款的约定向承包人索赔由于解除合同给发包人造成的损失。</w:t>
      </w:r>
    </w:p>
    <w:p w14:paraId="2112509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（4）合同双方确认上述往来款项后，出具最终结清付款证书，结清全部合同款项。</w:t>
      </w:r>
    </w:p>
    <w:p w14:paraId="56AA5E6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（5）发包人和承包人未能就解除合同后的结清达成一致而形成争议的，按第 24 条的约定办理。</w:t>
      </w:r>
    </w:p>
    <w:p w14:paraId="60F4CCC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22.1.5 协议利益的转让</w:t>
      </w:r>
    </w:p>
    <w:p w14:paraId="2A6067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因承包人违约解除合同的，发包人有权要求承包人将其为实施合同而签订的材料和设备的订货协议或任何服务协议利益转让给发包人，并在解除合同后的 14 天内，依法办理转让手续。</w:t>
      </w:r>
    </w:p>
    <w:p w14:paraId="4F65D93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22.1.6 紧急情况下无能力或不愿进行抢救</w:t>
      </w:r>
    </w:p>
    <w:p w14:paraId="114BF4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2A009E1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 发包人违约</w:t>
      </w:r>
    </w:p>
    <w:p w14:paraId="74BD985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22.2.1 发包人违约的情形</w:t>
      </w:r>
    </w:p>
    <w:p w14:paraId="288A467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在履行合同过程中发生的下列情形，属发包人违约：</w:t>
      </w:r>
    </w:p>
    <w:p w14:paraId="5BBDABE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（1）发包人未能按合同约定支付预付款或合同价款，或拖延、拒绝批准付款申请和支付凭证，导致付款延误的；</w:t>
      </w:r>
    </w:p>
    <w:p w14:paraId="1679907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（2）发包人原因造成停工的；</w:t>
      </w:r>
    </w:p>
    <w:p w14:paraId="50A9131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（3）监理人无正当理由没有在约定期限内发出复工指示，导致承包人无法复工的；</w:t>
      </w:r>
    </w:p>
    <w:p w14:paraId="014ECAC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（4）发包人无法继续履行或明确表示不履行或实质上已停止履行合同的；</w:t>
      </w:r>
    </w:p>
    <w:p w14:paraId="46C5F1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（5）发包人不履行合同约定其他义务的。</w:t>
      </w:r>
    </w:p>
    <w:p w14:paraId="32C371F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22.2.2 承包人有权暂停施工</w:t>
      </w:r>
    </w:p>
    <w:p w14:paraId="0EF7213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p>
    <w:p w14:paraId="39C2F03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22.2.3 发包人违约解除合同</w:t>
      </w:r>
    </w:p>
    <w:p w14:paraId="0686134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（1）发生第 22.2.1（4）目的违约情况时，承包人可书面通知发包人解除合同。</w:t>
      </w:r>
    </w:p>
    <w:p w14:paraId="609F0F9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（2）承包人按 22.2.2 项暂停施工 28 天后，发包人仍不纠正违约行为的，承包人可向发包人发出解除合同通知。但承包人的这一行动不免除发包人承担的违约责任，也不影响承包人根据合同约定享有的索赔权利。</w:t>
      </w:r>
    </w:p>
    <w:p w14:paraId="5127056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22.2.4 解除合同后的付款</w:t>
      </w:r>
    </w:p>
    <w:p w14:paraId="610714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因发包人违约解除合同的，发包人应在解除合同后 28 天内向承包人支付下列金额，承包人应在此期限内及时向发包人提交要求支付下列金额的有关资料和凭证：</w:t>
      </w:r>
    </w:p>
    <w:p w14:paraId="67ACB17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（1）合同解除日以前所完成工作的价款；</w:t>
      </w:r>
    </w:p>
    <w:p w14:paraId="6721750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（2）承包人为该工程施工订购并已付款的材料、工程设备和其他物品的金额。发包人付还后，该材料、工程设备和其他物品归发包人所有；</w:t>
      </w:r>
    </w:p>
    <w:p w14:paraId="09927F7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（3）承包人为完成工程所发生的，而发包人未支付的金额；</w:t>
      </w:r>
    </w:p>
    <w:p w14:paraId="54315C8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（4）承包人撤离施工场地以及遣散承包人人员的金额；</w:t>
      </w:r>
    </w:p>
    <w:p w14:paraId="04B7DF3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（5）由于解除合同应赔偿的承包人损失；</w:t>
      </w:r>
    </w:p>
    <w:p w14:paraId="1CFB2CF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（6）按合同约定在合同解除日前应支付给承包人的其他金额。发包人应按本项约定支付上述金额并退还质量保证金和履约担保，但有权要求承包人支付应偿还给发包人的各项金额。</w:t>
      </w:r>
    </w:p>
    <w:p w14:paraId="6AF85CA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22.2.5 解除合同后的承包人撤离</w:t>
      </w:r>
    </w:p>
    <w:p w14:paraId="5507BF4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因发包人违约而解除合同后，承包人应妥善做好已竣工工程和已购材料、设备的保护和移交工作，按发包人要求将承包人设备和人员撤出施工场地。承包人撤出施工场地应遵守第 18.7.1 项的约定，发包人应为承包人撤出提供必要条件。</w:t>
      </w:r>
    </w:p>
    <w:p w14:paraId="2542A2D9">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22.3 第三人造成的违约</w:t>
      </w:r>
    </w:p>
    <w:p w14:paraId="086E2951">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在履行合同过程中，一方当事人因第三人的原因造成违约的，应当向对方当事人承担违约责任。一方当事人和第三人之间的纠纷，依照法律规定或者按照约定解决。</w:t>
      </w:r>
    </w:p>
    <w:p w14:paraId="0533AAA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 索赔</w:t>
      </w:r>
    </w:p>
    <w:p w14:paraId="2A273C5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23.1 承包人索赔的提出</w:t>
      </w:r>
    </w:p>
    <w:p w14:paraId="3E427D6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根据合同约定，承包人认为有权得到追加付款和（或）延长工期的，应按以下程序向发包人提出索赔：</w:t>
      </w:r>
    </w:p>
    <w:p w14:paraId="17D1507A">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（1）承包人应在知道或应当知道索赔事件发生后 28 天内，向监理人递交索赔意向通知书，并说明发生索赔事件的事由。承包人未在前述 28 天内发出索赔意向通知书的，丧失要求追加付款和（或）延长工期的权利；</w:t>
      </w:r>
    </w:p>
    <w:p w14:paraId="5409286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（2）承包人应在发出索赔意向通知书后 28 天内，向监理人正式递交索赔通知书。索赔通知书应详细说明索赔理由以及要求追加的付款金额和（或）延长的工期，并附必要的记录和证明材料；</w:t>
      </w:r>
    </w:p>
    <w:p w14:paraId="7E60716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（3）索赔事件具有连续影响的，承包人应按合理时间间隔继续递交延续索赔通知，说明连续影响的实际情况和记录，列出累计的追加付款金额和（或）工期延长天数；</w:t>
      </w:r>
    </w:p>
    <w:p w14:paraId="54EA6E4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（4）在索赔事件影响结束后的 28 天内，承包人应向监理人递交最终索赔通知书，说明最终要求索赔的追加付款金额和延长的工期，并附必要的记录和证明材料。</w:t>
      </w:r>
    </w:p>
    <w:p w14:paraId="4095841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23.2 承包人索赔处理程序</w:t>
      </w:r>
    </w:p>
    <w:p w14:paraId="42FA431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（1）监理人收到承包人提交的索赔通知书后，应及时审查索赔通知书的内容、查验承包人的记录和证明材料，必要时监理人可要求承包人提交全部原始记录副本。</w:t>
      </w:r>
    </w:p>
    <w:p w14:paraId="15EBF105">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（2）监理人应按第 3.5 款商定或确定追加的付款和（或）延长的工期，并在收到上述索赔通知书或有关索赔的进一步证明材料后的 42 天内，将索赔处理结果答复承包人。</w:t>
      </w:r>
    </w:p>
    <w:p w14:paraId="1789FA6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（3）承包人接受索赔处理结果的，发包人应在作出索赔处理结果答复后 28 天内完成赔付。承包人不接受索赔处理结果的，按第 24 条的约定办理。</w:t>
      </w:r>
    </w:p>
    <w:p w14:paraId="2356F92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23.3 承包人提出索赔的期限</w:t>
      </w:r>
    </w:p>
    <w:p w14:paraId="5AA0796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23.3.1 承包人按第 17.5 款的约定接受了完工付款证书后，应被认为已无权再提出在合同工程完工证书颁发前所发生的任何索赔。</w:t>
      </w:r>
    </w:p>
    <w:p w14:paraId="595E150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23.3.2 承包人按第 17.6 款的约定提交的最终结清申请单中，只限于提出合同工程完工证书颁发后发生的索赔。提出索赔的期限自接受最终结清证书时终止。</w:t>
      </w:r>
    </w:p>
    <w:p w14:paraId="095A42C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23.4 发包人的索赔</w:t>
      </w:r>
    </w:p>
    <w:p w14:paraId="66C0A8D4">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p>
    <w:p w14:paraId="0819B35F">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23.4.2 监理人按第 3.5 款商定或确定发包人从承包人处得到赔付的金额和（或）缺陷责任期的延长期。承包人应付给发包人的金额可从拟支付给承包人的合同价款中扣除，或由承包人以其他方式支付给发包人。</w:t>
      </w:r>
    </w:p>
    <w:p w14:paraId="5D02FBA2">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23.4.3 承包人对监理人按第 23.4.1 项发出的索赔书面通知内容持异议时，应在收到书面通知后的14天内，将持有异议的书面报告及其证明材料提交监理人。监理人应在收到承包人书面报告后的14天内，将异议的处理意见通知承包人，并按第 23.4.2 项的约定执行赔付。若承包人不接受监理人的索赔处理意见，可按本合同第 24 条的规定办理。</w:t>
      </w:r>
    </w:p>
    <w:p w14:paraId="567C519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 争议的解决</w:t>
      </w:r>
    </w:p>
    <w:p w14:paraId="7A51E7B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24.1 争议的解决方式</w:t>
      </w:r>
    </w:p>
    <w:p w14:paraId="3334231D">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7233E74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（1）向约定的仲裁委员会申请仲裁；</w:t>
      </w:r>
    </w:p>
    <w:p w14:paraId="4C3C5D2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（2）向有管辖权的人民法院提起诉讼。</w:t>
      </w:r>
    </w:p>
    <w:p w14:paraId="42CF147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24.2 友好解决</w:t>
      </w:r>
    </w:p>
    <w:p w14:paraId="1D50C48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在提请争议评审、仲裁或者诉讼前，以及在争议评审、仲裁或诉讼过程中，发包人和承包人均可共同努力友好协商解决争议。</w:t>
      </w:r>
    </w:p>
    <w:p w14:paraId="3E90BB8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 争议评审</w:t>
      </w:r>
    </w:p>
    <w:p w14:paraId="5176D1E7">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24.3.1 采用争议评审的，发包人和承包人应在开工日后的 28 天内或在争议发生后，协商成立争议评审组。争议评审组由有合同管理和工程实践经验的专家组成。</w:t>
      </w:r>
    </w:p>
    <w:p w14:paraId="565F7D0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24.3.2 合同双方的争议，应首先由申请人向争议评审组提交一份详细的评审申请报告，并附必要的文件、图纸和证明材料，申请人还应将上述报告的副本同时提交给被申请人和监理人。</w:t>
      </w:r>
    </w:p>
    <w:p w14:paraId="284C8E40">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24.3.3 被申请人在收到申请人评审申请报告副本后的 28 天内，向争议评审组提交一份答辩报告，并附证明材料。被申请人应将答辩报告的副本同时提交给申请人和监理人。</w:t>
      </w:r>
    </w:p>
    <w:p w14:paraId="1BF9E7C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24.3.4 除专用合同条款另有约定外，争议评审组在收到合同双方报告后的 14 天内，邀请双方代表和有关人员举行调查会，向双方调查争议细节；必要时争议评审组可要求双方进一步提供补充材料。</w:t>
      </w:r>
    </w:p>
    <w:p w14:paraId="5D3D4516">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24.3.5 除专用合同条款另有约定外，在调查会结束后的 14 天内，争议评审组应在不受任何干扰的情况下进行独立、公正的评审，作出书面评审意见，并说明理由。在争议评审期间，争议双方暂按总监理工程师的确定执行。</w:t>
      </w:r>
    </w:p>
    <w:p w14:paraId="129032A3">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24.3.6 发包人和承包人接受评审意见的，由监理人根据评审意见拟定执行协议，经争议双方签字后作为合同的补充文件，并遵照执行。</w:t>
      </w:r>
    </w:p>
    <w:p w14:paraId="40F3624B">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24.3.7 发包人或承包人不接受评审意见，并要求提交仲裁或提起诉讼的，应在收到评审意见后的 14 天内将仲裁或起诉意向书面通知另一方，并抄送监理人，但在仲裁或诉讼结束前应暂按总监理工程师的确定执行。</w:t>
      </w:r>
    </w:p>
    <w:p w14:paraId="540EB13C">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24.4 仲裁</w:t>
      </w:r>
    </w:p>
    <w:p w14:paraId="52B22A68">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24.4.1 若合同双方商定直接向仲裁机构申请仲裁，应签订仲裁协议并约定仲裁机构。</w:t>
      </w:r>
    </w:p>
    <w:p w14:paraId="1811A8EE">
      <w:pPr>
        <w:spacing w:line="360" w:lineRule="auto"/>
        <w:ind w:firstLine="420" w:firstLineChars="200"/>
        <w:rPr>
          <w:rFonts w:hint="eastAsia" w:ascii="宋体" w:hAnsi="宋体"/>
          <w:color w:val="auto"/>
          <w:szCs w:val="24"/>
          <w:highlight w:val="none"/>
        </w:rPr>
      </w:pPr>
      <w:r>
        <w:rPr>
          <w:rFonts w:hint="eastAsia" w:ascii="宋体" w:hAnsi="宋体"/>
          <w:color w:val="auto"/>
          <w:szCs w:val="24"/>
          <w:highlight w:val="none"/>
        </w:rPr>
        <w:t>24.4.2 若合同双方未能达成仲裁协议，则本合同的仲裁条款无效，任一方均有权向人民法院提</w:t>
      </w:r>
    </w:p>
    <w:p w14:paraId="788A816F">
      <w:pPr>
        <w:spacing w:line="360" w:lineRule="auto"/>
        <w:ind w:firstLine="420" w:firstLineChars="200"/>
        <w:rPr>
          <w:rFonts w:hint="eastAsia" w:ascii="宋体" w:hAnsi="宋体"/>
          <w:color w:val="auto"/>
          <w:szCs w:val="24"/>
          <w:highlight w:val="none"/>
        </w:rPr>
        <w:sectPr>
          <w:pgSz w:w="11906" w:h="16838"/>
          <w:pgMar w:top="1418" w:right="1191" w:bottom="1418" w:left="1361" w:header="851" w:footer="992" w:gutter="0"/>
          <w:cols w:space="708" w:num="1"/>
          <w:docGrid w:linePitch="312" w:charSpace="0"/>
        </w:sectPr>
      </w:pPr>
      <w:r>
        <w:rPr>
          <w:rFonts w:hint="eastAsia" w:ascii="宋体" w:hAnsi="宋体"/>
          <w:color w:val="auto"/>
          <w:szCs w:val="24"/>
          <w:highlight w:val="none"/>
        </w:rPr>
        <w:t>起诉讼。</w:t>
      </w:r>
    </w:p>
    <w:bookmarkEnd w:id="158"/>
    <w:p w14:paraId="74946A65">
      <w:pPr>
        <w:keepNext/>
        <w:keepLines/>
        <w:snapToGrid w:val="0"/>
        <w:spacing w:before="260" w:after="260" w:line="240" w:lineRule="auto"/>
        <w:jc w:val="center"/>
        <w:outlineLvl w:val="1"/>
        <w:rPr>
          <w:rFonts w:hint="eastAsia" w:ascii="宋体" w:hAnsi="宋体"/>
          <w:b/>
          <w:bCs/>
          <w:color w:val="auto"/>
          <w:kern w:val="0"/>
          <w:sz w:val="32"/>
          <w:szCs w:val="32"/>
          <w:highlight w:val="none"/>
        </w:rPr>
      </w:pPr>
      <w:bookmarkStart w:id="175" w:name="_Toc9466"/>
      <w:r>
        <w:rPr>
          <w:rFonts w:hint="eastAsia" w:ascii="宋体" w:hAnsi="宋体"/>
          <w:b/>
          <w:bCs/>
          <w:color w:val="auto"/>
          <w:kern w:val="0"/>
          <w:sz w:val="32"/>
          <w:szCs w:val="32"/>
          <w:highlight w:val="none"/>
        </w:rPr>
        <w:t>第二节 专用合同条款</w:t>
      </w:r>
      <w:bookmarkEnd w:id="175"/>
    </w:p>
    <w:p w14:paraId="7CC29442">
      <w:pPr>
        <w:keepNext/>
        <w:keepLines/>
        <w:snapToGrid w:val="0"/>
        <w:spacing w:before="260" w:after="260" w:line="360" w:lineRule="auto"/>
        <w:outlineLvl w:val="2"/>
        <w:rPr>
          <w:rFonts w:hint="eastAsia" w:ascii="宋体" w:hAnsi="宋体" w:cs="宋体"/>
          <w:b/>
          <w:bCs/>
          <w:color w:val="auto"/>
          <w:szCs w:val="21"/>
          <w:highlight w:val="none"/>
        </w:rPr>
      </w:pPr>
      <w:bookmarkStart w:id="176" w:name="_Toc18574"/>
      <w:r>
        <w:rPr>
          <w:rFonts w:hint="eastAsia" w:ascii="宋体" w:hAnsi="宋体" w:cs="宋体"/>
          <w:b/>
          <w:bCs/>
          <w:color w:val="auto"/>
          <w:szCs w:val="21"/>
          <w:highlight w:val="none"/>
        </w:rPr>
        <w:t>1．一般约定</w:t>
      </w:r>
      <w:bookmarkEnd w:id="176"/>
    </w:p>
    <w:p w14:paraId="4FBE93A6">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1.1 词语定义</w:t>
      </w:r>
    </w:p>
    <w:p w14:paraId="5D3321E4">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1.1.2  合同当事人和人员</w:t>
      </w:r>
    </w:p>
    <w:p w14:paraId="0DA818D3">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1.1.2.2  发包人：</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04CD06D6">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1.1.2.3  承包人：</w:t>
      </w:r>
      <w:r>
        <w:rPr>
          <w:rFonts w:hint="eastAsia" w:ascii="宋体" w:hAnsi="宋体" w:cs="宋体"/>
          <w:color w:val="auto"/>
          <w:kern w:val="0"/>
          <w:szCs w:val="21"/>
          <w:highlight w:val="none"/>
          <w:u w:val="single"/>
        </w:rPr>
        <w:t xml:space="preserve">  (签约时填入承包人的名称)      </w:t>
      </w:r>
      <w:r>
        <w:rPr>
          <w:rFonts w:hint="eastAsia" w:ascii="宋体" w:hAnsi="宋体" w:cs="宋体"/>
          <w:color w:val="auto"/>
          <w:kern w:val="0"/>
          <w:szCs w:val="21"/>
          <w:highlight w:val="none"/>
        </w:rPr>
        <w:t>。</w:t>
      </w:r>
    </w:p>
    <w:p w14:paraId="488BEB5A">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1.1.2.5  分包人：</w:t>
      </w:r>
      <w:r>
        <w:rPr>
          <w:rFonts w:hint="eastAsia" w:ascii="宋体" w:hAnsi="宋体" w:cs="宋体"/>
          <w:color w:val="auto"/>
          <w:kern w:val="0"/>
          <w:szCs w:val="21"/>
          <w:highlight w:val="none"/>
          <w:u w:val="single"/>
        </w:rPr>
        <w:t xml:space="preserve">  (签约后填入分包人的名称)      </w:t>
      </w:r>
      <w:r>
        <w:rPr>
          <w:rFonts w:hint="eastAsia" w:ascii="宋体" w:hAnsi="宋体" w:cs="宋体"/>
          <w:color w:val="auto"/>
          <w:kern w:val="0"/>
          <w:szCs w:val="21"/>
          <w:highlight w:val="none"/>
        </w:rPr>
        <w:t>。</w:t>
      </w:r>
    </w:p>
    <w:p w14:paraId="3AD0AA98">
      <w:pPr>
        <w:adjustRightInd w:val="0"/>
        <w:snapToGrid w:val="0"/>
        <w:spacing w:line="360" w:lineRule="auto"/>
        <w:ind w:firstLine="420" w:firstLineChars="200"/>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1.1.2.6  监理人：</w:t>
      </w:r>
      <w:r>
        <w:rPr>
          <w:rFonts w:hint="eastAsia" w:ascii="宋体" w:hAnsi="宋体" w:cs="宋体"/>
          <w:color w:val="auto"/>
          <w:kern w:val="0"/>
          <w:szCs w:val="21"/>
          <w:highlight w:val="none"/>
          <w:u w:val="single"/>
        </w:rPr>
        <w:t xml:space="preserve">  (签约时填入)                  </w:t>
      </w:r>
      <w:r>
        <w:rPr>
          <w:rFonts w:hint="eastAsia" w:ascii="宋体" w:hAnsi="宋体" w:cs="宋体"/>
          <w:color w:val="auto"/>
          <w:kern w:val="0"/>
          <w:szCs w:val="21"/>
          <w:highlight w:val="none"/>
        </w:rPr>
        <w:t>。</w:t>
      </w:r>
    </w:p>
    <w:p w14:paraId="722D6D52">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1.1.3  工程和设备</w:t>
      </w:r>
    </w:p>
    <w:p w14:paraId="53C7D667">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1.1.4  日期</w:t>
      </w:r>
    </w:p>
    <w:p w14:paraId="347911BF">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1.1.4.5  缺陷责任期（工程质量保修期）：</w:t>
      </w:r>
      <w:r>
        <w:rPr>
          <w:rFonts w:hint="eastAsia" w:ascii="宋体" w:hAnsi="宋体" w:cs="宋体"/>
          <w:color w:val="auto"/>
          <w:kern w:val="0"/>
          <w:szCs w:val="21"/>
          <w:highlight w:val="none"/>
          <w:u w:val="single"/>
        </w:rPr>
        <w:t xml:space="preserve">    1年   </w:t>
      </w:r>
      <w:r>
        <w:rPr>
          <w:rFonts w:hint="eastAsia" w:ascii="宋体" w:hAnsi="宋体" w:cs="宋体"/>
          <w:color w:val="auto"/>
          <w:kern w:val="0"/>
          <w:szCs w:val="21"/>
          <w:highlight w:val="none"/>
        </w:rPr>
        <w:t>。</w:t>
      </w:r>
    </w:p>
    <w:p w14:paraId="23AAAE8B">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1.4  合同文件的优先顺序</w:t>
      </w:r>
    </w:p>
    <w:p w14:paraId="65F6E263">
      <w:pPr>
        <w:adjustRightInd w:val="0"/>
        <w:snapToGrid w:val="0"/>
        <w:spacing w:line="360" w:lineRule="auto"/>
        <w:ind w:right="248" w:firstLine="420" w:firstLineChars="200"/>
        <w:rPr>
          <w:rFonts w:hint="eastAsia" w:ascii="宋体" w:hAnsi="宋体" w:cs="宋体"/>
          <w:b/>
          <w:bCs/>
          <w:color w:val="auto"/>
          <w:kern w:val="0"/>
          <w:szCs w:val="21"/>
          <w:highlight w:val="none"/>
        </w:rPr>
      </w:pPr>
      <w:r>
        <w:rPr>
          <w:rFonts w:hint="eastAsia" w:ascii="宋体" w:hAnsi="宋体" w:cs="宋体"/>
          <w:color w:val="auto"/>
          <w:kern w:val="0"/>
          <w:szCs w:val="21"/>
          <w:highlight w:val="none"/>
        </w:rPr>
        <w:t>进入合同文件的各项文件及其优先顺序是</w:t>
      </w:r>
      <w:r>
        <w:rPr>
          <w:rFonts w:hint="eastAsia" w:ascii="宋体" w:hAnsi="宋体" w:cs="宋体"/>
          <w:b/>
          <w:bCs/>
          <w:color w:val="auto"/>
          <w:kern w:val="0"/>
          <w:szCs w:val="21"/>
          <w:highlight w:val="none"/>
        </w:rPr>
        <w:t>：</w:t>
      </w:r>
    </w:p>
    <w:p w14:paraId="4B57CC47">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 合同协议书(包括补充协议)；</w:t>
      </w:r>
    </w:p>
    <w:p w14:paraId="0244913E">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 中标通知书；</w:t>
      </w:r>
    </w:p>
    <w:p w14:paraId="1B84BC03">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(3) 投标函及投标函附录；</w:t>
      </w:r>
    </w:p>
    <w:p w14:paraId="4E2D7351">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 专用合同条款；</w:t>
      </w:r>
    </w:p>
    <w:p w14:paraId="40ADCC0F">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 通用合同条款；</w:t>
      </w:r>
    </w:p>
    <w:p w14:paraId="667A28EC">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 技术标准和要求；</w:t>
      </w:r>
    </w:p>
    <w:p w14:paraId="7780DEE4">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 图纸；</w:t>
      </w:r>
    </w:p>
    <w:p w14:paraId="25F3C605">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 已标价工程量清单；</w:t>
      </w:r>
    </w:p>
    <w:p w14:paraId="14006498">
      <w:pPr>
        <w:adjustRightInd w:val="0"/>
        <w:snapToGrid w:val="0"/>
        <w:spacing w:line="360" w:lineRule="auto"/>
        <w:ind w:right="248" w:firstLine="420" w:firstLineChars="200"/>
        <w:rPr>
          <w:rFonts w:hint="eastAsia" w:ascii="宋体" w:hAnsi="宋体" w:cs="宋体"/>
          <w:b/>
          <w:bCs/>
          <w:color w:val="auto"/>
          <w:kern w:val="0"/>
          <w:szCs w:val="21"/>
          <w:highlight w:val="none"/>
        </w:rPr>
      </w:pPr>
      <w:r>
        <w:rPr>
          <w:rFonts w:hint="eastAsia" w:ascii="宋体" w:hAnsi="宋体" w:cs="宋体"/>
          <w:color w:val="auto"/>
          <w:kern w:val="0"/>
          <w:szCs w:val="21"/>
          <w:highlight w:val="none"/>
        </w:rPr>
        <w:t>(9) 其他合同文件。</w:t>
      </w:r>
      <w:r>
        <w:rPr>
          <w:rFonts w:hint="eastAsia" w:ascii="宋体" w:hAnsi="宋体" w:cs="宋体"/>
          <w:b/>
          <w:bCs/>
          <w:color w:val="auto"/>
          <w:kern w:val="0"/>
          <w:szCs w:val="21"/>
          <w:highlight w:val="none"/>
        </w:rPr>
        <w:t xml:space="preserve"> </w:t>
      </w:r>
    </w:p>
    <w:p w14:paraId="6E1FC63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1.5 合同协议书</w:t>
      </w:r>
    </w:p>
    <w:p w14:paraId="540482F3">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承包人按中标通知书规定的时间与发包人签订合同协议书。除法律另有规定或合同另有约定外，发包人和承包人的法定代表人或其委托代理人在合同协议书上签字并盖单位章后，合同生效。</w:t>
      </w:r>
    </w:p>
    <w:p w14:paraId="4C208310">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1.6 图纸和承包人文件</w:t>
      </w:r>
    </w:p>
    <w:p w14:paraId="1650CE0A">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1.6.2 承包人提供的文件</w:t>
      </w:r>
    </w:p>
    <w:p w14:paraId="34FD0537">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承包人提供的文件，包括部分工程的大样图、加工图等，承包人应在开工前10日内报送3份给监理人。监理人应在5个工作日内批复。</w:t>
      </w:r>
    </w:p>
    <w:p w14:paraId="69BDCF91">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1.6.3 图纸的修改</w:t>
      </w:r>
    </w:p>
    <w:p w14:paraId="31D0DD8B">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图纸需要修改和补充的，应由监理人取得发包人同意后，在该工程或工程相应部位施工前3个工作日内签发图纸修改图给承包人。</w:t>
      </w:r>
    </w:p>
    <w:p w14:paraId="34CFFE9B">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1.6.4 图纸的错误</w:t>
      </w:r>
    </w:p>
    <w:p w14:paraId="2A67435F">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承包人发现发包人提供的图纸存在明显错误或疏忽，应及时通知监理人，否则所造成的损失全部由承包人承担。</w:t>
      </w:r>
    </w:p>
    <w:p w14:paraId="56905CC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  联络</w:t>
      </w:r>
    </w:p>
    <w:p w14:paraId="7B44A3F2">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1.7.2 来往函件均应按技术条款标准和要求（合同技术条款）约定的期限送达</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w:t>
      </w:r>
    </w:p>
    <w:p w14:paraId="135270B4">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1.9 严禁贿赂</w:t>
      </w:r>
    </w:p>
    <w:p w14:paraId="5CBA718C">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合同双方当事人（含工程项目区内的其他相关人）不得以贿赂或变相贿赂的方式，谋取不当利益或损害对方权益。因贿赂造成对方损失的，行为人应赔偿损失，并承担相应的法律责任。</w:t>
      </w:r>
    </w:p>
    <w:p w14:paraId="77A2DEA0">
      <w:pPr>
        <w:keepNext/>
        <w:keepLines/>
        <w:snapToGrid w:val="0"/>
        <w:spacing w:before="260" w:after="260" w:line="360" w:lineRule="auto"/>
        <w:outlineLvl w:val="2"/>
        <w:rPr>
          <w:rFonts w:hint="eastAsia" w:ascii="宋体" w:hAnsi="宋体" w:cs="宋体"/>
          <w:b/>
          <w:bCs/>
          <w:color w:val="auto"/>
          <w:szCs w:val="21"/>
          <w:highlight w:val="none"/>
        </w:rPr>
      </w:pPr>
      <w:bookmarkStart w:id="177" w:name="_Toc27116"/>
      <w:r>
        <w:rPr>
          <w:rFonts w:hint="eastAsia" w:ascii="宋体" w:hAnsi="宋体" w:cs="宋体"/>
          <w:b/>
          <w:bCs/>
          <w:color w:val="auto"/>
          <w:szCs w:val="21"/>
          <w:highlight w:val="none"/>
        </w:rPr>
        <w:t>2  发包人义务</w:t>
      </w:r>
      <w:bookmarkEnd w:id="177"/>
    </w:p>
    <w:p w14:paraId="3E438701">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2.3  提供施工场地</w:t>
      </w:r>
    </w:p>
    <w:p w14:paraId="3F9EF3FA">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发包人应按承包人投标文件相关条款或双方约定向承包人提供施工场地，以及施工场地内地下管线和地下设施等有关资科，并保证资料的真实、准确、完整。</w:t>
      </w:r>
    </w:p>
    <w:p w14:paraId="500283A7">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2.8  其它义务  </w:t>
      </w:r>
    </w:p>
    <w:p w14:paraId="0B81829A">
      <w:pPr>
        <w:widowControl/>
        <w:adjustRightInd w:val="0"/>
        <w:snapToGrid w:val="0"/>
        <w:spacing w:line="360" w:lineRule="auto"/>
        <w:ind w:firstLine="420" w:firstLineChars="200"/>
        <w:rPr>
          <w:rFonts w:hint="eastAsia" w:ascii="宋体" w:hAnsi="宋体" w:cs="宋体"/>
          <w:color w:val="auto"/>
          <w:kern w:val="0"/>
          <w:szCs w:val="21"/>
          <w:highlight w:val="none"/>
        </w:rPr>
      </w:pPr>
      <w:bookmarkStart w:id="178" w:name="_Toc221951140"/>
      <w:bookmarkStart w:id="179" w:name="_Toc222033880"/>
      <w:bookmarkStart w:id="180" w:name="_Toc222032698"/>
      <w:bookmarkStart w:id="181" w:name="_Toc229305389"/>
      <w:bookmarkStart w:id="182" w:name="_Toc222031031"/>
      <w:bookmarkStart w:id="183" w:name="_Toc222029529"/>
      <w:r>
        <w:rPr>
          <w:rFonts w:hint="eastAsia" w:ascii="宋体" w:hAnsi="宋体" w:cs="宋体"/>
          <w:color w:val="auto"/>
          <w:kern w:val="0"/>
          <w:szCs w:val="21"/>
          <w:highlight w:val="none"/>
        </w:rPr>
        <w:t>（1）建设过程中发包人</w:t>
      </w:r>
      <w:r>
        <w:rPr>
          <w:rFonts w:hint="eastAsia" w:ascii="宋体" w:hAnsi="宋体" w:cs="宋体"/>
          <w:color w:val="auto"/>
          <w:kern w:val="0"/>
          <w:szCs w:val="21"/>
          <w:highlight w:val="none"/>
          <w:u w:val="single"/>
        </w:rPr>
        <w:t>应协调好参建各方（包括勘察、设计、施工等）的工作交叉等工作联系</w:t>
      </w:r>
      <w:r>
        <w:rPr>
          <w:rFonts w:hint="eastAsia" w:ascii="宋体" w:hAnsi="宋体" w:cs="宋体"/>
          <w:color w:val="auto"/>
          <w:kern w:val="0"/>
          <w:szCs w:val="21"/>
          <w:highlight w:val="none"/>
        </w:rPr>
        <w:t>。</w:t>
      </w:r>
    </w:p>
    <w:p w14:paraId="027BF4C3">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（2）本款中未列举，但合同协议、技术标准、已标价工程量清单、图纸中规定应履行的其他义务。</w:t>
      </w:r>
    </w:p>
    <w:p w14:paraId="686993C3">
      <w:pPr>
        <w:keepNext/>
        <w:keepLines/>
        <w:snapToGrid w:val="0"/>
        <w:spacing w:before="260" w:after="260" w:line="360" w:lineRule="auto"/>
        <w:outlineLvl w:val="2"/>
        <w:rPr>
          <w:rFonts w:hint="eastAsia" w:ascii="宋体" w:hAnsi="宋体" w:cs="宋体"/>
          <w:b/>
          <w:bCs/>
          <w:color w:val="auto"/>
          <w:szCs w:val="21"/>
          <w:highlight w:val="none"/>
        </w:rPr>
      </w:pPr>
      <w:bookmarkStart w:id="184" w:name="_Toc8115"/>
      <w:r>
        <w:rPr>
          <w:rFonts w:hint="eastAsia" w:ascii="宋体" w:hAnsi="宋体" w:cs="宋体"/>
          <w:b/>
          <w:bCs/>
          <w:color w:val="auto"/>
          <w:szCs w:val="21"/>
          <w:highlight w:val="none"/>
        </w:rPr>
        <w:t>3  监理人</w:t>
      </w:r>
      <w:bookmarkEnd w:id="178"/>
      <w:bookmarkEnd w:id="179"/>
      <w:bookmarkEnd w:id="180"/>
      <w:bookmarkEnd w:id="181"/>
      <w:bookmarkEnd w:id="182"/>
      <w:bookmarkEnd w:id="183"/>
      <w:bookmarkEnd w:id="184"/>
    </w:p>
    <w:p w14:paraId="35567F27">
      <w:pPr>
        <w:keepNext/>
        <w:keepLines/>
        <w:snapToGrid w:val="0"/>
        <w:spacing w:before="0" w:after="0" w:line="360" w:lineRule="auto"/>
        <w:outlineLvl w:val="3"/>
        <w:rPr>
          <w:rFonts w:hint="eastAsia" w:ascii="宋体" w:hAnsi="宋体" w:cs="宋体"/>
          <w:b/>
          <w:bCs/>
          <w:color w:val="auto"/>
          <w:kern w:val="0"/>
          <w:szCs w:val="21"/>
          <w:highlight w:val="none"/>
        </w:rPr>
      </w:pPr>
      <w:bookmarkStart w:id="185" w:name="_Toc221951141"/>
      <w:r>
        <w:rPr>
          <w:rFonts w:hint="eastAsia" w:ascii="宋体" w:hAnsi="宋体" w:cs="宋体"/>
          <w:b/>
          <w:bCs/>
          <w:color w:val="auto"/>
          <w:kern w:val="0"/>
          <w:szCs w:val="21"/>
          <w:highlight w:val="none"/>
        </w:rPr>
        <w:t>3.1  监理人的职责和权力</w:t>
      </w:r>
      <w:bookmarkEnd w:id="185"/>
    </w:p>
    <w:p w14:paraId="5258C772">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3.1.1 监理人受发包人委托，享有合同约定的权力。监理人在行使某项权力前需要经发包人事先批准。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w:t>
      </w:r>
    </w:p>
    <w:p w14:paraId="32E836CF">
      <w:pPr>
        <w:keepNext/>
        <w:keepLines/>
        <w:snapToGrid w:val="0"/>
        <w:spacing w:before="260" w:after="260" w:line="360" w:lineRule="auto"/>
        <w:outlineLvl w:val="2"/>
        <w:rPr>
          <w:rFonts w:hint="eastAsia" w:ascii="宋体" w:hAnsi="宋体" w:cs="宋体"/>
          <w:b/>
          <w:bCs/>
          <w:color w:val="auto"/>
          <w:szCs w:val="21"/>
          <w:highlight w:val="none"/>
        </w:rPr>
      </w:pPr>
      <w:bookmarkStart w:id="186" w:name="_Toc13862"/>
      <w:r>
        <w:rPr>
          <w:rFonts w:hint="eastAsia" w:ascii="宋体" w:hAnsi="宋体" w:cs="宋体"/>
          <w:b/>
          <w:bCs/>
          <w:color w:val="auto"/>
          <w:szCs w:val="21"/>
          <w:highlight w:val="none"/>
        </w:rPr>
        <w:t>4  承包人</w:t>
      </w:r>
      <w:bookmarkEnd w:id="186"/>
    </w:p>
    <w:p w14:paraId="118B673D">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4.1  承包人的一般义务</w:t>
      </w:r>
    </w:p>
    <w:p w14:paraId="2C043FF1">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4.1.10  其他义务</w:t>
      </w:r>
    </w:p>
    <w:p w14:paraId="3A15BD8B">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（1）按《保障农民工工资支付条例》、《</w:t>
      </w:r>
      <w:r>
        <w:rPr>
          <w:rFonts w:ascii="宋体" w:hAnsi="宋体"/>
          <w:color w:val="auto"/>
          <w:szCs w:val="21"/>
          <w:highlight w:val="none"/>
        </w:rPr>
        <w:t>云南省人民政府办公厅关于全面治理拖欠农民工工资问题的实施意见</w:t>
      </w:r>
      <w:r>
        <w:rPr>
          <w:rFonts w:hint="eastAsia" w:ascii="宋体" w:hAnsi="宋体"/>
          <w:color w:val="auto"/>
          <w:szCs w:val="21"/>
          <w:highlight w:val="none"/>
        </w:rPr>
        <w:t>》等有关规定缴存农民工工资保证金，按时足额支付参与施工的农民工工资，人工费与其他工程款分账管理；</w:t>
      </w:r>
    </w:p>
    <w:p w14:paraId="6F1551CA">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云南省〈工程建设领域农民工工资专用账户管理暂行办法〉实施细则》的要求，中标单位必须把农民工工资与工程款分账管理，中标企业应在项目地银行开设农民工工资专用账户用于农民工工资支付，并按照工程进度款25%的比例拨入农民工工资专用专户。并执行农民工工资实名制发放、分账管理等制度的要求（以项目所在地人社局要求为准）；</w:t>
      </w:r>
    </w:p>
    <w:p w14:paraId="1FEF997D">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根据云南省政府令第166号相关规定，承包人在签订施工合同时，必须向相关部门缴存合同价款3%的农民工工资保证金或农民工工资保证金保函（以项目所在地人社局要求为准）；</w:t>
      </w:r>
    </w:p>
    <w:p w14:paraId="45E0017D">
      <w:pPr>
        <w:adjustRightInd w:val="0"/>
        <w:snapToGrid w:val="0"/>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本合同工程施工所需的水、电、低压侧、交通等临时工程的修建与维护费用全部由承包人自行承担，施工对乡村便道的损坏由承包人负责恢复。若造成当地交通、农田、房屋、植被等损害，承包人应负责对造成的损害进行恢复及赔偿；</w:t>
      </w:r>
    </w:p>
    <w:p w14:paraId="3DA5F147">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（3）在施工队伍进场后，施工技术方案、施工进度计划、资金使用计划、设备人员进场报验单经监理方检查、审核、批准，总监理工程师发出开工令后工程方可开工；</w:t>
      </w:r>
    </w:p>
    <w:p w14:paraId="2225F49B">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（4）承包人必须结清和施工所在地政府、老百姓的所有拖欠款项及今后施工中发生的相应款项，承包人应对由此引起的一切后果负完全责任；</w:t>
      </w:r>
    </w:p>
    <w:p w14:paraId="2525A08C">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（5）承包人要采取有效措施对施工开挖边坡及时进行支护和做好排水措施（特别是雨季施工排水与防洪措施），避免施工中造成水土流失，否则将承担相应赔偿责任；</w:t>
      </w:r>
    </w:p>
    <w:p w14:paraId="2F8CE437">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（6）承包人在施工过程中采取有效防护措施注意保护水源地免受施工活动造成的污染，否则将承担相应责任；</w:t>
      </w:r>
    </w:p>
    <w:p w14:paraId="4B1BE527">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（7）用于工程建设的工程款承包人必须专款专用，不得挪作它用。发包人有权指定承包人开户银行，并请银行代为监督；</w:t>
      </w:r>
    </w:p>
    <w:p w14:paraId="0832D47A">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（8）发包人提供的施工用地以外的承包人所需用地及其费用，由承包人自行解决；</w:t>
      </w:r>
    </w:p>
    <w:p w14:paraId="210DEE7D">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（9）本款中未列举，但合同协议、技术标准、已标价工程量清单、图纸中规定应履行的其他义务。</w:t>
      </w:r>
    </w:p>
    <w:p w14:paraId="2E8304A8">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4.2履约担保</w:t>
      </w:r>
    </w:p>
    <w:p w14:paraId="7356734D">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按招标文件投标人须知前附表7.3.1条规定执行。</w:t>
      </w:r>
    </w:p>
    <w:p w14:paraId="56923BBF">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4.3  分包</w:t>
      </w:r>
    </w:p>
    <w:p w14:paraId="430AE215">
      <w:pPr>
        <w:snapToGrid w:val="0"/>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本项目不允许违法分包。</w:t>
      </w:r>
    </w:p>
    <w:p w14:paraId="1390155A">
      <w:pPr>
        <w:keepNext/>
        <w:keepLines/>
        <w:snapToGrid w:val="0"/>
        <w:spacing w:before="260" w:after="260" w:line="360" w:lineRule="auto"/>
        <w:outlineLvl w:val="2"/>
        <w:rPr>
          <w:rFonts w:hint="eastAsia" w:ascii="宋体" w:hAnsi="宋体" w:cs="宋体"/>
          <w:b/>
          <w:bCs/>
          <w:color w:val="auto"/>
          <w:szCs w:val="21"/>
          <w:highlight w:val="none"/>
        </w:rPr>
      </w:pPr>
      <w:bookmarkStart w:id="187" w:name="_Toc31525"/>
      <w:r>
        <w:rPr>
          <w:rFonts w:hint="eastAsia" w:ascii="宋体" w:hAnsi="宋体" w:cs="宋体"/>
          <w:b/>
          <w:bCs/>
          <w:color w:val="auto"/>
          <w:szCs w:val="21"/>
          <w:highlight w:val="none"/>
        </w:rPr>
        <w:t>5  材料和工程设备</w:t>
      </w:r>
      <w:bookmarkEnd w:id="187"/>
    </w:p>
    <w:p w14:paraId="198FC962">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5.1 承包人提供的材料和工程设备</w:t>
      </w:r>
    </w:p>
    <w:p w14:paraId="3C2D641B">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承包人采购的材料和设备须报监理人审批并经发包人同意。</w:t>
      </w:r>
    </w:p>
    <w:p w14:paraId="34663FCB">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5.2 发包人提供的材料和工程设备</w:t>
      </w:r>
    </w:p>
    <w:p w14:paraId="51AA1C5F">
      <w:pPr>
        <w:snapToGrid w:val="0"/>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本项目发包人不提供材料和工程设备。</w:t>
      </w:r>
    </w:p>
    <w:p w14:paraId="060F493F">
      <w:pPr>
        <w:keepNext/>
        <w:keepLines/>
        <w:snapToGrid w:val="0"/>
        <w:spacing w:before="260" w:after="260" w:line="360" w:lineRule="auto"/>
        <w:outlineLvl w:val="2"/>
        <w:rPr>
          <w:rFonts w:hint="eastAsia" w:ascii="宋体" w:hAnsi="宋体" w:cs="宋体"/>
          <w:b/>
          <w:bCs/>
          <w:color w:val="auto"/>
          <w:szCs w:val="21"/>
          <w:highlight w:val="none"/>
        </w:rPr>
      </w:pPr>
      <w:bookmarkStart w:id="188" w:name="_Toc17426"/>
      <w:r>
        <w:rPr>
          <w:rFonts w:hint="eastAsia" w:ascii="宋体" w:hAnsi="宋体" w:cs="宋体"/>
          <w:b/>
          <w:bCs/>
          <w:color w:val="auto"/>
          <w:szCs w:val="21"/>
          <w:highlight w:val="none"/>
        </w:rPr>
        <w:t>6  施工设备和临时设施</w:t>
      </w:r>
      <w:bookmarkEnd w:id="188"/>
      <w:r>
        <w:rPr>
          <w:rFonts w:hint="eastAsia" w:ascii="宋体" w:hAnsi="宋体" w:cs="宋体"/>
          <w:b/>
          <w:bCs/>
          <w:color w:val="auto"/>
          <w:szCs w:val="21"/>
          <w:highlight w:val="none"/>
        </w:rPr>
        <w:t xml:space="preserve"> </w:t>
      </w:r>
    </w:p>
    <w:p w14:paraId="1379BC79">
      <w:pPr>
        <w:keepNext/>
        <w:keepLines/>
        <w:snapToGrid w:val="0"/>
        <w:spacing w:before="0" w:after="0" w:line="360" w:lineRule="auto"/>
        <w:outlineLvl w:val="3"/>
        <w:rPr>
          <w:rFonts w:hint="eastAsia" w:ascii="宋体" w:hAnsi="宋体" w:cs="宋体"/>
          <w:b/>
          <w:bCs/>
          <w:color w:val="auto"/>
          <w:kern w:val="0"/>
          <w:szCs w:val="21"/>
          <w:highlight w:val="none"/>
        </w:rPr>
      </w:pPr>
      <w:bookmarkStart w:id="189" w:name="_Toc221951167"/>
      <w:r>
        <w:rPr>
          <w:rFonts w:hint="eastAsia" w:ascii="宋体" w:hAnsi="宋体" w:cs="宋体"/>
          <w:b/>
          <w:bCs/>
          <w:color w:val="auto"/>
          <w:kern w:val="0"/>
          <w:szCs w:val="21"/>
          <w:highlight w:val="none"/>
        </w:rPr>
        <w:t>6.2  发包人提供的施工设备和临时设施</w:t>
      </w:r>
      <w:bookmarkEnd w:id="189"/>
    </w:p>
    <w:p w14:paraId="4040257B">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本项目发包人不提供施工设备和临时设施。</w:t>
      </w:r>
    </w:p>
    <w:p w14:paraId="77EAAA02">
      <w:pPr>
        <w:keepNext/>
        <w:keepLines/>
        <w:snapToGrid w:val="0"/>
        <w:spacing w:before="260" w:after="260" w:line="360" w:lineRule="auto"/>
        <w:outlineLvl w:val="2"/>
        <w:rPr>
          <w:rFonts w:hint="eastAsia" w:ascii="宋体" w:hAnsi="宋体" w:cs="宋体"/>
          <w:b/>
          <w:bCs/>
          <w:color w:val="auto"/>
          <w:szCs w:val="21"/>
          <w:highlight w:val="none"/>
        </w:rPr>
      </w:pPr>
      <w:bookmarkStart w:id="190" w:name="_Toc20159"/>
      <w:r>
        <w:rPr>
          <w:rFonts w:hint="eastAsia" w:ascii="宋体" w:hAnsi="宋体" w:cs="宋体"/>
          <w:b/>
          <w:bCs/>
          <w:color w:val="auto"/>
          <w:szCs w:val="21"/>
          <w:highlight w:val="none"/>
        </w:rPr>
        <w:t>7.交通运输</w:t>
      </w:r>
      <w:bookmarkEnd w:id="190"/>
    </w:p>
    <w:p w14:paraId="00891620">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7.1道路通行权和场外设施</w:t>
      </w:r>
    </w:p>
    <w:p w14:paraId="262285CB">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道路通行权和场外设施的约定：道路通行权由承包人办理并承担费用，需要发包人协调时，发包人应协助承包人办理相关手续。</w:t>
      </w:r>
    </w:p>
    <w:p w14:paraId="1573911F">
      <w:pPr>
        <w:keepNext/>
        <w:keepLines/>
        <w:snapToGrid w:val="0"/>
        <w:spacing w:before="260" w:after="260" w:line="360" w:lineRule="auto"/>
        <w:outlineLvl w:val="2"/>
        <w:rPr>
          <w:rFonts w:hint="eastAsia" w:ascii="宋体" w:hAnsi="宋体" w:cs="宋体"/>
          <w:b/>
          <w:bCs/>
          <w:color w:val="auto"/>
          <w:szCs w:val="21"/>
          <w:highlight w:val="none"/>
        </w:rPr>
      </w:pPr>
      <w:bookmarkStart w:id="191" w:name="_Toc14029"/>
      <w:r>
        <w:rPr>
          <w:rFonts w:hint="eastAsia" w:ascii="宋体" w:hAnsi="宋体" w:cs="宋体"/>
          <w:b/>
          <w:bCs/>
          <w:color w:val="auto"/>
          <w:szCs w:val="21"/>
          <w:highlight w:val="none"/>
        </w:rPr>
        <w:t>8 测量放线</w:t>
      </w:r>
      <w:bookmarkEnd w:id="191"/>
    </w:p>
    <w:p w14:paraId="0D92FF1C">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8.1施工控制网</w:t>
      </w:r>
    </w:p>
    <w:p w14:paraId="5B5190C7">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8.1.1 发包人应在合同签订的7日内，通过监理人向承包人提供测量基准点、基准线和水准点及其书面资料。承包人应根据国家测绘基准、 测绘系统和工程测量技术规范，按上述基准点（线）以及合同工程精度要求，测设施工控制网，并在开工后21天内，将施工控制网资料报送监理人审批。</w:t>
      </w:r>
    </w:p>
    <w:p w14:paraId="632BFBF1">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8.2 施工测量</w:t>
      </w:r>
    </w:p>
    <w:p w14:paraId="296D4663">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8.2.1 承包人应负责施工过程中的全部施工测量放线工作，并配置合格的人员、仪器、设备和其他物品。并配合监理人进行抽查。</w:t>
      </w:r>
    </w:p>
    <w:p w14:paraId="603204C7">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8.3 基准资料错误的责任</w:t>
      </w:r>
    </w:p>
    <w:p w14:paraId="79EE24B3">
      <w:pPr>
        <w:snapToGrid w:val="0"/>
        <w:spacing w:line="360" w:lineRule="auto"/>
        <w:ind w:right="248" w:firstLine="480"/>
        <w:rPr>
          <w:rFonts w:hint="eastAsia" w:ascii="宋体" w:hAnsi="宋体" w:cs="宋体"/>
          <w:color w:val="auto"/>
          <w:kern w:val="0"/>
          <w:szCs w:val="21"/>
          <w:highlight w:val="none"/>
        </w:rPr>
      </w:pPr>
      <w:r>
        <w:rPr>
          <w:rFonts w:hint="eastAsia" w:ascii="宋体" w:hAnsi="宋体" w:cs="宋体"/>
          <w:color w:val="auto"/>
          <w:kern w:val="0"/>
          <w:szCs w:val="21"/>
          <w:highlight w:val="none"/>
        </w:rPr>
        <w:t>发包人应对其提供的测量基准点、基准线和水准点及其书面资料的真实性、准确性和完整性负责。承包人发现发包人提供的上述基准资料存在明显错误或疏忽的，应及时通知监理人。</w:t>
      </w:r>
    </w:p>
    <w:p w14:paraId="4002E223">
      <w:pPr>
        <w:ind w:left="420" w:leftChars="200"/>
        <w:rPr>
          <w:color w:val="auto"/>
          <w:kern w:val="0"/>
          <w:sz w:val="20"/>
          <w:highlight w:val="none"/>
        </w:rPr>
      </w:pPr>
    </w:p>
    <w:p w14:paraId="49AA1CF9">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8.6 测量复核</w:t>
      </w:r>
    </w:p>
    <w:p w14:paraId="1E266882">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承包方在工程动工前必须对控制点坐标、地形图、开挖、回填断面进行测量并且对工程量进行认真复核，并在规定时限报送发包方及监理方，未经三方认可，不得动工，凡未经认可的工程量增量，不予结算。</w:t>
      </w:r>
    </w:p>
    <w:p w14:paraId="4283F3DB">
      <w:pPr>
        <w:keepNext/>
        <w:keepLines/>
        <w:adjustRightInd w:val="0"/>
        <w:snapToGrid w:val="0"/>
        <w:spacing w:before="260" w:after="260" w:line="360" w:lineRule="auto"/>
        <w:outlineLvl w:val="2"/>
        <w:rPr>
          <w:rFonts w:hint="eastAsia" w:ascii="宋体" w:hAnsi="宋体" w:cs="宋体"/>
          <w:b/>
          <w:bCs/>
          <w:color w:val="auto"/>
          <w:szCs w:val="21"/>
          <w:highlight w:val="none"/>
        </w:rPr>
      </w:pPr>
      <w:bookmarkStart w:id="192" w:name="_Toc32017"/>
      <w:r>
        <w:rPr>
          <w:rFonts w:hint="eastAsia" w:ascii="宋体" w:hAnsi="宋体" w:cs="宋体"/>
          <w:b/>
          <w:bCs/>
          <w:color w:val="auto"/>
          <w:szCs w:val="21"/>
          <w:highlight w:val="none"/>
        </w:rPr>
        <w:t>9 施工安全、治安保卫和环境保护</w:t>
      </w:r>
      <w:bookmarkEnd w:id="192"/>
    </w:p>
    <w:p w14:paraId="5B2EEDF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9.1发包人的施工安全责任</w:t>
      </w:r>
    </w:p>
    <w:p w14:paraId="326C6C5C">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9.1.4发包人提供</w:t>
      </w:r>
      <w:r>
        <w:rPr>
          <w:rFonts w:hint="eastAsia" w:ascii="宋体" w:hAnsi="宋体" w:cs="宋体"/>
          <w:color w:val="auto"/>
          <w:kern w:val="0"/>
          <w:szCs w:val="21"/>
          <w:highlight w:val="none"/>
          <w:u w:val="single"/>
        </w:rPr>
        <w:t>施工现场及施工可能影响的毗邻区域内供水、排水、供电、供气、供热、通信、广播电视等地下管线资料，气象和水文观测资料，拟建工程可能影响的相邻建筑物地下工程的有关资料</w:t>
      </w:r>
      <w:r>
        <w:rPr>
          <w:rFonts w:hint="eastAsia" w:ascii="宋体" w:hAnsi="宋体" w:cs="宋体"/>
          <w:color w:val="auto"/>
          <w:kern w:val="0"/>
          <w:szCs w:val="21"/>
          <w:highlight w:val="none"/>
        </w:rPr>
        <w:t>，其余资料由承包人负责收集。</w:t>
      </w:r>
    </w:p>
    <w:p w14:paraId="0485C56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9.2承包人的施工安全责任</w:t>
      </w:r>
    </w:p>
    <w:p w14:paraId="1AF32BA2">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9.2.1承包人应按合同约定履行安全职责，执行监理人有关安全工作的指示，并在签订合同14日内，编制施工安全措施计划报送监理人审批。</w:t>
      </w:r>
    </w:p>
    <w:p w14:paraId="7DDD9B32">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增加以下条款：</w:t>
      </w:r>
    </w:p>
    <w:p w14:paraId="3997D9F4">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承包人负责其自己辖区内的消防工作。承包人应对其辖区内发生的火灾及其造成的人员伤亡和财产损失负责。因本工程地处林区，安全防火问题尤其重要，因此承包人应必须服从地方安监部门及发包人的安全监管。承包人负责本合同工程工地的消防工作，组建专职消防队伍，在工地配备必要的日常消防设备并配合公安消防部门工作。</w:t>
      </w:r>
    </w:p>
    <w:p w14:paraId="11914B2C">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9.2.12下列工程应编制专项施工方案：</w:t>
      </w:r>
      <w:r>
        <w:rPr>
          <w:rFonts w:hint="eastAsia" w:ascii="宋体" w:hAnsi="宋体" w:cs="宋体"/>
          <w:color w:val="auto"/>
          <w:kern w:val="0"/>
          <w:szCs w:val="21"/>
          <w:highlight w:val="none"/>
          <w:u w:val="single"/>
        </w:rPr>
        <w:t>对达到一定规模的危险性较大的 （1）基坑支护与降水工程；（2）土方和石方开挖工程；（3）模板工程及支撑体系；（4）起重吊装及安装拆卸工程；（5）脚手架工程；（6）拆除、爆破工程；（7）围堰工程；（8）临时用电工程；（9）其他危险性较大的工程。</w:t>
      </w:r>
      <w:r>
        <w:rPr>
          <w:rFonts w:hint="eastAsia" w:ascii="宋体" w:hAnsi="宋体" w:cs="宋体"/>
          <w:color w:val="auto"/>
          <w:kern w:val="0"/>
          <w:szCs w:val="21"/>
          <w:highlight w:val="none"/>
        </w:rPr>
        <w:t>其中:</w:t>
      </w:r>
      <w:r>
        <w:rPr>
          <w:rFonts w:hint="eastAsia" w:ascii="宋体" w:hAnsi="宋体" w:cs="宋体"/>
          <w:color w:val="auto"/>
          <w:kern w:val="0"/>
          <w:szCs w:val="21"/>
          <w:highlight w:val="none"/>
          <w:u w:val="single"/>
        </w:rPr>
        <w:t xml:space="preserve"> （1）深基坑及高边坡工程；（2）地下暗挖工程；（3）高大模板工程；（4）相关施工安全标准及规范要求的其他需组织专家论证和审查的施工方案应组织专家论证和审查。</w:t>
      </w:r>
    </w:p>
    <w:p w14:paraId="0DFD8F2F">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9.7文明工地</w:t>
      </w:r>
    </w:p>
    <w:p w14:paraId="536ABA64">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bCs/>
          <w:color w:val="auto"/>
          <w:kern w:val="0"/>
          <w:szCs w:val="21"/>
          <w:highlight w:val="none"/>
        </w:rPr>
        <w:t>9.7.1</w:t>
      </w:r>
      <w:r>
        <w:rPr>
          <w:rFonts w:hint="eastAsia" w:ascii="宋体" w:hAnsi="宋体" w:cs="宋体"/>
          <w:color w:val="auto"/>
          <w:kern w:val="0"/>
          <w:szCs w:val="21"/>
          <w:highlight w:val="none"/>
        </w:rPr>
        <w:t xml:space="preserve"> 本合同文明工地的约定：</w:t>
      </w:r>
      <w:r>
        <w:rPr>
          <w:rFonts w:hint="eastAsia" w:ascii="宋体" w:hAnsi="宋体" w:cs="宋体"/>
          <w:color w:val="auto"/>
          <w:kern w:val="0"/>
          <w:szCs w:val="21"/>
          <w:highlight w:val="none"/>
          <w:u w:val="single"/>
        </w:rPr>
        <w:t>按《水利系统文明建设工地评审管理办法》规定</w:t>
      </w:r>
      <w:r>
        <w:rPr>
          <w:rFonts w:hint="eastAsia" w:ascii="宋体" w:hAnsi="宋体" w:cs="宋体"/>
          <w:color w:val="auto"/>
          <w:kern w:val="0"/>
          <w:szCs w:val="21"/>
          <w:highlight w:val="none"/>
        </w:rPr>
        <w:t xml:space="preserve">。 </w:t>
      </w:r>
    </w:p>
    <w:p w14:paraId="07F2A834">
      <w:pPr>
        <w:keepNext/>
        <w:keepLines/>
        <w:snapToGrid w:val="0"/>
        <w:spacing w:before="0" w:after="0" w:line="360" w:lineRule="auto"/>
        <w:outlineLvl w:val="3"/>
        <w:rPr>
          <w:rFonts w:hint="eastAsia" w:ascii="宋体" w:hAnsi="宋体" w:cs="宋体"/>
          <w:b/>
          <w:bCs/>
          <w:color w:val="auto"/>
          <w:kern w:val="0"/>
          <w:szCs w:val="21"/>
          <w:highlight w:val="none"/>
        </w:rPr>
      </w:pPr>
      <w:bookmarkStart w:id="193" w:name="_Hlk161604771"/>
      <w:r>
        <w:rPr>
          <w:rFonts w:hint="eastAsia" w:ascii="宋体" w:hAnsi="宋体" w:cs="宋体"/>
          <w:b/>
          <w:bCs/>
          <w:color w:val="auto"/>
          <w:kern w:val="0"/>
          <w:szCs w:val="21"/>
          <w:highlight w:val="none"/>
        </w:rPr>
        <w:t>9.8</w:t>
      </w:r>
      <w:bookmarkStart w:id="194" w:name="_Hlk161582066"/>
      <w:r>
        <w:rPr>
          <w:rFonts w:hint="eastAsia" w:ascii="宋体" w:hAnsi="宋体" w:cs="宋体"/>
          <w:b/>
          <w:bCs/>
          <w:color w:val="auto"/>
          <w:kern w:val="0"/>
          <w:szCs w:val="21"/>
          <w:highlight w:val="none"/>
        </w:rPr>
        <w:t>安全生产标准化</w:t>
      </w:r>
      <w:bookmarkEnd w:id="194"/>
    </w:p>
    <w:p w14:paraId="333CA5A1">
      <w:pPr>
        <w:widowControl/>
        <w:adjustRightInd w:val="0"/>
        <w:snapToGrid w:val="0"/>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9.8.1按照《云南省水利厅关于印发云南省水利安全生产标准化建设实施方案的通知》（云水安监〔2014〕47号）规定，配合发包人做好</w:t>
      </w:r>
      <w:r>
        <w:rPr>
          <w:rFonts w:hint="eastAsia" w:ascii="宋体" w:hAnsi="宋体" w:cs="宋体"/>
          <w:color w:val="auto"/>
          <w:kern w:val="0"/>
          <w:szCs w:val="21"/>
          <w:highlight w:val="none"/>
        </w:rPr>
        <w:t>安全生产标准化相关工作。</w:t>
      </w:r>
      <w:bookmarkEnd w:id="193"/>
    </w:p>
    <w:p w14:paraId="752A6736">
      <w:pPr>
        <w:keepNext/>
        <w:keepLines/>
        <w:snapToGrid w:val="0"/>
        <w:spacing w:before="0" w:after="0" w:line="360" w:lineRule="auto"/>
        <w:outlineLvl w:val="3"/>
        <w:rPr>
          <w:rFonts w:hint="eastAsia" w:ascii="宋体" w:hAnsi="宋体" w:cs="宋体"/>
          <w:b/>
          <w:bCs/>
          <w:color w:val="auto"/>
          <w:kern w:val="0"/>
          <w:szCs w:val="21"/>
          <w:highlight w:val="none"/>
        </w:rPr>
      </w:pPr>
      <w:bookmarkStart w:id="195" w:name="_Hlk161604793"/>
      <w:r>
        <w:rPr>
          <w:rFonts w:hint="eastAsia" w:ascii="宋体" w:hAnsi="宋体" w:cs="宋体"/>
          <w:b/>
          <w:bCs/>
          <w:color w:val="auto"/>
          <w:kern w:val="0"/>
          <w:szCs w:val="21"/>
          <w:highlight w:val="none"/>
        </w:rPr>
        <w:t>9.9安全责任险</w:t>
      </w:r>
    </w:p>
    <w:p w14:paraId="6BEA9C01">
      <w:pPr>
        <w:ind w:firstLine="200" w:firstLineChars="100"/>
        <w:rPr>
          <w:color w:val="auto"/>
          <w:kern w:val="0"/>
          <w:sz w:val="20"/>
          <w:highlight w:val="none"/>
        </w:rPr>
      </w:pPr>
      <w:r>
        <w:rPr>
          <w:rFonts w:hint="eastAsia" w:ascii="宋体" w:hAnsi="宋体" w:cs="宋体"/>
          <w:color w:val="auto"/>
          <w:kern w:val="0"/>
          <w:sz w:val="20"/>
          <w:highlight w:val="none"/>
        </w:rPr>
        <w:t>承包人按《</w:t>
      </w:r>
      <w:r>
        <w:rPr>
          <w:rFonts w:hint="eastAsia"/>
          <w:color w:val="auto"/>
          <w:kern w:val="0"/>
          <w:sz w:val="20"/>
          <w:highlight w:val="none"/>
        </w:rPr>
        <w:t>水利部关于推进水利工程建设安全生产责任保险工作的指导意见</w:t>
      </w:r>
      <w:r>
        <w:rPr>
          <w:rFonts w:hint="eastAsia" w:ascii="宋体" w:hAnsi="宋体" w:cs="宋体"/>
          <w:color w:val="auto"/>
          <w:kern w:val="0"/>
          <w:sz w:val="20"/>
          <w:highlight w:val="none"/>
        </w:rPr>
        <w:t>》（水监督〔2023〕347号）规定执行。</w:t>
      </w:r>
      <w:bookmarkEnd w:id="195"/>
    </w:p>
    <w:p w14:paraId="407D70A2">
      <w:pPr>
        <w:keepNext/>
        <w:keepLines/>
        <w:snapToGrid w:val="0"/>
        <w:spacing w:before="260" w:after="260" w:line="360" w:lineRule="auto"/>
        <w:outlineLvl w:val="2"/>
        <w:rPr>
          <w:rFonts w:hint="eastAsia" w:ascii="宋体" w:hAnsi="宋体" w:cs="宋体"/>
          <w:b/>
          <w:bCs/>
          <w:color w:val="auto"/>
          <w:szCs w:val="21"/>
          <w:highlight w:val="none"/>
        </w:rPr>
      </w:pPr>
      <w:bookmarkStart w:id="196" w:name="_Toc221951188"/>
      <w:bookmarkStart w:id="197" w:name="_Toc222029536"/>
      <w:bookmarkStart w:id="198" w:name="_Toc222032705"/>
      <w:bookmarkStart w:id="199" w:name="_Toc222031038"/>
      <w:bookmarkStart w:id="200" w:name="_Toc229305394"/>
      <w:bookmarkStart w:id="201" w:name="_Toc222033887"/>
      <w:bookmarkStart w:id="202" w:name="_Toc10985"/>
      <w:r>
        <w:rPr>
          <w:rFonts w:hint="eastAsia" w:ascii="宋体" w:hAnsi="宋体" w:cs="宋体"/>
          <w:b/>
          <w:bCs/>
          <w:color w:val="auto"/>
          <w:szCs w:val="21"/>
          <w:highlight w:val="none"/>
        </w:rPr>
        <w:t>11  开工和竣工</w:t>
      </w:r>
      <w:bookmarkEnd w:id="196"/>
      <w:bookmarkEnd w:id="197"/>
      <w:bookmarkEnd w:id="198"/>
      <w:bookmarkEnd w:id="199"/>
      <w:bookmarkEnd w:id="200"/>
      <w:bookmarkEnd w:id="201"/>
      <w:r>
        <w:rPr>
          <w:rFonts w:hint="eastAsia" w:ascii="宋体" w:hAnsi="宋体" w:cs="宋体"/>
          <w:b/>
          <w:bCs/>
          <w:color w:val="auto"/>
          <w:szCs w:val="21"/>
          <w:highlight w:val="none"/>
        </w:rPr>
        <w:t>（完工）</w:t>
      </w:r>
      <w:bookmarkEnd w:id="202"/>
    </w:p>
    <w:p w14:paraId="2756DCAE">
      <w:pPr>
        <w:keepNext/>
        <w:keepLines/>
        <w:snapToGrid w:val="0"/>
        <w:spacing w:before="0" w:after="0" w:line="360" w:lineRule="auto"/>
        <w:outlineLvl w:val="3"/>
        <w:rPr>
          <w:rFonts w:hint="eastAsia" w:ascii="宋体" w:hAnsi="宋体" w:cs="宋体"/>
          <w:b/>
          <w:bCs/>
          <w:color w:val="auto"/>
          <w:kern w:val="0"/>
          <w:szCs w:val="21"/>
          <w:highlight w:val="none"/>
        </w:rPr>
      </w:pPr>
      <w:bookmarkStart w:id="203" w:name="_Toc221951189"/>
      <w:r>
        <w:rPr>
          <w:rFonts w:hint="eastAsia" w:ascii="宋体" w:hAnsi="宋体" w:cs="宋体"/>
          <w:b/>
          <w:bCs/>
          <w:color w:val="auto"/>
          <w:kern w:val="0"/>
          <w:szCs w:val="21"/>
          <w:highlight w:val="none"/>
        </w:rPr>
        <w:t>11.4  异常恶劣的气候条件</w:t>
      </w:r>
      <w:bookmarkEnd w:id="203"/>
      <w:r>
        <w:rPr>
          <w:rFonts w:hint="eastAsia" w:ascii="宋体" w:hAnsi="宋体" w:cs="宋体"/>
          <w:b/>
          <w:bCs/>
          <w:color w:val="auto"/>
          <w:kern w:val="0"/>
          <w:szCs w:val="21"/>
          <w:highlight w:val="none"/>
        </w:rPr>
        <w:t xml:space="preserve"> </w:t>
      </w:r>
    </w:p>
    <w:p w14:paraId="4A5CD348">
      <w:pPr>
        <w:snapToGrid w:val="0"/>
        <w:spacing w:line="360" w:lineRule="auto"/>
        <w:ind w:right="248" w:firstLine="480"/>
        <w:rPr>
          <w:rFonts w:hint="eastAsia" w:ascii="宋体" w:hAnsi="宋体" w:cs="宋体"/>
          <w:color w:val="auto"/>
          <w:kern w:val="0"/>
          <w:szCs w:val="21"/>
          <w:highlight w:val="none"/>
        </w:rPr>
      </w:pPr>
      <w:bookmarkStart w:id="204" w:name="_Toc221951191"/>
      <w:r>
        <w:rPr>
          <w:rFonts w:hint="eastAsia" w:ascii="宋体" w:hAnsi="宋体" w:cs="宋体"/>
          <w:color w:val="auto"/>
          <w:kern w:val="0"/>
          <w:szCs w:val="21"/>
          <w:highlight w:val="none"/>
        </w:rPr>
        <w:t>11.4.3本合同工程界定异常恶劣气候条件的范围为：</w:t>
      </w:r>
      <w:bookmarkEnd w:id="204"/>
    </w:p>
    <w:p w14:paraId="6622435A">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（1） 日降雨量大于 </w:t>
      </w:r>
      <w:r>
        <w:rPr>
          <w:rFonts w:hint="eastAsia" w:ascii="宋体" w:hAnsi="宋体" w:cs="宋体"/>
          <w:color w:val="auto"/>
          <w:kern w:val="0"/>
          <w:szCs w:val="21"/>
          <w:highlight w:val="none"/>
          <w:u w:val="single"/>
        </w:rPr>
        <w:t>经当地气象部门统计的多年日平均最大降雨量的雨日超过 5 天</w:t>
      </w:r>
      <w:r>
        <w:rPr>
          <w:rFonts w:hint="eastAsia" w:ascii="宋体" w:hAnsi="宋体" w:cs="宋体"/>
          <w:color w:val="auto"/>
          <w:kern w:val="0"/>
          <w:szCs w:val="21"/>
          <w:highlight w:val="none"/>
        </w:rPr>
        <w:t>；</w:t>
      </w:r>
    </w:p>
    <w:p w14:paraId="4B7EB780">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 风速大于</w:t>
      </w:r>
      <w:r>
        <w:rPr>
          <w:rFonts w:hint="eastAsia" w:ascii="宋体" w:hAnsi="宋体" w:cs="宋体"/>
          <w:color w:val="auto"/>
          <w:kern w:val="0"/>
          <w:szCs w:val="21"/>
          <w:highlight w:val="none"/>
          <w:u w:val="single"/>
        </w:rPr>
        <w:t>经当地气象部门统计的多年平均最大风速以上台风灾害</w:t>
      </w:r>
      <w:r>
        <w:rPr>
          <w:rFonts w:hint="eastAsia" w:ascii="宋体" w:hAnsi="宋体" w:cs="宋体"/>
          <w:color w:val="auto"/>
          <w:kern w:val="0"/>
          <w:szCs w:val="21"/>
          <w:highlight w:val="none"/>
        </w:rPr>
        <w:t>；</w:t>
      </w:r>
    </w:p>
    <w:p w14:paraId="5752813D">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 日气温超过</w:t>
      </w:r>
      <w:r>
        <w:rPr>
          <w:rFonts w:hint="eastAsia" w:ascii="宋体" w:hAnsi="宋体" w:cs="宋体"/>
          <w:color w:val="auto"/>
          <w:kern w:val="0"/>
          <w:szCs w:val="21"/>
          <w:highlight w:val="none"/>
          <w:u w:val="single"/>
        </w:rPr>
        <w:t>经当地气象部门统计的多年平均最高温大于5天</w:t>
      </w:r>
      <w:r>
        <w:rPr>
          <w:rFonts w:hint="eastAsia" w:ascii="宋体" w:hAnsi="宋体" w:cs="宋体"/>
          <w:color w:val="auto"/>
          <w:kern w:val="0"/>
          <w:szCs w:val="21"/>
          <w:highlight w:val="none"/>
        </w:rPr>
        <w:t>；</w:t>
      </w:r>
    </w:p>
    <w:p w14:paraId="1334F5E7">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 日气温低于</w:t>
      </w:r>
      <w:r>
        <w:rPr>
          <w:rFonts w:hint="eastAsia" w:ascii="宋体" w:hAnsi="宋体" w:cs="宋体"/>
          <w:color w:val="auto"/>
          <w:kern w:val="0"/>
          <w:szCs w:val="21"/>
          <w:highlight w:val="none"/>
          <w:u w:val="single"/>
        </w:rPr>
        <w:t>经当地气象部门统计的多年平均最低温的严寒大于 5天；</w:t>
      </w:r>
    </w:p>
    <w:p w14:paraId="71CA523E">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 造成工程损坏的冰雹和大雪灾害：</w:t>
      </w:r>
      <w:r>
        <w:rPr>
          <w:rFonts w:hint="eastAsia" w:ascii="宋体" w:hAnsi="宋体" w:cs="宋体"/>
          <w:color w:val="auto"/>
          <w:kern w:val="0"/>
          <w:szCs w:val="21"/>
          <w:highlight w:val="none"/>
          <w:u w:val="single"/>
        </w:rPr>
        <w:t>造成工程较严重损坏的冰雹和大雪；</w:t>
      </w:r>
    </w:p>
    <w:p w14:paraId="79C1FE9E">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 其他异常恶劣气候灾害。</w:t>
      </w:r>
    </w:p>
    <w:p w14:paraId="2251FB65">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 </w:t>
      </w:r>
      <w:bookmarkStart w:id="205" w:name="_Hlk161604820"/>
      <w:r>
        <w:rPr>
          <w:rFonts w:hint="eastAsia" w:ascii="宋体" w:hAnsi="宋体" w:cs="宋体"/>
          <w:b/>
          <w:bCs/>
          <w:color w:val="auto"/>
          <w:kern w:val="0"/>
          <w:szCs w:val="21"/>
          <w:highlight w:val="none"/>
        </w:rPr>
        <w:t xml:space="preserve">11.5  承包人工期延误 </w:t>
      </w:r>
      <w:bookmarkEnd w:id="205"/>
    </w:p>
    <w:p w14:paraId="3E261F3E">
      <w:pPr>
        <w:snapToGrid w:val="0"/>
        <w:spacing w:line="360" w:lineRule="auto"/>
        <w:ind w:right="248"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（1）逾期竣工违约金表(参考格式)</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3029"/>
        <w:gridCol w:w="2268"/>
        <w:gridCol w:w="1992"/>
      </w:tblGrid>
      <w:tr w14:paraId="2B974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vAlign w:val="center"/>
          </w:tcPr>
          <w:p w14:paraId="57896749">
            <w:pPr>
              <w:tabs>
                <w:tab w:val="left" w:pos="803"/>
              </w:tabs>
              <w:snapToGrid w:val="0"/>
              <w:ind w:right="34"/>
              <w:jc w:val="center"/>
              <w:rPr>
                <w:rFonts w:hint="eastAsia" w:ascii="宋体" w:hAnsi="宋体" w:cs="宋体"/>
                <w:bCs/>
                <w:color w:val="auto"/>
                <w:kern w:val="0"/>
                <w:sz w:val="20"/>
                <w:szCs w:val="21"/>
                <w:highlight w:val="none"/>
              </w:rPr>
            </w:pPr>
            <w:bookmarkStart w:id="206" w:name="_Hlk161604832"/>
            <w:r>
              <w:rPr>
                <w:rFonts w:hint="eastAsia" w:ascii="宋体" w:hAnsi="宋体" w:cs="宋体"/>
                <w:bCs/>
                <w:color w:val="auto"/>
                <w:kern w:val="0"/>
                <w:sz w:val="20"/>
                <w:szCs w:val="21"/>
                <w:highlight w:val="none"/>
              </w:rPr>
              <w:t>序号</w:t>
            </w:r>
          </w:p>
        </w:tc>
        <w:tc>
          <w:tcPr>
            <w:tcW w:w="3029" w:type="dxa"/>
            <w:vAlign w:val="center"/>
          </w:tcPr>
          <w:p w14:paraId="4D4C4C96">
            <w:pPr>
              <w:snapToGrid w:val="0"/>
              <w:ind w:right="249"/>
              <w:jc w:val="center"/>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项目及其说明</w:t>
            </w:r>
          </w:p>
        </w:tc>
        <w:tc>
          <w:tcPr>
            <w:tcW w:w="2268" w:type="dxa"/>
            <w:vAlign w:val="center"/>
          </w:tcPr>
          <w:p w14:paraId="0322F402">
            <w:pPr>
              <w:snapToGrid w:val="0"/>
              <w:ind w:right="249"/>
              <w:jc w:val="center"/>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节点工期</w:t>
            </w:r>
          </w:p>
        </w:tc>
        <w:tc>
          <w:tcPr>
            <w:tcW w:w="1992" w:type="dxa"/>
            <w:vAlign w:val="center"/>
          </w:tcPr>
          <w:p w14:paraId="6EF79836">
            <w:pPr>
              <w:snapToGrid w:val="0"/>
              <w:ind w:right="249"/>
              <w:jc w:val="center"/>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违约金（元/天）</w:t>
            </w:r>
          </w:p>
        </w:tc>
      </w:tr>
      <w:tr w14:paraId="02FB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dxa"/>
            <w:vAlign w:val="center"/>
          </w:tcPr>
          <w:p w14:paraId="6548C646">
            <w:pPr>
              <w:tabs>
                <w:tab w:val="left" w:pos="803"/>
              </w:tabs>
              <w:snapToGrid w:val="0"/>
              <w:ind w:right="-71" w:firstLine="300" w:firstLineChars="150"/>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1</w:t>
            </w:r>
          </w:p>
        </w:tc>
        <w:tc>
          <w:tcPr>
            <w:tcW w:w="3029" w:type="dxa"/>
            <w:vAlign w:val="center"/>
          </w:tcPr>
          <w:p w14:paraId="33EB4858">
            <w:pPr>
              <w:snapToGrid w:val="0"/>
              <w:ind w:right="249"/>
              <w:jc w:val="center"/>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本合同项目</w:t>
            </w:r>
          </w:p>
        </w:tc>
        <w:tc>
          <w:tcPr>
            <w:tcW w:w="2268" w:type="dxa"/>
            <w:vAlign w:val="center"/>
          </w:tcPr>
          <w:p w14:paraId="6443146F">
            <w:pPr>
              <w:snapToGrid w:val="0"/>
              <w:ind w:right="249"/>
              <w:jc w:val="center"/>
              <w:rPr>
                <w:rFonts w:hint="eastAsia" w:ascii="宋体" w:hAnsi="宋体" w:cs="宋体"/>
                <w:bCs/>
                <w:color w:val="auto"/>
                <w:kern w:val="0"/>
                <w:sz w:val="20"/>
                <w:szCs w:val="21"/>
                <w:highlight w:val="none"/>
              </w:rPr>
            </w:pPr>
            <w:r>
              <w:rPr>
                <w:rFonts w:hint="eastAsia" w:ascii="宋体" w:hAnsi="宋体" w:cs="宋体"/>
                <w:color w:val="auto"/>
                <w:kern w:val="0"/>
                <w:sz w:val="20"/>
                <w:szCs w:val="21"/>
                <w:highlight w:val="none"/>
              </w:rPr>
              <w:t>本项目总工期</w:t>
            </w:r>
          </w:p>
        </w:tc>
        <w:tc>
          <w:tcPr>
            <w:tcW w:w="1992" w:type="dxa"/>
            <w:vAlign w:val="center"/>
          </w:tcPr>
          <w:p w14:paraId="7C73D690">
            <w:pPr>
              <w:snapToGrid w:val="0"/>
              <w:ind w:right="249"/>
              <w:jc w:val="center"/>
              <w:rPr>
                <w:rFonts w:hint="eastAsia" w:ascii="宋体" w:hAnsi="宋体" w:cs="宋体"/>
                <w:bCs/>
                <w:color w:val="auto"/>
                <w:kern w:val="0"/>
                <w:sz w:val="20"/>
                <w:szCs w:val="21"/>
                <w:highlight w:val="none"/>
              </w:rPr>
            </w:pPr>
            <w:r>
              <w:rPr>
                <w:rFonts w:hint="eastAsia" w:ascii="宋体" w:hAnsi="宋体" w:cs="宋体"/>
                <w:bCs/>
                <w:color w:val="auto"/>
                <w:kern w:val="0"/>
                <w:sz w:val="20"/>
                <w:szCs w:val="21"/>
                <w:highlight w:val="none"/>
              </w:rPr>
              <w:t>2000</w:t>
            </w:r>
            <w:r>
              <w:rPr>
                <w:rFonts w:ascii="宋体" w:hAnsi="宋体" w:cs="宋体"/>
                <w:bCs/>
                <w:color w:val="auto"/>
                <w:kern w:val="0"/>
                <w:sz w:val="20"/>
                <w:szCs w:val="21"/>
                <w:highlight w:val="none"/>
              </w:rPr>
              <w:t>.00</w:t>
            </w:r>
          </w:p>
        </w:tc>
      </w:tr>
      <w:bookmarkEnd w:id="206"/>
    </w:tbl>
    <w:p w14:paraId="7F291D3B">
      <w:pPr>
        <w:snapToGrid w:val="0"/>
        <w:spacing w:before="120" w:beforeLines="50"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（2）全部逾期竣工违约金的总限额为</w:t>
      </w:r>
      <w:r>
        <w:rPr>
          <w:rFonts w:hint="eastAsia" w:ascii="宋体" w:hAnsi="宋体" w:cs="宋体"/>
          <w:color w:val="auto"/>
          <w:kern w:val="0"/>
          <w:szCs w:val="21"/>
          <w:highlight w:val="none"/>
          <w:u w:val="single"/>
        </w:rPr>
        <w:t xml:space="preserve">  （不超过合同总价的5%） </w:t>
      </w:r>
      <w:r>
        <w:rPr>
          <w:rFonts w:hint="eastAsia" w:ascii="宋体" w:hAnsi="宋体" w:cs="宋体"/>
          <w:color w:val="auto"/>
          <w:kern w:val="0"/>
          <w:szCs w:val="21"/>
          <w:highlight w:val="none"/>
        </w:rPr>
        <w:t>。</w:t>
      </w:r>
    </w:p>
    <w:p w14:paraId="675358EB">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11.6 工期提前</w:t>
      </w:r>
    </w:p>
    <w:p w14:paraId="0387234A">
      <w:pPr>
        <w:snapToGrid w:val="0"/>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工期提前的奖金约定：</w:t>
      </w:r>
      <w:r>
        <w:rPr>
          <w:rFonts w:hint="eastAsia" w:ascii="宋体" w:hAnsi="宋体" w:cs="宋体"/>
          <w:color w:val="auto"/>
          <w:kern w:val="0"/>
          <w:szCs w:val="21"/>
          <w:highlight w:val="none"/>
          <w:u w:val="single"/>
        </w:rPr>
        <w:t>无</w:t>
      </w:r>
      <w:r>
        <w:rPr>
          <w:rFonts w:hint="eastAsia" w:ascii="宋体" w:hAnsi="宋体" w:cs="宋体"/>
          <w:color w:val="auto"/>
          <w:kern w:val="0"/>
          <w:szCs w:val="21"/>
          <w:highlight w:val="none"/>
        </w:rPr>
        <w:t>。</w:t>
      </w:r>
    </w:p>
    <w:p w14:paraId="72618148">
      <w:pPr>
        <w:keepNext/>
        <w:keepLines/>
        <w:snapToGrid w:val="0"/>
        <w:spacing w:before="260" w:after="260" w:line="360" w:lineRule="auto"/>
        <w:outlineLvl w:val="2"/>
        <w:rPr>
          <w:rFonts w:hint="eastAsia" w:ascii="宋体" w:hAnsi="宋体" w:cs="宋体"/>
          <w:b/>
          <w:bCs/>
          <w:color w:val="auto"/>
          <w:szCs w:val="21"/>
          <w:highlight w:val="none"/>
        </w:rPr>
      </w:pPr>
      <w:bookmarkStart w:id="207" w:name="_Toc222029537"/>
      <w:bookmarkStart w:id="208" w:name="_Toc229305395"/>
      <w:bookmarkStart w:id="209" w:name="_Toc222032706"/>
      <w:bookmarkStart w:id="210" w:name="_Toc27554"/>
      <w:bookmarkStart w:id="211" w:name="_Toc222031039"/>
      <w:bookmarkStart w:id="212" w:name="_Toc222033888"/>
      <w:bookmarkStart w:id="213" w:name="_Toc221951206"/>
      <w:r>
        <w:rPr>
          <w:rFonts w:hint="eastAsia" w:ascii="宋体" w:hAnsi="宋体" w:cs="宋体"/>
          <w:b/>
          <w:bCs/>
          <w:color w:val="auto"/>
          <w:szCs w:val="21"/>
          <w:highlight w:val="none"/>
        </w:rPr>
        <w:t>12  暂停施工</w:t>
      </w:r>
      <w:bookmarkEnd w:id="207"/>
      <w:bookmarkEnd w:id="208"/>
      <w:bookmarkEnd w:id="209"/>
      <w:bookmarkEnd w:id="210"/>
      <w:bookmarkEnd w:id="211"/>
      <w:bookmarkEnd w:id="212"/>
      <w:bookmarkEnd w:id="213"/>
    </w:p>
    <w:p w14:paraId="21A9983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12.1承包人暂停施工的责任</w:t>
      </w:r>
    </w:p>
    <w:p w14:paraId="0241A04C">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承包人承担暂停施工责任的其他情形：</w:t>
      </w:r>
    </w:p>
    <w:p w14:paraId="2AAF3211">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承包人在接到开工通知后14天内未及时进点组织施工，监理人可通知承包人立即采取有效措施赶上进度，承包人应在接到通知后的7天内向监理人提交一份补救措施报告报送监理人审批。补救措施报告应详细说明不能及时进点的原因和补救办法，由此增加的费用和工期延误责任由承包人承担。</w:t>
      </w:r>
    </w:p>
    <w:p w14:paraId="1E208155">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2、由于现场非异常恶劣气候条件引起的正常停工。</w:t>
      </w:r>
    </w:p>
    <w:p w14:paraId="600E6B79">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12.2 发包人暂停施工的责任</w:t>
      </w:r>
    </w:p>
    <w:p w14:paraId="042EE957">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由于发包人原因引起的暂停施工造成工期延误的，承包人有权要求发包人延长工期，但发包人不补偿任何费用。</w:t>
      </w:r>
    </w:p>
    <w:p w14:paraId="78A2C05E">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12.4 暂停施工后的复工</w:t>
      </w:r>
    </w:p>
    <w:p w14:paraId="16BAC7E4">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12.4.2 承包人无故拖延和拒绝复工的，由此增加的费用和工期延误由承包人承担；因发包人原因无法按时复工的，承包人有权要求发包人延长工期，但发包人不补偿任何费用。</w:t>
      </w:r>
    </w:p>
    <w:p w14:paraId="1693457B">
      <w:pPr>
        <w:keepNext/>
        <w:keepLines/>
        <w:snapToGrid w:val="0"/>
        <w:spacing w:before="260" w:after="260" w:line="360" w:lineRule="auto"/>
        <w:outlineLvl w:val="2"/>
        <w:rPr>
          <w:rFonts w:hint="eastAsia" w:ascii="宋体" w:hAnsi="宋体" w:cs="宋体"/>
          <w:b/>
          <w:bCs/>
          <w:color w:val="auto"/>
          <w:szCs w:val="21"/>
          <w:highlight w:val="none"/>
        </w:rPr>
      </w:pPr>
      <w:bookmarkStart w:id="214" w:name="_Toc9769"/>
      <w:r>
        <w:rPr>
          <w:rFonts w:hint="eastAsia" w:ascii="宋体" w:hAnsi="宋体" w:cs="宋体"/>
          <w:b/>
          <w:bCs/>
          <w:color w:val="auto"/>
          <w:szCs w:val="21"/>
          <w:highlight w:val="none"/>
        </w:rPr>
        <w:t>13. 工程质量</w:t>
      </w:r>
      <w:bookmarkEnd w:id="214"/>
    </w:p>
    <w:p w14:paraId="2ADD3662">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13.7 质量评定</w:t>
      </w:r>
    </w:p>
    <w:p w14:paraId="037C1802">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13.7.4重要隐蔽单元工程和关键部位单元工程质量评定的约定：</w:t>
      </w:r>
      <w:r>
        <w:rPr>
          <w:rFonts w:hint="eastAsia" w:ascii="宋体" w:hAnsi="宋体" w:cs="宋体"/>
          <w:color w:val="auto"/>
          <w:kern w:val="0"/>
          <w:szCs w:val="21"/>
          <w:highlight w:val="none"/>
          <w:u w:val="single"/>
        </w:rPr>
        <w:t>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rPr>
          <w:rFonts w:hint="eastAsia" w:ascii="宋体" w:hAnsi="宋体" w:cs="宋体"/>
          <w:color w:val="auto"/>
          <w:kern w:val="0"/>
          <w:szCs w:val="21"/>
          <w:highlight w:val="none"/>
        </w:rPr>
        <w:t>。</w:t>
      </w:r>
    </w:p>
    <w:p w14:paraId="4AB1C65D">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13.7.7工程质量等级：</w:t>
      </w:r>
      <w:r>
        <w:rPr>
          <w:rFonts w:hint="eastAsia" w:ascii="宋体" w:hAnsi="宋体" w:cs="宋体"/>
          <w:color w:val="auto"/>
          <w:kern w:val="0"/>
          <w:szCs w:val="21"/>
          <w:highlight w:val="none"/>
          <w:u w:val="single"/>
        </w:rPr>
        <w:t>合格</w:t>
      </w:r>
      <w:r>
        <w:rPr>
          <w:rFonts w:hint="eastAsia" w:ascii="宋体" w:hAnsi="宋体" w:cs="宋体"/>
          <w:color w:val="auto"/>
          <w:kern w:val="0"/>
          <w:szCs w:val="21"/>
          <w:highlight w:val="none"/>
        </w:rPr>
        <w:t>。</w:t>
      </w:r>
    </w:p>
    <w:p w14:paraId="2113BC1F">
      <w:pPr>
        <w:keepNext/>
        <w:keepLines/>
        <w:snapToGrid w:val="0"/>
        <w:spacing w:before="260" w:after="260" w:line="360" w:lineRule="auto"/>
        <w:outlineLvl w:val="2"/>
        <w:rPr>
          <w:rFonts w:hint="eastAsia" w:ascii="宋体" w:hAnsi="宋体" w:cs="宋体"/>
          <w:b/>
          <w:bCs/>
          <w:color w:val="auto"/>
          <w:szCs w:val="21"/>
          <w:highlight w:val="none"/>
        </w:rPr>
      </w:pPr>
      <w:bookmarkStart w:id="215" w:name="_Toc11828"/>
      <w:r>
        <w:rPr>
          <w:rFonts w:hint="eastAsia" w:ascii="宋体" w:hAnsi="宋体" w:cs="宋体"/>
          <w:b/>
          <w:bCs/>
          <w:color w:val="auto"/>
          <w:szCs w:val="21"/>
          <w:highlight w:val="none"/>
        </w:rPr>
        <w:t>14. 试验和检验</w:t>
      </w:r>
      <w:bookmarkEnd w:id="215"/>
    </w:p>
    <w:p w14:paraId="0D24BF0A">
      <w:pPr>
        <w:keepNext/>
        <w:keepLines/>
        <w:snapToGrid w:val="0"/>
        <w:spacing w:before="0" w:after="0" w:line="360" w:lineRule="auto"/>
        <w:outlineLvl w:val="3"/>
        <w:rPr>
          <w:rFonts w:hint="eastAsia" w:ascii="宋体" w:hAnsi="宋体" w:cs="宋体"/>
          <w:b/>
          <w:bCs/>
          <w:color w:val="auto"/>
          <w:kern w:val="0"/>
          <w:szCs w:val="21"/>
          <w:highlight w:val="none"/>
        </w:rPr>
      </w:pPr>
      <w:bookmarkStart w:id="216" w:name="_Hlk161604864"/>
      <w:r>
        <w:rPr>
          <w:rFonts w:hint="eastAsia" w:ascii="宋体" w:hAnsi="宋体" w:cs="宋体"/>
          <w:b/>
          <w:bCs/>
          <w:color w:val="auto"/>
          <w:kern w:val="0"/>
          <w:szCs w:val="21"/>
          <w:highlight w:val="none"/>
        </w:rPr>
        <w:t>14.1材料、工程设备和工程的试验和检验</w:t>
      </w:r>
      <w:bookmarkEnd w:id="216"/>
    </w:p>
    <w:p w14:paraId="55C1AAF0">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14.1.6 本工程实行见证取样的试块、试件及有关材料：</w:t>
      </w:r>
      <w:r>
        <w:rPr>
          <w:rFonts w:hint="eastAsia" w:ascii="宋体" w:hAnsi="宋体" w:cs="宋体"/>
          <w:color w:val="auto"/>
          <w:kern w:val="0"/>
          <w:szCs w:val="21"/>
          <w:highlight w:val="none"/>
          <w:u w:val="single"/>
        </w:rPr>
        <w:t>按监理规范要求及实施细则规定</w:t>
      </w:r>
      <w:r>
        <w:rPr>
          <w:rFonts w:hint="eastAsia" w:ascii="宋体" w:hAnsi="宋体" w:cs="宋体"/>
          <w:color w:val="auto"/>
          <w:kern w:val="0"/>
          <w:szCs w:val="21"/>
          <w:highlight w:val="none"/>
        </w:rPr>
        <w:t>。</w:t>
      </w:r>
    </w:p>
    <w:p w14:paraId="5611E02F">
      <w:pPr>
        <w:widowControl/>
        <w:snapToGrid w:val="0"/>
        <w:spacing w:line="360" w:lineRule="auto"/>
        <w:ind w:firstLine="420" w:firstLineChars="200"/>
        <w:rPr>
          <w:rFonts w:hint="eastAsia" w:ascii="宋体" w:hAnsi="宋体" w:cs="宋体"/>
          <w:color w:val="auto"/>
          <w:kern w:val="0"/>
          <w:szCs w:val="21"/>
          <w:highlight w:val="none"/>
        </w:rPr>
      </w:pPr>
      <w:bookmarkStart w:id="217" w:name="_Hlk161604871"/>
      <w:r>
        <w:rPr>
          <w:rFonts w:hint="eastAsia" w:ascii="宋体" w:hAnsi="宋体" w:cs="宋体"/>
          <w:color w:val="auto"/>
          <w:kern w:val="0"/>
          <w:szCs w:val="21"/>
          <w:highlight w:val="none"/>
        </w:rPr>
        <w:t>建立工地实验室，配备专业质量检测人员。</w:t>
      </w:r>
      <w:bookmarkEnd w:id="217"/>
    </w:p>
    <w:p w14:paraId="01C79DE5">
      <w:pPr>
        <w:keepNext/>
        <w:keepLines/>
        <w:snapToGrid w:val="0"/>
        <w:spacing w:before="260" w:after="260" w:line="360" w:lineRule="auto"/>
        <w:outlineLvl w:val="2"/>
        <w:rPr>
          <w:rFonts w:hint="eastAsia" w:ascii="宋体" w:hAnsi="宋体" w:cs="宋体"/>
          <w:b/>
          <w:bCs/>
          <w:color w:val="auto"/>
          <w:szCs w:val="21"/>
          <w:highlight w:val="none"/>
        </w:rPr>
      </w:pPr>
      <w:bookmarkStart w:id="218" w:name="_Toc9758"/>
      <w:bookmarkStart w:id="219" w:name="_Toc222032708"/>
      <w:bookmarkStart w:id="220" w:name="_Toc221951213"/>
      <w:bookmarkStart w:id="221" w:name="_Toc222029539"/>
      <w:bookmarkStart w:id="222" w:name="_Toc222033890"/>
      <w:bookmarkStart w:id="223" w:name="_Toc222031041"/>
      <w:bookmarkStart w:id="224" w:name="_Toc229305396"/>
      <w:r>
        <w:rPr>
          <w:rFonts w:hint="eastAsia" w:ascii="宋体" w:hAnsi="宋体" w:cs="宋体"/>
          <w:b/>
          <w:bCs/>
          <w:color w:val="auto"/>
          <w:szCs w:val="21"/>
          <w:highlight w:val="none"/>
        </w:rPr>
        <w:t>15  变更</w:t>
      </w:r>
      <w:bookmarkEnd w:id="218"/>
      <w:bookmarkEnd w:id="219"/>
      <w:bookmarkEnd w:id="220"/>
      <w:bookmarkEnd w:id="221"/>
      <w:bookmarkEnd w:id="222"/>
      <w:bookmarkEnd w:id="223"/>
      <w:bookmarkEnd w:id="224"/>
    </w:p>
    <w:p w14:paraId="62011276">
      <w:pPr>
        <w:keepNext/>
        <w:keepLines/>
        <w:snapToGrid w:val="0"/>
        <w:spacing w:before="0" w:after="0" w:line="360" w:lineRule="auto"/>
        <w:outlineLvl w:val="3"/>
        <w:rPr>
          <w:rFonts w:hint="eastAsia" w:ascii="宋体" w:hAnsi="宋体" w:cs="宋体"/>
          <w:b/>
          <w:bCs/>
          <w:color w:val="auto"/>
          <w:kern w:val="0"/>
          <w:szCs w:val="21"/>
          <w:highlight w:val="none"/>
        </w:rPr>
      </w:pPr>
      <w:bookmarkStart w:id="225" w:name="_Toc221951214"/>
      <w:r>
        <w:rPr>
          <w:rFonts w:hint="eastAsia" w:ascii="宋体" w:hAnsi="宋体" w:cs="宋体"/>
          <w:b/>
          <w:bCs/>
          <w:color w:val="auto"/>
          <w:kern w:val="0"/>
          <w:szCs w:val="21"/>
          <w:highlight w:val="none"/>
        </w:rPr>
        <w:t>15.1  变更的范围和内容</w:t>
      </w:r>
      <w:bookmarkEnd w:id="225"/>
    </w:p>
    <w:p w14:paraId="5E2E2284">
      <w:pPr>
        <w:adjustRightInd w:val="0"/>
        <w:snapToGrid w:val="0"/>
        <w:spacing w:line="360" w:lineRule="auto"/>
        <w:ind w:firstLine="420" w:firstLineChars="200"/>
        <w:rPr>
          <w:rFonts w:hint="eastAsia" w:ascii="宋体" w:hAnsi="宋体" w:cs="宋体"/>
          <w:color w:val="auto"/>
          <w:kern w:val="0"/>
          <w:szCs w:val="21"/>
          <w:highlight w:val="none"/>
        </w:rPr>
      </w:pPr>
      <w:bookmarkStart w:id="226" w:name="_Toc221951216"/>
      <w:r>
        <w:rPr>
          <w:rFonts w:hint="eastAsia" w:ascii="宋体" w:hAnsi="宋体" w:cs="宋体"/>
          <w:color w:val="auto"/>
          <w:kern w:val="0"/>
          <w:szCs w:val="21"/>
          <w:highlight w:val="none"/>
        </w:rPr>
        <w:t>（6）修改为：</w:t>
      </w:r>
      <w:r>
        <w:rPr>
          <w:rFonts w:hint="eastAsia" w:ascii="宋体" w:hAnsi="宋体" w:cs="宋体"/>
          <w:color w:val="auto"/>
          <w:kern w:val="0"/>
          <w:szCs w:val="21"/>
          <w:highlight w:val="none"/>
          <w:u w:val="single"/>
        </w:rPr>
        <w:t>不论工程量增加或减少，工程单价不予调整</w:t>
      </w:r>
      <w:r>
        <w:rPr>
          <w:rFonts w:hint="eastAsia" w:ascii="宋体" w:hAnsi="宋体" w:cs="宋体"/>
          <w:color w:val="auto"/>
          <w:kern w:val="0"/>
          <w:szCs w:val="21"/>
          <w:highlight w:val="none"/>
        </w:rPr>
        <w:t>。</w:t>
      </w:r>
    </w:p>
    <w:p w14:paraId="0A9079EC">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新增工作单价的确定按照下列原则处理:</w:t>
      </w:r>
    </w:p>
    <w:p w14:paraId="2AEF1725">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已标价工程量清单中无适用于变更工作的子目，但有类似子目的，可在合理范围内参照类似子目的单价或本批项目的类似单价，由监理人按第3.5款商定或确定变更工作的单价并报发包人批准。</w:t>
      </w:r>
    </w:p>
    <w:p w14:paraId="31579D37">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已标价工程量清单中无适用或</w:t>
      </w:r>
      <w:bookmarkStart w:id="227" w:name="_Hlk161584533"/>
      <w:r>
        <w:rPr>
          <w:rFonts w:hint="eastAsia" w:ascii="宋体" w:hAnsi="宋体" w:cs="宋体"/>
          <w:color w:val="auto"/>
          <w:kern w:val="0"/>
          <w:szCs w:val="21"/>
          <w:highlight w:val="none"/>
        </w:rPr>
        <w:t>类似子目的单价</w:t>
      </w:r>
      <w:bookmarkEnd w:id="227"/>
      <w:r>
        <w:rPr>
          <w:rFonts w:hint="eastAsia" w:ascii="宋体" w:hAnsi="宋体" w:cs="宋体"/>
          <w:color w:val="auto"/>
          <w:kern w:val="0"/>
          <w:szCs w:val="21"/>
          <w:highlight w:val="none"/>
        </w:rPr>
        <w:t>，可按照中标价中的主材价格、相关费率、人工费等进行组价，并由发包人、监理人和中标人签订补充单价协议书。</w:t>
      </w:r>
    </w:p>
    <w:p w14:paraId="42B268BF">
      <w:pPr>
        <w:adjustRightInd w:val="0"/>
        <w:snapToGrid w:val="0"/>
        <w:spacing w:line="360" w:lineRule="auto"/>
        <w:ind w:firstLine="420" w:firstLineChars="200"/>
        <w:rPr>
          <w:rFonts w:hint="eastAsia" w:ascii="宋体" w:hAnsi="宋体" w:cs="宋体"/>
          <w:color w:val="auto"/>
          <w:kern w:val="0"/>
          <w:szCs w:val="21"/>
          <w:highlight w:val="none"/>
        </w:rPr>
      </w:pPr>
      <w:bookmarkStart w:id="228" w:name="_Hlk161604910"/>
      <w:r>
        <w:rPr>
          <w:rFonts w:hint="eastAsia" w:ascii="宋体" w:hAnsi="宋体" w:cs="宋体"/>
          <w:color w:val="auto"/>
          <w:kern w:val="0"/>
          <w:szCs w:val="21"/>
          <w:highlight w:val="none"/>
        </w:rPr>
        <w:t>材料价格在投标文件中无类似子目的单价，参照当期项目所在地价格信息或双方询价后确定。</w:t>
      </w:r>
      <w:bookmarkEnd w:id="228"/>
    </w:p>
    <w:bookmarkEnd w:id="226"/>
    <w:p w14:paraId="21AE1894">
      <w:pPr>
        <w:keepNext/>
        <w:keepLines/>
        <w:snapToGrid w:val="0"/>
        <w:spacing w:before="0" w:after="0" w:line="360" w:lineRule="auto"/>
        <w:outlineLvl w:val="3"/>
        <w:rPr>
          <w:rFonts w:hint="eastAsia" w:ascii="宋体" w:hAnsi="宋体" w:cs="宋体"/>
          <w:b/>
          <w:bCs/>
          <w:color w:val="auto"/>
          <w:kern w:val="0"/>
          <w:szCs w:val="21"/>
          <w:highlight w:val="none"/>
        </w:rPr>
      </w:pPr>
      <w:bookmarkStart w:id="229" w:name="_Toc221951218"/>
      <w:r>
        <w:rPr>
          <w:rFonts w:hint="eastAsia" w:ascii="宋体" w:hAnsi="宋体" w:cs="宋体"/>
          <w:b/>
          <w:bCs/>
          <w:color w:val="auto"/>
          <w:kern w:val="0"/>
          <w:szCs w:val="21"/>
          <w:highlight w:val="none"/>
        </w:rPr>
        <w:t>15.5承包人的合理化建议</w:t>
      </w:r>
    </w:p>
    <w:p w14:paraId="2EF19E1D">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15.5.2 </w:t>
      </w:r>
      <w:bookmarkEnd w:id="229"/>
      <w:bookmarkStart w:id="230" w:name="_Toc221951219"/>
      <w:r>
        <w:rPr>
          <w:rFonts w:hint="eastAsia" w:ascii="宋体" w:hAnsi="宋体" w:cs="宋体"/>
          <w:color w:val="auto"/>
          <w:kern w:val="0"/>
          <w:szCs w:val="21"/>
          <w:highlight w:val="none"/>
        </w:rPr>
        <w:t>承包人实现合理化建议的奖励金额为：</w:t>
      </w:r>
      <w:bookmarkEnd w:id="230"/>
      <w:bookmarkStart w:id="231" w:name="_Toc221951220"/>
      <w:r>
        <w:rPr>
          <w:rFonts w:hint="eastAsia" w:ascii="宋体" w:hAnsi="宋体" w:cs="宋体"/>
          <w:color w:val="auto"/>
          <w:kern w:val="0"/>
          <w:szCs w:val="21"/>
          <w:highlight w:val="none"/>
          <w:u w:val="single"/>
        </w:rPr>
        <w:t>无</w:t>
      </w:r>
      <w:r>
        <w:rPr>
          <w:rFonts w:hint="eastAsia" w:ascii="宋体" w:hAnsi="宋体" w:cs="宋体"/>
          <w:color w:val="auto"/>
          <w:kern w:val="0"/>
          <w:szCs w:val="21"/>
          <w:highlight w:val="none"/>
        </w:rPr>
        <w:t>。</w:t>
      </w:r>
      <w:bookmarkEnd w:id="231"/>
    </w:p>
    <w:p w14:paraId="064B88CB">
      <w:pPr>
        <w:keepNext/>
        <w:keepLines/>
        <w:snapToGrid w:val="0"/>
        <w:spacing w:before="0" w:after="0" w:line="360" w:lineRule="auto"/>
        <w:outlineLvl w:val="3"/>
        <w:rPr>
          <w:rFonts w:hint="eastAsia" w:ascii="宋体" w:hAnsi="宋体" w:cs="宋体"/>
          <w:b/>
          <w:bCs/>
          <w:color w:val="auto"/>
          <w:kern w:val="0"/>
          <w:szCs w:val="21"/>
          <w:highlight w:val="none"/>
        </w:rPr>
      </w:pPr>
      <w:bookmarkStart w:id="232" w:name="_Toc221951221"/>
      <w:r>
        <w:rPr>
          <w:rFonts w:hint="eastAsia" w:ascii="宋体" w:hAnsi="宋体" w:cs="宋体"/>
          <w:b/>
          <w:bCs/>
          <w:color w:val="auto"/>
          <w:kern w:val="0"/>
          <w:szCs w:val="21"/>
          <w:highlight w:val="none"/>
        </w:rPr>
        <w:t>15.8  暂估价</w:t>
      </w:r>
      <w:bookmarkEnd w:id="232"/>
    </w:p>
    <w:p w14:paraId="1ACB8773">
      <w:pPr>
        <w:snapToGrid w:val="0"/>
        <w:spacing w:line="360" w:lineRule="auto"/>
        <w:ind w:firstLine="420"/>
        <w:rPr>
          <w:rFonts w:hint="eastAsia" w:ascii="宋体" w:hAnsi="宋体" w:cs="宋体"/>
          <w:color w:val="auto"/>
          <w:kern w:val="0"/>
          <w:szCs w:val="21"/>
          <w:highlight w:val="none"/>
          <w:u w:val="single"/>
        </w:rPr>
      </w:pPr>
      <w:bookmarkStart w:id="233" w:name="_Toc221951222"/>
      <w:r>
        <w:rPr>
          <w:rFonts w:hint="eastAsia" w:ascii="宋体" w:hAnsi="宋体" w:cs="宋体"/>
          <w:color w:val="auto"/>
          <w:kern w:val="0"/>
          <w:szCs w:val="21"/>
          <w:highlight w:val="none"/>
        </w:rPr>
        <w:t>（1）发包人和承包人组织招标的暂估价项目：</w:t>
      </w:r>
      <w:r>
        <w:rPr>
          <w:rFonts w:hint="eastAsia" w:ascii="宋体" w:hAnsi="宋体" w:cs="宋体"/>
          <w:color w:val="auto"/>
          <w:kern w:val="0"/>
          <w:szCs w:val="21"/>
          <w:highlight w:val="none"/>
          <w:u w:val="single"/>
        </w:rPr>
        <w:t>另行约定</w:t>
      </w:r>
      <w:r>
        <w:rPr>
          <w:rFonts w:hint="eastAsia" w:ascii="宋体" w:hAnsi="宋体" w:cs="宋体"/>
          <w:color w:val="auto"/>
          <w:kern w:val="0"/>
          <w:szCs w:val="21"/>
          <w:highlight w:val="none"/>
        </w:rPr>
        <w:t>。</w:t>
      </w:r>
      <w:bookmarkEnd w:id="233"/>
      <w:r>
        <w:rPr>
          <w:rFonts w:hint="eastAsia" w:ascii="宋体" w:hAnsi="宋体" w:cs="宋体"/>
          <w:color w:val="auto"/>
          <w:kern w:val="0"/>
          <w:szCs w:val="21"/>
          <w:highlight w:val="none"/>
        </w:rPr>
        <w:t>发包人组织招标的暂估价项目：</w:t>
      </w:r>
      <w:r>
        <w:rPr>
          <w:rFonts w:hint="eastAsia" w:ascii="宋体" w:hAnsi="宋体" w:cs="宋体"/>
          <w:color w:val="auto"/>
          <w:kern w:val="0"/>
          <w:szCs w:val="21"/>
          <w:highlight w:val="none"/>
          <w:u w:val="single"/>
        </w:rPr>
        <w:t>另行约定</w:t>
      </w:r>
      <w:r>
        <w:rPr>
          <w:rFonts w:hint="eastAsia" w:ascii="宋体" w:hAnsi="宋体" w:cs="宋体"/>
          <w:color w:val="auto"/>
          <w:kern w:val="0"/>
          <w:szCs w:val="21"/>
          <w:highlight w:val="none"/>
        </w:rPr>
        <w:t>。</w:t>
      </w:r>
    </w:p>
    <w:p w14:paraId="0D1806FF">
      <w:pPr>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（2）发包人和承包人以招标方式选择暂估价项目供应商或分包人时，双方的权利义务关系：</w:t>
      </w:r>
      <w:r>
        <w:rPr>
          <w:rFonts w:hint="eastAsia" w:ascii="宋体" w:hAnsi="宋体" w:cs="宋体"/>
          <w:color w:val="auto"/>
          <w:kern w:val="0"/>
          <w:szCs w:val="21"/>
          <w:highlight w:val="none"/>
          <w:u w:val="single"/>
        </w:rPr>
        <w:t>另行约定</w:t>
      </w:r>
      <w:r>
        <w:rPr>
          <w:rFonts w:hint="eastAsia" w:ascii="宋体" w:hAnsi="宋体" w:cs="宋体"/>
          <w:color w:val="auto"/>
          <w:kern w:val="0"/>
          <w:szCs w:val="21"/>
          <w:highlight w:val="none"/>
        </w:rPr>
        <w:t>。</w:t>
      </w:r>
    </w:p>
    <w:p w14:paraId="6DD10B4C">
      <w:pPr>
        <w:keepNext/>
        <w:keepLines/>
        <w:snapToGrid w:val="0"/>
        <w:spacing w:before="260" w:after="260" w:line="360" w:lineRule="auto"/>
        <w:outlineLvl w:val="2"/>
        <w:rPr>
          <w:rFonts w:hint="eastAsia" w:ascii="宋体" w:hAnsi="宋体" w:cs="宋体"/>
          <w:b/>
          <w:bCs/>
          <w:color w:val="auto"/>
          <w:szCs w:val="21"/>
          <w:highlight w:val="none"/>
        </w:rPr>
      </w:pPr>
      <w:bookmarkStart w:id="234" w:name="_Toc10601"/>
      <w:bookmarkStart w:id="235" w:name="_Toc229305397"/>
      <w:r>
        <w:rPr>
          <w:rFonts w:hint="eastAsia" w:ascii="宋体" w:hAnsi="宋体" w:cs="宋体"/>
          <w:b/>
          <w:bCs/>
          <w:color w:val="auto"/>
          <w:szCs w:val="21"/>
          <w:highlight w:val="none"/>
        </w:rPr>
        <w:t>16 价格调整</w:t>
      </w:r>
      <w:bookmarkEnd w:id="234"/>
      <w:bookmarkEnd w:id="235"/>
    </w:p>
    <w:p w14:paraId="07AB5853">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16.1 物价波动引起的价格调整</w:t>
      </w:r>
    </w:p>
    <w:p w14:paraId="5368296A">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删去本款全文，并代之以：</w:t>
      </w:r>
    </w:p>
    <w:p w14:paraId="5E09A95D">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1．单价：工程结算以中标单价为准，中标价格不予调整，国家文件另有规定除外；</w:t>
      </w:r>
    </w:p>
    <w:p w14:paraId="33B3372B">
      <w:pPr>
        <w:widowControl/>
        <w:snapToGrid w:val="0"/>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 xml:space="preserve">2．材料价格：投标人在报价时应充分考虑物价波动风险，在工程建设过程中，各材料价格不作调整，国家文件另有规定除外。 </w:t>
      </w:r>
    </w:p>
    <w:p w14:paraId="7D58330D">
      <w:pPr>
        <w:keepNext/>
        <w:keepLines/>
        <w:snapToGrid w:val="0"/>
        <w:spacing w:before="260" w:after="260" w:line="360" w:lineRule="auto"/>
        <w:outlineLvl w:val="2"/>
        <w:rPr>
          <w:rFonts w:hint="eastAsia" w:ascii="宋体" w:hAnsi="宋体" w:cs="宋体"/>
          <w:b/>
          <w:bCs/>
          <w:color w:val="auto"/>
          <w:szCs w:val="21"/>
          <w:highlight w:val="none"/>
        </w:rPr>
      </w:pPr>
      <w:bookmarkStart w:id="236" w:name="_Toc19679"/>
      <w:bookmarkStart w:id="237" w:name="_Hlk161604948"/>
      <w:r>
        <w:rPr>
          <w:rFonts w:hint="eastAsia" w:ascii="宋体" w:hAnsi="宋体" w:cs="宋体"/>
          <w:b/>
          <w:bCs/>
          <w:color w:val="auto"/>
          <w:szCs w:val="21"/>
          <w:highlight w:val="none"/>
        </w:rPr>
        <w:t>17  计量与支付</w:t>
      </w:r>
      <w:bookmarkEnd w:id="236"/>
    </w:p>
    <w:bookmarkEnd w:id="237"/>
    <w:p w14:paraId="3BAB7009">
      <w:pPr>
        <w:keepNext/>
        <w:keepLines/>
        <w:snapToGrid w:val="0"/>
        <w:spacing w:before="0" w:after="0" w:line="360" w:lineRule="auto"/>
        <w:outlineLvl w:val="3"/>
        <w:rPr>
          <w:rFonts w:hint="eastAsia" w:ascii="宋体" w:hAnsi="宋体" w:cs="宋体"/>
          <w:b/>
          <w:bCs/>
          <w:color w:val="auto"/>
          <w:kern w:val="0"/>
          <w:szCs w:val="21"/>
          <w:highlight w:val="none"/>
        </w:rPr>
      </w:pPr>
      <w:bookmarkStart w:id="238" w:name="_Toc221951224"/>
      <w:bookmarkStart w:id="239" w:name="_Hlk161604961"/>
      <w:r>
        <w:rPr>
          <w:rFonts w:hint="eastAsia" w:ascii="宋体" w:hAnsi="宋体" w:cs="宋体"/>
          <w:b/>
          <w:bCs/>
          <w:color w:val="auto"/>
          <w:kern w:val="0"/>
          <w:szCs w:val="21"/>
          <w:highlight w:val="none"/>
        </w:rPr>
        <w:t>17.2  预付款</w:t>
      </w:r>
      <w:bookmarkEnd w:id="238"/>
    </w:p>
    <w:p w14:paraId="5D2C84F2">
      <w:pPr>
        <w:adjustRightInd w:val="0"/>
        <w:snapToGrid w:val="0"/>
        <w:spacing w:line="360" w:lineRule="auto"/>
        <w:ind w:firstLine="420" w:firstLineChars="200"/>
        <w:rPr>
          <w:rFonts w:hint="eastAsia" w:ascii="宋体" w:hAnsi="宋体" w:cs="宋体"/>
          <w:color w:val="auto"/>
          <w:kern w:val="0"/>
          <w:szCs w:val="21"/>
          <w:highlight w:val="none"/>
        </w:rPr>
      </w:pPr>
      <w:bookmarkStart w:id="240" w:name="_Toc221951260"/>
      <w:r>
        <w:rPr>
          <w:rFonts w:hint="eastAsia" w:ascii="宋体" w:hAnsi="宋体" w:cs="宋体"/>
          <w:color w:val="auto"/>
          <w:kern w:val="0"/>
          <w:szCs w:val="21"/>
          <w:highlight w:val="none"/>
        </w:rPr>
        <w:t>17.1.2 计量方法</w:t>
      </w:r>
    </w:p>
    <w:p w14:paraId="1BCAB790">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按招标文件第三卷第七章《技术标准和要求》执行。</w:t>
      </w:r>
    </w:p>
    <w:p w14:paraId="3AF5DBEB">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17.2.1 预付款</w:t>
      </w:r>
    </w:p>
    <w:p w14:paraId="05028743">
      <w:pPr>
        <w:widowControl/>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预付款用于承包人为合同工程施工购置材料、工程设备、施工设备、修建临时设施以及组织施工队伍进场等。工程预付款金额为合同金额的30%；发包人支付预付款后七个工作日内承包人必须提供预付款保函；预付款必须专用于本合同工程。</w:t>
      </w:r>
    </w:p>
    <w:p w14:paraId="4D0BD45B">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17.2.3 预付款的扣回与还清</w:t>
      </w:r>
    </w:p>
    <w:p w14:paraId="777EA2B1">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预付款在进度付款中扣回，扣回办法为在承包人累计完成合同金额40%的工程进度时起发包方开始扣款，至工程进度达80%时扣清全部工程预付款。在颁发工程移交证书前，由于不可抗力或其他原因解除合同时，预付款尚未扣清的，尚未扣清的预付款余额应作为承包人的到期应付款。</w:t>
      </w:r>
    </w:p>
    <w:p w14:paraId="59DE77AE">
      <w:pPr>
        <w:autoSpaceDE w:val="0"/>
        <w:autoSpaceDN w:val="0"/>
        <w:adjustRightInd w:val="0"/>
        <w:snapToGrid w:val="0"/>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预付款扣款按下列公式计算：</w:t>
      </w:r>
    </w:p>
    <w:p w14:paraId="33D3C42C">
      <w:pPr>
        <w:ind w:firstLine="525"/>
        <w:rPr>
          <w:rFonts w:hint="eastAsia" w:ascii="宋体" w:hAnsi="宋体"/>
          <w:color w:val="auto"/>
          <w:kern w:val="0"/>
          <w:sz w:val="20"/>
          <w:highlight w:val="none"/>
        </w:rPr>
      </w:pPr>
      <w:r>
        <w:rPr>
          <w:rFonts w:hint="eastAsia"/>
          <w:color w:val="auto"/>
          <w:highlight w:val="none"/>
        </w:rPr>
        <w:drawing>
          <wp:inline distT="0" distB="0" distL="0" distR="0">
            <wp:extent cx="2473960" cy="641985"/>
            <wp:effectExtent l="0" t="0" r="2540" b="5715"/>
            <wp:docPr id="20624252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425224" name="图片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484711" cy="644886"/>
                    </a:xfrm>
                    <a:prstGeom prst="rect">
                      <a:avLst/>
                    </a:prstGeom>
                  </pic:spPr>
                </pic:pic>
              </a:graphicData>
            </a:graphic>
          </wp:inline>
        </w:drawing>
      </w:r>
    </w:p>
    <w:p w14:paraId="6CFC6019">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式中：</w:t>
      </w:r>
    </w:p>
    <w:p w14:paraId="28FF8B81">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R——每月进度付款中累计扣还的金额；</w:t>
      </w:r>
    </w:p>
    <w:p w14:paraId="6E97A768">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A——工程预付款总金额；</w:t>
      </w:r>
    </w:p>
    <w:p w14:paraId="4AFE2EED">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S——合同价格；</w:t>
      </w:r>
    </w:p>
    <w:p w14:paraId="145B148A">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C——合同累计完成金额；</w:t>
      </w:r>
    </w:p>
    <w:p w14:paraId="052FAED4">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F1——开始扣还款时合同累计完成金额达到合同价格的百分比；</w:t>
      </w:r>
    </w:p>
    <w:p w14:paraId="1152B371">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F2——全部扣还款时合同累计完成金额达到合同价格的百分比。</w:t>
      </w:r>
      <w:bookmarkEnd w:id="239"/>
    </w:p>
    <w:p w14:paraId="492FF2F8">
      <w:pPr>
        <w:rPr>
          <w:color w:val="auto"/>
          <w:kern w:val="0"/>
          <w:sz w:val="20"/>
          <w:highlight w:val="none"/>
        </w:rPr>
      </w:pPr>
    </w:p>
    <w:p w14:paraId="46A23922">
      <w:pPr>
        <w:keepNext/>
        <w:keepLines/>
        <w:snapToGrid w:val="0"/>
        <w:spacing w:before="0" w:after="0" w:line="360" w:lineRule="auto"/>
        <w:outlineLvl w:val="3"/>
        <w:rPr>
          <w:rFonts w:hint="eastAsia" w:ascii="宋体" w:hAnsi="宋体" w:cs="宋体"/>
          <w:b/>
          <w:bCs/>
          <w:color w:val="auto"/>
          <w:kern w:val="0"/>
          <w:szCs w:val="21"/>
          <w:highlight w:val="none"/>
        </w:rPr>
      </w:pPr>
      <w:bookmarkStart w:id="241" w:name="_Hlk161604993"/>
      <w:r>
        <w:rPr>
          <w:rFonts w:hint="eastAsia" w:ascii="宋体" w:hAnsi="宋体" w:cs="宋体"/>
          <w:b/>
          <w:bCs/>
          <w:color w:val="auto"/>
          <w:kern w:val="0"/>
          <w:szCs w:val="21"/>
          <w:highlight w:val="none"/>
        </w:rPr>
        <w:t>17.3 工程进度付款</w:t>
      </w:r>
    </w:p>
    <w:p w14:paraId="5876AEE8">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17.3.2 进度付款申请单</w:t>
      </w:r>
    </w:p>
    <w:p w14:paraId="5C20E727">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进度付款申请单的份数：一式六份。</w:t>
      </w:r>
    </w:p>
    <w:p w14:paraId="75509A15">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17.3.3 进度付款证书和支付时间</w:t>
      </w:r>
    </w:p>
    <w:p w14:paraId="30340C72">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进度款按当月完成金额的90%支付，累计支付到合同总金额的90%时停止支付，待工程完工结算通过造价咨询机构审定，竣工验收、资料归档后支付至审定工程价款的97%。</w:t>
      </w:r>
    </w:p>
    <w:p w14:paraId="57CE2BC8">
      <w:pPr>
        <w:adjustRightInd w:val="0"/>
        <w:snapToGrid w:val="0"/>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kern w:val="0"/>
          <w:szCs w:val="21"/>
          <w:highlight w:val="none"/>
        </w:rPr>
        <w:t>若国家另有规定，则按国家相关规定执行，特殊情况另行约定。</w:t>
      </w:r>
    </w:p>
    <w:p w14:paraId="1B72849B">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17.4  质量保证金</w:t>
      </w:r>
      <w:bookmarkEnd w:id="240"/>
    </w:p>
    <w:p w14:paraId="1355E5D5">
      <w:pPr>
        <w:adjustRightInd w:val="0"/>
        <w:snapToGrid w:val="0"/>
        <w:spacing w:line="360" w:lineRule="auto"/>
        <w:ind w:right="249" w:firstLine="420" w:firstLineChars="200"/>
        <w:rPr>
          <w:rFonts w:hint="eastAsia" w:ascii="宋体" w:hAnsi="宋体" w:cs="宋体"/>
          <w:color w:val="auto"/>
          <w:kern w:val="0"/>
          <w:szCs w:val="21"/>
          <w:highlight w:val="none"/>
        </w:rPr>
      </w:pPr>
      <w:bookmarkStart w:id="242" w:name="_Toc221951262"/>
      <w:r>
        <w:rPr>
          <w:rFonts w:hint="eastAsia" w:ascii="宋体" w:hAnsi="宋体" w:cs="宋体"/>
          <w:color w:val="auto"/>
          <w:kern w:val="0"/>
          <w:szCs w:val="21"/>
          <w:highlight w:val="none"/>
        </w:rPr>
        <w:t>17.4.1</w:t>
      </w:r>
      <w:bookmarkEnd w:id="242"/>
      <w:r>
        <w:rPr>
          <w:rFonts w:hint="eastAsia" w:ascii="宋体" w:hAnsi="宋体" w:cs="宋体"/>
          <w:color w:val="auto"/>
          <w:kern w:val="0"/>
          <w:szCs w:val="21"/>
          <w:highlight w:val="none"/>
        </w:rPr>
        <w:t>本工程质量保证金总额为合同结算价的</w:t>
      </w:r>
      <w:r>
        <w:rPr>
          <w:rFonts w:hint="eastAsia" w:ascii="宋体" w:hAnsi="宋体" w:cs="宋体"/>
          <w:color w:val="auto"/>
          <w:kern w:val="0"/>
          <w:szCs w:val="21"/>
          <w:highlight w:val="none"/>
          <w:u w:val="single"/>
        </w:rPr>
        <w:t xml:space="preserve"> 3 </w:t>
      </w:r>
      <w:r>
        <w:rPr>
          <w:rFonts w:hint="eastAsia" w:ascii="宋体" w:hAnsi="宋体" w:cs="宋体"/>
          <w:color w:val="auto"/>
          <w:kern w:val="0"/>
          <w:szCs w:val="21"/>
          <w:highlight w:val="none"/>
        </w:rPr>
        <w:t>%，采用现金或保函。</w:t>
      </w:r>
    </w:p>
    <w:p w14:paraId="615EE6B5">
      <w:pPr>
        <w:keepNext/>
        <w:keepLines/>
        <w:snapToGrid w:val="0"/>
        <w:spacing w:before="0" w:after="0" w:line="360" w:lineRule="auto"/>
        <w:outlineLvl w:val="3"/>
        <w:rPr>
          <w:rFonts w:hint="eastAsia" w:ascii="宋体" w:hAnsi="宋体" w:cs="宋体"/>
          <w:b/>
          <w:bCs/>
          <w:color w:val="auto"/>
          <w:kern w:val="0"/>
          <w:szCs w:val="21"/>
          <w:highlight w:val="none"/>
        </w:rPr>
      </w:pPr>
      <w:bookmarkStart w:id="243" w:name="_Toc221951265"/>
      <w:r>
        <w:rPr>
          <w:rFonts w:hint="eastAsia" w:ascii="宋体" w:hAnsi="宋体" w:cs="宋体"/>
          <w:b/>
          <w:bCs/>
          <w:color w:val="auto"/>
          <w:kern w:val="0"/>
          <w:szCs w:val="21"/>
          <w:highlight w:val="none"/>
        </w:rPr>
        <w:t>17.5  竣工（完工）结算</w:t>
      </w:r>
      <w:bookmarkEnd w:id="243"/>
    </w:p>
    <w:p w14:paraId="10C58ECA">
      <w:pPr>
        <w:adjustRightInd w:val="0"/>
        <w:snapToGrid w:val="0"/>
        <w:spacing w:line="360" w:lineRule="auto"/>
        <w:ind w:right="249" w:firstLine="420" w:firstLineChars="200"/>
        <w:rPr>
          <w:rFonts w:hint="eastAsia" w:ascii="宋体" w:hAnsi="宋体" w:cs="宋体"/>
          <w:color w:val="auto"/>
          <w:kern w:val="0"/>
          <w:szCs w:val="21"/>
          <w:highlight w:val="none"/>
        </w:rPr>
      </w:pPr>
      <w:bookmarkStart w:id="244" w:name="_Toc221951266"/>
      <w:r>
        <w:rPr>
          <w:rFonts w:hint="eastAsia" w:ascii="宋体" w:hAnsi="宋体" w:cs="宋体"/>
          <w:color w:val="auto"/>
          <w:kern w:val="0"/>
          <w:szCs w:val="21"/>
          <w:highlight w:val="none"/>
        </w:rPr>
        <w:t>17.5.1  竣工（完工）付款申请单</w:t>
      </w:r>
      <w:bookmarkEnd w:id="244"/>
      <w:r>
        <w:rPr>
          <w:rFonts w:hint="eastAsia" w:ascii="宋体" w:hAnsi="宋体" w:cs="宋体"/>
          <w:color w:val="auto"/>
          <w:kern w:val="0"/>
          <w:szCs w:val="21"/>
          <w:highlight w:val="none"/>
        </w:rPr>
        <w:t xml:space="preserve"> </w:t>
      </w:r>
    </w:p>
    <w:p w14:paraId="0603977B">
      <w:pPr>
        <w:adjustRightInd w:val="0"/>
        <w:snapToGrid w:val="0"/>
        <w:spacing w:line="360" w:lineRule="auto"/>
        <w:ind w:right="249" w:firstLine="420" w:firstLineChars="200"/>
        <w:rPr>
          <w:rFonts w:hint="eastAsia" w:ascii="宋体" w:hAnsi="宋体" w:cs="宋体"/>
          <w:color w:val="auto"/>
          <w:kern w:val="0"/>
          <w:szCs w:val="21"/>
          <w:highlight w:val="none"/>
        </w:rPr>
      </w:pPr>
      <w:bookmarkStart w:id="245" w:name="_Toc221951267"/>
      <w:r>
        <w:rPr>
          <w:rFonts w:hint="eastAsia" w:ascii="宋体" w:hAnsi="宋体" w:cs="宋体"/>
          <w:color w:val="auto"/>
          <w:kern w:val="0"/>
          <w:szCs w:val="21"/>
          <w:highlight w:val="none"/>
        </w:rPr>
        <w:t>承包人应提交竣工付款申请单一式</w:t>
      </w:r>
      <w:r>
        <w:rPr>
          <w:rFonts w:hint="eastAsia" w:ascii="宋体" w:hAnsi="宋体" w:cs="宋体"/>
          <w:color w:val="auto"/>
          <w:kern w:val="0"/>
          <w:szCs w:val="21"/>
          <w:highlight w:val="none"/>
          <w:u w:val="single"/>
        </w:rPr>
        <w:t xml:space="preserve"> 6 </w:t>
      </w:r>
      <w:r>
        <w:rPr>
          <w:rFonts w:hint="eastAsia" w:ascii="宋体" w:hAnsi="宋体" w:cs="宋体"/>
          <w:color w:val="auto"/>
          <w:kern w:val="0"/>
          <w:szCs w:val="21"/>
          <w:highlight w:val="none"/>
        </w:rPr>
        <w:t>份。</w:t>
      </w:r>
      <w:bookmarkEnd w:id="245"/>
    </w:p>
    <w:p w14:paraId="52D6F0B8">
      <w:pPr>
        <w:adjustRightInd w:val="0"/>
        <w:snapToGrid w:val="0"/>
        <w:spacing w:line="360" w:lineRule="auto"/>
        <w:ind w:right="249" w:firstLine="420" w:firstLineChars="200"/>
        <w:rPr>
          <w:rFonts w:hint="eastAsia" w:ascii="宋体" w:hAnsi="宋体" w:cs="宋体"/>
          <w:color w:val="auto"/>
          <w:kern w:val="0"/>
          <w:szCs w:val="21"/>
          <w:highlight w:val="none"/>
        </w:rPr>
      </w:pPr>
      <w:r>
        <w:rPr>
          <w:rFonts w:hint="eastAsia" w:ascii="宋体" w:hAnsi="宋体" w:cs="宋体"/>
          <w:bCs/>
          <w:color w:val="auto"/>
          <w:kern w:val="0"/>
          <w:szCs w:val="21"/>
          <w:highlight w:val="none"/>
        </w:rPr>
        <w:t>最终结算价以经审定的最终完成的工程量为准。</w:t>
      </w:r>
      <w:bookmarkEnd w:id="241"/>
    </w:p>
    <w:p w14:paraId="1ADDB509">
      <w:pPr>
        <w:keepNext/>
        <w:keepLines/>
        <w:snapToGrid w:val="0"/>
        <w:spacing w:before="0" w:after="0" w:line="360" w:lineRule="auto"/>
        <w:outlineLvl w:val="3"/>
        <w:rPr>
          <w:rFonts w:hint="eastAsia" w:ascii="宋体" w:hAnsi="宋体" w:cs="宋体"/>
          <w:b/>
          <w:bCs/>
          <w:color w:val="auto"/>
          <w:kern w:val="0"/>
          <w:szCs w:val="21"/>
          <w:highlight w:val="none"/>
        </w:rPr>
      </w:pPr>
      <w:bookmarkStart w:id="246" w:name="_Toc221951268"/>
      <w:r>
        <w:rPr>
          <w:rFonts w:hint="eastAsia" w:ascii="宋体" w:hAnsi="宋体" w:cs="宋体"/>
          <w:b/>
          <w:bCs/>
          <w:color w:val="auto"/>
          <w:kern w:val="0"/>
          <w:szCs w:val="21"/>
          <w:highlight w:val="none"/>
        </w:rPr>
        <w:t>17.6  竣工结清</w:t>
      </w:r>
      <w:bookmarkEnd w:id="246"/>
    </w:p>
    <w:p w14:paraId="4676ED37">
      <w:pPr>
        <w:snapToGrid w:val="0"/>
        <w:spacing w:line="360" w:lineRule="auto"/>
        <w:ind w:right="248" w:firstLine="480"/>
        <w:rPr>
          <w:rFonts w:hint="eastAsia" w:ascii="宋体" w:hAnsi="宋体" w:cs="宋体"/>
          <w:color w:val="auto"/>
          <w:kern w:val="0"/>
          <w:szCs w:val="21"/>
          <w:highlight w:val="none"/>
        </w:rPr>
      </w:pPr>
      <w:bookmarkStart w:id="247" w:name="_Toc221951269"/>
      <w:r>
        <w:rPr>
          <w:rFonts w:hint="eastAsia" w:ascii="宋体" w:hAnsi="宋体" w:cs="宋体"/>
          <w:color w:val="auto"/>
          <w:kern w:val="0"/>
          <w:szCs w:val="21"/>
          <w:highlight w:val="none"/>
        </w:rPr>
        <w:t>17.6 1  最终结清申请单</w:t>
      </w:r>
      <w:bookmarkEnd w:id="247"/>
    </w:p>
    <w:p w14:paraId="1207CA48">
      <w:pPr>
        <w:snapToGrid w:val="0"/>
        <w:spacing w:line="360" w:lineRule="auto"/>
        <w:ind w:right="248" w:firstLine="480"/>
        <w:rPr>
          <w:rFonts w:hint="eastAsia" w:ascii="宋体" w:hAnsi="宋体" w:cs="宋体"/>
          <w:color w:val="auto"/>
          <w:kern w:val="0"/>
          <w:szCs w:val="21"/>
          <w:highlight w:val="none"/>
        </w:rPr>
      </w:pPr>
      <w:bookmarkStart w:id="248" w:name="_Toc221951270"/>
      <w:r>
        <w:rPr>
          <w:rFonts w:hint="eastAsia" w:ascii="宋体" w:hAnsi="宋体" w:cs="宋体"/>
          <w:color w:val="auto"/>
          <w:kern w:val="0"/>
          <w:szCs w:val="21"/>
          <w:highlight w:val="none"/>
        </w:rPr>
        <w:t>承包人应提交最终结清申请单一式</w:t>
      </w:r>
      <w:r>
        <w:rPr>
          <w:rFonts w:hint="eastAsia" w:ascii="宋体" w:hAnsi="宋体" w:cs="宋体"/>
          <w:color w:val="auto"/>
          <w:kern w:val="0"/>
          <w:szCs w:val="21"/>
          <w:highlight w:val="none"/>
          <w:u w:val="single"/>
        </w:rPr>
        <w:t xml:space="preserve"> 6 </w:t>
      </w:r>
      <w:r>
        <w:rPr>
          <w:rFonts w:hint="eastAsia" w:ascii="宋体" w:hAnsi="宋体" w:cs="宋体"/>
          <w:color w:val="auto"/>
          <w:kern w:val="0"/>
          <w:szCs w:val="21"/>
          <w:highlight w:val="none"/>
        </w:rPr>
        <w:t>份。</w:t>
      </w:r>
      <w:bookmarkEnd w:id="248"/>
    </w:p>
    <w:p w14:paraId="628724CD">
      <w:pPr>
        <w:keepNext/>
        <w:keepLines/>
        <w:snapToGrid w:val="0"/>
        <w:spacing w:before="260" w:after="260" w:line="360" w:lineRule="auto"/>
        <w:outlineLvl w:val="2"/>
        <w:rPr>
          <w:rFonts w:hint="eastAsia" w:ascii="宋体" w:hAnsi="宋体" w:cs="宋体"/>
          <w:b/>
          <w:bCs/>
          <w:color w:val="auto"/>
          <w:szCs w:val="21"/>
          <w:highlight w:val="none"/>
        </w:rPr>
      </w:pPr>
      <w:bookmarkStart w:id="249" w:name="_Toc20270"/>
      <w:r>
        <w:rPr>
          <w:rFonts w:hint="eastAsia" w:ascii="宋体" w:hAnsi="宋体" w:cs="宋体"/>
          <w:b/>
          <w:bCs/>
          <w:color w:val="auto"/>
          <w:szCs w:val="21"/>
          <w:highlight w:val="none"/>
        </w:rPr>
        <w:t>18  竣工验收</w:t>
      </w:r>
      <w:bookmarkEnd w:id="249"/>
    </w:p>
    <w:p w14:paraId="759BBAD7">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18.1 验收工作分类</w:t>
      </w:r>
    </w:p>
    <w:p w14:paraId="725BB94C">
      <w:pPr>
        <w:spacing w:line="360" w:lineRule="auto"/>
        <w:ind w:firstLine="420" w:firstLineChars="200"/>
        <w:rPr>
          <w:rFonts w:hint="eastAsia" w:ascii="宋体" w:hAnsi="宋体"/>
          <w:color w:val="auto"/>
          <w:kern w:val="0"/>
          <w:szCs w:val="21"/>
          <w:highlight w:val="none"/>
        </w:rPr>
      </w:pPr>
      <w:bookmarkStart w:id="250" w:name="_Toc221951272"/>
      <w:r>
        <w:rPr>
          <w:rFonts w:hint="eastAsia" w:asciiTheme="minorEastAsia" w:hAnsiTheme="minorEastAsia" w:eastAsiaTheme="minorEastAsia"/>
          <w:color w:val="auto"/>
          <w:kern w:val="0"/>
          <w:szCs w:val="21"/>
          <w:highlight w:val="none"/>
        </w:rPr>
        <w:t>本工程法人验收包括：</w:t>
      </w:r>
      <w:r>
        <w:rPr>
          <w:rFonts w:hint="eastAsia" w:asciiTheme="minorEastAsia" w:hAnsiTheme="minorEastAsia" w:eastAsiaTheme="minorEastAsia"/>
          <w:color w:val="auto"/>
          <w:kern w:val="0"/>
          <w:szCs w:val="21"/>
          <w:highlight w:val="none"/>
          <w:u w:val="single"/>
        </w:rPr>
        <w:t xml:space="preserve"> 分部工程验收、单位工程验收、合同工程完工验收  </w:t>
      </w:r>
      <w:r>
        <w:rPr>
          <w:rFonts w:hint="eastAsia" w:asciiTheme="minorEastAsia" w:hAnsiTheme="minorEastAsia" w:eastAsiaTheme="minorEastAsia"/>
          <w:color w:val="auto"/>
          <w:kern w:val="0"/>
          <w:szCs w:val="21"/>
          <w:highlight w:val="none"/>
        </w:rPr>
        <w:t>；政府验收包括：</w:t>
      </w:r>
      <w:r>
        <w:rPr>
          <w:rFonts w:hint="eastAsia" w:asciiTheme="minorEastAsia" w:hAnsiTheme="minorEastAsia" w:eastAsiaTheme="minorEastAsia"/>
          <w:color w:val="auto"/>
          <w:kern w:val="0"/>
          <w:szCs w:val="21"/>
          <w:highlight w:val="none"/>
          <w:u w:val="single"/>
        </w:rPr>
        <w:t xml:space="preserve">阶段验收、专项验收、竣工验收 </w:t>
      </w:r>
      <w:r>
        <w:rPr>
          <w:rFonts w:hint="eastAsia" w:asciiTheme="minorEastAsia" w:hAnsiTheme="minorEastAsia" w:eastAsiaTheme="minorEastAsia"/>
          <w:color w:val="auto"/>
          <w:kern w:val="0"/>
          <w:szCs w:val="21"/>
          <w:highlight w:val="none"/>
        </w:rPr>
        <w:t>。验收条件为：</w:t>
      </w:r>
      <w:r>
        <w:rPr>
          <w:rFonts w:hint="eastAsia" w:asciiTheme="minorEastAsia" w:hAnsiTheme="minorEastAsia" w:eastAsiaTheme="minorEastAsia"/>
          <w:color w:val="auto"/>
          <w:kern w:val="0"/>
          <w:szCs w:val="21"/>
          <w:highlight w:val="none"/>
          <w:u w:val="single"/>
        </w:rPr>
        <w:t xml:space="preserve"> 达到技术条款和有关的验收规程规范要求 </w:t>
      </w:r>
      <w:r>
        <w:rPr>
          <w:rFonts w:hint="eastAsia" w:asciiTheme="minorEastAsia" w:hAnsiTheme="minorEastAsia" w:eastAsiaTheme="minorEastAsia"/>
          <w:color w:val="auto"/>
          <w:kern w:val="0"/>
          <w:szCs w:val="21"/>
          <w:highlight w:val="none"/>
        </w:rPr>
        <w:t>，验收程序为：</w:t>
      </w:r>
      <w:r>
        <w:rPr>
          <w:rFonts w:hint="eastAsia" w:asciiTheme="minorEastAsia" w:hAnsiTheme="minorEastAsia" w:eastAsiaTheme="minorEastAsia"/>
          <w:color w:val="auto"/>
          <w:kern w:val="0"/>
          <w:szCs w:val="21"/>
          <w:highlight w:val="none"/>
          <w:u w:val="single"/>
        </w:rPr>
        <w:t xml:space="preserve"> 按水利水电相关规定 </w:t>
      </w:r>
      <w:r>
        <w:rPr>
          <w:rFonts w:hint="eastAsia" w:asciiTheme="minorEastAsia" w:hAnsiTheme="minorEastAsia" w:eastAsiaTheme="minorEastAsia"/>
          <w:color w:val="auto"/>
          <w:kern w:val="0"/>
          <w:szCs w:val="21"/>
          <w:highlight w:val="none"/>
        </w:rPr>
        <w:t>。</w:t>
      </w:r>
    </w:p>
    <w:p w14:paraId="43E087BA">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18.2 </w:t>
      </w:r>
      <w:bookmarkEnd w:id="250"/>
      <w:r>
        <w:rPr>
          <w:rFonts w:hint="eastAsia" w:ascii="宋体" w:hAnsi="宋体" w:cs="宋体"/>
          <w:b/>
          <w:bCs/>
          <w:color w:val="auto"/>
          <w:kern w:val="0"/>
          <w:szCs w:val="21"/>
          <w:highlight w:val="none"/>
        </w:rPr>
        <w:t>分部工程验收</w:t>
      </w:r>
    </w:p>
    <w:p w14:paraId="17C3D2CC">
      <w:pPr>
        <w:spacing w:line="360" w:lineRule="auto"/>
        <w:ind w:firstLine="420" w:firstLineChars="200"/>
        <w:rPr>
          <w:rFonts w:hint="eastAsia" w:ascii="宋体" w:hAnsi="宋体"/>
          <w:color w:val="auto"/>
          <w:kern w:val="0"/>
          <w:szCs w:val="21"/>
          <w:highlight w:val="none"/>
        </w:rPr>
      </w:pPr>
      <w:bookmarkStart w:id="251" w:name="_Toc221951274"/>
      <w:r>
        <w:rPr>
          <w:rFonts w:asciiTheme="minorEastAsia" w:hAnsiTheme="minorEastAsia" w:eastAsiaTheme="minorEastAsia"/>
          <w:color w:val="auto"/>
          <w:kern w:val="0"/>
          <w:szCs w:val="21"/>
          <w:highlight w:val="none"/>
        </w:rPr>
        <w:t>18.</w:t>
      </w:r>
      <w:r>
        <w:rPr>
          <w:rFonts w:hint="eastAsia" w:asciiTheme="minorEastAsia" w:hAnsiTheme="minorEastAsia" w:eastAsiaTheme="minorEastAsia"/>
          <w:color w:val="auto"/>
          <w:kern w:val="0"/>
          <w:szCs w:val="21"/>
          <w:highlight w:val="none"/>
        </w:rPr>
        <w:t>2</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2</w:t>
      </w:r>
      <w:r>
        <w:rPr>
          <w:rFonts w:asciiTheme="minorEastAsia" w:hAnsiTheme="minorEastAsia" w:eastAsiaTheme="minorEastAsia"/>
          <w:color w:val="auto"/>
          <w:kern w:val="0"/>
          <w:szCs w:val="21"/>
          <w:highlight w:val="none"/>
        </w:rPr>
        <w:t>分部工程验收由项目法人主持</w:t>
      </w:r>
      <w:r>
        <w:rPr>
          <w:rFonts w:hint="eastAsia" w:asciiTheme="minorEastAsia" w:hAnsiTheme="minorEastAsia" w:eastAsiaTheme="minorEastAsia"/>
          <w:color w:val="auto"/>
          <w:kern w:val="0"/>
          <w:szCs w:val="21"/>
          <w:highlight w:val="none"/>
        </w:rPr>
        <w:t>，分部工程验收</w:t>
      </w:r>
      <w:r>
        <w:rPr>
          <w:rFonts w:asciiTheme="minorEastAsia" w:hAnsiTheme="minorEastAsia" w:eastAsiaTheme="minorEastAsia"/>
          <w:color w:val="auto"/>
          <w:kern w:val="0"/>
          <w:szCs w:val="21"/>
          <w:highlight w:val="none"/>
        </w:rPr>
        <w:t>鉴定书初稿由承包人负责拟定，完成后报监理单位审核</w:t>
      </w:r>
      <w:r>
        <w:rPr>
          <w:rFonts w:hint="eastAsia" w:asciiTheme="minorEastAsia" w:hAnsiTheme="minorEastAsia" w:eastAsiaTheme="minorEastAsia"/>
          <w:color w:val="auto"/>
          <w:kern w:val="0"/>
          <w:szCs w:val="21"/>
          <w:highlight w:val="none"/>
        </w:rPr>
        <w:t>。</w:t>
      </w:r>
    </w:p>
    <w:p w14:paraId="4E7AA8FC">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18.3 单位工程验收</w:t>
      </w:r>
    </w:p>
    <w:p w14:paraId="52B1B352">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单位工程验收由项目法人主持，单位工程验收鉴定书初稿由承包人负责拟定，完成后报监理单位审核。</w:t>
      </w:r>
    </w:p>
    <w:p w14:paraId="06394096">
      <w:pPr>
        <w:keepNext/>
        <w:keepLines/>
        <w:snapToGrid w:val="0"/>
        <w:spacing w:before="0" w:after="0" w:line="360" w:lineRule="auto"/>
        <w:outlineLvl w:val="3"/>
        <w:rPr>
          <w:rFonts w:hint="eastAsia" w:ascii="宋体" w:hAnsi="宋体"/>
          <w:b/>
          <w:bCs/>
          <w:color w:val="auto"/>
          <w:kern w:val="0"/>
          <w:szCs w:val="21"/>
          <w:highlight w:val="none"/>
        </w:rPr>
      </w:pPr>
      <w:r>
        <w:rPr>
          <w:rFonts w:hint="eastAsia" w:ascii="宋体" w:hAnsi="宋体" w:cs="宋体"/>
          <w:b/>
          <w:bCs/>
          <w:color w:val="auto"/>
          <w:kern w:val="0"/>
          <w:szCs w:val="21"/>
          <w:highlight w:val="none"/>
        </w:rPr>
        <w:t xml:space="preserve">18.3.4提前投入使用的单位工程包括：  无 </w:t>
      </w:r>
      <w:r>
        <w:rPr>
          <w:rFonts w:ascii="宋体" w:hAnsi="宋体" w:cs="宋体"/>
          <w:b/>
          <w:bCs/>
          <w:color w:val="auto"/>
          <w:kern w:val="0"/>
          <w:szCs w:val="21"/>
          <w:highlight w:val="none"/>
        </w:rPr>
        <w:t>。</w:t>
      </w:r>
    </w:p>
    <w:bookmarkEnd w:id="251"/>
    <w:p w14:paraId="5D6F6E44">
      <w:pPr>
        <w:keepNext/>
        <w:keepLines/>
        <w:snapToGrid w:val="0"/>
        <w:spacing w:before="0" w:after="0" w:line="360" w:lineRule="auto"/>
        <w:outlineLvl w:val="3"/>
        <w:rPr>
          <w:rFonts w:hint="eastAsia" w:ascii="宋体" w:hAnsi="宋体" w:cs="宋体"/>
          <w:b/>
          <w:bCs/>
          <w:color w:val="auto"/>
          <w:kern w:val="0"/>
          <w:szCs w:val="21"/>
          <w:highlight w:val="none"/>
        </w:rPr>
      </w:pPr>
      <w:bookmarkStart w:id="252" w:name="_Toc221951282"/>
      <w:r>
        <w:rPr>
          <w:rFonts w:hint="eastAsia" w:ascii="宋体" w:hAnsi="宋体" w:cs="宋体"/>
          <w:b/>
          <w:bCs/>
          <w:color w:val="auto"/>
          <w:kern w:val="0"/>
          <w:szCs w:val="21"/>
          <w:highlight w:val="none"/>
        </w:rPr>
        <w:t>18.5</w:t>
      </w:r>
      <w:r>
        <w:rPr>
          <w:rFonts w:ascii="宋体" w:hAnsi="宋体" w:cs="宋体"/>
          <w:b/>
          <w:bCs/>
          <w:color w:val="auto"/>
          <w:kern w:val="0"/>
          <w:szCs w:val="21"/>
          <w:highlight w:val="none"/>
        </w:rPr>
        <w:t xml:space="preserve">  </w:t>
      </w:r>
      <w:bookmarkEnd w:id="252"/>
      <w:r>
        <w:rPr>
          <w:rFonts w:hint="eastAsia" w:ascii="宋体" w:hAnsi="宋体" w:cs="宋体"/>
          <w:b/>
          <w:bCs/>
          <w:color w:val="auto"/>
          <w:kern w:val="0"/>
          <w:szCs w:val="21"/>
          <w:highlight w:val="none"/>
        </w:rPr>
        <w:t>阶段验收</w:t>
      </w:r>
    </w:p>
    <w:p w14:paraId="16E61440">
      <w:pPr>
        <w:spacing w:line="360" w:lineRule="auto"/>
        <w:ind w:firstLine="420" w:firstLineChars="200"/>
        <w:rPr>
          <w:rFonts w:hint="eastAsia" w:ascii="宋体" w:hAnsi="宋体"/>
          <w:color w:val="auto"/>
          <w:kern w:val="0"/>
          <w:szCs w:val="21"/>
          <w:highlight w:val="none"/>
        </w:rPr>
      </w:pPr>
      <w:bookmarkStart w:id="253" w:name="_Toc221951283"/>
      <w:r>
        <w:rPr>
          <w:rFonts w:hint="eastAsia" w:asciiTheme="minorEastAsia" w:hAnsiTheme="minorEastAsia" w:eastAsiaTheme="minorEastAsia"/>
          <w:color w:val="auto"/>
          <w:kern w:val="0"/>
          <w:szCs w:val="21"/>
          <w:highlight w:val="none"/>
        </w:rPr>
        <w:t>18.5.1  本合同工程阶段验收类别包括：</w:t>
      </w:r>
      <w:r>
        <w:rPr>
          <w:rFonts w:hint="eastAsia" w:asciiTheme="minorEastAsia" w:hAnsiTheme="minorEastAsia" w:eastAsiaTheme="minorEastAsia"/>
          <w:color w:val="auto"/>
          <w:kern w:val="0"/>
          <w:szCs w:val="21"/>
          <w:highlight w:val="none"/>
          <w:u w:val="single"/>
        </w:rPr>
        <w:t xml:space="preserve">  另行约定</w:t>
      </w:r>
      <w:bookmarkEnd w:id="253"/>
      <w:bookmarkStart w:id="254" w:name="_Toc221951285"/>
      <w:r>
        <w:rPr>
          <w:rFonts w:hint="eastAsia" w:asciiTheme="minorEastAsia" w:hAnsiTheme="minorEastAsia" w:eastAsiaTheme="minorEastAsia"/>
          <w:color w:val="auto"/>
          <w:kern w:val="0"/>
          <w:szCs w:val="21"/>
          <w:highlight w:val="none"/>
          <w:u w:val="single"/>
        </w:rPr>
        <w:t xml:space="preserve"> </w:t>
      </w:r>
      <w:r>
        <w:rPr>
          <w:rFonts w:asciiTheme="minorEastAsia" w:hAnsiTheme="minorEastAsia" w:eastAsiaTheme="minorEastAsia"/>
          <w:color w:val="auto"/>
          <w:kern w:val="0"/>
          <w:szCs w:val="21"/>
          <w:highlight w:val="none"/>
        </w:rPr>
        <w:t>。</w:t>
      </w:r>
    </w:p>
    <w:p w14:paraId="13A3A429">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18.6  </w:t>
      </w:r>
      <w:bookmarkEnd w:id="254"/>
      <w:r>
        <w:rPr>
          <w:rFonts w:hint="eastAsia" w:ascii="宋体" w:hAnsi="宋体" w:cs="宋体"/>
          <w:b/>
          <w:bCs/>
          <w:color w:val="auto"/>
          <w:kern w:val="0"/>
          <w:szCs w:val="21"/>
          <w:highlight w:val="none"/>
        </w:rPr>
        <w:t xml:space="preserve">专项验收   </w:t>
      </w:r>
    </w:p>
    <w:p w14:paraId="07DD6242">
      <w:pPr>
        <w:spacing w:line="360" w:lineRule="auto"/>
        <w:ind w:firstLine="420" w:firstLineChars="200"/>
        <w:rPr>
          <w:rFonts w:hint="eastAsia" w:ascii="宋体" w:hAnsi="宋体"/>
          <w:color w:val="auto"/>
          <w:kern w:val="0"/>
          <w:szCs w:val="21"/>
          <w:highlight w:val="none"/>
        </w:rPr>
      </w:pPr>
      <w:bookmarkStart w:id="255" w:name="_Toc221951286"/>
      <w:r>
        <w:rPr>
          <w:rFonts w:hint="eastAsia" w:asciiTheme="minorEastAsia" w:hAnsiTheme="minorEastAsia" w:eastAsiaTheme="minorEastAsia"/>
          <w:color w:val="auto"/>
          <w:kern w:val="0"/>
          <w:szCs w:val="21"/>
          <w:highlight w:val="none"/>
        </w:rPr>
        <w:t xml:space="preserve">18.6.2  </w:t>
      </w:r>
      <w:bookmarkEnd w:id="255"/>
      <w:r>
        <w:rPr>
          <w:rFonts w:hint="eastAsia" w:asciiTheme="minorEastAsia" w:hAnsiTheme="minorEastAsia" w:eastAsiaTheme="minorEastAsia"/>
          <w:color w:val="auto"/>
          <w:kern w:val="0"/>
          <w:szCs w:val="21"/>
          <w:highlight w:val="none"/>
        </w:rPr>
        <w:t>本合同工程专项验收类别包括：</w:t>
      </w:r>
      <w:r>
        <w:rPr>
          <w:rFonts w:hint="eastAsia" w:asciiTheme="minorEastAsia" w:hAnsiTheme="minorEastAsia" w:eastAsiaTheme="minorEastAsia"/>
          <w:color w:val="auto"/>
          <w:kern w:val="0"/>
          <w:szCs w:val="21"/>
          <w:highlight w:val="none"/>
          <w:u w:val="single"/>
        </w:rPr>
        <w:t xml:space="preserve">  另行约定 </w:t>
      </w:r>
      <w:r>
        <w:rPr>
          <w:rFonts w:asciiTheme="minorEastAsia" w:hAnsiTheme="minorEastAsia" w:eastAsiaTheme="minorEastAsia"/>
          <w:color w:val="auto"/>
          <w:kern w:val="0"/>
          <w:szCs w:val="21"/>
          <w:highlight w:val="none"/>
        </w:rPr>
        <w:t>。</w:t>
      </w:r>
    </w:p>
    <w:p w14:paraId="530F3BA4">
      <w:pPr>
        <w:keepNext/>
        <w:keepLines/>
        <w:snapToGrid w:val="0"/>
        <w:spacing w:before="0" w:after="0" w:line="360" w:lineRule="auto"/>
        <w:outlineLvl w:val="3"/>
        <w:rPr>
          <w:rFonts w:hint="eastAsia" w:ascii="宋体" w:hAnsi="宋体" w:cs="宋体"/>
          <w:b/>
          <w:bCs/>
          <w:color w:val="auto"/>
          <w:kern w:val="0"/>
          <w:szCs w:val="21"/>
          <w:highlight w:val="none"/>
        </w:rPr>
      </w:pPr>
      <w:bookmarkStart w:id="256" w:name="_Toc221951289"/>
      <w:r>
        <w:rPr>
          <w:rFonts w:hint="eastAsia" w:ascii="宋体" w:hAnsi="宋体" w:cs="宋体"/>
          <w:b/>
          <w:bCs/>
          <w:color w:val="auto"/>
          <w:kern w:val="0"/>
          <w:szCs w:val="21"/>
          <w:highlight w:val="none"/>
        </w:rPr>
        <w:t>18.7 竣</w:t>
      </w:r>
      <w:bookmarkEnd w:id="256"/>
      <w:r>
        <w:rPr>
          <w:rFonts w:hint="eastAsia" w:ascii="宋体" w:hAnsi="宋体" w:cs="宋体"/>
          <w:b/>
          <w:bCs/>
          <w:color w:val="auto"/>
          <w:kern w:val="0"/>
          <w:szCs w:val="21"/>
          <w:highlight w:val="none"/>
        </w:rPr>
        <w:t>工验收</w:t>
      </w:r>
    </w:p>
    <w:p w14:paraId="0A6FEF3A">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本工程</w:t>
      </w:r>
      <w:r>
        <w:rPr>
          <w:rFonts w:hint="eastAsia" w:asciiTheme="minorEastAsia" w:hAnsiTheme="minorEastAsia" w:eastAsiaTheme="minorEastAsia"/>
          <w:color w:val="auto"/>
          <w:kern w:val="0"/>
          <w:szCs w:val="21"/>
          <w:highlight w:val="none"/>
          <w:u w:val="single"/>
        </w:rPr>
        <w:t xml:space="preserve">   不需要  </w:t>
      </w:r>
      <w:r>
        <w:rPr>
          <w:rFonts w:hint="eastAsia" w:asciiTheme="minorEastAsia" w:hAnsiTheme="minorEastAsia" w:eastAsiaTheme="minorEastAsia"/>
          <w:color w:val="auto"/>
          <w:kern w:val="0"/>
          <w:szCs w:val="21"/>
          <w:highlight w:val="none"/>
        </w:rPr>
        <w:t>（需要/不需要）竣工验收技术鉴定（蓄水安全鉴定）。</w:t>
      </w:r>
    </w:p>
    <w:p w14:paraId="03394616">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18.8 施工期运行  </w:t>
      </w:r>
    </w:p>
    <w:p w14:paraId="47426E71">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18.8.1需要在施工期运行的单位工程或工程设备为：</w:t>
      </w:r>
      <w:r>
        <w:rPr>
          <w:rFonts w:hint="eastAsia" w:asciiTheme="minorEastAsia" w:hAnsiTheme="minorEastAsia" w:eastAsiaTheme="minorEastAsia"/>
          <w:color w:val="auto"/>
          <w:kern w:val="0"/>
          <w:szCs w:val="21"/>
          <w:highlight w:val="none"/>
          <w:u w:val="single"/>
        </w:rPr>
        <w:t xml:space="preserve"> 无  </w:t>
      </w:r>
      <w:r>
        <w:rPr>
          <w:rFonts w:asciiTheme="minorEastAsia" w:hAnsiTheme="minorEastAsia" w:eastAsiaTheme="minorEastAsia"/>
          <w:color w:val="auto"/>
          <w:kern w:val="0"/>
          <w:szCs w:val="21"/>
          <w:highlight w:val="none"/>
        </w:rPr>
        <w:t>。</w:t>
      </w:r>
    </w:p>
    <w:p w14:paraId="5A93C496">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18.9  试运行</w:t>
      </w:r>
    </w:p>
    <w:p w14:paraId="3AB590F7">
      <w:pPr>
        <w:ind w:firstLine="525"/>
        <w:rPr>
          <w:rFonts w:hint="eastAsia" w:ascii="宋体" w:hAnsi="宋体"/>
          <w:color w:val="auto"/>
          <w:kern w:val="0"/>
          <w:sz w:val="20"/>
          <w:highlight w:val="none"/>
        </w:rPr>
      </w:pPr>
      <w:r>
        <w:rPr>
          <w:rFonts w:hint="eastAsia" w:asciiTheme="minorEastAsia" w:hAnsiTheme="minorEastAsia" w:eastAsiaTheme="minorEastAsia"/>
          <w:color w:val="auto"/>
          <w:kern w:val="0"/>
          <w:szCs w:val="21"/>
          <w:highlight w:val="none"/>
        </w:rPr>
        <w:t>18.9.1 试运行的组织：</w:t>
      </w:r>
      <w:r>
        <w:rPr>
          <w:rFonts w:hint="eastAsia" w:asciiTheme="minorEastAsia" w:hAnsiTheme="minorEastAsia" w:eastAsiaTheme="minorEastAsia"/>
          <w:color w:val="auto"/>
          <w:kern w:val="0"/>
          <w:szCs w:val="21"/>
          <w:highlight w:val="none"/>
          <w:u w:val="single"/>
        </w:rPr>
        <w:t>承包人</w:t>
      </w:r>
      <w:r>
        <w:rPr>
          <w:rFonts w:hint="eastAsia" w:asciiTheme="minorEastAsia" w:hAnsiTheme="minorEastAsia" w:eastAsiaTheme="minorEastAsia"/>
          <w:color w:val="auto"/>
          <w:kern w:val="0"/>
          <w:szCs w:val="21"/>
          <w:highlight w:val="none"/>
        </w:rPr>
        <w:t>；费用承担</w:t>
      </w:r>
      <w:r>
        <w:rPr>
          <w:rFonts w:hint="eastAsia" w:asciiTheme="minorEastAsia" w:hAnsiTheme="minorEastAsia" w:eastAsiaTheme="minorEastAsia"/>
          <w:color w:val="auto"/>
          <w:kern w:val="0"/>
          <w:szCs w:val="21"/>
          <w:highlight w:val="none"/>
          <w:u w:val="single"/>
        </w:rPr>
        <w:t>：承包人</w:t>
      </w:r>
      <w:r>
        <w:rPr>
          <w:rFonts w:asciiTheme="minorEastAsia" w:hAnsiTheme="minorEastAsia" w:eastAsiaTheme="minorEastAsia"/>
          <w:color w:val="auto"/>
          <w:kern w:val="0"/>
          <w:szCs w:val="21"/>
          <w:highlight w:val="none"/>
        </w:rPr>
        <w:t>。</w:t>
      </w:r>
    </w:p>
    <w:p w14:paraId="4FE7DFEE">
      <w:pPr>
        <w:keepNext/>
        <w:keepLines/>
        <w:snapToGrid w:val="0"/>
        <w:spacing w:before="260" w:after="260" w:line="360" w:lineRule="auto"/>
        <w:outlineLvl w:val="2"/>
        <w:rPr>
          <w:rFonts w:hint="eastAsia" w:ascii="宋体" w:hAnsi="宋体" w:cs="宋体"/>
          <w:b/>
          <w:bCs/>
          <w:color w:val="auto"/>
          <w:szCs w:val="21"/>
          <w:highlight w:val="none"/>
        </w:rPr>
      </w:pPr>
      <w:bookmarkStart w:id="257" w:name="_Toc25633"/>
      <w:r>
        <w:rPr>
          <w:rFonts w:hint="eastAsia" w:ascii="宋体" w:hAnsi="宋体" w:cs="宋体"/>
          <w:b/>
          <w:bCs/>
          <w:color w:val="auto"/>
          <w:szCs w:val="21"/>
          <w:highlight w:val="none"/>
        </w:rPr>
        <w:t>19 缺陷责任与保修责任</w:t>
      </w:r>
      <w:bookmarkEnd w:id="257"/>
    </w:p>
    <w:p w14:paraId="0D869B02">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19.1缺陷责任期（质量保修期）的起算时间</w:t>
      </w:r>
    </w:p>
    <w:p w14:paraId="7FF564A1">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19.1缺陷责任期（质量保修期）计算如下：竣工验收（或合同工程完工验收）之日起开始计算。</w:t>
      </w:r>
    </w:p>
    <w:p w14:paraId="18B33BC3">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19.2缺陷责任期的延长：由于承包人原因造成某项缺陷或损坏使某项工程或工程设备不能按原定目标使用而需要再次检查、检验和修复的，发包人有权要求承包人相应延长缺陷责任期，但缺陷责任期最长不超过2年。</w:t>
      </w:r>
    </w:p>
    <w:p w14:paraId="18AFB805">
      <w:pPr>
        <w:keepNext/>
        <w:keepLines/>
        <w:snapToGrid w:val="0"/>
        <w:spacing w:before="0" w:after="0" w:line="360" w:lineRule="auto"/>
        <w:ind w:firstLine="422" w:firstLineChars="200"/>
        <w:outlineLvl w:val="2"/>
        <w:rPr>
          <w:rFonts w:hint="eastAsia" w:ascii="宋体" w:hAnsi="宋体"/>
          <w:b/>
          <w:bCs/>
          <w:color w:val="auto"/>
          <w:szCs w:val="21"/>
          <w:highlight w:val="none"/>
        </w:rPr>
      </w:pPr>
      <w:bookmarkStart w:id="258" w:name="_Toc27604"/>
      <w:r>
        <w:rPr>
          <w:rFonts w:hint="eastAsia" w:asciiTheme="minorEastAsia" w:hAnsiTheme="minorEastAsia" w:eastAsiaTheme="minorEastAsia"/>
          <w:b/>
          <w:bCs/>
          <w:color w:val="auto"/>
          <w:szCs w:val="21"/>
          <w:highlight w:val="none"/>
        </w:rPr>
        <w:t>20  保险</w:t>
      </w:r>
      <w:bookmarkEnd w:id="258"/>
    </w:p>
    <w:p w14:paraId="283348BF">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建筑工程一切险和（或）安装工程一切险投保人：由承包人负责投保，费用自理。保险金额、保险费率和保险期限：按相关规定执行。</w:t>
      </w:r>
    </w:p>
    <w:p w14:paraId="527A9DD1">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20.4 第三者责任险</w:t>
      </w:r>
    </w:p>
    <w:p w14:paraId="450535A0">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 xml:space="preserve">20.4.2 第三者责任险保险费率：承包人责任范围内的第三者责任险保险费率按保险公司有关规定自行购买，投保费用视为风险费用包含在清单项目中，不单独列报。第三者责任险保险金额：按保险公司有关规定自主决定，投保费用视为风险费用包含在清单项目中，不单独列报。 </w:t>
      </w:r>
    </w:p>
    <w:p w14:paraId="73E7236C">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20.5 其他保险</w:t>
      </w:r>
    </w:p>
    <w:p w14:paraId="0546E072">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需要投保的其它内容：承包人自行决定，投保费用视为风险费用包含在清单项目中，不单独列报。</w:t>
      </w:r>
    </w:p>
    <w:p w14:paraId="0B1D32C9">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保险金额、保险费率和保险期限：承包人自行决定。</w:t>
      </w:r>
    </w:p>
    <w:p w14:paraId="7A31F36D">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20.6 对各项保险的一般要求</w:t>
      </w:r>
    </w:p>
    <w:p w14:paraId="69549574">
      <w:pPr>
        <w:spacing w:line="360" w:lineRule="auto"/>
        <w:ind w:firstLine="420" w:firstLineChars="200"/>
        <w:rPr>
          <w:rFonts w:hint="eastAsia" w:ascii="宋体" w:hAnsi="宋体"/>
          <w:color w:val="auto"/>
          <w:kern w:val="0"/>
          <w:szCs w:val="21"/>
          <w:highlight w:val="none"/>
        </w:rPr>
      </w:pPr>
      <w:r>
        <w:rPr>
          <w:rFonts w:hint="eastAsia" w:asciiTheme="minorEastAsia" w:hAnsiTheme="minorEastAsia" w:eastAsiaTheme="minorEastAsia"/>
          <w:color w:val="auto"/>
          <w:kern w:val="0"/>
          <w:szCs w:val="21"/>
          <w:highlight w:val="none"/>
        </w:rPr>
        <w:t>20.6.1 保险凭证</w:t>
      </w:r>
    </w:p>
    <w:p w14:paraId="00821015">
      <w:pPr>
        <w:ind w:firstLine="525"/>
        <w:rPr>
          <w:rFonts w:hint="eastAsia" w:ascii="宋体" w:hAnsi="宋体"/>
          <w:color w:val="auto"/>
          <w:kern w:val="0"/>
          <w:sz w:val="20"/>
          <w:highlight w:val="none"/>
        </w:rPr>
      </w:pPr>
      <w:r>
        <w:rPr>
          <w:rFonts w:hint="eastAsia" w:asciiTheme="minorEastAsia" w:hAnsiTheme="minorEastAsia" w:eastAsiaTheme="minorEastAsia"/>
          <w:color w:val="auto"/>
          <w:kern w:val="0"/>
          <w:szCs w:val="21"/>
          <w:highlight w:val="none"/>
        </w:rPr>
        <w:t>承包人提交保险凭证的期限：承包人应在工程开工后一个月内提交承包人投保的保险凭证。</w:t>
      </w:r>
    </w:p>
    <w:p w14:paraId="62F6019B">
      <w:pPr>
        <w:keepNext/>
        <w:keepLines/>
        <w:snapToGrid w:val="0"/>
        <w:spacing w:before="260" w:after="260" w:line="360" w:lineRule="auto"/>
        <w:outlineLvl w:val="2"/>
        <w:rPr>
          <w:rFonts w:hint="eastAsia" w:ascii="宋体" w:hAnsi="宋体" w:cs="宋体"/>
          <w:b/>
          <w:bCs/>
          <w:color w:val="auto"/>
          <w:szCs w:val="21"/>
          <w:highlight w:val="none"/>
        </w:rPr>
      </w:pPr>
      <w:bookmarkStart w:id="259" w:name="_Toc222032712"/>
      <w:bookmarkStart w:id="260" w:name="_Toc229305401"/>
      <w:bookmarkStart w:id="261" w:name="_Toc222031045"/>
      <w:bookmarkStart w:id="262" w:name="_Toc222033894"/>
      <w:bookmarkStart w:id="263" w:name="_Toc222029543"/>
      <w:bookmarkStart w:id="264" w:name="_Toc221951334"/>
      <w:bookmarkStart w:id="265" w:name="_Toc29315"/>
      <w:r>
        <w:rPr>
          <w:rFonts w:hint="eastAsia" w:ascii="宋体" w:hAnsi="宋体" w:cs="宋体"/>
          <w:b/>
          <w:bCs/>
          <w:color w:val="auto"/>
          <w:szCs w:val="21"/>
          <w:highlight w:val="none"/>
        </w:rPr>
        <w:t>24. 争议的解决</w:t>
      </w:r>
      <w:bookmarkEnd w:id="259"/>
      <w:bookmarkEnd w:id="260"/>
      <w:bookmarkEnd w:id="261"/>
      <w:bookmarkEnd w:id="262"/>
      <w:bookmarkEnd w:id="263"/>
      <w:bookmarkEnd w:id="264"/>
      <w:bookmarkEnd w:id="265"/>
    </w:p>
    <w:p w14:paraId="12A87FB0">
      <w:pPr>
        <w:keepNext/>
        <w:keepLines/>
        <w:snapToGrid w:val="0"/>
        <w:spacing w:before="0" w:after="0" w:line="360" w:lineRule="auto"/>
        <w:outlineLvl w:val="3"/>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24.1争议的解决方式</w:t>
      </w:r>
    </w:p>
    <w:p w14:paraId="65373763">
      <w:pPr>
        <w:snapToGrid w:val="0"/>
        <w:spacing w:line="360" w:lineRule="auto"/>
        <w:ind w:right="248" w:firstLine="480"/>
        <w:rPr>
          <w:rFonts w:hint="eastAsia" w:ascii="宋体" w:hAnsi="宋体" w:cs="宋体"/>
          <w:b/>
          <w:bCs/>
          <w:color w:val="auto"/>
          <w:kern w:val="0"/>
          <w:szCs w:val="21"/>
          <w:highlight w:val="none"/>
        </w:rPr>
      </w:pPr>
      <w:bookmarkStart w:id="266" w:name="_Toc221951335"/>
      <w:r>
        <w:rPr>
          <w:rFonts w:hint="eastAsia" w:ascii="宋体" w:hAnsi="宋体" w:cs="宋体"/>
          <w:color w:val="auto"/>
          <w:kern w:val="0"/>
          <w:szCs w:val="21"/>
          <w:highlight w:val="none"/>
        </w:rPr>
        <w:t>合同当事人友好协商解决不成</w:t>
      </w:r>
      <w:bookmarkEnd w:id="266"/>
      <w:r>
        <w:rPr>
          <w:rFonts w:hint="eastAsia" w:ascii="宋体" w:hAnsi="宋体" w:cs="宋体"/>
          <w:color w:val="auto"/>
          <w:kern w:val="0"/>
          <w:szCs w:val="21"/>
          <w:highlight w:val="none"/>
        </w:rPr>
        <w:t>、不愿提请争议评审或不接受争议评审组意见的，约定的合同争议解决方式：</w:t>
      </w:r>
      <w:r>
        <w:rPr>
          <w:rFonts w:hint="eastAsia" w:ascii="宋体" w:hAnsi="宋体" w:cs="宋体"/>
          <w:color w:val="auto"/>
          <w:kern w:val="0"/>
          <w:szCs w:val="21"/>
          <w:highlight w:val="none"/>
          <w:u w:val="single"/>
        </w:rPr>
        <w:t>向项目所在地人民法院提起诉讼</w:t>
      </w:r>
      <w:r>
        <w:rPr>
          <w:rFonts w:hint="eastAsia" w:ascii="宋体" w:hAnsi="宋体" w:cs="宋体"/>
          <w:color w:val="auto"/>
          <w:kern w:val="0"/>
          <w:szCs w:val="21"/>
          <w:highlight w:val="none"/>
        </w:rPr>
        <w:t xml:space="preserve">。 </w:t>
      </w:r>
    </w:p>
    <w:p w14:paraId="1254B080">
      <w:pPr>
        <w:snapToGrid w:val="0"/>
        <w:spacing w:line="360" w:lineRule="auto"/>
        <w:ind w:right="248"/>
        <w:rPr>
          <w:rFonts w:hint="eastAsia" w:ascii="宋体" w:hAnsi="宋体" w:cs="宋体"/>
          <w:color w:val="auto"/>
          <w:kern w:val="0"/>
          <w:szCs w:val="21"/>
          <w:highlight w:val="none"/>
        </w:rPr>
        <w:sectPr>
          <w:pgSz w:w="11907" w:h="16840"/>
          <w:pgMar w:top="1440" w:right="1191" w:bottom="1440" w:left="1361" w:header="851" w:footer="992" w:gutter="0"/>
          <w:cols w:space="708" w:num="1"/>
          <w:docGrid w:linePitch="326" w:charSpace="0"/>
        </w:sectPr>
      </w:pPr>
    </w:p>
    <w:p w14:paraId="0F0D4FF3">
      <w:pPr>
        <w:keepNext/>
        <w:keepLines/>
        <w:spacing w:before="260" w:after="260" w:line="416" w:lineRule="auto"/>
        <w:jc w:val="center"/>
        <w:outlineLvl w:val="1"/>
        <w:rPr>
          <w:rFonts w:hint="eastAsia" w:ascii="宋体" w:hAnsi="宋体" w:eastAsia="黑体" w:cs="HiddenHorzOCR"/>
          <w:b/>
          <w:bCs/>
          <w:color w:val="auto"/>
          <w:sz w:val="24"/>
          <w:szCs w:val="32"/>
          <w:highlight w:val="none"/>
        </w:rPr>
      </w:pPr>
      <w:bookmarkStart w:id="267" w:name="_Toc28879"/>
      <w:r>
        <w:rPr>
          <w:rFonts w:hint="eastAsia" w:ascii="宋体" w:hAnsi="宋体"/>
          <w:b/>
          <w:bCs/>
          <w:color w:val="auto"/>
          <w:kern w:val="0"/>
          <w:sz w:val="32"/>
          <w:szCs w:val="32"/>
          <w:highlight w:val="none"/>
        </w:rPr>
        <w:t>第三节 合同附件格式</w:t>
      </w:r>
      <w:bookmarkEnd w:id="267"/>
    </w:p>
    <w:p w14:paraId="5C1DED65">
      <w:pPr>
        <w:autoSpaceDE w:val="0"/>
        <w:autoSpaceDN w:val="0"/>
        <w:adjustRightInd w:val="0"/>
        <w:spacing w:line="288" w:lineRule="auto"/>
        <w:jc w:val="center"/>
        <w:rPr>
          <w:rFonts w:hint="eastAsia" w:ascii="宋体" w:hAnsi="宋体" w:cs="HiddenHorzOCR"/>
          <w:b/>
          <w:color w:val="auto"/>
          <w:kern w:val="0"/>
          <w:sz w:val="24"/>
          <w:highlight w:val="none"/>
        </w:rPr>
      </w:pPr>
    </w:p>
    <w:p w14:paraId="03292F16">
      <w:pPr>
        <w:autoSpaceDE w:val="0"/>
        <w:autoSpaceDN w:val="0"/>
        <w:adjustRightInd w:val="0"/>
        <w:spacing w:line="288" w:lineRule="auto"/>
        <w:jc w:val="center"/>
        <w:rPr>
          <w:rFonts w:hint="eastAsia" w:ascii="宋体" w:hAnsi="宋体" w:cs="HiddenHorzOCR"/>
          <w:b/>
          <w:color w:val="auto"/>
          <w:kern w:val="0"/>
          <w:sz w:val="24"/>
          <w:highlight w:val="none"/>
        </w:rPr>
      </w:pPr>
    </w:p>
    <w:p w14:paraId="5E0007FA">
      <w:pPr>
        <w:autoSpaceDE w:val="0"/>
        <w:autoSpaceDN w:val="0"/>
        <w:adjustRightInd w:val="0"/>
        <w:spacing w:line="288" w:lineRule="auto"/>
        <w:outlineLvl w:val="2"/>
        <w:rPr>
          <w:rFonts w:hint="eastAsia" w:ascii="宋体" w:hAnsi="宋体" w:cs="HiddenHorzOCR"/>
          <w:b/>
          <w:color w:val="auto"/>
          <w:kern w:val="0"/>
          <w:sz w:val="24"/>
          <w:highlight w:val="none"/>
        </w:rPr>
      </w:pPr>
      <w:r>
        <w:rPr>
          <w:rFonts w:ascii="宋体" w:hAnsi="宋体" w:cs="HiddenHorzOCR"/>
          <w:b/>
          <w:color w:val="auto"/>
          <w:kern w:val="0"/>
          <w:sz w:val="24"/>
          <w:highlight w:val="none"/>
        </w:rPr>
        <w:br w:type="page"/>
      </w:r>
      <w:bookmarkStart w:id="268" w:name="_Toc15308"/>
      <w:r>
        <w:rPr>
          <w:rFonts w:ascii="宋体" w:hAnsi="宋体" w:cs="HiddenHorzOCR"/>
          <w:b/>
          <w:color w:val="auto"/>
          <w:kern w:val="0"/>
          <w:sz w:val="24"/>
          <w:highlight w:val="none"/>
        </w:rPr>
        <w:t>附件</w:t>
      </w:r>
      <w:r>
        <w:rPr>
          <w:rFonts w:hint="eastAsia" w:ascii="宋体" w:hAnsi="宋体" w:cs="HiddenHorzOCR"/>
          <w:b/>
          <w:color w:val="auto"/>
          <w:kern w:val="0"/>
          <w:sz w:val="24"/>
          <w:highlight w:val="none"/>
        </w:rPr>
        <w:t>一</w:t>
      </w:r>
      <w:r>
        <w:rPr>
          <w:rFonts w:ascii="宋体" w:hAnsi="宋体" w:cs="HiddenHorzOCR"/>
          <w:b/>
          <w:color w:val="auto"/>
          <w:kern w:val="0"/>
          <w:sz w:val="24"/>
          <w:highlight w:val="none"/>
        </w:rPr>
        <w:t>:</w:t>
      </w:r>
      <w:r>
        <w:rPr>
          <w:rFonts w:hint="eastAsia" w:ascii="宋体" w:hAnsi="宋体" w:cs="HiddenHorzOCR"/>
          <w:b/>
          <w:color w:val="auto"/>
          <w:kern w:val="0"/>
          <w:sz w:val="24"/>
          <w:highlight w:val="none"/>
        </w:rPr>
        <w:t xml:space="preserve">   </w:t>
      </w:r>
      <w:r>
        <w:rPr>
          <w:rFonts w:ascii="宋体" w:hAnsi="宋体" w:cs="HiddenHorzOCR"/>
          <w:b/>
          <w:color w:val="auto"/>
          <w:kern w:val="0"/>
          <w:sz w:val="24"/>
          <w:highlight w:val="none"/>
        </w:rPr>
        <w:t>合同</w:t>
      </w:r>
      <w:r>
        <w:rPr>
          <w:rFonts w:hint="eastAsia" w:ascii="宋体" w:hAnsi="宋体" w:cs="宋体"/>
          <w:b/>
          <w:color w:val="auto"/>
          <w:kern w:val="0"/>
          <w:sz w:val="24"/>
          <w:highlight w:val="none"/>
        </w:rPr>
        <w:t>协议书</w:t>
      </w:r>
      <w:bookmarkEnd w:id="268"/>
    </w:p>
    <w:p w14:paraId="423EE960">
      <w:pPr>
        <w:autoSpaceDE w:val="0"/>
        <w:autoSpaceDN w:val="0"/>
        <w:adjustRightInd w:val="0"/>
        <w:spacing w:line="288" w:lineRule="auto"/>
        <w:jc w:val="center"/>
        <w:rPr>
          <w:rFonts w:hint="eastAsia" w:ascii="宋体" w:hAnsi="宋体" w:cs="HiddenHorzOCR"/>
          <w:b/>
          <w:color w:val="auto"/>
          <w:kern w:val="0"/>
          <w:sz w:val="24"/>
          <w:highlight w:val="none"/>
        </w:rPr>
      </w:pPr>
    </w:p>
    <w:p w14:paraId="028BD368">
      <w:pPr>
        <w:autoSpaceDE w:val="0"/>
        <w:autoSpaceDN w:val="0"/>
        <w:adjustRightInd w:val="0"/>
        <w:snapToGrid w:val="0"/>
        <w:spacing w:line="360" w:lineRule="auto"/>
        <w:jc w:val="center"/>
        <w:rPr>
          <w:rFonts w:hint="eastAsia" w:ascii="宋体" w:hAnsi="宋体" w:cs="HiddenHorzOCR"/>
          <w:b/>
          <w:color w:val="auto"/>
          <w:kern w:val="0"/>
          <w:sz w:val="28"/>
          <w:szCs w:val="28"/>
          <w:highlight w:val="none"/>
        </w:rPr>
      </w:pPr>
      <w:r>
        <w:rPr>
          <w:rFonts w:hint="eastAsia" w:ascii="宋体" w:hAnsi="宋体" w:cs="HiddenHorzOCR"/>
          <w:b/>
          <w:color w:val="auto"/>
          <w:kern w:val="0"/>
          <w:sz w:val="28"/>
          <w:szCs w:val="28"/>
          <w:highlight w:val="none"/>
        </w:rPr>
        <w:t>合同</w:t>
      </w:r>
      <w:r>
        <w:rPr>
          <w:rFonts w:hint="eastAsia" w:ascii="宋体" w:hAnsi="宋体" w:cs="宋体"/>
          <w:b/>
          <w:color w:val="auto"/>
          <w:kern w:val="0"/>
          <w:sz w:val="28"/>
          <w:szCs w:val="28"/>
          <w:highlight w:val="none"/>
        </w:rPr>
        <w:t>协议书</w:t>
      </w:r>
    </w:p>
    <w:p w14:paraId="4939F3DA">
      <w:pPr>
        <w:autoSpaceDE w:val="0"/>
        <w:autoSpaceDN w:val="0"/>
        <w:adjustRightInd w:val="0"/>
        <w:snapToGrid w:val="0"/>
        <w:spacing w:line="336" w:lineRule="auto"/>
        <w:ind w:firstLine="420" w:firstLineChars="200"/>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包人名称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以下</w:t>
      </w:r>
      <w:r>
        <w:rPr>
          <w:rFonts w:hint="eastAsia" w:ascii="宋体" w:hAnsi="宋体" w:cs="宋体"/>
          <w:color w:val="auto"/>
          <w:kern w:val="0"/>
          <w:szCs w:val="21"/>
          <w:highlight w:val="none"/>
        </w:rPr>
        <w:t>简</w:t>
      </w:r>
      <w:r>
        <w:rPr>
          <w:rFonts w:ascii="宋体" w:hAnsi="宋体" w:cs="HiddenHorzOCR"/>
          <w:color w:val="auto"/>
          <w:kern w:val="0"/>
          <w:szCs w:val="21"/>
          <w:highlight w:val="none"/>
        </w:rPr>
        <w:t>称</w:t>
      </w:r>
      <w:r>
        <w:rPr>
          <w:rFonts w:hint="eastAsia"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w:t>
      </w:r>
      <w:r>
        <w:rPr>
          <w:rFonts w:hint="eastAsia" w:ascii="宋体" w:hAnsi="宋体" w:cs="宋体"/>
          <w:color w:val="auto"/>
          <w:kern w:val="0"/>
          <w:szCs w:val="21"/>
          <w:highlight w:val="none"/>
        </w:rPr>
        <w:t>为实</w:t>
      </w:r>
      <w:r>
        <w:rPr>
          <w:rFonts w:ascii="宋体" w:hAnsi="宋体" w:cs="HiddenHorzOCR"/>
          <w:color w:val="auto"/>
          <w:kern w:val="0"/>
          <w:szCs w:val="21"/>
          <w:highlight w:val="none"/>
        </w:rPr>
        <w:t>施</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项</w:t>
      </w:r>
      <w:r>
        <w:rPr>
          <w:rFonts w:ascii="宋体" w:hAnsi="宋体" w:cs="HiddenHorzOCR"/>
          <w:color w:val="auto"/>
          <w:kern w:val="0"/>
          <w:szCs w:val="21"/>
          <w:highlight w:val="none"/>
        </w:rPr>
        <w:t>目名称)，已接受</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(承包人名称，以下</w:t>
      </w:r>
      <w:r>
        <w:rPr>
          <w:rFonts w:hint="eastAsia" w:ascii="宋体" w:hAnsi="宋体" w:cs="宋体"/>
          <w:color w:val="auto"/>
          <w:kern w:val="0"/>
          <w:szCs w:val="21"/>
          <w:highlight w:val="none"/>
        </w:rPr>
        <w:t>简</w:t>
      </w:r>
      <w:r>
        <w:rPr>
          <w:rFonts w:ascii="宋体" w:hAnsi="宋体" w:cs="HiddenHorzOCR"/>
          <w:color w:val="auto"/>
          <w:kern w:val="0"/>
          <w:szCs w:val="21"/>
          <w:highlight w:val="none"/>
        </w:rPr>
        <w:t>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承包人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w:t>
      </w:r>
      <w:r>
        <w:rPr>
          <w:rFonts w:hint="eastAsia" w:ascii="宋体" w:hAnsi="宋体" w:cs="宋体"/>
          <w:color w:val="auto"/>
          <w:kern w:val="0"/>
          <w:szCs w:val="21"/>
          <w:highlight w:val="none"/>
        </w:rPr>
        <w:t>对</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项</w:t>
      </w:r>
      <w:r>
        <w:rPr>
          <w:rFonts w:ascii="宋体" w:hAnsi="宋体" w:cs="HiddenHorzOCR"/>
          <w:color w:val="auto"/>
          <w:kern w:val="0"/>
          <w:szCs w:val="21"/>
          <w:highlight w:val="none"/>
        </w:rPr>
        <w:t>目名称)</w:t>
      </w:r>
      <w:r>
        <w:rPr>
          <w:rFonts w:hint="eastAsia" w:ascii="宋体" w:hAnsi="宋体" w:cs="HiddenHorzOCR"/>
          <w:color w:val="auto"/>
          <w:kern w:val="0"/>
          <w:szCs w:val="21"/>
          <w:highlight w:val="none"/>
          <w:u w:val="single"/>
        </w:rPr>
        <w:t xml:space="preserve">          (</w:t>
      </w:r>
      <w:r>
        <w:rPr>
          <w:rFonts w:hint="eastAsia" w:ascii="宋体" w:hAnsi="宋体" w:cs="宋体"/>
          <w:color w:val="auto"/>
          <w:kern w:val="0"/>
          <w:szCs w:val="21"/>
          <w:highlight w:val="none"/>
        </w:rPr>
        <w:t>标</w:t>
      </w:r>
      <w:r>
        <w:rPr>
          <w:rFonts w:ascii="宋体" w:hAnsi="宋体" w:cs="HiddenHorzOCR"/>
          <w:color w:val="auto"/>
          <w:kern w:val="0"/>
          <w:szCs w:val="21"/>
          <w:highlight w:val="none"/>
        </w:rPr>
        <w:t>段</w:t>
      </w:r>
      <w:r>
        <w:rPr>
          <w:rFonts w:hint="eastAsia" w:ascii="宋体" w:hAnsi="宋体" w:cs="HiddenHorzOCR"/>
          <w:color w:val="auto"/>
          <w:kern w:val="0"/>
          <w:szCs w:val="21"/>
          <w:highlight w:val="none"/>
        </w:rPr>
        <w:t>名称)</w:t>
      </w:r>
      <w:r>
        <w:rPr>
          <w:rFonts w:ascii="宋体" w:hAnsi="宋体" w:cs="HiddenHorzOCR"/>
          <w:color w:val="auto"/>
          <w:kern w:val="0"/>
          <w:szCs w:val="21"/>
          <w:highlight w:val="none"/>
        </w:rPr>
        <w:t>的投</w:t>
      </w:r>
      <w:r>
        <w:rPr>
          <w:rFonts w:hint="eastAsia" w:ascii="宋体" w:hAnsi="宋体" w:cs="宋体"/>
          <w:color w:val="auto"/>
          <w:kern w:val="0"/>
          <w:szCs w:val="21"/>
          <w:highlight w:val="none"/>
        </w:rPr>
        <w:t>标</w:t>
      </w:r>
      <w:r>
        <w:rPr>
          <w:rFonts w:hint="eastAsia" w:ascii="宋体" w:hAnsi="宋体" w:cs="HiddenHorzOCR"/>
          <w:color w:val="auto"/>
          <w:kern w:val="0"/>
          <w:szCs w:val="21"/>
          <w:highlight w:val="none"/>
        </w:rPr>
        <w:t>，并确定为中标人。</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包人和承包人共同达成如下</w:t>
      </w:r>
      <w:r>
        <w:rPr>
          <w:rFonts w:hint="eastAsia" w:ascii="宋体" w:hAnsi="宋体" w:cs="宋体"/>
          <w:color w:val="auto"/>
          <w:kern w:val="0"/>
          <w:szCs w:val="21"/>
          <w:highlight w:val="none"/>
        </w:rPr>
        <w:t>协议</w:t>
      </w:r>
      <w:r>
        <w:rPr>
          <w:rFonts w:hint="eastAsia" w:ascii="宋体" w:hAnsi="宋体" w:cs="HiddenHorzOCR"/>
          <w:color w:val="auto"/>
          <w:kern w:val="0"/>
          <w:szCs w:val="21"/>
          <w:highlight w:val="none"/>
        </w:rPr>
        <w:t>。</w:t>
      </w:r>
    </w:p>
    <w:p w14:paraId="4F4CDF71">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1</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本</w:t>
      </w:r>
      <w:r>
        <w:rPr>
          <w:rFonts w:hint="eastAsia" w:ascii="宋体" w:hAnsi="宋体" w:cs="宋体"/>
          <w:color w:val="auto"/>
          <w:kern w:val="0"/>
          <w:szCs w:val="21"/>
          <w:highlight w:val="none"/>
        </w:rPr>
        <w:t>协议书</w:t>
      </w:r>
      <w:r>
        <w:rPr>
          <w:rFonts w:ascii="宋体" w:hAnsi="宋体" w:cs="HiddenHorzOCR"/>
          <w:color w:val="auto"/>
          <w:kern w:val="0"/>
          <w:szCs w:val="21"/>
          <w:highlight w:val="none"/>
        </w:rPr>
        <w:t>与下列文件一起构成合同文件</w:t>
      </w:r>
      <w:r>
        <w:rPr>
          <w:rFonts w:hint="eastAsia" w:ascii="宋体" w:hAnsi="宋体" w:cs="HiddenHorzOCR"/>
          <w:color w:val="auto"/>
          <w:kern w:val="0"/>
          <w:szCs w:val="21"/>
          <w:highlight w:val="none"/>
        </w:rPr>
        <w:t>：</w:t>
      </w:r>
    </w:p>
    <w:p w14:paraId="5324DC73">
      <w:pPr>
        <w:autoSpaceDE w:val="0"/>
        <w:autoSpaceDN w:val="0"/>
        <w:adjustRightInd w:val="0"/>
        <w:snapToGrid w:val="0"/>
        <w:spacing w:line="336" w:lineRule="auto"/>
        <w:ind w:firstLine="630" w:firstLineChars="300"/>
        <w:jc w:val="left"/>
        <w:rPr>
          <w:rFonts w:hint="eastAsia" w:ascii="宋体" w:hAnsi="宋体" w:cs="宋体"/>
          <w:color w:val="auto"/>
          <w:kern w:val="0"/>
          <w:szCs w:val="21"/>
          <w:highlight w:val="none"/>
        </w:rPr>
      </w:pPr>
      <w:r>
        <w:rPr>
          <w:rFonts w:ascii="宋体" w:hAnsi="宋体" w:cs="HiddenHorzOCR"/>
          <w:color w:val="auto"/>
          <w:kern w:val="0"/>
          <w:szCs w:val="21"/>
          <w:highlight w:val="none"/>
        </w:rPr>
        <w:t>(1)</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中</w:t>
      </w:r>
      <w:r>
        <w:rPr>
          <w:rFonts w:hint="eastAsia" w:ascii="宋体" w:hAnsi="宋体" w:cs="宋体"/>
          <w:color w:val="auto"/>
          <w:kern w:val="0"/>
          <w:szCs w:val="21"/>
          <w:highlight w:val="none"/>
        </w:rPr>
        <w:t>标</w:t>
      </w:r>
      <w:r>
        <w:rPr>
          <w:rFonts w:ascii="宋体" w:hAnsi="宋体" w:cs="HiddenHorzOCR"/>
          <w:color w:val="auto"/>
          <w:kern w:val="0"/>
          <w:szCs w:val="21"/>
          <w:highlight w:val="none"/>
        </w:rPr>
        <w:t>通知</w:t>
      </w:r>
      <w:r>
        <w:rPr>
          <w:rFonts w:hint="eastAsia" w:ascii="宋体" w:hAnsi="宋体" w:cs="宋体"/>
          <w:color w:val="auto"/>
          <w:kern w:val="0"/>
          <w:szCs w:val="21"/>
          <w:highlight w:val="none"/>
        </w:rPr>
        <w:t>书：</w:t>
      </w:r>
    </w:p>
    <w:p w14:paraId="4829FEEB">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(2) 投</w:t>
      </w:r>
      <w:r>
        <w:rPr>
          <w:rFonts w:hint="eastAsia" w:ascii="宋体" w:hAnsi="宋体" w:cs="宋体"/>
          <w:color w:val="auto"/>
          <w:kern w:val="0"/>
          <w:szCs w:val="21"/>
          <w:highlight w:val="none"/>
        </w:rPr>
        <w:t>标</w:t>
      </w:r>
      <w:r>
        <w:rPr>
          <w:rFonts w:ascii="宋体" w:hAnsi="宋体" w:cs="HiddenHorzOCR"/>
          <w:color w:val="auto"/>
          <w:kern w:val="0"/>
          <w:szCs w:val="21"/>
          <w:highlight w:val="none"/>
        </w:rPr>
        <w:t>函</w:t>
      </w:r>
      <w:r>
        <w:rPr>
          <w:rFonts w:hint="eastAsia" w:ascii="宋体" w:hAnsi="宋体" w:cs="HiddenHorzOCR"/>
          <w:color w:val="auto"/>
          <w:kern w:val="0"/>
          <w:szCs w:val="21"/>
          <w:highlight w:val="none"/>
        </w:rPr>
        <w:t>；</w:t>
      </w:r>
    </w:p>
    <w:p w14:paraId="0E2560BB">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(3) </w:t>
      </w:r>
      <w:r>
        <w:rPr>
          <w:rFonts w:hint="eastAsia" w:ascii="宋体" w:hAnsi="宋体" w:cs="宋体"/>
          <w:color w:val="auto"/>
          <w:kern w:val="0"/>
          <w:szCs w:val="21"/>
          <w:highlight w:val="none"/>
        </w:rPr>
        <w:t>专</w:t>
      </w:r>
      <w:r>
        <w:rPr>
          <w:rFonts w:ascii="宋体" w:hAnsi="宋体" w:cs="HiddenHorzOCR"/>
          <w:color w:val="auto"/>
          <w:kern w:val="0"/>
          <w:szCs w:val="21"/>
          <w:highlight w:val="none"/>
        </w:rPr>
        <w:t>用合同条款</w:t>
      </w:r>
      <w:r>
        <w:rPr>
          <w:rFonts w:hint="eastAsia" w:ascii="宋体" w:hAnsi="宋体" w:cs="HiddenHorzOCR"/>
          <w:color w:val="auto"/>
          <w:kern w:val="0"/>
          <w:szCs w:val="21"/>
          <w:highlight w:val="none"/>
        </w:rPr>
        <w:t>；</w:t>
      </w:r>
    </w:p>
    <w:p w14:paraId="4AFC93DD">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(4) 通用合同条款</w:t>
      </w:r>
      <w:r>
        <w:rPr>
          <w:rFonts w:hint="eastAsia" w:ascii="宋体" w:hAnsi="宋体" w:cs="HiddenHorzOCR"/>
          <w:color w:val="auto"/>
          <w:kern w:val="0"/>
          <w:szCs w:val="21"/>
          <w:highlight w:val="none"/>
        </w:rPr>
        <w:t>；</w:t>
      </w:r>
    </w:p>
    <w:p w14:paraId="56C16C63">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(5) 技</w:t>
      </w:r>
      <w:r>
        <w:rPr>
          <w:rFonts w:hint="eastAsia" w:ascii="宋体" w:hAnsi="宋体" w:cs="宋体"/>
          <w:color w:val="auto"/>
          <w:kern w:val="0"/>
          <w:szCs w:val="21"/>
          <w:highlight w:val="none"/>
        </w:rPr>
        <w:t>术标</w:t>
      </w:r>
      <w:r>
        <w:rPr>
          <w:rFonts w:ascii="宋体" w:hAnsi="宋体" w:cs="HiddenHorzOCR"/>
          <w:color w:val="auto"/>
          <w:kern w:val="0"/>
          <w:szCs w:val="21"/>
          <w:highlight w:val="none"/>
        </w:rPr>
        <w:t>准和要求</w:t>
      </w:r>
      <w:r>
        <w:rPr>
          <w:rFonts w:hint="eastAsia" w:ascii="宋体" w:hAnsi="宋体" w:cs="HiddenHorzOCR"/>
          <w:color w:val="auto"/>
          <w:kern w:val="0"/>
          <w:szCs w:val="21"/>
          <w:highlight w:val="none"/>
        </w:rPr>
        <w:t>；</w:t>
      </w:r>
    </w:p>
    <w:p w14:paraId="5567E968">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(6) </w:t>
      </w:r>
      <w:r>
        <w:rPr>
          <w:rFonts w:hint="eastAsia" w:ascii="宋体" w:hAnsi="宋体" w:cs="宋体"/>
          <w:color w:val="auto"/>
          <w:kern w:val="0"/>
          <w:szCs w:val="21"/>
          <w:highlight w:val="none"/>
        </w:rPr>
        <w:t>图纸</w:t>
      </w:r>
      <w:r>
        <w:rPr>
          <w:rFonts w:hint="eastAsia" w:ascii="宋体" w:hAnsi="宋体" w:cs="HiddenHorzOCR"/>
          <w:color w:val="auto"/>
          <w:kern w:val="0"/>
          <w:szCs w:val="21"/>
          <w:highlight w:val="none"/>
        </w:rPr>
        <w:t>；</w:t>
      </w:r>
    </w:p>
    <w:p w14:paraId="0E7213A6">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(7) 已</w:t>
      </w:r>
      <w:r>
        <w:rPr>
          <w:rFonts w:hint="eastAsia" w:ascii="宋体" w:hAnsi="宋体" w:cs="宋体"/>
          <w:color w:val="auto"/>
          <w:kern w:val="0"/>
          <w:szCs w:val="21"/>
          <w:highlight w:val="none"/>
        </w:rPr>
        <w:t>标</w:t>
      </w:r>
      <w:r>
        <w:rPr>
          <w:rFonts w:ascii="宋体" w:hAnsi="宋体" w:cs="HiddenHorzOCR"/>
          <w:color w:val="auto"/>
          <w:kern w:val="0"/>
          <w:szCs w:val="21"/>
          <w:highlight w:val="none"/>
        </w:rPr>
        <w:t>价工程量清</w:t>
      </w:r>
      <w:r>
        <w:rPr>
          <w:rFonts w:hint="eastAsia" w:ascii="宋体" w:hAnsi="宋体" w:cs="宋体"/>
          <w:color w:val="auto"/>
          <w:kern w:val="0"/>
          <w:szCs w:val="21"/>
          <w:highlight w:val="none"/>
        </w:rPr>
        <w:t>单</w:t>
      </w:r>
      <w:r>
        <w:rPr>
          <w:rFonts w:hint="eastAsia" w:ascii="宋体" w:hAnsi="宋体" w:cs="HiddenHorzOCR"/>
          <w:color w:val="auto"/>
          <w:kern w:val="0"/>
          <w:szCs w:val="21"/>
          <w:highlight w:val="none"/>
        </w:rPr>
        <w:t>；</w:t>
      </w:r>
    </w:p>
    <w:p w14:paraId="49688B1D">
      <w:pPr>
        <w:autoSpaceDE w:val="0"/>
        <w:autoSpaceDN w:val="0"/>
        <w:adjustRightInd w:val="0"/>
        <w:snapToGrid w:val="0"/>
        <w:spacing w:line="336" w:lineRule="auto"/>
        <w:ind w:firstLine="630" w:firstLineChars="3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(8) 其他合同文件。</w:t>
      </w:r>
    </w:p>
    <w:p w14:paraId="4AADC022">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2. 上述文件互相</w:t>
      </w:r>
      <w:r>
        <w:rPr>
          <w:rFonts w:hint="eastAsia" w:ascii="宋体" w:hAnsi="宋体" w:cs="宋体"/>
          <w:color w:val="auto"/>
          <w:kern w:val="0"/>
          <w:szCs w:val="21"/>
          <w:highlight w:val="none"/>
        </w:rPr>
        <w:t>补</w:t>
      </w:r>
      <w:r>
        <w:rPr>
          <w:rFonts w:ascii="宋体" w:hAnsi="宋体" w:cs="HiddenHorzOCR"/>
          <w:color w:val="auto"/>
          <w:kern w:val="0"/>
          <w:szCs w:val="21"/>
          <w:highlight w:val="none"/>
        </w:rPr>
        <w:t>充和解</w:t>
      </w:r>
      <w:r>
        <w:rPr>
          <w:rFonts w:hint="eastAsia" w:ascii="宋体" w:hAnsi="宋体" w:cs="宋体"/>
          <w:color w:val="auto"/>
          <w:kern w:val="0"/>
          <w:szCs w:val="21"/>
          <w:highlight w:val="none"/>
        </w:rPr>
        <w:t>释</w:t>
      </w:r>
      <w:r>
        <w:rPr>
          <w:rFonts w:ascii="宋体" w:hAnsi="宋体" w:cs="HiddenHorzOCR"/>
          <w:color w:val="auto"/>
          <w:kern w:val="0"/>
          <w:szCs w:val="21"/>
          <w:highlight w:val="none"/>
        </w:rPr>
        <w:t>，如有不明确或不一致之</w:t>
      </w:r>
      <w:r>
        <w:rPr>
          <w:rFonts w:hint="eastAsia" w:ascii="宋体" w:hAnsi="宋体" w:cs="宋体"/>
          <w:color w:val="auto"/>
          <w:kern w:val="0"/>
          <w:szCs w:val="21"/>
          <w:highlight w:val="none"/>
        </w:rPr>
        <w:t>处</w:t>
      </w:r>
      <w:r>
        <w:rPr>
          <w:rFonts w:ascii="宋体" w:hAnsi="宋体" w:cs="HiddenHorzOCR"/>
          <w:color w:val="auto"/>
          <w:kern w:val="0"/>
          <w:szCs w:val="21"/>
          <w:highlight w:val="none"/>
        </w:rPr>
        <w:t>，以合同</w:t>
      </w:r>
      <w:r>
        <w:rPr>
          <w:rFonts w:hint="eastAsia" w:ascii="宋体" w:hAnsi="宋体" w:cs="宋体"/>
          <w:color w:val="auto"/>
          <w:kern w:val="0"/>
          <w:szCs w:val="21"/>
          <w:highlight w:val="none"/>
        </w:rPr>
        <w:t>约</w:t>
      </w:r>
      <w:r>
        <w:rPr>
          <w:rFonts w:ascii="宋体" w:hAnsi="宋体" w:cs="HiddenHorzOCR"/>
          <w:color w:val="auto"/>
          <w:kern w:val="0"/>
          <w:szCs w:val="21"/>
          <w:highlight w:val="none"/>
        </w:rPr>
        <w:t>定次序在先者</w:t>
      </w:r>
      <w:r>
        <w:rPr>
          <w:rFonts w:hint="eastAsia" w:ascii="宋体" w:hAnsi="宋体" w:cs="宋体"/>
          <w:color w:val="auto"/>
          <w:kern w:val="0"/>
          <w:szCs w:val="21"/>
          <w:highlight w:val="none"/>
        </w:rPr>
        <w:t>为</w:t>
      </w:r>
      <w:r>
        <w:rPr>
          <w:rFonts w:ascii="宋体" w:hAnsi="宋体" w:cs="HiddenHorzOCR"/>
          <w:color w:val="auto"/>
          <w:kern w:val="0"/>
          <w:szCs w:val="21"/>
          <w:highlight w:val="none"/>
        </w:rPr>
        <w:t>准。</w:t>
      </w:r>
    </w:p>
    <w:p w14:paraId="06B0C813">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3. </w:t>
      </w:r>
      <w:r>
        <w:rPr>
          <w:rFonts w:hint="eastAsia" w:ascii="宋体" w:hAnsi="宋体" w:cs="宋体"/>
          <w:color w:val="auto"/>
          <w:kern w:val="0"/>
          <w:szCs w:val="21"/>
          <w:highlight w:val="none"/>
        </w:rPr>
        <w:t>签约</w:t>
      </w:r>
      <w:r>
        <w:rPr>
          <w:rFonts w:ascii="宋体" w:hAnsi="宋体" w:cs="HiddenHorzOCR"/>
          <w:color w:val="auto"/>
          <w:kern w:val="0"/>
          <w:szCs w:val="21"/>
          <w:highlight w:val="none"/>
        </w:rPr>
        <w:t>合同价</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人民</w:t>
      </w:r>
      <w:r>
        <w:rPr>
          <w:rFonts w:hint="eastAsia" w:ascii="宋体" w:hAnsi="宋体" w:cs="宋体"/>
          <w:color w:val="auto"/>
          <w:kern w:val="0"/>
          <w:szCs w:val="21"/>
          <w:highlight w:val="none"/>
        </w:rPr>
        <w:t>币</w:t>
      </w:r>
      <w:r>
        <w:rPr>
          <w:rFonts w:ascii="宋体" w:hAnsi="宋体" w:cs="HiddenHorzOCR"/>
          <w:color w:val="auto"/>
          <w:kern w:val="0"/>
          <w:szCs w:val="21"/>
          <w:highlight w:val="none"/>
        </w:rPr>
        <w:t>(大写</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元</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 xml:space="preserve"> 元）。</w:t>
      </w:r>
    </w:p>
    <w:p w14:paraId="46F82DB6">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4. 承包人</w:t>
      </w:r>
      <w:r>
        <w:rPr>
          <w:rFonts w:hint="eastAsia" w:ascii="宋体" w:hAnsi="宋体" w:cs="宋体"/>
          <w:color w:val="auto"/>
          <w:kern w:val="0"/>
          <w:szCs w:val="21"/>
          <w:highlight w:val="none"/>
        </w:rPr>
        <w:t>项</w:t>
      </w:r>
      <w:r>
        <w:rPr>
          <w:rFonts w:ascii="宋体" w:hAnsi="宋体" w:cs="HiddenHorzOCR"/>
          <w:color w:val="auto"/>
          <w:kern w:val="0"/>
          <w:szCs w:val="21"/>
          <w:highlight w:val="none"/>
        </w:rPr>
        <w:t>目</w:t>
      </w:r>
      <w:r>
        <w:rPr>
          <w:rFonts w:hint="eastAsia" w:ascii="宋体" w:hAnsi="宋体" w:cs="宋体"/>
          <w:color w:val="auto"/>
          <w:kern w:val="0"/>
          <w:szCs w:val="21"/>
          <w:highlight w:val="none"/>
        </w:rPr>
        <w:t>经</w:t>
      </w:r>
      <w:r>
        <w:rPr>
          <w:rFonts w:ascii="宋体" w:hAnsi="宋体" w:cs="HiddenHorzOCR"/>
          <w:color w:val="auto"/>
          <w:kern w:val="0"/>
          <w:szCs w:val="21"/>
          <w:highlight w:val="none"/>
        </w:rPr>
        <w:t>理</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w:t>
      </w:r>
    </w:p>
    <w:p w14:paraId="39FE6A6C">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5. 工程</w:t>
      </w:r>
      <w:r>
        <w:rPr>
          <w:rFonts w:hint="eastAsia" w:ascii="宋体" w:hAnsi="宋体" w:cs="宋体"/>
          <w:color w:val="auto"/>
          <w:kern w:val="0"/>
          <w:szCs w:val="21"/>
          <w:highlight w:val="none"/>
        </w:rPr>
        <w:t>质</w:t>
      </w:r>
      <w:r>
        <w:rPr>
          <w:rFonts w:ascii="宋体" w:hAnsi="宋体" w:cs="HiddenHorzOCR"/>
          <w:color w:val="auto"/>
          <w:kern w:val="0"/>
          <w:szCs w:val="21"/>
          <w:highlight w:val="none"/>
        </w:rPr>
        <w:t>量符合</w:t>
      </w:r>
      <w:r>
        <w:rPr>
          <w:rFonts w:hint="eastAsia" w:ascii="宋体" w:hAnsi="宋体" w:cs="HiddenHorzOCR"/>
          <w:color w:val="auto"/>
          <w:kern w:val="0"/>
          <w:szCs w:val="21"/>
          <w:highlight w:val="none"/>
          <w:u w:val="single"/>
        </w:rPr>
        <w:t xml:space="preserve">            </w:t>
      </w:r>
      <w:r>
        <w:rPr>
          <w:rFonts w:hint="eastAsia" w:ascii="宋体" w:hAnsi="宋体" w:cs="宋体"/>
          <w:color w:val="auto"/>
          <w:kern w:val="0"/>
          <w:szCs w:val="21"/>
          <w:highlight w:val="none"/>
        </w:rPr>
        <w:t>标</w:t>
      </w:r>
      <w:r>
        <w:rPr>
          <w:rFonts w:ascii="宋体" w:hAnsi="宋体" w:cs="HiddenHorzOCR"/>
          <w:color w:val="auto"/>
          <w:kern w:val="0"/>
          <w:szCs w:val="21"/>
          <w:highlight w:val="none"/>
        </w:rPr>
        <w:t>准</w:t>
      </w:r>
      <w:r>
        <w:rPr>
          <w:rFonts w:hint="eastAsia" w:ascii="宋体" w:hAnsi="宋体" w:cs="HiddenHorzOCR"/>
          <w:color w:val="auto"/>
          <w:kern w:val="0"/>
          <w:szCs w:val="21"/>
          <w:highlight w:val="none"/>
        </w:rPr>
        <w:t>。</w:t>
      </w:r>
    </w:p>
    <w:p w14:paraId="704579C3">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6. 承包人承</w:t>
      </w:r>
      <w:r>
        <w:rPr>
          <w:rFonts w:hint="eastAsia" w:ascii="宋体" w:hAnsi="宋体" w:cs="宋体"/>
          <w:color w:val="auto"/>
          <w:kern w:val="0"/>
          <w:szCs w:val="21"/>
          <w:highlight w:val="none"/>
        </w:rPr>
        <w:t>诺</w:t>
      </w:r>
      <w:r>
        <w:rPr>
          <w:rFonts w:ascii="宋体" w:hAnsi="宋体" w:cs="HiddenHorzOCR"/>
          <w:color w:val="auto"/>
          <w:kern w:val="0"/>
          <w:szCs w:val="21"/>
          <w:highlight w:val="none"/>
        </w:rPr>
        <w:t>按合同</w:t>
      </w:r>
      <w:r>
        <w:rPr>
          <w:rFonts w:hint="eastAsia" w:ascii="宋体" w:hAnsi="宋体" w:cs="宋体"/>
          <w:color w:val="auto"/>
          <w:kern w:val="0"/>
          <w:szCs w:val="21"/>
          <w:highlight w:val="none"/>
        </w:rPr>
        <w:t>约</w:t>
      </w:r>
      <w:r>
        <w:rPr>
          <w:rFonts w:ascii="宋体" w:hAnsi="宋体" w:cs="HiddenHorzOCR"/>
          <w:color w:val="auto"/>
          <w:kern w:val="0"/>
          <w:szCs w:val="21"/>
          <w:highlight w:val="none"/>
        </w:rPr>
        <w:t>定承担工程的</w:t>
      </w:r>
      <w:r>
        <w:rPr>
          <w:rFonts w:hint="eastAsia" w:ascii="宋体" w:hAnsi="宋体" w:cs="宋体"/>
          <w:color w:val="auto"/>
          <w:kern w:val="0"/>
          <w:szCs w:val="21"/>
          <w:highlight w:val="none"/>
        </w:rPr>
        <w:t>实</w:t>
      </w:r>
      <w:r>
        <w:rPr>
          <w:rFonts w:ascii="宋体" w:hAnsi="宋体" w:cs="HiddenHorzOCR"/>
          <w:color w:val="auto"/>
          <w:kern w:val="0"/>
          <w:szCs w:val="21"/>
          <w:highlight w:val="none"/>
        </w:rPr>
        <w:t>施、完成及缺陷修</w:t>
      </w:r>
      <w:r>
        <w:rPr>
          <w:rFonts w:hint="eastAsia" w:ascii="宋体" w:hAnsi="宋体" w:cs="宋体"/>
          <w:color w:val="auto"/>
          <w:kern w:val="0"/>
          <w:szCs w:val="21"/>
          <w:highlight w:val="none"/>
        </w:rPr>
        <w:t>复</w:t>
      </w:r>
      <w:r>
        <w:rPr>
          <w:rFonts w:hint="eastAsia" w:ascii="宋体" w:hAnsi="宋体" w:cs="HiddenHorzOCR"/>
          <w:color w:val="auto"/>
          <w:kern w:val="0"/>
          <w:szCs w:val="21"/>
          <w:highlight w:val="none"/>
        </w:rPr>
        <w:t>。</w:t>
      </w:r>
    </w:p>
    <w:p w14:paraId="345D2773">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7. </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包人承</w:t>
      </w:r>
      <w:r>
        <w:rPr>
          <w:rFonts w:hint="eastAsia" w:ascii="宋体" w:hAnsi="宋体" w:cs="宋体"/>
          <w:color w:val="auto"/>
          <w:kern w:val="0"/>
          <w:szCs w:val="21"/>
          <w:highlight w:val="none"/>
        </w:rPr>
        <w:t>诺</w:t>
      </w:r>
      <w:r>
        <w:rPr>
          <w:rFonts w:ascii="宋体" w:hAnsi="宋体" w:cs="HiddenHorzOCR"/>
          <w:color w:val="auto"/>
          <w:kern w:val="0"/>
          <w:szCs w:val="21"/>
          <w:highlight w:val="none"/>
        </w:rPr>
        <w:t>按合同</w:t>
      </w:r>
      <w:r>
        <w:rPr>
          <w:rFonts w:hint="eastAsia" w:ascii="宋体" w:hAnsi="宋体" w:cs="宋体"/>
          <w:color w:val="auto"/>
          <w:kern w:val="0"/>
          <w:szCs w:val="21"/>
          <w:highlight w:val="none"/>
        </w:rPr>
        <w:t>约</w:t>
      </w:r>
      <w:r>
        <w:rPr>
          <w:rFonts w:ascii="宋体" w:hAnsi="宋体" w:cs="HiddenHorzOCR"/>
          <w:color w:val="auto"/>
          <w:kern w:val="0"/>
          <w:szCs w:val="21"/>
          <w:highlight w:val="none"/>
        </w:rPr>
        <w:t>定的条件、</w:t>
      </w:r>
      <w:r>
        <w:rPr>
          <w:rFonts w:hint="eastAsia" w:ascii="宋体" w:hAnsi="宋体" w:cs="宋体"/>
          <w:color w:val="auto"/>
          <w:kern w:val="0"/>
          <w:szCs w:val="21"/>
          <w:highlight w:val="none"/>
        </w:rPr>
        <w:t>时间</w:t>
      </w:r>
      <w:r>
        <w:rPr>
          <w:rFonts w:ascii="宋体" w:hAnsi="宋体" w:cs="HiddenHorzOCR"/>
          <w:color w:val="auto"/>
          <w:kern w:val="0"/>
          <w:szCs w:val="21"/>
          <w:highlight w:val="none"/>
        </w:rPr>
        <w:t>和方式向承包人支付合同价款</w:t>
      </w:r>
    </w:p>
    <w:p w14:paraId="74BF391F">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8.</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承包人</w:t>
      </w:r>
      <w:r>
        <w:rPr>
          <w:rFonts w:hint="eastAsia" w:ascii="宋体" w:hAnsi="宋体" w:cs="宋体"/>
          <w:color w:val="auto"/>
          <w:kern w:val="0"/>
          <w:szCs w:val="21"/>
          <w:highlight w:val="none"/>
        </w:rPr>
        <w:t>承诺执行监</w:t>
      </w:r>
      <w:r>
        <w:rPr>
          <w:rFonts w:ascii="宋体" w:hAnsi="宋体" w:cs="HiddenHorzOCR"/>
          <w:color w:val="auto"/>
          <w:kern w:val="0"/>
          <w:szCs w:val="21"/>
          <w:highlight w:val="none"/>
        </w:rPr>
        <w:t>理人</w:t>
      </w:r>
      <w:r>
        <w:rPr>
          <w:rFonts w:hint="eastAsia" w:ascii="宋体" w:hAnsi="宋体" w:cs="宋体"/>
          <w:color w:val="auto"/>
          <w:kern w:val="0"/>
          <w:szCs w:val="21"/>
          <w:highlight w:val="none"/>
        </w:rPr>
        <w:t>开</w:t>
      </w:r>
      <w:r>
        <w:rPr>
          <w:rFonts w:ascii="宋体" w:hAnsi="宋体" w:cs="HiddenHorzOCR"/>
          <w:color w:val="auto"/>
          <w:kern w:val="0"/>
          <w:szCs w:val="21"/>
          <w:highlight w:val="none"/>
        </w:rPr>
        <w:t>工</w:t>
      </w:r>
      <w:r>
        <w:rPr>
          <w:rFonts w:hint="eastAsia" w:ascii="宋体" w:hAnsi="宋体" w:cs="HiddenHorzOCR"/>
          <w:color w:val="auto"/>
          <w:kern w:val="0"/>
          <w:szCs w:val="21"/>
          <w:highlight w:val="none"/>
        </w:rPr>
        <w:t>通知</w:t>
      </w:r>
      <w:r>
        <w:rPr>
          <w:rFonts w:ascii="宋体" w:hAnsi="宋体" w:cs="HiddenHorzOCR"/>
          <w:color w:val="auto"/>
          <w:kern w:val="0"/>
          <w:szCs w:val="21"/>
          <w:highlight w:val="none"/>
        </w:rPr>
        <w:t>，工期</w:t>
      </w:r>
      <w:r>
        <w:rPr>
          <w:rFonts w:hint="eastAsia" w:ascii="宋体" w:hAnsi="宋体" w:cs="宋体"/>
          <w:color w:val="auto"/>
          <w:kern w:val="0"/>
          <w:szCs w:val="21"/>
          <w:highlight w:val="none"/>
        </w:rPr>
        <w:t>为</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日</w:t>
      </w:r>
      <w:r>
        <w:rPr>
          <w:rFonts w:hint="eastAsia" w:ascii="宋体" w:hAnsi="宋体" w:cs="宋体"/>
          <w:color w:val="auto"/>
          <w:kern w:val="0"/>
          <w:szCs w:val="21"/>
          <w:highlight w:val="none"/>
        </w:rPr>
        <w:t>历</w:t>
      </w:r>
      <w:r>
        <w:rPr>
          <w:rFonts w:ascii="宋体" w:hAnsi="宋体" w:cs="HiddenHorzOCR"/>
          <w:color w:val="auto"/>
          <w:kern w:val="0"/>
          <w:szCs w:val="21"/>
          <w:highlight w:val="none"/>
        </w:rPr>
        <w:t>天</w:t>
      </w:r>
      <w:r>
        <w:rPr>
          <w:rFonts w:hint="eastAsia" w:ascii="宋体" w:hAnsi="宋体" w:cs="HiddenHorzOCR"/>
          <w:color w:val="auto"/>
          <w:kern w:val="0"/>
          <w:szCs w:val="21"/>
          <w:highlight w:val="none"/>
        </w:rPr>
        <w:t>。</w:t>
      </w:r>
    </w:p>
    <w:p w14:paraId="66FF4C00">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9. 本</w:t>
      </w:r>
      <w:r>
        <w:rPr>
          <w:rFonts w:hint="eastAsia" w:ascii="宋体" w:hAnsi="宋体" w:cs="宋体"/>
          <w:color w:val="auto"/>
          <w:kern w:val="0"/>
          <w:szCs w:val="21"/>
          <w:highlight w:val="none"/>
        </w:rPr>
        <w:t>协议书</w:t>
      </w:r>
      <w:r>
        <w:rPr>
          <w:rFonts w:ascii="宋体" w:hAnsi="宋体" w:cs="HiddenHorzOCR"/>
          <w:color w:val="auto"/>
          <w:kern w:val="0"/>
          <w:szCs w:val="21"/>
          <w:highlight w:val="none"/>
        </w:rPr>
        <w:t>一式</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份，合同双方各</w:t>
      </w:r>
      <w:r>
        <w:rPr>
          <w:rFonts w:hint="eastAsia" w:ascii="宋体" w:hAnsi="宋体" w:cs="宋体"/>
          <w:color w:val="auto"/>
          <w:kern w:val="0"/>
          <w:szCs w:val="21"/>
          <w:highlight w:val="none"/>
        </w:rPr>
        <w:t>执</w:t>
      </w:r>
      <w:r>
        <w:rPr>
          <w:rFonts w:ascii="宋体" w:hAnsi="宋体" w:cs="HiddenHorzOCR"/>
          <w:color w:val="auto"/>
          <w:kern w:val="0"/>
          <w:szCs w:val="21"/>
          <w:highlight w:val="none"/>
        </w:rPr>
        <w:t>一份</w:t>
      </w:r>
      <w:r>
        <w:rPr>
          <w:rFonts w:hint="eastAsia" w:ascii="宋体" w:hAnsi="宋体" w:cs="HiddenHorzOCR"/>
          <w:color w:val="auto"/>
          <w:kern w:val="0"/>
          <w:szCs w:val="21"/>
          <w:highlight w:val="none"/>
        </w:rPr>
        <w:t>。</w:t>
      </w:r>
    </w:p>
    <w:p w14:paraId="6B139202">
      <w:pPr>
        <w:autoSpaceDE w:val="0"/>
        <w:autoSpaceDN w:val="0"/>
        <w:adjustRightInd w:val="0"/>
        <w:snapToGrid w:val="0"/>
        <w:spacing w:line="336" w:lineRule="auto"/>
        <w:ind w:firstLine="315" w:firstLineChars="1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10. 合同未尽事宜，双方另行</w:t>
      </w:r>
      <w:r>
        <w:rPr>
          <w:rFonts w:hint="eastAsia" w:ascii="宋体" w:hAnsi="宋体" w:cs="宋体"/>
          <w:color w:val="auto"/>
          <w:kern w:val="0"/>
          <w:szCs w:val="21"/>
          <w:highlight w:val="none"/>
        </w:rPr>
        <w:t>签订补</w:t>
      </w:r>
      <w:r>
        <w:rPr>
          <w:rFonts w:hint="eastAsia" w:ascii="宋体" w:hAnsi="宋体" w:cs="HiddenHorzOCR"/>
          <w:color w:val="auto"/>
          <w:kern w:val="0"/>
          <w:szCs w:val="21"/>
          <w:highlight w:val="none"/>
        </w:rPr>
        <w:t>充</w:t>
      </w:r>
      <w:r>
        <w:rPr>
          <w:rFonts w:hint="eastAsia" w:ascii="宋体" w:hAnsi="宋体" w:cs="宋体"/>
          <w:color w:val="auto"/>
          <w:kern w:val="0"/>
          <w:szCs w:val="21"/>
          <w:highlight w:val="none"/>
        </w:rPr>
        <w:t>协议</w:t>
      </w:r>
      <w:r>
        <w:rPr>
          <w:rFonts w:ascii="宋体" w:hAnsi="宋体" w:cs="HiddenHorzOCR"/>
          <w:color w:val="auto"/>
          <w:kern w:val="0"/>
          <w:szCs w:val="21"/>
          <w:highlight w:val="none"/>
        </w:rPr>
        <w:t>。</w:t>
      </w:r>
      <w:r>
        <w:rPr>
          <w:rFonts w:hint="eastAsia" w:ascii="宋体" w:hAnsi="宋体" w:cs="宋体"/>
          <w:color w:val="auto"/>
          <w:kern w:val="0"/>
          <w:szCs w:val="21"/>
          <w:highlight w:val="none"/>
        </w:rPr>
        <w:t>补</w:t>
      </w:r>
      <w:r>
        <w:rPr>
          <w:rFonts w:ascii="宋体" w:hAnsi="宋体" w:cs="HiddenHorzOCR"/>
          <w:color w:val="auto"/>
          <w:kern w:val="0"/>
          <w:szCs w:val="21"/>
          <w:highlight w:val="none"/>
        </w:rPr>
        <w:t>充</w:t>
      </w:r>
      <w:r>
        <w:rPr>
          <w:rFonts w:hint="eastAsia" w:ascii="宋体" w:hAnsi="宋体" w:cs="宋体"/>
          <w:color w:val="auto"/>
          <w:kern w:val="0"/>
          <w:szCs w:val="21"/>
          <w:highlight w:val="none"/>
        </w:rPr>
        <w:t>协议</w:t>
      </w:r>
      <w:r>
        <w:rPr>
          <w:rFonts w:ascii="宋体" w:hAnsi="宋体" w:cs="HiddenHorzOCR"/>
          <w:color w:val="auto"/>
          <w:kern w:val="0"/>
          <w:szCs w:val="21"/>
          <w:highlight w:val="none"/>
        </w:rPr>
        <w:t>是合同的</w:t>
      </w:r>
      <w:r>
        <w:rPr>
          <w:rFonts w:hint="eastAsia" w:ascii="宋体" w:hAnsi="宋体" w:cs="宋体"/>
          <w:color w:val="auto"/>
          <w:kern w:val="0"/>
          <w:szCs w:val="21"/>
          <w:highlight w:val="none"/>
        </w:rPr>
        <w:t>组</w:t>
      </w:r>
      <w:r>
        <w:rPr>
          <w:rFonts w:ascii="宋体" w:hAnsi="宋体" w:cs="HiddenHorzOCR"/>
          <w:color w:val="auto"/>
          <w:kern w:val="0"/>
          <w:szCs w:val="21"/>
          <w:highlight w:val="none"/>
        </w:rPr>
        <w:t>成部分</w:t>
      </w:r>
      <w:r>
        <w:rPr>
          <w:rFonts w:hint="eastAsia" w:ascii="宋体" w:hAnsi="宋体" w:cs="HiddenHorzOCR"/>
          <w:color w:val="auto"/>
          <w:kern w:val="0"/>
          <w:szCs w:val="21"/>
          <w:highlight w:val="none"/>
        </w:rPr>
        <w:t>。</w:t>
      </w:r>
    </w:p>
    <w:p w14:paraId="5BF054B8">
      <w:pPr>
        <w:autoSpaceDE w:val="0"/>
        <w:autoSpaceDN w:val="0"/>
        <w:adjustRightInd w:val="0"/>
        <w:snapToGrid w:val="0"/>
        <w:spacing w:line="312" w:lineRule="auto"/>
        <w:jc w:val="left"/>
        <w:rPr>
          <w:rFonts w:hint="eastAsia" w:ascii="宋体" w:hAnsi="宋体" w:cs="HiddenHorzOCR"/>
          <w:color w:val="auto"/>
          <w:kern w:val="0"/>
          <w:szCs w:val="21"/>
          <w:highlight w:val="none"/>
        </w:rPr>
      </w:pPr>
    </w:p>
    <w:p w14:paraId="2DEF0CC8">
      <w:pPr>
        <w:autoSpaceDE w:val="0"/>
        <w:autoSpaceDN w:val="0"/>
        <w:adjustRightInd w:val="0"/>
        <w:snapToGrid w:val="0"/>
        <w:spacing w:line="336" w:lineRule="auto"/>
        <w:jc w:val="left"/>
        <w:rPr>
          <w:rFonts w:hint="eastAsia" w:ascii="宋体" w:hAnsi="宋体" w:cs="HiddenHorzOCR"/>
          <w:color w:val="auto"/>
          <w:kern w:val="0"/>
          <w:szCs w:val="21"/>
          <w:highlight w:val="none"/>
        </w:rPr>
      </w:pPr>
      <w:r>
        <w:rPr>
          <w:rFonts w:hint="eastAsia" w:ascii="宋体" w:hAnsi="宋体" w:cs="宋体"/>
          <w:color w:val="auto"/>
          <w:kern w:val="0"/>
          <w:szCs w:val="21"/>
          <w:highlight w:val="none"/>
        </w:rPr>
        <w:t>发</w:t>
      </w:r>
      <w:r>
        <w:rPr>
          <w:rFonts w:ascii="宋体" w:hAnsi="宋体" w:cs="HiddenHorzOCR"/>
          <w:color w:val="auto"/>
          <w:kern w:val="0"/>
          <w:szCs w:val="21"/>
          <w:highlight w:val="none"/>
        </w:rPr>
        <w:t>包人</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 xml:space="preserve"> (盖</w:t>
      </w:r>
      <w:r>
        <w:rPr>
          <w:rFonts w:hint="eastAsia" w:ascii="宋体" w:hAnsi="宋体" w:cs="宋体"/>
          <w:color w:val="auto"/>
          <w:kern w:val="0"/>
          <w:szCs w:val="21"/>
          <w:highlight w:val="none"/>
        </w:rPr>
        <w:t>单</w:t>
      </w:r>
      <w:r>
        <w:rPr>
          <w:rFonts w:ascii="宋体" w:hAnsi="宋体" w:cs="HiddenHorzOCR"/>
          <w:color w:val="auto"/>
          <w:kern w:val="0"/>
          <w:szCs w:val="21"/>
          <w:highlight w:val="none"/>
        </w:rPr>
        <w:t>位章</w:t>
      </w:r>
      <w:r>
        <w:rPr>
          <w:rFonts w:hint="eastAsia" w:ascii="宋体" w:hAnsi="宋体" w:cs="HiddenHorzOCR"/>
          <w:color w:val="auto"/>
          <w:kern w:val="0"/>
          <w:szCs w:val="21"/>
          <w:highlight w:val="none"/>
        </w:rPr>
        <w:t>)   承包人：</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(盖</w:t>
      </w:r>
      <w:r>
        <w:rPr>
          <w:rFonts w:hint="eastAsia" w:ascii="宋体" w:hAnsi="宋体" w:cs="宋体"/>
          <w:color w:val="auto"/>
          <w:kern w:val="0"/>
          <w:szCs w:val="21"/>
          <w:highlight w:val="none"/>
        </w:rPr>
        <w:t>单</w:t>
      </w:r>
      <w:r>
        <w:rPr>
          <w:rFonts w:ascii="宋体" w:hAnsi="宋体" w:cs="HiddenHorzOCR"/>
          <w:color w:val="auto"/>
          <w:kern w:val="0"/>
          <w:szCs w:val="21"/>
          <w:highlight w:val="none"/>
        </w:rPr>
        <w:t>位章</w:t>
      </w:r>
      <w:r>
        <w:rPr>
          <w:rFonts w:hint="eastAsia" w:ascii="宋体" w:hAnsi="宋体" w:cs="HiddenHorzOCR"/>
          <w:color w:val="auto"/>
          <w:kern w:val="0"/>
          <w:szCs w:val="21"/>
          <w:highlight w:val="none"/>
        </w:rPr>
        <w:t>)</w:t>
      </w:r>
    </w:p>
    <w:p w14:paraId="46CA2AC0">
      <w:pPr>
        <w:autoSpaceDE w:val="0"/>
        <w:autoSpaceDN w:val="0"/>
        <w:adjustRightInd w:val="0"/>
        <w:snapToGrid w:val="0"/>
        <w:spacing w:line="336" w:lineRule="auto"/>
        <w:jc w:val="left"/>
        <w:rPr>
          <w:rFonts w:hint="eastAsia" w:ascii="宋体" w:hAnsi="宋体" w:cs="宋体"/>
          <w:color w:val="auto"/>
          <w:kern w:val="0"/>
          <w:szCs w:val="21"/>
          <w:highlight w:val="none"/>
        </w:rPr>
      </w:pPr>
      <w:r>
        <w:rPr>
          <w:rFonts w:ascii="宋体" w:hAnsi="宋体" w:cs="宋体"/>
          <w:color w:val="auto"/>
          <w:kern w:val="0"/>
          <w:szCs w:val="21"/>
          <w:highlight w:val="none"/>
        </w:rPr>
        <w:t>法定代表人或其委托代理人</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rPr>
        <w:t>(</w:t>
      </w:r>
      <w:r>
        <w:rPr>
          <w:rFonts w:hint="eastAsia" w:ascii="宋体" w:hAnsi="宋体" w:cs="宋体"/>
          <w:color w:val="auto"/>
          <w:kern w:val="0"/>
          <w:szCs w:val="21"/>
          <w:highlight w:val="none"/>
        </w:rPr>
        <w:t>签</w:t>
      </w:r>
      <w:r>
        <w:rPr>
          <w:rFonts w:ascii="宋体" w:hAnsi="宋体" w:cs="宋体"/>
          <w:color w:val="auto"/>
          <w:kern w:val="0"/>
          <w:szCs w:val="21"/>
          <w:highlight w:val="none"/>
        </w:rPr>
        <w:t>字)</w:t>
      </w:r>
      <w:r>
        <w:rPr>
          <w:rFonts w:hint="eastAsia" w:ascii="宋体" w:hAnsi="宋体" w:cs="宋体"/>
          <w:color w:val="auto"/>
          <w:kern w:val="0"/>
          <w:szCs w:val="21"/>
          <w:highlight w:val="none"/>
        </w:rPr>
        <w:t xml:space="preserve">         </w:t>
      </w:r>
      <w:r>
        <w:rPr>
          <w:rFonts w:ascii="宋体" w:hAnsi="宋体" w:cs="宋体"/>
          <w:color w:val="auto"/>
          <w:kern w:val="0"/>
          <w:szCs w:val="21"/>
          <w:highlight w:val="none"/>
        </w:rPr>
        <w:t>法定代表人或其委托代理人</w:t>
      </w:r>
      <w:r>
        <w:rPr>
          <w:rFonts w:hint="eastAsia" w:ascii="宋体" w:hAnsi="宋体" w:cs="宋体"/>
          <w:color w:val="auto"/>
          <w:kern w:val="0"/>
          <w:szCs w:val="21"/>
          <w:highlight w:val="none"/>
        </w:rPr>
        <w:t>：</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rPr>
        <w:t>(</w:t>
      </w:r>
      <w:r>
        <w:rPr>
          <w:rFonts w:hint="eastAsia" w:ascii="宋体" w:hAnsi="宋体" w:cs="宋体"/>
          <w:color w:val="auto"/>
          <w:kern w:val="0"/>
          <w:szCs w:val="21"/>
          <w:highlight w:val="none"/>
        </w:rPr>
        <w:t>签</w:t>
      </w:r>
      <w:r>
        <w:rPr>
          <w:rFonts w:ascii="宋体" w:hAnsi="宋体" w:cs="宋体"/>
          <w:color w:val="auto"/>
          <w:kern w:val="0"/>
          <w:szCs w:val="21"/>
          <w:highlight w:val="none"/>
        </w:rPr>
        <w:t>字)</w:t>
      </w:r>
    </w:p>
    <w:p w14:paraId="54D6D646">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单位地址：</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 xml:space="preserve"> 单位地址：</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50E7230E">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邮箱：</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邮箱：</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4E38B1F1">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邮政编码：</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邮政编码：</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700F4CEE">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联系电话：</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联系电话：</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2D463AED">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开户银行：</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 xml:space="preserve"> 开户银行：</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7A4F68AA">
      <w:pPr>
        <w:autoSpaceDE w:val="0"/>
        <w:autoSpaceDN w:val="0"/>
        <w:adjustRightInd w:val="0"/>
        <w:snapToGrid w:val="0"/>
        <w:spacing w:line="336" w:lineRule="auto"/>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账    号：</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r>
        <w:rPr>
          <w:rFonts w:ascii="宋体" w:hAnsi="宋体" w:cs="宋体"/>
          <w:color w:val="auto"/>
          <w:kern w:val="0"/>
          <w:szCs w:val="21"/>
          <w:highlight w:val="none"/>
        </w:rPr>
        <w:t xml:space="preserve">               </w:t>
      </w:r>
      <w:r>
        <w:rPr>
          <w:rFonts w:hint="eastAsia" w:ascii="宋体" w:hAnsi="宋体" w:cs="宋体"/>
          <w:color w:val="auto"/>
          <w:kern w:val="0"/>
          <w:szCs w:val="21"/>
          <w:highlight w:val="none"/>
        </w:rPr>
        <w:t>账    号：</w:t>
      </w:r>
      <w:r>
        <w:rPr>
          <w:rFonts w:hint="eastAsia" w:ascii="宋体" w:hAnsi="宋体" w:cs="宋体"/>
          <w:color w:val="auto"/>
          <w:kern w:val="0"/>
          <w:szCs w:val="21"/>
          <w:highlight w:val="none"/>
          <w:u w:val="single"/>
        </w:rPr>
        <w:t xml:space="preserve"> </w:t>
      </w:r>
      <w:r>
        <w:rPr>
          <w:rFonts w:ascii="宋体" w:hAnsi="宋体" w:cs="宋体"/>
          <w:color w:val="auto"/>
          <w:kern w:val="0"/>
          <w:szCs w:val="21"/>
          <w:highlight w:val="none"/>
          <w:u w:val="single"/>
        </w:rPr>
        <w:t xml:space="preserve">                     </w:t>
      </w:r>
    </w:p>
    <w:p w14:paraId="536F4867">
      <w:pPr>
        <w:autoSpaceDE w:val="0"/>
        <w:autoSpaceDN w:val="0"/>
        <w:adjustRightInd w:val="0"/>
        <w:snapToGrid w:val="0"/>
        <w:spacing w:line="336" w:lineRule="auto"/>
        <w:ind w:firstLine="210" w:firstLineChars="100"/>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日</w:t>
      </w:r>
      <w:r>
        <w:rPr>
          <w:rFonts w:hint="eastAsia" w:ascii="宋体" w:hAnsi="宋体" w:cs="HiddenHorzOCR"/>
          <w:color w:val="auto"/>
          <w:kern w:val="0"/>
          <w:szCs w:val="21"/>
          <w:highlight w:val="none"/>
        </w:rPr>
        <w:t xml:space="preserve">                    </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日</w:t>
      </w:r>
    </w:p>
    <w:p w14:paraId="6F3980FD">
      <w:pPr>
        <w:autoSpaceDE w:val="0"/>
        <w:autoSpaceDN w:val="0"/>
        <w:adjustRightInd w:val="0"/>
        <w:spacing w:line="288" w:lineRule="auto"/>
        <w:jc w:val="left"/>
        <w:outlineLvl w:val="2"/>
        <w:rPr>
          <w:rFonts w:hint="eastAsia" w:ascii="宋体" w:hAnsi="宋体" w:cs="HiddenHorzOCR"/>
          <w:b/>
          <w:color w:val="auto"/>
          <w:kern w:val="0"/>
          <w:sz w:val="24"/>
          <w:highlight w:val="none"/>
        </w:rPr>
      </w:pPr>
      <w:r>
        <w:rPr>
          <w:rFonts w:ascii="宋体" w:hAnsi="宋体" w:cs="HiddenHorzOCR"/>
          <w:b/>
          <w:color w:val="auto"/>
          <w:kern w:val="0"/>
          <w:sz w:val="24"/>
          <w:highlight w:val="none"/>
        </w:rPr>
        <w:br w:type="page"/>
      </w:r>
      <w:bookmarkStart w:id="269" w:name="_Toc21093"/>
      <w:r>
        <w:rPr>
          <w:rFonts w:ascii="宋体" w:hAnsi="宋体" w:cs="HiddenHorzOCR"/>
          <w:b/>
          <w:color w:val="auto"/>
          <w:kern w:val="0"/>
          <w:sz w:val="24"/>
          <w:highlight w:val="none"/>
        </w:rPr>
        <w:t>附件二:履</w:t>
      </w:r>
      <w:r>
        <w:rPr>
          <w:rFonts w:hint="eastAsia" w:ascii="宋体" w:hAnsi="宋体" w:cs="宋体"/>
          <w:b/>
          <w:color w:val="auto"/>
          <w:kern w:val="0"/>
          <w:sz w:val="24"/>
          <w:highlight w:val="none"/>
        </w:rPr>
        <w:t>约</w:t>
      </w:r>
      <w:r>
        <w:rPr>
          <w:rFonts w:ascii="宋体" w:hAnsi="宋体" w:cs="HiddenHorzOCR"/>
          <w:b/>
          <w:color w:val="auto"/>
          <w:kern w:val="0"/>
          <w:sz w:val="24"/>
          <w:highlight w:val="none"/>
        </w:rPr>
        <w:t>担保格式</w:t>
      </w:r>
      <w:bookmarkEnd w:id="269"/>
    </w:p>
    <w:p w14:paraId="0C16677E">
      <w:pPr>
        <w:autoSpaceDE w:val="0"/>
        <w:autoSpaceDN w:val="0"/>
        <w:adjustRightInd w:val="0"/>
        <w:spacing w:line="288" w:lineRule="auto"/>
        <w:jc w:val="left"/>
        <w:rPr>
          <w:rFonts w:hint="eastAsia" w:ascii="宋体" w:hAnsi="宋体" w:cs="HiddenHorzOCR"/>
          <w:b/>
          <w:color w:val="auto"/>
          <w:kern w:val="0"/>
          <w:sz w:val="20"/>
          <w:szCs w:val="21"/>
          <w:highlight w:val="none"/>
        </w:rPr>
      </w:pPr>
    </w:p>
    <w:p w14:paraId="528D10BC">
      <w:pPr>
        <w:autoSpaceDE w:val="0"/>
        <w:autoSpaceDN w:val="0"/>
        <w:adjustRightInd w:val="0"/>
        <w:spacing w:line="288" w:lineRule="auto"/>
        <w:jc w:val="center"/>
        <w:rPr>
          <w:rFonts w:hint="eastAsia" w:ascii="宋体" w:hAnsi="宋体" w:cs="HiddenHorzOCR"/>
          <w:b/>
          <w:color w:val="auto"/>
          <w:kern w:val="0"/>
          <w:sz w:val="28"/>
          <w:szCs w:val="28"/>
          <w:highlight w:val="none"/>
        </w:rPr>
      </w:pPr>
      <w:r>
        <w:rPr>
          <w:rFonts w:hint="eastAsia" w:ascii="宋体" w:hAnsi="宋体" w:cs="HiddenHorzOCR"/>
          <w:b/>
          <w:color w:val="auto"/>
          <w:kern w:val="0"/>
          <w:sz w:val="28"/>
          <w:szCs w:val="28"/>
          <w:highlight w:val="none"/>
        </w:rPr>
        <w:t>履</w:t>
      </w:r>
      <w:r>
        <w:rPr>
          <w:rFonts w:hint="eastAsia" w:ascii="宋体" w:hAnsi="宋体" w:cs="宋体"/>
          <w:b/>
          <w:color w:val="auto"/>
          <w:kern w:val="0"/>
          <w:sz w:val="28"/>
          <w:szCs w:val="28"/>
          <w:highlight w:val="none"/>
        </w:rPr>
        <w:t>约</w:t>
      </w:r>
      <w:r>
        <w:rPr>
          <w:rFonts w:hint="eastAsia" w:ascii="宋体" w:hAnsi="宋体" w:cs="HiddenHorzOCR"/>
          <w:b/>
          <w:color w:val="auto"/>
          <w:kern w:val="0"/>
          <w:sz w:val="28"/>
          <w:szCs w:val="28"/>
          <w:highlight w:val="none"/>
        </w:rPr>
        <w:t>担保</w:t>
      </w:r>
    </w:p>
    <w:p w14:paraId="08C7CC79">
      <w:pPr>
        <w:autoSpaceDE w:val="0"/>
        <w:autoSpaceDN w:val="0"/>
        <w:adjustRightInd w:val="0"/>
        <w:snapToGrid w:val="0"/>
        <w:spacing w:line="360" w:lineRule="auto"/>
        <w:jc w:val="center"/>
        <w:rPr>
          <w:rFonts w:hint="eastAsia" w:ascii="宋体" w:hAnsi="宋体" w:cs="HiddenHorzOCR"/>
          <w:b/>
          <w:color w:val="auto"/>
          <w:kern w:val="0"/>
          <w:szCs w:val="21"/>
          <w:highlight w:val="none"/>
        </w:rPr>
      </w:pPr>
    </w:p>
    <w:p w14:paraId="73FBFF11">
      <w:pPr>
        <w:autoSpaceDE w:val="0"/>
        <w:autoSpaceDN w:val="0"/>
        <w:adjustRightInd w:val="0"/>
        <w:snapToGrid w:val="0"/>
        <w:spacing w:line="360" w:lineRule="auto"/>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 xml:space="preserve">包人名称): </w:t>
      </w:r>
    </w:p>
    <w:p w14:paraId="25752976">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1AC45821">
      <w:pPr>
        <w:autoSpaceDE w:val="0"/>
        <w:autoSpaceDN w:val="0"/>
        <w:adjustRightInd w:val="0"/>
        <w:snapToGrid w:val="0"/>
        <w:spacing w:line="360" w:lineRule="auto"/>
        <w:ind w:firstLine="420"/>
        <w:jc w:val="left"/>
        <w:rPr>
          <w:rFonts w:hint="eastAsia" w:ascii="宋体" w:hAnsi="宋体" w:cs="HiddenHorzOCR"/>
          <w:color w:val="auto"/>
          <w:kern w:val="0"/>
          <w:szCs w:val="21"/>
          <w:highlight w:val="none"/>
        </w:rPr>
      </w:pPr>
      <w:r>
        <w:rPr>
          <w:rFonts w:hint="eastAsia" w:ascii="宋体" w:hAnsi="宋体" w:cs="宋体"/>
          <w:color w:val="auto"/>
          <w:kern w:val="0"/>
          <w:szCs w:val="21"/>
          <w:highlight w:val="none"/>
        </w:rPr>
        <w:t>鉴</w:t>
      </w:r>
      <w:r>
        <w:rPr>
          <w:rFonts w:ascii="宋体" w:hAnsi="宋体" w:cs="HiddenHorzOCR"/>
          <w:color w:val="auto"/>
          <w:kern w:val="0"/>
          <w:szCs w:val="21"/>
          <w:highlight w:val="none"/>
        </w:rPr>
        <w:t>于</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包人名称，以下</w:t>
      </w:r>
      <w:r>
        <w:rPr>
          <w:rFonts w:hint="eastAsia" w:ascii="宋体" w:hAnsi="宋体" w:cs="宋体"/>
          <w:color w:val="auto"/>
          <w:kern w:val="0"/>
          <w:szCs w:val="21"/>
          <w:highlight w:val="none"/>
        </w:rPr>
        <w:t>简</w:t>
      </w:r>
      <w:r>
        <w:rPr>
          <w:rFonts w:ascii="宋体" w:hAnsi="宋体" w:cs="HiddenHorzOCR"/>
          <w:color w:val="auto"/>
          <w:kern w:val="0"/>
          <w:szCs w:val="21"/>
          <w:highlight w:val="none"/>
        </w:rPr>
        <w:t>称</w:t>
      </w:r>
      <w:r>
        <w:rPr>
          <w:rFonts w:hint="eastAsia"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w:t>
      </w:r>
      <w:r>
        <w:rPr>
          <w:rFonts w:hint="eastAsia" w:ascii="宋体" w:hAnsi="宋体" w:cs="HiddenHorzOCR"/>
          <w:color w:val="auto"/>
          <w:kern w:val="0"/>
          <w:szCs w:val="21"/>
          <w:highlight w:val="none"/>
        </w:rPr>
        <w:t>已</w:t>
      </w:r>
      <w:r>
        <w:rPr>
          <w:rFonts w:ascii="宋体" w:hAnsi="宋体" w:cs="HiddenHorzOCR"/>
          <w:color w:val="auto"/>
          <w:kern w:val="0"/>
          <w:szCs w:val="21"/>
          <w:highlight w:val="none"/>
        </w:rPr>
        <w:t>接受</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(承包人名称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 xml:space="preserve"> (以下称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承包人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)于</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日</w:t>
      </w:r>
      <w:r>
        <w:rPr>
          <w:rFonts w:hint="eastAsia" w:ascii="宋体" w:hAnsi="宋体" w:cs="HiddenHorzOCR"/>
          <w:color w:val="auto"/>
          <w:kern w:val="0"/>
          <w:szCs w:val="21"/>
          <w:highlight w:val="none"/>
        </w:rPr>
        <w:t>递交的</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项</w:t>
      </w:r>
      <w:r>
        <w:rPr>
          <w:rFonts w:ascii="宋体" w:hAnsi="宋体" w:cs="HiddenHorzOCR"/>
          <w:color w:val="auto"/>
          <w:kern w:val="0"/>
          <w:szCs w:val="21"/>
          <w:highlight w:val="none"/>
        </w:rPr>
        <w:t>目名称</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（标段名称）的投标文件。</w:t>
      </w:r>
      <w:r>
        <w:rPr>
          <w:rFonts w:ascii="宋体" w:hAnsi="宋体" w:cs="HiddenHorzOCR"/>
          <w:color w:val="auto"/>
          <w:kern w:val="0"/>
          <w:szCs w:val="21"/>
          <w:highlight w:val="none"/>
        </w:rPr>
        <w:t>我方愿意无条件地、不可撤</w:t>
      </w:r>
      <w:r>
        <w:rPr>
          <w:rFonts w:hint="eastAsia" w:ascii="宋体" w:hAnsi="宋体" w:cs="宋体"/>
          <w:color w:val="auto"/>
          <w:kern w:val="0"/>
          <w:szCs w:val="21"/>
          <w:highlight w:val="none"/>
        </w:rPr>
        <w:t>销</w:t>
      </w:r>
      <w:r>
        <w:rPr>
          <w:rFonts w:ascii="宋体" w:hAnsi="宋体" w:cs="HiddenHorzOCR"/>
          <w:color w:val="auto"/>
          <w:kern w:val="0"/>
          <w:szCs w:val="21"/>
          <w:highlight w:val="none"/>
        </w:rPr>
        <w:t>地就承包人履行与你方</w:t>
      </w:r>
      <w:r>
        <w:rPr>
          <w:rFonts w:hint="eastAsia" w:ascii="宋体" w:hAnsi="宋体" w:cs="HiddenHorzOCR"/>
          <w:color w:val="auto"/>
          <w:kern w:val="0"/>
          <w:szCs w:val="21"/>
          <w:highlight w:val="none"/>
        </w:rPr>
        <w:t>订</w:t>
      </w:r>
      <w:r>
        <w:rPr>
          <w:rFonts w:ascii="宋体" w:hAnsi="宋体" w:cs="HiddenHorzOCR"/>
          <w:color w:val="auto"/>
          <w:kern w:val="0"/>
          <w:szCs w:val="21"/>
          <w:highlight w:val="none"/>
        </w:rPr>
        <w:t>立的合同，向你方提供担保</w:t>
      </w:r>
      <w:r>
        <w:rPr>
          <w:rFonts w:hint="eastAsia" w:ascii="宋体" w:hAnsi="宋体" w:cs="HiddenHorzOCR"/>
          <w:color w:val="auto"/>
          <w:kern w:val="0"/>
          <w:szCs w:val="21"/>
          <w:highlight w:val="none"/>
        </w:rPr>
        <w:t>。</w:t>
      </w:r>
    </w:p>
    <w:p w14:paraId="7975AFAB">
      <w:pPr>
        <w:autoSpaceDE w:val="0"/>
        <w:autoSpaceDN w:val="0"/>
        <w:adjustRightInd w:val="0"/>
        <w:snapToGrid w:val="0"/>
        <w:spacing w:line="360" w:lineRule="auto"/>
        <w:ind w:firstLine="42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1.</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担保金</w:t>
      </w:r>
      <w:r>
        <w:rPr>
          <w:rFonts w:hint="eastAsia" w:ascii="宋体" w:hAnsi="宋体" w:cs="宋体"/>
          <w:color w:val="auto"/>
          <w:kern w:val="0"/>
          <w:szCs w:val="21"/>
          <w:highlight w:val="none"/>
        </w:rPr>
        <w:t>额</w:t>
      </w:r>
      <w:r>
        <w:rPr>
          <w:rFonts w:ascii="宋体" w:hAnsi="宋体" w:cs="HiddenHorzOCR"/>
          <w:color w:val="auto"/>
          <w:kern w:val="0"/>
          <w:szCs w:val="21"/>
          <w:highlight w:val="none"/>
        </w:rPr>
        <w:t>人民</w:t>
      </w:r>
      <w:r>
        <w:rPr>
          <w:rFonts w:hint="eastAsia" w:ascii="宋体" w:hAnsi="宋体" w:cs="宋体"/>
          <w:color w:val="auto"/>
          <w:kern w:val="0"/>
          <w:szCs w:val="21"/>
          <w:highlight w:val="none"/>
        </w:rPr>
        <w:t>币</w:t>
      </w:r>
      <w:r>
        <w:rPr>
          <w:rFonts w:ascii="宋体" w:hAnsi="宋体" w:cs="HiddenHorzOCR"/>
          <w:color w:val="auto"/>
          <w:kern w:val="0"/>
          <w:szCs w:val="21"/>
          <w:highlight w:val="none"/>
        </w:rPr>
        <w:t>(大写</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元(</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元)。</w:t>
      </w:r>
    </w:p>
    <w:p w14:paraId="32E1307A">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2. 担保有效期自</w:t>
      </w:r>
      <w:r>
        <w:rPr>
          <w:rFonts w:hint="eastAsia" w:ascii="宋体" w:hAnsi="宋体" w:cs="HiddenHorzOCR"/>
          <w:color w:val="auto"/>
          <w:kern w:val="0"/>
          <w:szCs w:val="21"/>
          <w:highlight w:val="none"/>
        </w:rPr>
        <w:t>发</w:t>
      </w:r>
      <w:r>
        <w:rPr>
          <w:rFonts w:ascii="宋体" w:hAnsi="宋体" w:cs="HiddenHorzOCR"/>
          <w:color w:val="auto"/>
          <w:kern w:val="0"/>
          <w:szCs w:val="21"/>
          <w:highlight w:val="none"/>
        </w:rPr>
        <w:t>包人与承包人</w:t>
      </w:r>
      <w:r>
        <w:rPr>
          <w:rFonts w:hint="eastAsia" w:ascii="宋体" w:hAnsi="宋体" w:cs="HiddenHorzOCR"/>
          <w:color w:val="auto"/>
          <w:kern w:val="0"/>
          <w:szCs w:val="21"/>
          <w:highlight w:val="none"/>
        </w:rPr>
        <w:t>签订</w:t>
      </w:r>
      <w:r>
        <w:rPr>
          <w:rFonts w:ascii="宋体" w:hAnsi="宋体" w:cs="HiddenHorzOCR"/>
          <w:color w:val="auto"/>
          <w:kern w:val="0"/>
          <w:szCs w:val="21"/>
          <w:highlight w:val="none"/>
        </w:rPr>
        <w:t>的合同生效之日起至</w:t>
      </w:r>
      <w:r>
        <w:rPr>
          <w:rFonts w:hint="eastAsia" w:ascii="宋体" w:hAnsi="宋体" w:cs="HiddenHorzOCR"/>
          <w:color w:val="auto"/>
          <w:kern w:val="0"/>
          <w:szCs w:val="21"/>
          <w:highlight w:val="none"/>
        </w:rPr>
        <w:t>发</w:t>
      </w:r>
      <w:r>
        <w:rPr>
          <w:rFonts w:ascii="宋体" w:hAnsi="宋体" w:cs="HiddenHorzOCR"/>
          <w:color w:val="auto"/>
          <w:kern w:val="0"/>
          <w:szCs w:val="21"/>
          <w:highlight w:val="none"/>
        </w:rPr>
        <w:t>包人</w:t>
      </w:r>
      <w:r>
        <w:rPr>
          <w:rFonts w:hint="eastAsia" w:ascii="宋体" w:hAnsi="宋体" w:cs="HiddenHorzOCR"/>
          <w:color w:val="auto"/>
          <w:kern w:val="0"/>
          <w:szCs w:val="21"/>
          <w:highlight w:val="none"/>
        </w:rPr>
        <w:t>签发合同</w:t>
      </w:r>
      <w:r>
        <w:rPr>
          <w:rFonts w:ascii="宋体" w:hAnsi="宋体" w:cs="HiddenHorzOCR"/>
          <w:color w:val="auto"/>
          <w:kern w:val="0"/>
          <w:szCs w:val="21"/>
          <w:highlight w:val="none"/>
        </w:rPr>
        <w:t>工程</w:t>
      </w:r>
      <w:r>
        <w:rPr>
          <w:rFonts w:hint="eastAsia" w:ascii="宋体" w:hAnsi="宋体" w:cs="HiddenHorzOCR"/>
          <w:color w:val="auto"/>
          <w:kern w:val="0"/>
          <w:szCs w:val="21"/>
          <w:highlight w:val="none"/>
        </w:rPr>
        <w:t>完工证书</w:t>
      </w:r>
      <w:r>
        <w:rPr>
          <w:rFonts w:ascii="宋体" w:hAnsi="宋体" w:cs="HiddenHorzOCR"/>
          <w:color w:val="auto"/>
          <w:kern w:val="0"/>
          <w:szCs w:val="21"/>
          <w:highlight w:val="none"/>
        </w:rPr>
        <w:t>之日止</w:t>
      </w:r>
      <w:r>
        <w:rPr>
          <w:rFonts w:hint="eastAsia" w:ascii="宋体" w:hAnsi="宋体" w:cs="HiddenHorzOCR"/>
          <w:color w:val="auto"/>
          <w:kern w:val="0"/>
          <w:szCs w:val="21"/>
          <w:highlight w:val="none"/>
        </w:rPr>
        <w:t>。</w:t>
      </w:r>
    </w:p>
    <w:p w14:paraId="040D8DD1">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3. 在本担保有效期内，因承包人</w:t>
      </w:r>
      <w:r>
        <w:rPr>
          <w:rFonts w:hint="eastAsia" w:ascii="宋体" w:hAnsi="宋体" w:cs="HiddenHorzOCR"/>
          <w:color w:val="auto"/>
          <w:kern w:val="0"/>
          <w:szCs w:val="21"/>
          <w:highlight w:val="none"/>
        </w:rPr>
        <w:t>违</w:t>
      </w:r>
      <w:r>
        <w:rPr>
          <w:rFonts w:ascii="宋体" w:hAnsi="宋体" w:cs="HiddenHorzOCR"/>
          <w:color w:val="auto"/>
          <w:kern w:val="0"/>
          <w:szCs w:val="21"/>
          <w:highlight w:val="none"/>
        </w:rPr>
        <w:t>反合同</w:t>
      </w:r>
      <w:r>
        <w:rPr>
          <w:rFonts w:hint="eastAsia" w:ascii="宋体" w:hAnsi="宋体" w:cs="HiddenHorzOCR"/>
          <w:color w:val="auto"/>
          <w:kern w:val="0"/>
          <w:szCs w:val="21"/>
          <w:highlight w:val="none"/>
        </w:rPr>
        <w:t>约</w:t>
      </w:r>
      <w:r>
        <w:rPr>
          <w:rFonts w:ascii="宋体" w:hAnsi="宋体" w:cs="HiddenHorzOCR"/>
          <w:color w:val="auto"/>
          <w:kern w:val="0"/>
          <w:szCs w:val="21"/>
          <w:highlight w:val="none"/>
        </w:rPr>
        <w:t>定的</w:t>
      </w:r>
      <w:r>
        <w:rPr>
          <w:rFonts w:hint="eastAsia" w:ascii="宋体" w:hAnsi="宋体" w:cs="HiddenHorzOCR"/>
          <w:color w:val="auto"/>
          <w:kern w:val="0"/>
          <w:szCs w:val="21"/>
          <w:highlight w:val="none"/>
        </w:rPr>
        <w:t>义务给</w:t>
      </w:r>
      <w:r>
        <w:rPr>
          <w:rFonts w:ascii="宋体" w:hAnsi="宋体" w:cs="HiddenHorzOCR"/>
          <w:color w:val="auto"/>
          <w:kern w:val="0"/>
          <w:szCs w:val="21"/>
          <w:highlight w:val="none"/>
        </w:rPr>
        <w:t>你方造成</w:t>
      </w:r>
      <w:r>
        <w:rPr>
          <w:rFonts w:hint="eastAsia" w:ascii="宋体" w:hAnsi="宋体" w:cs="HiddenHorzOCR"/>
          <w:color w:val="auto"/>
          <w:kern w:val="0"/>
          <w:szCs w:val="21"/>
          <w:highlight w:val="none"/>
        </w:rPr>
        <w:t>经济损</w:t>
      </w:r>
      <w:r>
        <w:rPr>
          <w:rFonts w:ascii="宋体" w:hAnsi="宋体" w:cs="HiddenHorzOCR"/>
          <w:color w:val="auto"/>
          <w:kern w:val="0"/>
          <w:szCs w:val="21"/>
          <w:highlight w:val="none"/>
        </w:rPr>
        <w:t>失</w:t>
      </w:r>
      <w:r>
        <w:rPr>
          <w:rFonts w:hint="eastAsia" w:ascii="宋体" w:hAnsi="宋体" w:cs="HiddenHorzOCR"/>
          <w:color w:val="auto"/>
          <w:kern w:val="0"/>
          <w:szCs w:val="21"/>
          <w:highlight w:val="none"/>
        </w:rPr>
        <w:t>时</w:t>
      </w:r>
      <w:r>
        <w:rPr>
          <w:rFonts w:ascii="宋体" w:hAnsi="宋体" w:cs="HiddenHorzOCR"/>
          <w:color w:val="auto"/>
          <w:kern w:val="0"/>
          <w:szCs w:val="21"/>
          <w:highlight w:val="none"/>
        </w:rPr>
        <w:t>，我方在收到你方以</w:t>
      </w:r>
      <w:r>
        <w:rPr>
          <w:rFonts w:hint="eastAsia" w:ascii="宋体" w:hAnsi="宋体" w:cs="HiddenHorzOCR"/>
          <w:color w:val="auto"/>
          <w:kern w:val="0"/>
          <w:szCs w:val="21"/>
          <w:highlight w:val="none"/>
        </w:rPr>
        <w:t>书</w:t>
      </w:r>
      <w:r>
        <w:rPr>
          <w:rFonts w:ascii="宋体" w:hAnsi="宋体" w:cs="HiddenHorzOCR"/>
          <w:color w:val="auto"/>
          <w:kern w:val="0"/>
          <w:szCs w:val="21"/>
          <w:highlight w:val="none"/>
        </w:rPr>
        <w:t>面形式提出的在担保金</w:t>
      </w:r>
      <w:r>
        <w:rPr>
          <w:rFonts w:hint="eastAsia" w:ascii="宋体" w:hAnsi="宋体" w:cs="HiddenHorzOCR"/>
          <w:color w:val="auto"/>
          <w:kern w:val="0"/>
          <w:szCs w:val="21"/>
          <w:highlight w:val="none"/>
        </w:rPr>
        <w:t>额</w:t>
      </w:r>
      <w:r>
        <w:rPr>
          <w:rFonts w:ascii="宋体" w:hAnsi="宋体" w:cs="HiddenHorzOCR"/>
          <w:color w:val="auto"/>
          <w:kern w:val="0"/>
          <w:szCs w:val="21"/>
          <w:highlight w:val="none"/>
        </w:rPr>
        <w:t>内的</w:t>
      </w:r>
      <w:r>
        <w:rPr>
          <w:rFonts w:hint="eastAsia" w:ascii="宋体" w:hAnsi="宋体" w:cs="HiddenHorzOCR"/>
          <w:color w:val="auto"/>
          <w:kern w:val="0"/>
          <w:szCs w:val="21"/>
          <w:highlight w:val="none"/>
        </w:rPr>
        <w:t>赔偿</w:t>
      </w:r>
      <w:r>
        <w:rPr>
          <w:rFonts w:ascii="宋体" w:hAnsi="宋体" w:cs="HiddenHorzOCR"/>
          <w:color w:val="auto"/>
          <w:kern w:val="0"/>
          <w:szCs w:val="21"/>
          <w:highlight w:val="none"/>
        </w:rPr>
        <w:t>要求后，</w:t>
      </w:r>
      <w:r>
        <w:rPr>
          <w:rFonts w:hint="eastAsia" w:ascii="宋体" w:hAnsi="宋体" w:cs="HiddenHorzOCR"/>
          <w:color w:val="auto"/>
          <w:kern w:val="0"/>
          <w:szCs w:val="21"/>
          <w:highlight w:val="none"/>
        </w:rPr>
        <w:t>无条件地</w:t>
      </w:r>
      <w:r>
        <w:rPr>
          <w:rFonts w:ascii="宋体" w:hAnsi="宋体" w:cs="HiddenHorzOCR"/>
          <w:color w:val="auto"/>
          <w:kern w:val="0"/>
          <w:szCs w:val="21"/>
          <w:highlight w:val="none"/>
        </w:rPr>
        <w:t>在7天内无条件支付</w:t>
      </w:r>
      <w:r>
        <w:rPr>
          <w:rFonts w:hint="eastAsia" w:ascii="宋体" w:hAnsi="宋体" w:cs="HiddenHorzOCR"/>
          <w:color w:val="auto"/>
          <w:kern w:val="0"/>
          <w:szCs w:val="21"/>
          <w:highlight w:val="none"/>
        </w:rPr>
        <w:t>。</w:t>
      </w:r>
    </w:p>
    <w:p w14:paraId="17064812">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4. </w:t>
      </w:r>
      <w:r>
        <w:rPr>
          <w:rFonts w:hint="eastAsia" w:ascii="宋体" w:hAnsi="宋体" w:cs="HiddenHorzOCR"/>
          <w:color w:val="auto"/>
          <w:kern w:val="0"/>
          <w:szCs w:val="21"/>
          <w:highlight w:val="none"/>
        </w:rPr>
        <w:t>发</w:t>
      </w:r>
      <w:r>
        <w:rPr>
          <w:rFonts w:ascii="宋体" w:hAnsi="宋体" w:cs="HiddenHorzOCR"/>
          <w:color w:val="auto"/>
          <w:kern w:val="0"/>
          <w:szCs w:val="21"/>
          <w:highlight w:val="none"/>
        </w:rPr>
        <w:t>包人和承包人按《通用合同条款》第15 条</w:t>
      </w:r>
      <w:r>
        <w:rPr>
          <w:rFonts w:hint="eastAsia" w:ascii="宋体" w:hAnsi="宋体" w:cs="HiddenHorzOCR"/>
          <w:color w:val="auto"/>
          <w:kern w:val="0"/>
          <w:szCs w:val="21"/>
          <w:highlight w:val="none"/>
        </w:rPr>
        <w:t>变</w:t>
      </w:r>
      <w:r>
        <w:rPr>
          <w:rFonts w:ascii="宋体" w:hAnsi="宋体" w:cs="HiddenHorzOCR"/>
          <w:color w:val="auto"/>
          <w:kern w:val="0"/>
          <w:szCs w:val="21"/>
          <w:highlight w:val="none"/>
        </w:rPr>
        <w:t>更合同</w:t>
      </w:r>
      <w:r>
        <w:rPr>
          <w:rFonts w:hint="eastAsia" w:ascii="宋体" w:hAnsi="宋体" w:cs="HiddenHorzOCR"/>
          <w:color w:val="auto"/>
          <w:kern w:val="0"/>
          <w:szCs w:val="21"/>
          <w:highlight w:val="none"/>
        </w:rPr>
        <w:t>时</w:t>
      </w:r>
      <w:r>
        <w:rPr>
          <w:rFonts w:ascii="宋体" w:hAnsi="宋体" w:cs="HiddenHorzOCR"/>
          <w:color w:val="auto"/>
          <w:kern w:val="0"/>
          <w:szCs w:val="21"/>
          <w:highlight w:val="none"/>
        </w:rPr>
        <w:t>，我方承担本担保</w:t>
      </w:r>
      <w:r>
        <w:rPr>
          <w:rFonts w:hint="eastAsia" w:ascii="宋体" w:hAnsi="宋体" w:cs="HiddenHorzOCR"/>
          <w:color w:val="auto"/>
          <w:kern w:val="0"/>
          <w:szCs w:val="21"/>
          <w:highlight w:val="none"/>
        </w:rPr>
        <w:t>规</w:t>
      </w:r>
      <w:r>
        <w:rPr>
          <w:rFonts w:ascii="宋体" w:hAnsi="宋体" w:cs="HiddenHorzOCR"/>
          <w:color w:val="auto"/>
          <w:kern w:val="0"/>
          <w:szCs w:val="21"/>
          <w:highlight w:val="none"/>
        </w:rPr>
        <w:t>定的</w:t>
      </w:r>
      <w:r>
        <w:rPr>
          <w:rFonts w:hint="eastAsia" w:ascii="宋体" w:hAnsi="宋体" w:cs="HiddenHorzOCR"/>
          <w:color w:val="auto"/>
          <w:kern w:val="0"/>
          <w:szCs w:val="21"/>
          <w:highlight w:val="none"/>
        </w:rPr>
        <w:t>义务</w:t>
      </w:r>
      <w:r>
        <w:rPr>
          <w:rFonts w:ascii="宋体" w:hAnsi="宋体" w:cs="HiddenHorzOCR"/>
          <w:color w:val="auto"/>
          <w:kern w:val="0"/>
          <w:szCs w:val="21"/>
          <w:highlight w:val="none"/>
        </w:rPr>
        <w:t>不</w:t>
      </w:r>
      <w:r>
        <w:rPr>
          <w:rFonts w:hint="eastAsia" w:ascii="宋体" w:hAnsi="宋体" w:cs="HiddenHorzOCR"/>
          <w:color w:val="auto"/>
          <w:kern w:val="0"/>
          <w:szCs w:val="21"/>
          <w:highlight w:val="none"/>
        </w:rPr>
        <w:t>变。</w:t>
      </w:r>
    </w:p>
    <w:p w14:paraId="67079668">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2921F2A4">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166655C6">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6EF53863">
      <w:pPr>
        <w:autoSpaceDE w:val="0"/>
        <w:autoSpaceDN w:val="0"/>
        <w:adjustRightInd w:val="0"/>
        <w:snapToGrid w:val="0"/>
        <w:spacing w:line="480" w:lineRule="auto"/>
        <w:ind w:firstLine="3675" w:firstLineChars="17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担保人</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u w:val="single"/>
        </w:rPr>
        <w:t xml:space="preserve"> </w:t>
      </w:r>
      <w:r>
        <w:rPr>
          <w:rFonts w:ascii="宋体" w:hAnsi="宋体" w:cs="HiddenHorzOCR"/>
          <w:color w:val="auto"/>
          <w:kern w:val="0"/>
          <w:szCs w:val="21"/>
          <w:highlight w:val="none"/>
        </w:rPr>
        <w:t>(盖</w:t>
      </w:r>
      <w:r>
        <w:rPr>
          <w:rFonts w:hint="eastAsia" w:ascii="宋体" w:hAnsi="宋体" w:cs="HiddenHorzOCR"/>
          <w:color w:val="auto"/>
          <w:kern w:val="0"/>
          <w:szCs w:val="21"/>
          <w:highlight w:val="none"/>
        </w:rPr>
        <w:t>单</w:t>
      </w:r>
      <w:r>
        <w:rPr>
          <w:rFonts w:ascii="宋体" w:hAnsi="宋体" w:cs="HiddenHorzOCR"/>
          <w:color w:val="auto"/>
          <w:kern w:val="0"/>
          <w:szCs w:val="21"/>
          <w:highlight w:val="none"/>
        </w:rPr>
        <w:t>位章</w:t>
      </w:r>
      <w:r>
        <w:rPr>
          <w:rFonts w:hint="eastAsia" w:ascii="宋体" w:hAnsi="宋体" w:cs="HiddenHorzOCR"/>
          <w:color w:val="auto"/>
          <w:kern w:val="0"/>
          <w:szCs w:val="21"/>
          <w:highlight w:val="none"/>
        </w:rPr>
        <w:t>)</w:t>
      </w:r>
    </w:p>
    <w:p w14:paraId="5081154A">
      <w:pPr>
        <w:autoSpaceDE w:val="0"/>
        <w:autoSpaceDN w:val="0"/>
        <w:adjustRightInd w:val="0"/>
        <w:snapToGrid w:val="0"/>
        <w:spacing w:line="480" w:lineRule="auto"/>
        <w:ind w:firstLine="3675" w:firstLineChars="175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法定代表人或其委托代理人</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 xml:space="preserve"> (</w:t>
      </w:r>
      <w:r>
        <w:rPr>
          <w:rFonts w:hint="eastAsia" w:ascii="宋体" w:hAnsi="宋体" w:cs="宋体"/>
          <w:color w:val="auto"/>
          <w:kern w:val="0"/>
          <w:szCs w:val="21"/>
          <w:highlight w:val="none"/>
        </w:rPr>
        <w:t>签</w:t>
      </w:r>
      <w:r>
        <w:rPr>
          <w:rFonts w:ascii="宋体" w:hAnsi="宋体" w:cs="HiddenHorzOCR"/>
          <w:color w:val="auto"/>
          <w:kern w:val="0"/>
          <w:szCs w:val="21"/>
          <w:highlight w:val="none"/>
        </w:rPr>
        <w:t>字</w:t>
      </w:r>
      <w:r>
        <w:rPr>
          <w:rFonts w:hint="eastAsia" w:ascii="宋体" w:hAnsi="宋体" w:cs="HiddenHorzOCR"/>
          <w:color w:val="auto"/>
          <w:kern w:val="0"/>
          <w:szCs w:val="21"/>
          <w:highlight w:val="none"/>
        </w:rPr>
        <w:t>)</w:t>
      </w:r>
    </w:p>
    <w:p w14:paraId="031AA44F">
      <w:pPr>
        <w:autoSpaceDE w:val="0"/>
        <w:autoSpaceDN w:val="0"/>
        <w:adjustRightInd w:val="0"/>
        <w:snapToGrid w:val="0"/>
        <w:spacing w:line="480" w:lineRule="auto"/>
        <w:ind w:firstLine="3675" w:firstLineChars="1750"/>
        <w:jc w:val="left"/>
        <w:rPr>
          <w:rFonts w:hint="eastAsia" w:ascii="宋体" w:hAnsi="宋体" w:cs="HiddenHorzOCR"/>
          <w:color w:val="auto"/>
          <w:kern w:val="0"/>
          <w:szCs w:val="21"/>
          <w:highlight w:val="none"/>
          <w:u w:val="single"/>
        </w:rPr>
      </w:pPr>
      <w:r>
        <w:rPr>
          <w:rFonts w:ascii="宋体" w:hAnsi="宋体" w:cs="HiddenHorzOCR"/>
          <w:color w:val="auto"/>
          <w:kern w:val="0"/>
          <w:szCs w:val="21"/>
          <w:highlight w:val="none"/>
        </w:rPr>
        <w:t>地址</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301E17CF">
      <w:pPr>
        <w:autoSpaceDE w:val="0"/>
        <w:autoSpaceDN w:val="0"/>
        <w:adjustRightInd w:val="0"/>
        <w:snapToGrid w:val="0"/>
        <w:spacing w:line="480" w:lineRule="auto"/>
        <w:ind w:firstLine="3675" w:firstLineChars="1750"/>
        <w:jc w:val="left"/>
        <w:rPr>
          <w:rFonts w:hint="eastAsia" w:ascii="宋体" w:hAnsi="宋体" w:cs="HiddenHorzOCR"/>
          <w:color w:val="auto"/>
          <w:kern w:val="0"/>
          <w:szCs w:val="21"/>
          <w:highlight w:val="none"/>
          <w:u w:val="single"/>
        </w:rPr>
      </w:pPr>
      <w:r>
        <w:rPr>
          <w:rFonts w:hint="eastAsia" w:ascii="宋体" w:hAnsi="宋体" w:cs="宋体"/>
          <w:color w:val="auto"/>
          <w:kern w:val="0"/>
          <w:szCs w:val="21"/>
          <w:highlight w:val="none"/>
        </w:rPr>
        <w:t>邮</w:t>
      </w:r>
      <w:r>
        <w:rPr>
          <w:rFonts w:ascii="宋体" w:hAnsi="宋体" w:cs="HiddenHorzOCR"/>
          <w:color w:val="auto"/>
          <w:kern w:val="0"/>
          <w:szCs w:val="21"/>
          <w:highlight w:val="none"/>
        </w:rPr>
        <w:t>政</w:t>
      </w:r>
      <w:r>
        <w:rPr>
          <w:rFonts w:hint="eastAsia" w:ascii="宋体" w:hAnsi="宋体" w:cs="宋体"/>
          <w:color w:val="auto"/>
          <w:kern w:val="0"/>
          <w:szCs w:val="21"/>
          <w:highlight w:val="none"/>
        </w:rPr>
        <w:t>编码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0D842105">
      <w:pPr>
        <w:autoSpaceDE w:val="0"/>
        <w:autoSpaceDN w:val="0"/>
        <w:adjustRightInd w:val="0"/>
        <w:snapToGrid w:val="0"/>
        <w:spacing w:line="480" w:lineRule="auto"/>
        <w:ind w:firstLine="3675" w:firstLineChars="175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电话：</w:t>
      </w:r>
      <w:r>
        <w:rPr>
          <w:rFonts w:hint="eastAsia" w:ascii="宋体" w:hAnsi="宋体" w:cs="宋体"/>
          <w:color w:val="auto"/>
          <w:kern w:val="0"/>
          <w:szCs w:val="21"/>
          <w:highlight w:val="none"/>
          <w:u w:val="single"/>
        </w:rPr>
        <w:t xml:space="preserve">                                      </w:t>
      </w:r>
    </w:p>
    <w:p w14:paraId="20F36581">
      <w:pPr>
        <w:autoSpaceDE w:val="0"/>
        <w:autoSpaceDN w:val="0"/>
        <w:adjustRightInd w:val="0"/>
        <w:snapToGrid w:val="0"/>
        <w:spacing w:line="480" w:lineRule="auto"/>
        <w:ind w:firstLine="3675" w:firstLineChars="1750"/>
        <w:jc w:val="left"/>
        <w:rPr>
          <w:rFonts w:hint="eastAsia" w:ascii="宋体" w:hAnsi="宋体" w:cs="宋体"/>
          <w:color w:val="auto"/>
          <w:kern w:val="0"/>
          <w:szCs w:val="21"/>
          <w:highlight w:val="none"/>
          <w:u w:val="single"/>
        </w:rPr>
      </w:pPr>
      <w:r>
        <w:rPr>
          <w:rFonts w:hint="eastAsia" w:ascii="宋体" w:hAnsi="宋体" w:cs="宋体"/>
          <w:color w:val="auto"/>
          <w:kern w:val="0"/>
          <w:szCs w:val="21"/>
          <w:highlight w:val="none"/>
        </w:rPr>
        <w:t>传真：</w:t>
      </w:r>
      <w:r>
        <w:rPr>
          <w:rFonts w:hint="eastAsia" w:ascii="宋体" w:hAnsi="宋体" w:cs="宋体"/>
          <w:color w:val="auto"/>
          <w:kern w:val="0"/>
          <w:szCs w:val="21"/>
          <w:highlight w:val="none"/>
          <w:u w:val="single"/>
        </w:rPr>
        <w:t xml:space="preserve">                                      </w:t>
      </w:r>
    </w:p>
    <w:p w14:paraId="3489D18B">
      <w:pPr>
        <w:autoSpaceDE w:val="0"/>
        <w:autoSpaceDN w:val="0"/>
        <w:adjustRightInd w:val="0"/>
        <w:snapToGrid w:val="0"/>
        <w:spacing w:line="360" w:lineRule="auto"/>
        <w:ind w:left="3597" w:leftChars="1713" w:firstLine="105" w:firstLineChars="50"/>
        <w:jc w:val="left"/>
        <w:rPr>
          <w:rFonts w:hint="eastAsia" w:ascii="宋体" w:hAnsi="宋体" w:cs="HiddenHorzOCR"/>
          <w:color w:val="auto"/>
          <w:kern w:val="0"/>
          <w:szCs w:val="21"/>
          <w:highlight w:val="none"/>
          <w:u w:val="single"/>
        </w:rPr>
      </w:pPr>
    </w:p>
    <w:p w14:paraId="26388682">
      <w:pPr>
        <w:autoSpaceDE w:val="0"/>
        <w:autoSpaceDN w:val="0"/>
        <w:adjustRightInd w:val="0"/>
        <w:snapToGrid w:val="0"/>
        <w:spacing w:line="360" w:lineRule="auto"/>
        <w:ind w:left="3597" w:leftChars="1713" w:firstLine="1575" w:firstLineChars="750"/>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日</w:t>
      </w:r>
    </w:p>
    <w:p w14:paraId="618CE7DD">
      <w:pPr>
        <w:autoSpaceDE w:val="0"/>
        <w:autoSpaceDN w:val="0"/>
        <w:adjustRightInd w:val="0"/>
        <w:snapToGrid w:val="0"/>
        <w:spacing w:line="360" w:lineRule="auto"/>
        <w:ind w:left="3597" w:leftChars="1713" w:firstLine="1575" w:firstLineChars="750"/>
        <w:jc w:val="left"/>
        <w:rPr>
          <w:rFonts w:hint="eastAsia" w:ascii="宋体" w:hAnsi="宋体" w:cs="HiddenHorzOCR"/>
          <w:color w:val="auto"/>
          <w:kern w:val="0"/>
          <w:szCs w:val="21"/>
          <w:highlight w:val="none"/>
        </w:rPr>
      </w:pPr>
    </w:p>
    <w:p w14:paraId="75A803CA">
      <w:pPr>
        <w:autoSpaceDE w:val="0"/>
        <w:autoSpaceDN w:val="0"/>
        <w:adjustRightInd w:val="0"/>
        <w:snapToGrid w:val="0"/>
        <w:spacing w:line="360" w:lineRule="auto"/>
        <w:jc w:val="left"/>
        <w:rPr>
          <w:rFonts w:hint="eastAsia" w:ascii="宋体" w:hAnsi="宋体" w:cs="宋体"/>
          <w:b/>
          <w:color w:val="auto"/>
          <w:kern w:val="0"/>
          <w:szCs w:val="21"/>
          <w:highlight w:val="none"/>
        </w:rPr>
      </w:pPr>
    </w:p>
    <w:p w14:paraId="49A65BE9">
      <w:pPr>
        <w:autoSpaceDE w:val="0"/>
        <w:autoSpaceDN w:val="0"/>
        <w:adjustRightInd w:val="0"/>
        <w:snapToGrid w:val="0"/>
        <w:spacing w:line="360" w:lineRule="auto"/>
        <w:jc w:val="left"/>
        <w:rPr>
          <w:rFonts w:hint="eastAsia" w:ascii="宋体" w:hAnsi="宋体" w:cs="宋体"/>
          <w:b/>
          <w:color w:val="auto"/>
          <w:kern w:val="0"/>
          <w:szCs w:val="21"/>
          <w:highlight w:val="none"/>
        </w:rPr>
      </w:pPr>
    </w:p>
    <w:p w14:paraId="0E20D97B">
      <w:pPr>
        <w:autoSpaceDE w:val="0"/>
        <w:autoSpaceDN w:val="0"/>
        <w:adjustRightInd w:val="0"/>
        <w:spacing w:line="288" w:lineRule="auto"/>
        <w:jc w:val="left"/>
        <w:outlineLvl w:val="2"/>
        <w:rPr>
          <w:rFonts w:hint="eastAsia" w:ascii="宋体" w:hAnsi="宋体" w:cs="HiddenHorzOCR"/>
          <w:b/>
          <w:color w:val="auto"/>
          <w:kern w:val="0"/>
          <w:sz w:val="24"/>
          <w:highlight w:val="none"/>
        </w:rPr>
      </w:pPr>
      <w:r>
        <w:rPr>
          <w:rFonts w:ascii="宋体" w:hAnsi="宋体" w:cs="宋体"/>
          <w:b/>
          <w:color w:val="auto"/>
          <w:kern w:val="0"/>
          <w:sz w:val="24"/>
          <w:highlight w:val="none"/>
        </w:rPr>
        <w:br w:type="page"/>
      </w:r>
      <w:bookmarkStart w:id="270" w:name="_Toc3167"/>
      <w:r>
        <w:rPr>
          <w:rFonts w:hint="eastAsia" w:ascii="宋体" w:hAnsi="宋体" w:cs="宋体"/>
          <w:b/>
          <w:color w:val="auto"/>
          <w:kern w:val="0"/>
          <w:sz w:val="24"/>
          <w:highlight w:val="none"/>
        </w:rPr>
        <w:t>附件三：预</w:t>
      </w:r>
      <w:r>
        <w:rPr>
          <w:rFonts w:ascii="宋体" w:hAnsi="宋体" w:cs="HiddenHorzOCR"/>
          <w:b/>
          <w:color w:val="auto"/>
          <w:kern w:val="0"/>
          <w:sz w:val="24"/>
          <w:highlight w:val="none"/>
        </w:rPr>
        <w:t>付款担保</w:t>
      </w:r>
      <w:r>
        <w:rPr>
          <w:rFonts w:hint="eastAsia" w:ascii="宋体" w:hAnsi="宋体" w:cs="HiddenHorzOCR"/>
          <w:b/>
          <w:color w:val="auto"/>
          <w:kern w:val="0"/>
          <w:sz w:val="24"/>
          <w:highlight w:val="none"/>
        </w:rPr>
        <w:t>格式</w:t>
      </w:r>
      <w:bookmarkEnd w:id="270"/>
    </w:p>
    <w:p w14:paraId="1D440360">
      <w:pPr>
        <w:autoSpaceDE w:val="0"/>
        <w:autoSpaceDN w:val="0"/>
        <w:adjustRightInd w:val="0"/>
        <w:spacing w:line="288" w:lineRule="auto"/>
        <w:jc w:val="center"/>
        <w:rPr>
          <w:rFonts w:hint="eastAsia" w:ascii="宋体" w:hAnsi="宋体" w:cs="HiddenHorzOCR"/>
          <w:b/>
          <w:color w:val="auto"/>
          <w:kern w:val="0"/>
          <w:sz w:val="24"/>
          <w:highlight w:val="none"/>
        </w:rPr>
      </w:pPr>
    </w:p>
    <w:p w14:paraId="55423C7C">
      <w:pPr>
        <w:autoSpaceDE w:val="0"/>
        <w:autoSpaceDN w:val="0"/>
        <w:adjustRightInd w:val="0"/>
        <w:spacing w:line="288" w:lineRule="auto"/>
        <w:jc w:val="center"/>
        <w:rPr>
          <w:rFonts w:hint="eastAsia" w:ascii="宋体" w:hAnsi="宋体" w:cs="HiddenHorzOCR"/>
          <w:b/>
          <w:color w:val="auto"/>
          <w:kern w:val="0"/>
          <w:sz w:val="28"/>
          <w:szCs w:val="28"/>
          <w:highlight w:val="none"/>
        </w:rPr>
      </w:pPr>
      <w:r>
        <w:rPr>
          <w:rFonts w:hint="eastAsia" w:ascii="宋体" w:hAnsi="宋体" w:cs="HiddenHorzOCR"/>
          <w:b/>
          <w:color w:val="auto"/>
          <w:kern w:val="0"/>
          <w:sz w:val="28"/>
          <w:szCs w:val="28"/>
          <w:highlight w:val="none"/>
        </w:rPr>
        <w:t>预付款担保函</w:t>
      </w:r>
    </w:p>
    <w:p w14:paraId="69174D3E">
      <w:pPr>
        <w:autoSpaceDE w:val="0"/>
        <w:autoSpaceDN w:val="0"/>
        <w:adjustRightInd w:val="0"/>
        <w:spacing w:line="288" w:lineRule="auto"/>
        <w:jc w:val="center"/>
        <w:rPr>
          <w:rFonts w:hint="eastAsia" w:ascii="宋体" w:hAnsi="宋体" w:cs="HiddenHorzOCR"/>
          <w:b/>
          <w:color w:val="auto"/>
          <w:kern w:val="0"/>
          <w:sz w:val="24"/>
          <w:highlight w:val="none"/>
        </w:rPr>
      </w:pPr>
    </w:p>
    <w:p w14:paraId="3DFB2874">
      <w:pPr>
        <w:autoSpaceDE w:val="0"/>
        <w:autoSpaceDN w:val="0"/>
        <w:adjustRightInd w:val="0"/>
        <w:snapToGrid w:val="0"/>
        <w:spacing w:line="360" w:lineRule="auto"/>
        <w:ind w:firstLine="105" w:firstLineChars="50"/>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包人名称):</w:t>
      </w:r>
    </w:p>
    <w:p w14:paraId="674BB751">
      <w:pPr>
        <w:autoSpaceDE w:val="0"/>
        <w:autoSpaceDN w:val="0"/>
        <w:adjustRightInd w:val="0"/>
        <w:snapToGrid w:val="0"/>
        <w:spacing w:line="360" w:lineRule="auto"/>
        <w:ind w:firstLine="105" w:firstLineChars="50"/>
        <w:jc w:val="left"/>
        <w:rPr>
          <w:rFonts w:hint="eastAsia" w:ascii="宋体" w:hAnsi="宋体" w:cs="HiddenHorzOCR"/>
          <w:color w:val="auto"/>
          <w:kern w:val="0"/>
          <w:szCs w:val="21"/>
          <w:highlight w:val="none"/>
        </w:rPr>
      </w:pPr>
    </w:p>
    <w:p w14:paraId="5EC47BB6">
      <w:pPr>
        <w:autoSpaceDE w:val="0"/>
        <w:autoSpaceDN w:val="0"/>
        <w:adjustRightInd w:val="0"/>
        <w:snapToGrid w:val="0"/>
        <w:spacing w:line="360" w:lineRule="auto"/>
        <w:jc w:val="left"/>
        <w:rPr>
          <w:rFonts w:hint="eastAsia" w:ascii="宋体" w:hAnsi="宋体" w:cs="HiddenHorzOCR"/>
          <w:color w:val="auto"/>
          <w:kern w:val="0"/>
          <w:szCs w:val="21"/>
          <w:highlight w:val="none"/>
        </w:rPr>
      </w:pP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根据</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(承包人名称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以下称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承包人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)与</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包人名称</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以下</w:t>
      </w:r>
      <w:r>
        <w:rPr>
          <w:rFonts w:hint="eastAsia" w:ascii="宋体" w:hAnsi="宋体" w:cs="宋体"/>
          <w:color w:val="auto"/>
          <w:kern w:val="0"/>
          <w:szCs w:val="21"/>
          <w:highlight w:val="none"/>
        </w:rPr>
        <w:t>简</w:t>
      </w:r>
      <w:r>
        <w:rPr>
          <w:rFonts w:ascii="宋体" w:hAnsi="宋体" w:cs="HiddenHorzOCR"/>
          <w:color w:val="auto"/>
          <w:kern w:val="0"/>
          <w:szCs w:val="21"/>
          <w:highlight w:val="none"/>
        </w:rPr>
        <w:t>称</w:t>
      </w:r>
      <w:r>
        <w:rPr>
          <w:rFonts w:hint="eastAsia" w:ascii="宋体" w:hAnsi="宋体" w:cs="HiddenHorzOCR"/>
          <w:color w:val="auto"/>
          <w:kern w:val="0"/>
          <w:szCs w:val="21"/>
          <w:highlight w:val="none"/>
        </w:rPr>
        <w:t>“</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)于</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年</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月</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日</w:t>
      </w:r>
      <w:r>
        <w:rPr>
          <w:rFonts w:hint="eastAsia" w:ascii="宋体" w:hAnsi="宋体" w:cs="宋体"/>
          <w:color w:val="auto"/>
          <w:kern w:val="0"/>
          <w:szCs w:val="21"/>
          <w:highlight w:val="none"/>
        </w:rPr>
        <w:t>签订</w:t>
      </w:r>
      <w:r>
        <w:rPr>
          <w:rFonts w:ascii="宋体" w:hAnsi="宋体" w:cs="HiddenHorzOCR"/>
          <w:color w:val="auto"/>
          <w:kern w:val="0"/>
          <w:szCs w:val="21"/>
          <w:highlight w:val="none"/>
        </w:rPr>
        <w:t>的</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w:t>
      </w:r>
      <w:r>
        <w:rPr>
          <w:rFonts w:hint="eastAsia" w:ascii="宋体" w:hAnsi="宋体" w:cs="宋体"/>
          <w:color w:val="auto"/>
          <w:kern w:val="0"/>
          <w:szCs w:val="21"/>
          <w:highlight w:val="none"/>
        </w:rPr>
        <w:t>项</w:t>
      </w:r>
      <w:r>
        <w:rPr>
          <w:rFonts w:ascii="宋体" w:hAnsi="宋体" w:cs="HiddenHorzOCR"/>
          <w:color w:val="auto"/>
          <w:kern w:val="0"/>
          <w:szCs w:val="21"/>
          <w:highlight w:val="none"/>
        </w:rPr>
        <w:t>目名称</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（标段名称）</w:t>
      </w:r>
      <w:r>
        <w:rPr>
          <w:rFonts w:hint="eastAsia" w:ascii="宋体" w:hAnsi="宋体" w:cs="宋体"/>
          <w:color w:val="auto"/>
          <w:kern w:val="0"/>
          <w:szCs w:val="21"/>
          <w:highlight w:val="none"/>
        </w:rPr>
        <w:t>合同协议书</w:t>
      </w:r>
      <w:r>
        <w:rPr>
          <w:rFonts w:ascii="宋体" w:hAnsi="宋体" w:cs="HiddenHorzOCR"/>
          <w:color w:val="auto"/>
          <w:kern w:val="0"/>
          <w:szCs w:val="21"/>
          <w:highlight w:val="none"/>
        </w:rPr>
        <w:t>，承包人按</w:t>
      </w:r>
      <w:r>
        <w:rPr>
          <w:rFonts w:hint="eastAsia" w:ascii="宋体" w:hAnsi="宋体" w:cs="宋体"/>
          <w:color w:val="auto"/>
          <w:kern w:val="0"/>
          <w:szCs w:val="21"/>
          <w:highlight w:val="none"/>
        </w:rPr>
        <w:t>约</w:t>
      </w:r>
      <w:r>
        <w:rPr>
          <w:rFonts w:ascii="宋体" w:hAnsi="宋体" w:cs="HiddenHorzOCR"/>
          <w:color w:val="auto"/>
          <w:kern w:val="0"/>
          <w:szCs w:val="21"/>
          <w:highlight w:val="none"/>
        </w:rPr>
        <w:t>定的金</w:t>
      </w:r>
      <w:r>
        <w:rPr>
          <w:rFonts w:hint="eastAsia" w:ascii="宋体" w:hAnsi="宋体" w:cs="宋体"/>
          <w:color w:val="auto"/>
          <w:kern w:val="0"/>
          <w:szCs w:val="21"/>
          <w:highlight w:val="none"/>
        </w:rPr>
        <w:t>额</w:t>
      </w:r>
      <w:r>
        <w:rPr>
          <w:rFonts w:ascii="宋体" w:hAnsi="宋体" w:cs="HiddenHorzOCR"/>
          <w:color w:val="auto"/>
          <w:kern w:val="0"/>
          <w:szCs w:val="21"/>
          <w:highlight w:val="none"/>
        </w:rPr>
        <w:t>向</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包人提交一份</w:t>
      </w:r>
      <w:r>
        <w:rPr>
          <w:rFonts w:hint="eastAsia" w:ascii="宋体" w:hAnsi="宋体" w:cs="宋体"/>
          <w:color w:val="auto"/>
          <w:kern w:val="0"/>
          <w:szCs w:val="21"/>
          <w:highlight w:val="none"/>
        </w:rPr>
        <w:t>预</w:t>
      </w:r>
      <w:r>
        <w:rPr>
          <w:rFonts w:ascii="宋体" w:hAnsi="宋体" w:cs="HiddenHorzOCR"/>
          <w:color w:val="auto"/>
          <w:kern w:val="0"/>
          <w:szCs w:val="21"/>
          <w:highlight w:val="none"/>
        </w:rPr>
        <w:t>付款担保，即有</w:t>
      </w:r>
      <w:r>
        <w:rPr>
          <w:rFonts w:hint="eastAsia" w:ascii="宋体" w:hAnsi="宋体" w:cs="宋体"/>
          <w:color w:val="auto"/>
          <w:kern w:val="0"/>
          <w:szCs w:val="21"/>
          <w:highlight w:val="none"/>
        </w:rPr>
        <w:t>权</w:t>
      </w:r>
      <w:r>
        <w:rPr>
          <w:rFonts w:ascii="宋体" w:hAnsi="宋体" w:cs="HiddenHorzOCR"/>
          <w:color w:val="auto"/>
          <w:kern w:val="0"/>
          <w:szCs w:val="21"/>
          <w:highlight w:val="none"/>
        </w:rPr>
        <w:t>得到</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包人支付相等金</w:t>
      </w:r>
      <w:r>
        <w:rPr>
          <w:rFonts w:hint="eastAsia" w:ascii="宋体" w:hAnsi="宋体" w:cs="宋体"/>
          <w:color w:val="auto"/>
          <w:kern w:val="0"/>
          <w:szCs w:val="21"/>
          <w:highlight w:val="none"/>
        </w:rPr>
        <w:t>额</w:t>
      </w:r>
      <w:r>
        <w:rPr>
          <w:rFonts w:ascii="宋体" w:hAnsi="宋体" w:cs="HiddenHorzOCR"/>
          <w:color w:val="auto"/>
          <w:kern w:val="0"/>
          <w:szCs w:val="21"/>
          <w:highlight w:val="none"/>
        </w:rPr>
        <w:t>的</w:t>
      </w:r>
      <w:r>
        <w:rPr>
          <w:rFonts w:hint="eastAsia" w:ascii="宋体" w:hAnsi="宋体" w:cs="宋体"/>
          <w:color w:val="auto"/>
          <w:kern w:val="0"/>
          <w:szCs w:val="21"/>
          <w:highlight w:val="none"/>
        </w:rPr>
        <w:t>预</w:t>
      </w:r>
      <w:r>
        <w:rPr>
          <w:rFonts w:ascii="宋体" w:hAnsi="宋体" w:cs="HiddenHorzOCR"/>
          <w:color w:val="auto"/>
          <w:kern w:val="0"/>
          <w:szCs w:val="21"/>
          <w:highlight w:val="none"/>
        </w:rPr>
        <w:t>付款。我方愿意就你方提供</w:t>
      </w:r>
      <w:r>
        <w:rPr>
          <w:rFonts w:hint="eastAsia" w:ascii="宋体" w:hAnsi="宋体" w:cs="宋体"/>
          <w:color w:val="auto"/>
          <w:kern w:val="0"/>
          <w:szCs w:val="21"/>
          <w:highlight w:val="none"/>
        </w:rPr>
        <w:t>给</w:t>
      </w:r>
      <w:r>
        <w:rPr>
          <w:rFonts w:ascii="宋体" w:hAnsi="宋体" w:cs="HiddenHorzOCR"/>
          <w:color w:val="auto"/>
          <w:kern w:val="0"/>
          <w:szCs w:val="21"/>
          <w:highlight w:val="none"/>
        </w:rPr>
        <w:t>承包人的</w:t>
      </w:r>
      <w:r>
        <w:rPr>
          <w:rFonts w:hint="eastAsia" w:ascii="宋体" w:hAnsi="宋体" w:cs="宋体"/>
          <w:color w:val="auto"/>
          <w:kern w:val="0"/>
          <w:szCs w:val="21"/>
          <w:highlight w:val="none"/>
        </w:rPr>
        <w:t>预</w:t>
      </w:r>
      <w:r>
        <w:rPr>
          <w:rFonts w:ascii="宋体" w:hAnsi="宋体" w:cs="HiddenHorzOCR"/>
          <w:color w:val="auto"/>
          <w:kern w:val="0"/>
          <w:szCs w:val="21"/>
          <w:highlight w:val="none"/>
        </w:rPr>
        <w:t>付款提供担保</w:t>
      </w:r>
      <w:r>
        <w:rPr>
          <w:rFonts w:hint="eastAsia" w:ascii="宋体" w:hAnsi="宋体" w:cs="HiddenHorzOCR"/>
          <w:color w:val="auto"/>
          <w:kern w:val="0"/>
          <w:szCs w:val="21"/>
          <w:highlight w:val="none"/>
        </w:rPr>
        <w:t>。</w:t>
      </w:r>
    </w:p>
    <w:p w14:paraId="32CAD46D">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1.</w:t>
      </w:r>
      <w:r>
        <w:rPr>
          <w:rFonts w:hint="eastAsia" w:ascii="宋体" w:hAnsi="宋体" w:cs="HiddenHorzOCR"/>
          <w:color w:val="auto"/>
          <w:kern w:val="0"/>
          <w:szCs w:val="21"/>
          <w:highlight w:val="none"/>
        </w:rPr>
        <w:t xml:space="preserve"> </w:t>
      </w:r>
      <w:r>
        <w:rPr>
          <w:rFonts w:ascii="宋体" w:hAnsi="宋体" w:cs="HiddenHorzOCR"/>
          <w:color w:val="auto"/>
          <w:kern w:val="0"/>
          <w:szCs w:val="21"/>
          <w:highlight w:val="none"/>
        </w:rPr>
        <w:t>担保金</w:t>
      </w:r>
      <w:r>
        <w:rPr>
          <w:rFonts w:hint="eastAsia" w:ascii="宋体" w:hAnsi="宋体" w:cs="宋体"/>
          <w:color w:val="auto"/>
          <w:kern w:val="0"/>
          <w:szCs w:val="21"/>
          <w:highlight w:val="none"/>
        </w:rPr>
        <w:t>额</w:t>
      </w:r>
      <w:r>
        <w:rPr>
          <w:rFonts w:ascii="宋体" w:hAnsi="宋体" w:cs="HiddenHorzOCR"/>
          <w:color w:val="auto"/>
          <w:kern w:val="0"/>
          <w:szCs w:val="21"/>
          <w:highlight w:val="none"/>
        </w:rPr>
        <w:t>人民</w:t>
      </w:r>
      <w:r>
        <w:rPr>
          <w:rFonts w:hint="eastAsia" w:ascii="宋体" w:hAnsi="宋体" w:cs="宋体"/>
          <w:color w:val="auto"/>
          <w:kern w:val="0"/>
          <w:szCs w:val="21"/>
          <w:highlight w:val="none"/>
        </w:rPr>
        <w:t>币</w:t>
      </w:r>
      <w:r>
        <w:rPr>
          <w:rFonts w:ascii="宋体" w:hAnsi="宋体" w:cs="HiddenHorzOCR"/>
          <w:color w:val="auto"/>
          <w:kern w:val="0"/>
          <w:szCs w:val="21"/>
          <w:highlight w:val="none"/>
        </w:rPr>
        <w:t>(大写</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元</w:t>
      </w:r>
      <w:r>
        <w:rPr>
          <w:rFonts w:hint="eastAsia" w:ascii="宋体" w:hAnsi="宋体" w:cs="HiddenHorzOCR"/>
          <w:color w:val="auto"/>
          <w:kern w:val="0"/>
          <w:szCs w:val="21"/>
          <w:highlight w:val="none"/>
        </w:rPr>
        <w:t>（</w:t>
      </w:r>
      <w:r>
        <w:rPr>
          <w:rFonts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hint="eastAsia" w:ascii="宋体" w:hAnsi="宋体" w:cs="HiddenHorzOCR"/>
          <w:color w:val="auto"/>
          <w:kern w:val="0"/>
          <w:szCs w:val="21"/>
          <w:highlight w:val="none"/>
        </w:rPr>
        <w:t xml:space="preserve">元 </w:t>
      </w:r>
      <w:r>
        <w:rPr>
          <w:rFonts w:ascii="宋体" w:hAnsi="宋体" w:cs="HiddenHorzOCR"/>
          <w:color w:val="auto"/>
          <w:kern w:val="0"/>
          <w:szCs w:val="21"/>
          <w:highlight w:val="none"/>
        </w:rPr>
        <w:t>)。</w:t>
      </w:r>
    </w:p>
    <w:p w14:paraId="2A44353D">
      <w:pPr>
        <w:autoSpaceDE w:val="0"/>
        <w:autoSpaceDN w:val="0"/>
        <w:adjustRightInd w:val="0"/>
        <w:snapToGrid w:val="0"/>
        <w:spacing w:line="360" w:lineRule="auto"/>
        <w:ind w:firstLine="428" w:firstLineChars="200"/>
        <w:jc w:val="left"/>
        <w:rPr>
          <w:rFonts w:hint="eastAsia" w:ascii="宋体" w:hAnsi="宋体" w:cs="HiddenHorzOCR"/>
          <w:color w:val="auto"/>
          <w:spacing w:val="2"/>
          <w:kern w:val="0"/>
          <w:szCs w:val="21"/>
          <w:highlight w:val="none"/>
        </w:rPr>
      </w:pPr>
      <w:r>
        <w:rPr>
          <w:rFonts w:ascii="宋体" w:hAnsi="宋体" w:cs="HiddenHorzOCR"/>
          <w:color w:val="auto"/>
          <w:spacing w:val="2"/>
          <w:kern w:val="0"/>
          <w:szCs w:val="21"/>
          <w:highlight w:val="none"/>
        </w:rPr>
        <w:t>2. 担保有效期自</w:t>
      </w:r>
      <w:r>
        <w:rPr>
          <w:rFonts w:hint="eastAsia" w:ascii="宋体" w:hAnsi="宋体" w:cs="宋体"/>
          <w:color w:val="auto"/>
          <w:spacing w:val="2"/>
          <w:kern w:val="0"/>
          <w:szCs w:val="21"/>
          <w:highlight w:val="none"/>
        </w:rPr>
        <w:t>预</w:t>
      </w:r>
      <w:r>
        <w:rPr>
          <w:rFonts w:ascii="宋体" w:hAnsi="宋体" w:cs="HiddenHorzOCR"/>
          <w:color w:val="auto"/>
          <w:spacing w:val="2"/>
          <w:kern w:val="0"/>
          <w:szCs w:val="21"/>
          <w:highlight w:val="none"/>
        </w:rPr>
        <w:t>付款支付</w:t>
      </w:r>
      <w:r>
        <w:rPr>
          <w:rFonts w:hint="eastAsia" w:ascii="宋体" w:hAnsi="宋体" w:cs="宋体"/>
          <w:color w:val="auto"/>
          <w:spacing w:val="2"/>
          <w:kern w:val="0"/>
          <w:szCs w:val="21"/>
          <w:highlight w:val="none"/>
        </w:rPr>
        <w:t>给</w:t>
      </w:r>
      <w:r>
        <w:rPr>
          <w:rFonts w:ascii="宋体" w:hAnsi="宋体" w:cs="HiddenHorzOCR"/>
          <w:color w:val="auto"/>
          <w:spacing w:val="2"/>
          <w:kern w:val="0"/>
          <w:szCs w:val="21"/>
          <w:highlight w:val="none"/>
        </w:rPr>
        <w:t>承包人起生效，至</w:t>
      </w:r>
      <w:r>
        <w:rPr>
          <w:rFonts w:hint="eastAsia" w:ascii="宋体" w:hAnsi="宋体" w:cs="宋体"/>
          <w:color w:val="auto"/>
          <w:spacing w:val="2"/>
          <w:kern w:val="0"/>
          <w:szCs w:val="21"/>
          <w:highlight w:val="none"/>
        </w:rPr>
        <w:t>发</w:t>
      </w:r>
      <w:r>
        <w:rPr>
          <w:rFonts w:ascii="宋体" w:hAnsi="宋体" w:cs="HiddenHorzOCR"/>
          <w:color w:val="auto"/>
          <w:spacing w:val="2"/>
          <w:kern w:val="0"/>
          <w:szCs w:val="21"/>
          <w:highlight w:val="none"/>
        </w:rPr>
        <w:t>包人</w:t>
      </w:r>
      <w:r>
        <w:rPr>
          <w:rFonts w:hint="eastAsia" w:ascii="宋体" w:hAnsi="宋体" w:cs="宋体"/>
          <w:color w:val="auto"/>
          <w:spacing w:val="2"/>
          <w:kern w:val="0"/>
          <w:szCs w:val="21"/>
          <w:highlight w:val="none"/>
        </w:rPr>
        <w:t>签发</w:t>
      </w:r>
      <w:r>
        <w:rPr>
          <w:rFonts w:ascii="宋体" w:hAnsi="宋体" w:cs="HiddenHorzOCR"/>
          <w:color w:val="auto"/>
          <w:spacing w:val="2"/>
          <w:kern w:val="0"/>
          <w:szCs w:val="21"/>
          <w:highlight w:val="none"/>
        </w:rPr>
        <w:t>的</w:t>
      </w:r>
      <w:r>
        <w:rPr>
          <w:rFonts w:hint="eastAsia" w:ascii="宋体" w:hAnsi="宋体" w:cs="宋体"/>
          <w:color w:val="auto"/>
          <w:spacing w:val="2"/>
          <w:kern w:val="0"/>
          <w:szCs w:val="21"/>
          <w:highlight w:val="none"/>
        </w:rPr>
        <w:t>进</w:t>
      </w:r>
      <w:r>
        <w:rPr>
          <w:rFonts w:ascii="宋体" w:hAnsi="宋体" w:cs="HiddenHorzOCR"/>
          <w:color w:val="auto"/>
          <w:spacing w:val="2"/>
          <w:kern w:val="0"/>
          <w:szCs w:val="21"/>
          <w:highlight w:val="none"/>
        </w:rPr>
        <w:t>度付款</w:t>
      </w:r>
      <w:r>
        <w:rPr>
          <w:rFonts w:hint="eastAsia" w:ascii="宋体" w:hAnsi="宋体" w:cs="宋体"/>
          <w:color w:val="auto"/>
          <w:spacing w:val="2"/>
          <w:kern w:val="0"/>
          <w:szCs w:val="21"/>
          <w:highlight w:val="none"/>
        </w:rPr>
        <w:t>证书说</w:t>
      </w:r>
      <w:r>
        <w:rPr>
          <w:rFonts w:ascii="宋体" w:hAnsi="宋体" w:cs="HiddenHorzOCR"/>
          <w:color w:val="auto"/>
          <w:spacing w:val="2"/>
          <w:kern w:val="0"/>
          <w:szCs w:val="21"/>
          <w:highlight w:val="none"/>
        </w:rPr>
        <w:t>明</w:t>
      </w:r>
      <w:r>
        <w:rPr>
          <w:rFonts w:hint="eastAsia" w:ascii="宋体" w:hAnsi="宋体" w:cs="HiddenHorzOCR"/>
          <w:color w:val="auto"/>
          <w:spacing w:val="2"/>
          <w:kern w:val="0"/>
          <w:szCs w:val="21"/>
          <w:highlight w:val="none"/>
        </w:rPr>
        <w:t>预付款</w:t>
      </w:r>
      <w:r>
        <w:rPr>
          <w:rFonts w:ascii="宋体" w:hAnsi="宋体" w:cs="HiddenHorzOCR"/>
          <w:color w:val="auto"/>
          <w:spacing w:val="2"/>
          <w:kern w:val="0"/>
          <w:szCs w:val="21"/>
          <w:highlight w:val="none"/>
        </w:rPr>
        <w:t>已完全扣清止</w:t>
      </w:r>
      <w:r>
        <w:rPr>
          <w:rFonts w:ascii="宋体" w:hAnsi="宋体" w:cs="HiddenHorzOCR"/>
          <w:color w:val="auto"/>
          <w:kern w:val="0"/>
          <w:szCs w:val="21"/>
          <w:highlight w:val="none"/>
        </w:rPr>
        <w:t>。</w:t>
      </w:r>
    </w:p>
    <w:p w14:paraId="15BB1E42">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3. 在本保函有效期内，因承包人</w:t>
      </w:r>
      <w:r>
        <w:rPr>
          <w:rFonts w:hint="eastAsia" w:ascii="宋体" w:hAnsi="宋体" w:cs="宋体"/>
          <w:color w:val="auto"/>
          <w:kern w:val="0"/>
          <w:szCs w:val="21"/>
          <w:highlight w:val="none"/>
        </w:rPr>
        <w:t>违</w:t>
      </w:r>
      <w:r>
        <w:rPr>
          <w:rFonts w:ascii="宋体" w:hAnsi="宋体" w:cs="HiddenHorzOCR"/>
          <w:color w:val="auto"/>
          <w:kern w:val="0"/>
          <w:szCs w:val="21"/>
          <w:highlight w:val="none"/>
        </w:rPr>
        <w:t>反合同</w:t>
      </w:r>
      <w:r>
        <w:rPr>
          <w:rFonts w:hint="eastAsia" w:ascii="宋体" w:hAnsi="宋体" w:cs="宋体"/>
          <w:color w:val="auto"/>
          <w:kern w:val="0"/>
          <w:szCs w:val="21"/>
          <w:highlight w:val="none"/>
        </w:rPr>
        <w:t>约</w:t>
      </w:r>
      <w:r>
        <w:rPr>
          <w:rFonts w:ascii="宋体" w:hAnsi="宋体" w:cs="HiddenHorzOCR"/>
          <w:color w:val="auto"/>
          <w:kern w:val="0"/>
          <w:szCs w:val="21"/>
          <w:highlight w:val="none"/>
        </w:rPr>
        <w:t>定的</w:t>
      </w:r>
      <w:r>
        <w:rPr>
          <w:rFonts w:hint="eastAsia" w:ascii="宋体" w:hAnsi="宋体" w:cs="宋体"/>
          <w:color w:val="auto"/>
          <w:kern w:val="0"/>
          <w:szCs w:val="21"/>
          <w:highlight w:val="none"/>
        </w:rPr>
        <w:t>义务</w:t>
      </w:r>
      <w:r>
        <w:rPr>
          <w:rFonts w:ascii="宋体" w:hAnsi="宋体" w:cs="HiddenHorzOCR"/>
          <w:color w:val="auto"/>
          <w:kern w:val="0"/>
          <w:szCs w:val="21"/>
          <w:highlight w:val="none"/>
        </w:rPr>
        <w:t>而要求收回</w:t>
      </w:r>
      <w:r>
        <w:rPr>
          <w:rFonts w:hint="eastAsia" w:ascii="宋体" w:hAnsi="宋体" w:cs="宋体"/>
          <w:color w:val="auto"/>
          <w:kern w:val="0"/>
          <w:szCs w:val="21"/>
          <w:highlight w:val="none"/>
        </w:rPr>
        <w:t>预</w:t>
      </w:r>
      <w:r>
        <w:rPr>
          <w:rFonts w:ascii="宋体" w:hAnsi="宋体" w:cs="HiddenHorzOCR"/>
          <w:color w:val="auto"/>
          <w:kern w:val="0"/>
          <w:szCs w:val="21"/>
          <w:highlight w:val="none"/>
        </w:rPr>
        <w:t>付款</w:t>
      </w:r>
      <w:r>
        <w:rPr>
          <w:rFonts w:hint="eastAsia" w:ascii="宋体" w:hAnsi="宋体" w:cs="宋体"/>
          <w:color w:val="auto"/>
          <w:kern w:val="0"/>
          <w:szCs w:val="21"/>
          <w:highlight w:val="none"/>
        </w:rPr>
        <w:t>时</w:t>
      </w:r>
      <w:r>
        <w:rPr>
          <w:rFonts w:ascii="宋体" w:hAnsi="宋体" w:cs="HiddenHorzOCR"/>
          <w:color w:val="auto"/>
          <w:kern w:val="0"/>
          <w:szCs w:val="21"/>
          <w:highlight w:val="none"/>
        </w:rPr>
        <w:t>，我方在收</w:t>
      </w:r>
    </w:p>
    <w:p w14:paraId="46848D30">
      <w:pPr>
        <w:autoSpaceDE w:val="0"/>
        <w:autoSpaceDN w:val="0"/>
        <w:adjustRightInd w:val="0"/>
        <w:snapToGrid w:val="0"/>
        <w:spacing w:line="360" w:lineRule="auto"/>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到你方的</w:t>
      </w:r>
      <w:r>
        <w:rPr>
          <w:rFonts w:hint="eastAsia" w:ascii="宋体" w:hAnsi="宋体" w:cs="宋体"/>
          <w:color w:val="auto"/>
          <w:kern w:val="0"/>
          <w:szCs w:val="21"/>
          <w:highlight w:val="none"/>
        </w:rPr>
        <w:t>书</w:t>
      </w:r>
      <w:r>
        <w:rPr>
          <w:rFonts w:ascii="宋体" w:hAnsi="宋体" w:cs="HiddenHorzOCR"/>
          <w:color w:val="auto"/>
          <w:kern w:val="0"/>
          <w:szCs w:val="21"/>
          <w:highlight w:val="none"/>
        </w:rPr>
        <w:t>面通知后，</w:t>
      </w:r>
      <w:r>
        <w:rPr>
          <w:rFonts w:hint="eastAsia" w:ascii="宋体" w:hAnsi="宋体" w:cs="HiddenHorzOCR"/>
          <w:color w:val="auto"/>
          <w:kern w:val="0"/>
          <w:szCs w:val="21"/>
          <w:highlight w:val="none"/>
        </w:rPr>
        <w:t>无条件地在7天内予以支付</w:t>
      </w:r>
      <w:r>
        <w:rPr>
          <w:rFonts w:ascii="宋体" w:hAnsi="宋体" w:cs="HiddenHorzOCR"/>
          <w:color w:val="auto"/>
          <w:kern w:val="0"/>
          <w:szCs w:val="21"/>
          <w:highlight w:val="none"/>
        </w:rPr>
        <w:t>。但本保函的担保金</w:t>
      </w:r>
      <w:r>
        <w:rPr>
          <w:rFonts w:hint="eastAsia" w:ascii="宋体" w:hAnsi="宋体" w:cs="宋体"/>
          <w:color w:val="auto"/>
          <w:kern w:val="0"/>
          <w:szCs w:val="21"/>
          <w:highlight w:val="none"/>
        </w:rPr>
        <w:t>额</w:t>
      </w:r>
      <w:r>
        <w:rPr>
          <w:rFonts w:ascii="宋体" w:hAnsi="宋体" w:cs="HiddenHorzOCR"/>
          <w:color w:val="auto"/>
          <w:kern w:val="0"/>
          <w:szCs w:val="21"/>
          <w:highlight w:val="none"/>
        </w:rPr>
        <w:t>，在任何</w:t>
      </w:r>
      <w:r>
        <w:rPr>
          <w:rFonts w:hint="eastAsia" w:ascii="宋体" w:hAnsi="宋体" w:cs="宋体"/>
          <w:color w:val="auto"/>
          <w:kern w:val="0"/>
          <w:szCs w:val="21"/>
          <w:highlight w:val="none"/>
        </w:rPr>
        <w:t>时</w:t>
      </w:r>
      <w:r>
        <w:rPr>
          <w:rFonts w:ascii="宋体" w:hAnsi="宋体" w:cs="HiddenHorzOCR"/>
          <w:color w:val="auto"/>
          <w:kern w:val="0"/>
          <w:szCs w:val="21"/>
          <w:highlight w:val="none"/>
        </w:rPr>
        <w:t>候不</w:t>
      </w:r>
      <w:r>
        <w:rPr>
          <w:rFonts w:hint="eastAsia" w:ascii="宋体" w:hAnsi="宋体" w:cs="宋体"/>
          <w:color w:val="auto"/>
          <w:kern w:val="0"/>
          <w:szCs w:val="21"/>
          <w:highlight w:val="none"/>
        </w:rPr>
        <w:t>应</w:t>
      </w:r>
      <w:r>
        <w:rPr>
          <w:rFonts w:ascii="宋体" w:hAnsi="宋体" w:cs="HiddenHorzOCR"/>
          <w:color w:val="auto"/>
          <w:kern w:val="0"/>
          <w:szCs w:val="21"/>
          <w:highlight w:val="none"/>
        </w:rPr>
        <w:t>超</w:t>
      </w:r>
      <w:r>
        <w:rPr>
          <w:rFonts w:hint="eastAsia" w:ascii="宋体" w:hAnsi="宋体" w:cs="宋体"/>
          <w:color w:val="auto"/>
          <w:kern w:val="0"/>
          <w:szCs w:val="21"/>
          <w:highlight w:val="none"/>
        </w:rPr>
        <w:t>过预</w:t>
      </w:r>
    </w:p>
    <w:p w14:paraId="662941A7">
      <w:pPr>
        <w:autoSpaceDE w:val="0"/>
        <w:autoSpaceDN w:val="0"/>
        <w:adjustRightInd w:val="0"/>
        <w:snapToGrid w:val="0"/>
        <w:spacing w:line="360" w:lineRule="auto"/>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付款金</w:t>
      </w:r>
      <w:r>
        <w:rPr>
          <w:rFonts w:hint="eastAsia" w:ascii="宋体" w:hAnsi="宋体" w:cs="宋体"/>
          <w:color w:val="auto"/>
          <w:kern w:val="0"/>
          <w:szCs w:val="21"/>
          <w:highlight w:val="none"/>
        </w:rPr>
        <w:t>额</w:t>
      </w:r>
      <w:r>
        <w:rPr>
          <w:rFonts w:ascii="宋体" w:hAnsi="宋体" w:cs="HiddenHorzOCR"/>
          <w:color w:val="auto"/>
          <w:kern w:val="0"/>
          <w:szCs w:val="21"/>
          <w:highlight w:val="none"/>
        </w:rPr>
        <w:t>减去</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包人按合用</w:t>
      </w:r>
      <w:r>
        <w:rPr>
          <w:rFonts w:hint="eastAsia" w:ascii="宋体" w:hAnsi="宋体" w:cs="宋体"/>
          <w:color w:val="auto"/>
          <w:kern w:val="0"/>
          <w:szCs w:val="21"/>
          <w:highlight w:val="none"/>
        </w:rPr>
        <w:t>约</w:t>
      </w:r>
      <w:r>
        <w:rPr>
          <w:rFonts w:ascii="宋体" w:hAnsi="宋体" w:cs="HiddenHorzOCR"/>
          <w:color w:val="auto"/>
          <w:kern w:val="0"/>
          <w:szCs w:val="21"/>
          <w:highlight w:val="none"/>
        </w:rPr>
        <w:t>定在向承包人</w:t>
      </w:r>
      <w:r>
        <w:rPr>
          <w:rFonts w:hint="eastAsia" w:ascii="宋体" w:hAnsi="宋体" w:cs="宋体"/>
          <w:color w:val="auto"/>
          <w:kern w:val="0"/>
          <w:szCs w:val="21"/>
          <w:highlight w:val="none"/>
        </w:rPr>
        <w:t>签发</w:t>
      </w:r>
      <w:r>
        <w:rPr>
          <w:rFonts w:ascii="宋体" w:hAnsi="宋体" w:cs="HiddenHorzOCR"/>
          <w:color w:val="auto"/>
          <w:kern w:val="0"/>
          <w:szCs w:val="21"/>
          <w:highlight w:val="none"/>
        </w:rPr>
        <w:t>的</w:t>
      </w:r>
      <w:r>
        <w:rPr>
          <w:rFonts w:hint="eastAsia" w:ascii="宋体" w:hAnsi="宋体" w:cs="宋体"/>
          <w:color w:val="auto"/>
          <w:kern w:val="0"/>
          <w:szCs w:val="21"/>
          <w:highlight w:val="none"/>
        </w:rPr>
        <w:t>进</w:t>
      </w:r>
      <w:r>
        <w:rPr>
          <w:rFonts w:ascii="宋体" w:hAnsi="宋体" w:cs="HiddenHorzOCR"/>
          <w:color w:val="auto"/>
          <w:kern w:val="0"/>
          <w:szCs w:val="21"/>
          <w:highlight w:val="none"/>
        </w:rPr>
        <w:t>度付款</w:t>
      </w:r>
      <w:r>
        <w:rPr>
          <w:rFonts w:hint="eastAsia" w:ascii="宋体" w:hAnsi="宋体" w:cs="宋体"/>
          <w:color w:val="auto"/>
          <w:kern w:val="0"/>
          <w:szCs w:val="21"/>
          <w:highlight w:val="none"/>
        </w:rPr>
        <w:t>证书</w:t>
      </w:r>
      <w:r>
        <w:rPr>
          <w:rFonts w:ascii="宋体" w:hAnsi="宋体" w:cs="HiddenHorzOCR"/>
          <w:color w:val="auto"/>
          <w:kern w:val="0"/>
          <w:szCs w:val="21"/>
          <w:highlight w:val="none"/>
        </w:rPr>
        <w:t>中扣除的金</w:t>
      </w:r>
      <w:r>
        <w:rPr>
          <w:rFonts w:hint="eastAsia" w:ascii="宋体" w:hAnsi="宋体" w:cs="宋体"/>
          <w:color w:val="auto"/>
          <w:kern w:val="0"/>
          <w:szCs w:val="21"/>
          <w:highlight w:val="none"/>
        </w:rPr>
        <w:t>额</w:t>
      </w:r>
      <w:r>
        <w:rPr>
          <w:rFonts w:ascii="宋体" w:hAnsi="宋体" w:cs="HiddenHorzOCR"/>
          <w:color w:val="auto"/>
          <w:kern w:val="0"/>
          <w:szCs w:val="21"/>
          <w:highlight w:val="none"/>
        </w:rPr>
        <w:t>。</w:t>
      </w:r>
    </w:p>
    <w:p w14:paraId="57C88DFD">
      <w:pPr>
        <w:autoSpaceDE w:val="0"/>
        <w:autoSpaceDN w:val="0"/>
        <w:adjustRightInd w:val="0"/>
        <w:snapToGrid w:val="0"/>
        <w:spacing w:line="360" w:lineRule="auto"/>
        <w:ind w:firstLine="420" w:firstLineChars="2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 xml:space="preserve">4. </w:t>
      </w:r>
      <w:r>
        <w:rPr>
          <w:rFonts w:hint="eastAsia" w:ascii="宋体" w:hAnsi="宋体" w:cs="宋体"/>
          <w:color w:val="auto"/>
          <w:kern w:val="0"/>
          <w:szCs w:val="21"/>
          <w:highlight w:val="none"/>
        </w:rPr>
        <w:t>发</w:t>
      </w:r>
      <w:r>
        <w:rPr>
          <w:rFonts w:ascii="宋体" w:hAnsi="宋体" w:cs="HiddenHorzOCR"/>
          <w:color w:val="auto"/>
          <w:kern w:val="0"/>
          <w:szCs w:val="21"/>
          <w:highlight w:val="none"/>
        </w:rPr>
        <w:t>包人和承包人按《通用合同条款》第15条</w:t>
      </w:r>
      <w:r>
        <w:rPr>
          <w:rFonts w:hint="eastAsia" w:ascii="宋体" w:hAnsi="宋体" w:cs="宋体"/>
          <w:color w:val="auto"/>
          <w:kern w:val="0"/>
          <w:szCs w:val="21"/>
          <w:highlight w:val="none"/>
        </w:rPr>
        <w:t>变</w:t>
      </w:r>
      <w:r>
        <w:rPr>
          <w:rFonts w:ascii="宋体" w:hAnsi="宋体" w:cs="HiddenHorzOCR"/>
          <w:color w:val="auto"/>
          <w:kern w:val="0"/>
          <w:szCs w:val="21"/>
          <w:highlight w:val="none"/>
        </w:rPr>
        <w:t>更合同</w:t>
      </w:r>
      <w:r>
        <w:rPr>
          <w:rFonts w:hint="eastAsia" w:ascii="宋体" w:hAnsi="宋体" w:cs="宋体"/>
          <w:color w:val="auto"/>
          <w:kern w:val="0"/>
          <w:szCs w:val="21"/>
          <w:highlight w:val="none"/>
        </w:rPr>
        <w:t>时</w:t>
      </w:r>
      <w:r>
        <w:rPr>
          <w:rFonts w:ascii="宋体" w:hAnsi="宋体" w:cs="HiddenHorzOCR"/>
          <w:color w:val="auto"/>
          <w:kern w:val="0"/>
          <w:szCs w:val="21"/>
          <w:highlight w:val="none"/>
        </w:rPr>
        <w:t>，我方承担本保函</w:t>
      </w:r>
      <w:r>
        <w:rPr>
          <w:rFonts w:hint="eastAsia" w:ascii="宋体" w:hAnsi="宋体" w:cs="宋体"/>
          <w:color w:val="auto"/>
          <w:kern w:val="0"/>
          <w:szCs w:val="21"/>
          <w:highlight w:val="none"/>
        </w:rPr>
        <w:t>规</w:t>
      </w:r>
      <w:r>
        <w:rPr>
          <w:rFonts w:ascii="宋体" w:hAnsi="宋体" w:cs="HiddenHorzOCR"/>
          <w:color w:val="auto"/>
          <w:kern w:val="0"/>
          <w:szCs w:val="21"/>
          <w:highlight w:val="none"/>
        </w:rPr>
        <w:t>定的</w:t>
      </w:r>
      <w:r>
        <w:rPr>
          <w:rFonts w:hint="eastAsia" w:ascii="宋体" w:hAnsi="宋体" w:cs="宋体"/>
          <w:color w:val="auto"/>
          <w:kern w:val="0"/>
          <w:szCs w:val="21"/>
          <w:highlight w:val="none"/>
        </w:rPr>
        <w:t>义</w:t>
      </w:r>
    </w:p>
    <w:p w14:paraId="43FC1972">
      <w:pPr>
        <w:autoSpaceDE w:val="0"/>
        <w:autoSpaceDN w:val="0"/>
        <w:adjustRightInd w:val="0"/>
        <w:snapToGrid w:val="0"/>
        <w:spacing w:line="360" w:lineRule="auto"/>
        <w:jc w:val="left"/>
        <w:rPr>
          <w:rFonts w:hint="eastAsia" w:ascii="宋体" w:hAnsi="宋体" w:cs="HiddenHorzOCR"/>
          <w:color w:val="auto"/>
          <w:kern w:val="0"/>
          <w:szCs w:val="21"/>
          <w:highlight w:val="none"/>
        </w:rPr>
      </w:pPr>
      <w:r>
        <w:rPr>
          <w:rFonts w:hint="eastAsia" w:ascii="宋体" w:hAnsi="宋体" w:cs="宋体"/>
          <w:color w:val="auto"/>
          <w:kern w:val="0"/>
          <w:szCs w:val="21"/>
          <w:highlight w:val="none"/>
        </w:rPr>
        <w:t>务</w:t>
      </w:r>
      <w:r>
        <w:rPr>
          <w:rFonts w:ascii="宋体" w:hAnsi="宋体" w:cs="HiddenHorzOCR"/>
          <w:color w:val="auto"/>
          <w:kern w:val="0"/>
          <w:szCs w:val="21"/>
          <w:highlight w:val="none"/>
        </w:rPr>
        <w:t>不</w:t>
      </w:r>
      <w:r>
        <w:rPr>
          <w:rFonts w:hint="eastAsia" w:ascii="宋体" w:hAnsi="宋体" w:cs="宋体"/>
          <w:color w:val="auto"/>
          <w:kern w:val="0"/>
          <w:szCs w:val="21"/>
          <w:highlight w:val="none"/>
        </w:rPr>
        <w:t>变</w:t>
      </w:r>
      <w:r>
        <w:rPr>
          <w:rFonts w:hint="eastAsia" w:ascii="宋体" w:hAnsi="宋体" w:cs="HiddenHorzOCR"/>
          <w:color w:val="auto"/>
          <w:kern w:val="0"/>
          <w:szCs w:val="21"/>
          <w:highlight w:val="none"/>
        </w:rPr>
        <w:t>。</w:t>
      </w:r>
    </w:p>
    <w:p w14:paraId="396911E4">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0EE02BC0">
      <w:pPr>
        <w:autoSpaceDE w:val="0"/>
        <w:autoSpaceDN w:val="0"/>
        <w:adjustRightInd w:val="0"/>
        <w:snapToGrid w:val="0"/>
        <w:spacing w:line="360" w:lineRule="auto"/>
        <w:jc w:val="left"/>
        <w:rPr>
          <w:rFonts w:hint="eastAsia" w:ascii="宋体" w:hAnsi="宋体" w:cs="HiddenHorzOCR"/>
          <w:color w:val="auto"/>
          <w:kern w:val="0"/>
          <w:szCs w:val="21"/>
          <w:highlight w:val="none"/>
        </w:rPr>
      </w:pPr>
    </w:p>
    <w:p w14:paraId="48FB2902">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担保人</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(盖</w:t>
      </w:r>
      <w:r>
        <w:rPr>
          <w:rFonts w:hint="eastAsia" w:ascii="宋体" w:hAnsi="宋体" w:cs="宋体"/>
          <w:color w:val="auto"/>
          <w:kern w:val="0"/>
          <w:szCs w:val="21"/>
          <w:highlight w:val="none"/>
        </w:rPr>
        <w:t>单</w:t>
      </w:r>
      <w:r>
        <w:rPr>
          <w:rFonts w:ascii="宋体" w:hAnsi="宋体" w:cs="HiddenHorzOCR"/>
          <w:color w:val="auto"/>
          <w:kern w:val="0"/>
          <w:szCs w:val="21"/>
          <w:highlight w:val="none"/>
        </w:rPr>
        <w:t>位章</w:t>
      </w:r>
      <w:r>
        <w:rPr>
          <w:rFonts w:hint="eastAsia" w:ascii="宋体" w:hAnsi="宋体" w:cs="HiddenHorzOCR"/>
          <w:color w:val="auto"/>
          <w:kern w:val="0"/>
          <w:szCs w:val="21"/>
          <w:highlight w:val="none"/>
        </w:rPr>
        <w:t>)</w:t>
      </w:r>
    </w:p>
    <w:p w14:paraId="66611DC5">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rPr>
      </w:pPr>
      <w:r>
        <w:rPr>
          <w:rFonts w:ascii="宋体" w:hAnsi="宋体" w:cs="HiddenHorzOCR"/>
          <w:color w:val="auto"/>
          <w:kern w:val="0"/>
          <w:szCs w:val="21"/>
          <w:highlight w:val="none"/>
        </w:rPr>
        <w:t>法定代表人或其委托代理人</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r>
        <w:rPr>
          <w:rFonts w:ascii="宋体" w:hAnsi="宋体" w:cs="HiddenHorzOCR"/>
          <w:color w:val="auto"/>
          <w:kern w:val="0"/>
          <w:szCs w:val="21"/>
          <w:highlight w:val="none"/>
        </w:rPr>
        <w:t xml:space="preserve"> (</w:t>
      </w:r>
      <w:r>
        <w:rPr>
          <w:rFonts w:hint="eastAsia" w:ascii="宋体" w:hAnsi="宋体" w:cs="宋体"/>
          <w:color w:val="auto"/>
          <w:kern w:val="0"/>
          <w:szCs w:val="21"/>
          <w:highlight w:val="none"/>
        </w:rPr>
        <w:t>签</w:t>
      </w:r>
      <w:r>
        <w:rPr>
          <w:rFonts w:ascii="宋体" w:hAnsi="宋体" w:cs="HiddenHorzOCR"/>
          <w:color w:val="auto"/>
          <w:kern w:val="0"/>
          <w:szCs w:val="21"/>
          <w:highlight w:val="none"/>
        </w:rPr>
        <w:t>字</w:t>
      </w:r>
      <w:r>
        <w:rPr>
          <w:rFonts w:hint="eastAsia" w:ascii="宋体" w:hAnsi="宋体" w:cs="HiddenHorzOCR"/>
          <w:color w:val="auto"/>
          <w:kern w:val="0"/>
          <w:szCs w:val="21"/>
          <w:highlight w:val="none"/>
        </w:rPr>
        <w:t>)</w:t>
      </w:r>
    </w:p>
    <w:p w14:paraId="36C00BEC">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u w:val="single"/>
        </w:rPr>
      </w:pPr>
      <w:r>
        <w:rPr>
          <w:rFonts w:ascii="宋体" w:hAnsi="宋体" w:cs="HiddenHorzOCR"/>
          <w:color w:val="auto"/>
          <w:kern w:val="0"/>
          <w:szCs w:val="21"/>
          <w:highlight w:val="none"/>
        </w:rPr>
        <w:t>地址</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00963228">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u w:val="single"/>
        </w:rPr>
      </w:pPr>
      <w:r>
        <w:rPr>
          <w:rFonts w:hint="eastAsia" w:ascii="宋体" w:hAnsi="宋体" w:cs="宋体"/>
          <w:color w:val="auto"/>
          <w:kern w:val="0"/>
          <w:szCs w:val="21"/>
          <w:highlight w:val="none"/>
        </w:rPr>
        <w:t>邮</w:t>
      </w:r>
      <w:r>
        <w:rPr>
          <w:rFonts w:ascii="宋体" w:hAnsi="宋体" w:cs="HiddenHorzOCR"/>
          <w:color w:val="auto"/>
          <w:kern w:val="0"/>
          <w:szCs w:val="21"/>
          <w:highlight w:val="none"/>
        </w:rPr>
        <w:t>政</w:t>
      </w:r>
      <w:r>
        <w:rPr>
          <w:rFonts w:hint="eastAsia" w:ascii="宋体" w:hAnsi="宋体" w:cs="宋体"/>
          <w:color w:val="auto"/>
          <w:kern w:val="0"/>
          <w:szCs w:val="21"/>
          <w:highlight w:val="none"/>
        </w:rPr>
        <w:t>编码</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1D0EDEB5">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u w:val="single"/>
        </w:rPr>
      </w:pPr>
      <w:r>
        <w:rPr>
          <w:rFonts w:hint="eastAsia" w:ascii="宋体" w:hAnsi="宋体" w:cs="宋体"/>
          <w:color w:val="auto"/>
          <w:kern w:val="0"/>
          <w:szCs w:val="21"/>
          <w:highlight w:val="none"/>
        </w:rPr>
        <w:t>电话</w:t>
      </w:r>
      <w:r>
        <w:rPr>
          <w:rFonts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5E8285BE">
      <w:pPr>
        <w:autoSpaceDE w:val="0"/>
        <w:autoSpaceDN w:val="0"/>
        <w:adjustRightInd w:val="0"/>
        <w:snapToGrid w:val="0"/>
        <w:spacing w:line="480" w:lineRule="auto"/>
        <w:ind w:firstLine="3360" w:firstLineChars="1600"/>
        <w:jc w:val="left"/>
        <w:rPr>
          <w:rFonts w:hint="eastAsia" w:ascii="宋体" w:hAnsi="宋体" w:cs="HiddenHorzOCR"/>
          <w:color w:val="auto"/>
          <w:kern w:val="0"/>
          <w:szCs w:val="21"/>
          <w:highlight w:val="none"/>
          <w:u w:val="single"/>
        </w:rPr>
      </w:pPr>
      <w:r>
        <w:rPr>
          <w:rFonts w:hint="eastAsia" w:ascii="宋体" w:hAnsi="宋体" w:cs="宋体"/>
          <w:color w:val="auto"/>
          <w:kern w:val="0"/>
          <w:szCs w:val="21"/>
          <w:highlight w:val="none"/>
        </w:rPr>
        <w:t>传</w:t>
      </w:r>
      <w:r>
        <w:rPr>
          <w:rFonts w:ascii="宋体" w:hAnsi="宋体" w:cs="HiddenHorzOCR"/>
          <w:color w:val="auto"/>
          <w:kern w:val="0"/>
          <w:szCs w:val="21"/>
          <w:highlight w:val="none"/>
        </w:rPr>
        <w:t>真</w:t>
      </w:r>
      <w:r>
        <w:rPr>
          <w:rFonts w:hint="eastAsia" w:ascii="宋体" w:hAnsi="宋体" w:cs="HiddenHorzOCR"/>
          <w:color w:val="auto"/>
          <w:kern w:val="0"/>
          <w:szCs w:val="21"/>
          <w:highlight w:val="none"/>
        </w:rPr>
        <w:t>：</w:t>
      </w:r>
      <w:r>
        <w:rPr>
          <w:rFonts w:hint="eastAsia" w:ascii="宋体" w:hAnsi="宋体" w:cs="HiddenHorzOCR"/>
          <w:color w:val="auto"/>
          <w:kern w:val="0"/>
          <w:szCs w:val="21"/>
          <w:highlight w:val="none"/>
          <w:u w:val="single"/>
        </w:rPr>
        <w:t xml:space="preserve">                                    </w:t>
      </w:r>
    </w:p>
    <w:p w14:paraId="5051B402">
      <w:pPr>
        <w:autoSpaceDE w:val="0"/>
        <w:autoSpaceDN w:val="0"/>
        <w:adjustRightInd w:val="0"/>
        <w:spacing w:line="288" w:lineRule="auto"/>
        <w:ind w:firstLine="3360" w:firstLineChars="1600"/>
        <w:jc w:val="left"/>
        <w:rPr>
          <w:rFonts w:hint="eastAsia" w:ascii="宋体" w:hAnsi="宋体" w:cs="HiddenHorzOCR"/>
          <w:color w:val="auto"/>
          <w:kern w:val="0"/>
          <w:szCs w:val="21"/>
          <w:highlight w:val="none"/>
          <w:u w:val="single"/>
        </w:rPr>
      </w:pPr>
    </w:p>
    <w:p w14:paraId="69739B1F">
      <w:pPr>
        <w:autoSpaceDE w:val="0"/>
        <w:autoSpaceDN w:val="0"/>
        <w:adjustRightInd w:val="0"/>
        <w:spacing w:line="288" w:lineRule="auto"/>
        <w:ind w:firstLine="5250" w:firstLineChars="2500"/>
        <w:jc w:val="left"/>
        <w:rPr>
          <w:rFonts w:hint="eastAsia" w:ascii="宋体" w:hAnsi="宋体"/>
          <w:color w:val="auto"/>
          <w:kern w:val="0"/>
          <w:szCs w:val="21"/>
          <w:highlight w:val="none"/>
        </w:rPr>
      </w:pPr>
      <w:r>
        <w:rPr>
          <w:rFonts w:hint="eastAsia" w:ascii="宋体" w:hAnsi="宋体"/>
          <w:color w:val="auto"/>
          <w:kern w:val="0"/>
          <w:szCs w:val="21"/>
          <w:highlight w:val="none"/>
        </w:rPr>
        <w:t xml:space="preserve">       </w:t>
      </w:r>
      <w:r>
        <w:rPr>
          <w:rFonts w:ascii="宋体" w:hAnsi="宋体"/>
          <w:color w:val="auto"/>
          <w:kern w:val="0"/>
          <w:szCs w:val="21"/>
          <w:highlight w:val="none"/>
        </w:rPr>
        <w:t>年</w:t>
      </w:r>
      <w:r>
        <w:rPr>
          <w:rFonts w:hint="eastAsia" w:ascii="宋体" w:hAnsi="宋体"/>
          <w:color w:val="auto"/>
          <w:kern w:val="0"/>
          <w:szCs w:val="21"/>
          <w:highlight w:val="none"/>
        </w:rPr>
        <w:t xml:space="preserve">       </w:t>
      </w:r>
      <w:r>
        <w:rPr>
          <w:rFonts w:ascii="宋体" w:hAnsi="宋体"/>
          <w:color w:val="auto"/>
          <w:kern w:val="0"/>
          <w:szCs w:val="21"/>
          <w:highlight w:val="none"/>
        </w:rPr>
        <w:t>月</w:t>
      </w:r>
      <w:r>
        <w:rPr>
          <w:rFonts w:hint="eastAsia" w:ascii="宋体" w:hAnsi="宋体"/>
          <w:color w:val="auto"/>
          <w:kern w:val="0"/>
          <w:szCs w:val="21"/>
          <w:highlight w:val="none"/>
        </w:rPr>
        <w:t xml:space="preserve">       </w:t>
      </w:r>
      <w:r>
        <w:rPr>
          <w:rFonts w:ascii="宋体" w:hAnsi="宋体"/>
          <w:color w:val="auto"/>
          <w:kern w:val="0"/>
          <w:szCs w:val="21"/>
          <w:highlight w:val="none"/>
        </w:rPr>
        <w:t>日</w:t>
      </w:r>
    </w:p>
    <w:p w14:paraId="1312F1C5">
      <w:pPr>
        <w:spacing w:line="360" w:lineRule="auto"/>
        <w:rPr>
          <w:rFonts w:hint="eastAsia" w:ascii="宋体" w:hAnsi="宋体"/>
          <w:b/>
          <w:snapToGrid w:val="0"/>
          <w:color w:val="auto"/>
          <w:kern w:val="0"/>
          <w:szCs w:val="21"/>
          <w:highlight w:val="none"/>
        </w:rPr>
      </w:pPr>
      <w:r>
        <w:rPr>
          <w:rFonts w:hint="eastAsia" w:ascii="宋体" w:hAnsi="宋体"/>
          <w:b/>
          <w:snapToGrid w:val="0"/>
          <w:color w:val="auto"/>
          <w:kern w:val="0"/>
          <w:szCs w:val="21"/>
          <w:highlight w:val="none"/>
        </w:rPr>
        <w:t xml:space="preserve"> </w:t>
      </w:r>
    </w:p>
    <w:p w14:paraId="4ADA3FE3">
      <w:pPr>
        <w:rPr>
          <w:color w:val="auto"/>
          <w:kern w:val="0"/>
          <w:sz w:val="20"/>
          <w:highlight w:val="none"/>
        </w:rPr>
      </w:pPr>
    </w:p>
    <w:p w14:paraId="186B6C6E">
      <w:pPr>
        <w:pageBreakBefore w:val="0"/>
        <w:kinsoku/>
        <w:wordWrap w:val="0"/>
        <w:overflowPunct/>
        <w:bidi w:val="0"/>
        <w:spacing w:line="360" w:lineRule="auto"/>
        <w:jc w:val="center"/>
        <w:outlineLvl w:val="9"/>
        <w:rPr>
          <w:rFonts w:hint="eastAsia" w:ascii="宋体" w:hAnsi="宋体" w:eastAsia="宋体" w:cs="宋体"/>
          <w:b/>
          <w:bCs w:val="0"/>
          <w:caps/>
          <w:color w:val="auto"/>
          <w:sz w:val="40"/>
          <w:szCs w:val="40"/>
          <w:highlight w:val="none"/>
        </w:rPr>
      </w:pPr>
    </w:p>
    <w:p w14:paraId="0F760866">
      <w:pPr>
        <w:rPr>
          <w:rFonts w:hint="eastAsia" w:ascii="宋体" w:hAnsi="宋体" w:eastAsia="宋体" w:cs="宋体"/>
          <w:b/>
          <w:bCs w:val="0"/>
          <w:caps/>
          <w:color w:val="auto"/>
          <w:sz w:val="40"/>
          <w:szCs w:val="40"/>
          <w:highlight w:val="none"/>
        </w:rPr>
      </w:pPr>
      <w:r>
        <w:rPr>
          <w:rFonts w:hint="eastAsia" w:ascii="宋体" w:hAnsi="宋体" w:eastAsia="宋体" w:cs="宋体"/>
          <w:b/>
          <w:bCs w:val="0"/>
          <w:caps/>
          <w:color w:val="auto"/>
          <w:sz w:val="40"/>
          <w:szCs w:val="40"/>
          <w:highlight w:val="none"/>
        </w:rPr>
        <w:br w:type="page"/>
      </w:r>
    </w:p>
    <w:p w14:paraId="1A6BFEF3">
      <w:pPr>
        <w:pageBreakBefore w:val="0"/>
        <w:kinsoku/>
        <w:wordWrap w:val="0"/>
        <w:overflowPunct/>
        <w:bidi w:val="0"/>
        <w:spacing w:line="360" w:lineRule="auto"/>
        <w:jc w:val="center"/>
        <w:outlineLvl w:val="0"/>
        <w:rPr>
          <w:rFonts w:hint="eastAsia" w:ascii="宋体" w:hAnsi="宋体" w:eastAsia="宋体" w:cs="宋体"/>
          <w:b/>
          <w:bCs w:val="0"/>
          <w:caps/>
          <w:color w:val="auto"/>
          <w:sz w:val="40"/>
          <w:szCs w:val="40"/>
          <w:highlight w:val="none"/>
        </w:rPr>
      </w:pPr>
      <w:bookmarkStart w:id="271" w:name="_Toc30674"/>
      <w:r>
        <w:rPr>
          <w:rFonts w:hint="eastAsia" w:ascii="宋体" w:hAnsi="宋体" w:eastAsia="宋体" w:cs="宋体"/>
          <w:b/>
          <w:bCs w:val="0"/>
          <w:caps/>
          <w:color w:val="auto"/>
          <w:sz w:val="40"/>
          <w:szCs w:val="40"/>
          <w:highlight w:val="none"/>
        </w:rPr>
        <w:t>第六章</w:t>
      </w:r>
      <w:r>
        <w:rPr>
          <w:rFonts w:hint="eastAsia" w:ascii="宋体" w:hAnsi="宋体" w:eastAsia="宋体" w:cs="宋体"/>
          <w:b/>
          <w:bCs w:val="0"/>
          <w:caps/>
          <w:color w:val="auto"/>
          <w:sz w:val="40"/>
          <w:szCs w:val="40"/>
          <w:highlight w:val="none"/>
          <w:lang w:val="en-US" w:eastAsia="zh-CN"/>
        </w:rPr>
        <w:t xml:space="preserve">  </w:t>
      </w:r>
      <w:r>
        <w:rPr>
          <w:rFonts w:hint="eastAsia" w:ascii="宋体" w:hAnsi="宋体" w:eastAsia="宋体" w:cs="宋体"/>
          <w:b/>
          <w:bCs w:val="0"/>
          <w:caps/>
          <w:color w:val="auto"/>
          <w:sz w:val="40"/>
          <w:szCs w:val="40"/>
          <w:highlight w:val="none"/>
        </w:rPr>
        <w:t>响应文件格式</w:t>
      </w:r>
      <w:bookmarkEnd w:id="271"/>
    </w:p>
    <w:p w14:paraId="0A611DCC">
      <w:pPr>
        <w:pStyle w:val="21"/>
        <w:pageBreakBefore w:val="0"/>
        <w:kinsoku/>
        <w:wordWrap w:val="0"/>
        <w:overflowPunct/>
        <w:bidi w:val="0"/>
        <w:snapToGrid w:val="0"/>
        <w:spacing w:line="360" w:lineRule="auto"/>
        <w:jc w:val="center"/>
        <w:rPr>
          <w:rFonts w:hint="eastAsia" w:ascii="宋体" w:hAnsi="宋体" w:eastAsia="宋体" w:cs="宋体"/>
          <w:b/>
          <w:caps/>
          <w:color w:val="auto"/>
          <w:sz w:val="44"/>
          <w:szCs w:val="44"/>
          <w:highlight w:val="none"/>
        </w:rPr>
      </w:pPr>
    </w:p>
    <w:p w14:paraId="0849E602">
      <w:pPr>
        <w:pStyle w:val="17"/>
        <w:pageBreakBefore w:val="0"/>
        <w:kinsoku/>
        <w:wordWrap w:val="0"/>
        <w:overflowPunct/>
        <w:bidi w:val="0"/>
        <w:outlineLvl w:val="9"/>
        <w:rPr>
          <w:rFonts w:hint="eastAsia" w:ascii="宋体" w:hAnsi="宋体" w:eastAsia="宋体" w:cs="宋体"/>
          <w:b/>
          <w:color w:val="auto"/>
          <w:sz w:val="44"/>
          <w:szCs w:val="44"/>
          <w:highlight w:val="none"/>
          <w:u w:val="single"/>
        </w:rPr>
      </w:pPr>
    </w:p>
    <w:p w14:paraId="62335F3D">
      <w:pPr>
        <w:pStyle w:val="17"/>
        <w:pageBreakBefore w:val="0"/>
        <w:kinsoku/>
        <w:wordWrap w:val="0"/>
        <w:overflowPunct/>
        <w:bidi w:val="0"/>
        <w:outlineLvl w:val="9"/>
        <w:rPr>
          <w:rFonts w:hint="eastAsia" w:ascii="宋体" w:hAnsi="宋体" w:eastAsia="宋体" w:cs="宋体"/>
          <w:b/>
          <w:color w:val="auto"/>
          <w:sz w:val="44"/>
          <w:szCs w:val="44"/>
          <w:highlight w:val="none"/>
          <w:u w:val="single"/>
        </w:rPr>
      </w:pPr>
    </w:p>
    <w:p w14:paraId="1C65976D">
      <w:pPr>
        <w:pStyle w:val="17"/>
        <w:pageBreakBefore w:val="0"/>
        <w:kinsoku/>
        <w:wordWrap w:val="0"/>
        <w:overflowPunct/>
        <w:bidi w:val="0"/>
        <w:outlineLvl w:val="9"/>
        <w:rPr>
          <w:rFonts w:hint="eastAsia" w:ascii="宋体" w:hAnsi="宋体" w:eastAsia="宋体" w:cs="宋体"/>
          <w:b/>
          <w:caps/>
          <w:color w:val="auto"/>
          <w:sz w:val="44"/>
          <w:szCs w:val="44"/>
          <w:highlight w:val="none"/>
        </w:rPr>
      </w:pPr>
      <w:r>
        <w:rPr>
          <w:rFonts w:hint="eastAsia" w:ascii="宋体" w:hAnsi="宋体" w:eastAsia="宋体" w:cs="宋体"/>
          <w:b/>
          <w:color w:val="auto"/>
          <w:sz w:val="44"/>
          <w:szCs w:val="44"/>
          <w:highlight w:val="none"/>
          <w:u w:val="single"/>
        </w:rPr>
        <w:t xml:space="preserve">           </w:t>
      </w:r>
      <w:r>
        <w:rPr>
          <w:rFonts w:hint="eastAsia" w:ascii="宋体" w:hAnsi="宋体" w:eastAsia="宋体" w:cs="宋体"/>
          <w:b w:val="0"/>
          <w:bCs/>
          <w:color w:val="auto"/>
          <w:sz w:val="32"/>
          <w:szCs w:val="32"/>
          <w:highlight w:val="none"/>
          <w:u w:val="single"/>
        </w:rPr>
        <w:t xml:space="preserve"> </w:t>
      </w:r>
      <w:r>
        <w:rPr>
          <w:rFonts w:hint="eastAsia" w:ascii="宋体" w:hAnsi="宋体" w:eastAsia="宋体" w:cs="宋体"/>
          <w:b w:val="0"/>
          <w:bCs/>
          <w:color w:val="auto"/>
          <w:sz w:val="32"/>
          <w:szCs w:val="32"/>
          <w:highlight w:val="none"/>
          <w:u w:val="single"/>
          <w:lang w:eastAsia="zh-CN"/>
        </w:rPr>
        <w:t>（</w:t>
      </w:r>
      <w:r>
        <w:rPr>
          <w:rFonts w:hint="eastAsia" w:ascii="宋体" w:hAnsi="宋体" w:eastAsia="宋体" w:cs="宋体"/>
          <w:b w:val="0"/>
          <w:bCs/>
          <w:color w:val="auto"/>
          <w:sz w:val="32"/>
          <w:szCs w:val="32"/>
          <w:highlight w:val="none"/>
          <w:u w:val="single"/>
        </w:rPr>
        <w:t>项目名称</w:t>
      </w:r>
      <w:r>
        <w:rPr>
          <w:rFonts w:hint="eastAsia" w:ascii="宋体" w:hAnsi="宋体" w:eastAsia="宋体" w:cs="宋体"/>
          <w:b w:val="0"/>
          <w:bCs/>
          <w:color w:val="auto"/>
          <w:sz w:val="32"/>
          <w:szCs w:val="32"/>
          <w:highlight w:val="none"/>
          <w:u w:val="single"/>
          <w:lang w:eastAsia="zh-CN"/>
        </w:rPr>
        <w:t>）</w:t>
      </w:r>
      <w:r>
        <w:rPr>
          <w:rFonts w:hint="eastAsia" w:ascii="宋体" w:hAnsi="宋体" w:eastAsia="宋体" w:cs="宋体"/>
          <w:b w:val="0"/>
          <w:bCs/>
          <w:color w:val="auto"/>
          <w:sz w:val="32"/>
          <w:szCs w:val="32"/>
          <w:highlight w:val="none"/>
          <w:u w:val="single"/>
        </w:rPr>
        <w:t xml:space="preserve"> </w:t>
      </w:r>
      <w:r>
        <w:rPr>
          <w:rFonts w:hint="eastAsia" w:ascii="宋体" w:hAnsi="宋体" w:eastAsia="宋体" w:cs="宋体"/>
          <w:b/>
          <w:color w:val="auto"/>
          <w:sz w:val="44"/>
          <w:szCs w:val="44"/>
          <w:highlight w:val="none"/>
          <w:u w:val="single"/>
        </w:rPr>
        <w:t xml:space="preserve">          </w:t>
      </w:r>
    </w:p>
    <w:p w14:paraId="2F810B20">
      <w:pPr>
        <w:pStyle w:val="17"/>
        <w:pageBreakBefore w:val="0"/>
        <w:kinsoku/>
        <w:wordWrap w:val="0"/>
        <w:overflowPunct/>
        <w:bidi w:val="0"/>
        <w:ind w:firstLine="964"/>
        <w:outlineLvl w:val="9"/>
        <w:rPr>
          <w:rFonts w:hint="eastAsia" w:ascii="宋体" w:hAnsi="宋体" w:eastAsia="宋体" w:cs="宋体"/>
          <w:b/>
          <w:caps/>
          <w:color w:val="auto"/>
          <w:sz w:val="48"/>
          <w:szCs w:val="48"/>
          <w:highlight w:val="none"/>
          <w:lang w:val="en-US" w:eastAsia="zh-CN"/>
        </w:rPr>
      </w:pPr>
      <w:r>
        <w:rPr>
          <w:rFonts w:hint="eastAsia" w:ascii="宋体" w:hAnsi="宋体" w:eastAsia="宋体" w:cs="宋体"/>
          <w:b/>
          <w:caps/>
          <w:color w:val="auto"/>
          <w:sz w:val="48"/>
          <w:szCs w:val="48"/>
          <w:highlight w:val="none"/>
          <w:lang w:val="en-US" w:eastAsia="zh-CN"/>
        </w:rPr>
        <w:t xml:space="preserve">          </w:t>
      </w:r>
    </w:p>
    <w:p w14:paraId="64A472FB">
      <w:pPr>
        <w:pStyle w:val="17"/>
        <w:pageBreakBefore w:val="0"/>
        <w:kinsoku/>
        <w:wordWrap w:val="0"/>
        <w:overflowPunct/>
        <w:bidi w:val="0"/>
        <w:ind w:firstLine="964"/>
        <w:outlineLvl w:val="9"/>
        <w:rPr>
          <w:rFonts w:hint="eastAsia" w:ascii="宋体" w:hAnsi="宋体" w:eastAsia="宋体" w:cs="宋体"/>
          <w:b/>
          <w:caps/>
          <w:color w:val="auto"/>
          <w:sz w:val="48"/>
          <w:szCs w:val="48"/>
          <w:highlight w:val="none"/>
        </w:rPr>
      </w:pPr>
    </w:p>
    <w:p w14:paraId="3BD7C89C">
      <w:pPr>
        <w:pStyle w:val="21"/>
        <w:pageBreakBefore w:val="0"/>
        <w:kinsoku/>
        <w:wordWrap w:val="0"/>
        <w:overflowPunct/>
        <w:bidi w:val="0"/>
        <w:snapToGrid w:val="0"/>
        <w:spacing w:line="360" w:lineRule="auto"/>
        <w:jc w:val="center"/>
        <w:outlineLvl w:val="9"/>
        <w:rPr>
          <w:rFonts w:hint="eastAsia" w:ascii="宋体" w:hAnsi="宋体" w:eastAsia="宋体" w:cs="宋体"/>
          <w:b/>
          <w:caps/>
          <w:color w:val="auto"/>
          <w:sz w:val="56"/>
          <w:szCs w:val="56"/>
          <w:highlight w:val="none"/>
        </w:rPr>
      </w:pPr>
    </w:p>
    <w:p w14:paraId="7BA4E66C">
      <w:pPr>
        <w:pStyle w:val="21"/>
        <w:pageBreakBefore w:val="0"/>
        <w:kinsoku/>
        <w:wordWrap w:val="0"/>
        <w:overflowPunct/>
        <w:bidi w:val="0"/>
        <w:snapToGrid w:val="0"/>
        <w:spacing w:line="360" w:lineRule="auto"/>
        <w:jc w:val="center"/>
        <w:outlineLvl w:val="9"/>
        <w:rPr>
          <w:rFonts w:hint="eastAsia" w:ascii="宋体" w:hAnsi="宋体" w:eastAsia="宋体" w:cs="宋体"/>
          <w:b/>
          <w:caps/>
          <w:color w:val="auto"/>
          <w:sz w:val="56"/>
          <w:szCs w:val="56"/>
          <w:highlight w:val="none"/>
        </w:rPr>
      </w:pPr>
      <w:r>
        <w:rPr>
          <w:rFonts w:hint="eastAsia" w:ascii="宋体" w:hAnsi="宋体" w:eastAsia="宋体" w:cs="宋体"/>
          <w:b/>
          <w:caps/>
          <w:color w:val="auto"/>
          <w:sz w:val="72"/>
          <w:szCs w:val="72"/>
          <w:highlight w:val="none"/>
        </w:rPr>
        <w:t>响</w:t>
      </w:r>
      <w:r>
        <w:rPr>
          <w:rFonts w:hint="eastAsia" w:ascii="宋体" w:hAnsi="宋体" w:eastAsia="宋体" w:cs="宋体"/>
          <w:b/>
          <w:caps/>
          <w:color w:val="auto"/>
          <w:sz w:val="72"/>
          <w:szCs w:val="72"/>
          <w:highlight w:val="none"/>
          <w:lang w:val="en-US" w:eastAsia="zh-CN"/>
        </w:rPr>
        <w:t xml:space="preserve"> </w:t>
      </w:r>
      <w:r>
        <w:rPr>
          <w:rFonts w:hint="eastAsia" w:ascii="宋体" w:hAnsi="宋体" w:eastAsia="宋体" w:cs="宋体"/>
          <w:b/>
          <w:caps/>
          <w:color w:val="auto"/>
          <w:sz w:val="72"/>
          <w:szCs w:val="72"/>
          <w:highlight w:val="none"/>
        </w:rPr>
        <w:t>应</w:t>
      </w:r>
      <w:r>
        <w:rPr>
          <w:rFonts w:hint="eastAsia" w:ascii="宋体" w:hAnsi="宋体" w:eastAsia="宋体" w:cs="宋体"/>
          <w:b/>
          <w:caps/>
          <w:color w:val="auto"/>
          <w:sz w:val="72"/>
          <w:szCs w:val="72"/>
          <w:highlight w:val="none"/>
          <w:lang w:val="en-US" w:eastAsia="zh-CN"/>
        </w:rPr>
        <w:t xml:space="preserve"> </w:t>
      </w:r>
      <w:r>
        <w:rPr>
          <w:rFonts w:hint="eastAsia" w:ascii="宋体" w:hAnsi="宋体" w:eastAsia="宋体" w:cs="宋体"/>
          <w:b/>
          <w:caps/>
          <w:color w:val="auto"/>
          <w:sz w:val="72"/>
          <w:szCs w:val="72"/>
          <w:highlight w:val="none"/>
        </w:rPr>
        <w:t>文</w:t>
      </w:r>
      <w:r>
        <w:rPr>
          <w:rFonts w:hint="eastAsia" w:ascii="宋体" w:hAnsi="宋体" w:eastAsia="宋体" w:cs="宋体"/>
          <w:b/>
          <w:caps/>
          <w:color w:val="auto"/>
          <w:sz w:val="72"/>
          <w:szCs w:val="72"/>
          <w:highlight w:val="none"/>
          <w:lang w:val="en-US" w:eastAsia="zh-CN"/>
        </w:rPr>
        <w:t xml:space="preserve"> </w:t>
      </w:r>
      <w:r>
        <w:rPr>
          <w:rFonts w:hint="eastAsia" w:ascii="宋体" w:hAnsi="宋体" w:eastAsia="宋体" w:cs="宋体"/>
          <w:b/>
          <w:caps/>
          <w:color w:val="auto"/>
          <w:sz w:val="72"/>
          <w:szCs w:val="72"/>
          <w:highlight w:val="none"/>
        </w:rPr>
        <w:t>件</w:t>
      </w:r>
    </w:p>
    <w:p w14:paraId="237CC539">
      <w:pPr>
        <w:pStyle w:val="21"/>
        <w:pageBreakBefore w:val="0"/>
        <w:kinsoku/>
        <w:wordWrap w:val="0"/>
        <w:overflowPunct/>
        <w:bidi w:val="0"/>
        <w:snapToGrid w:val="0"/>
        <w:spacing w:line="360" w:lineRule="auto"/>
        <w:ind w:firstLine="3086" w:firstLineChars="1281"/>
        <w:outlineLvl w:val="9"/>
        <w:rPr>
          <w:rFonts w:hint="eastAsia" w:ascii="宋体" w:hAnsi="宋体" w:eastAsia="宋体" w:cs="宋体"/>
          <w:b/>
          <w:caps/>
          <w:color w:val="auto"/>
          <w:sz w:val="24"/>
          <w:highlight w:val="none"/>
        </w:rPr>
      </w:pPr>
    </w:p>
    <w:p w14:paraId="332640F1">
      <w:pPr>
        <w:pStyle w:val="21"/>
        <w:pageBreakBefore w:val="0"/>
        <w:kinsoku/>
        <w:wordWrap w:val="0"/>
        <w:overflowPunct/>
        <w:bidi w:val="0"/>
        <w:snapToGrid w:val="0"/>
        <w:spacing w:line="360" w:lineRule="auto"/>
        <w:outlineLvl w:val="9"/>
        <w:rPr>
          <w:rFonts w:hint="eastAsia" w:ascii="宋体" w:hAnsi="宋体" w:eastAsia="宋体" w:cs="宋体"/>
          <w:b/>
          <w:caps/>
          <w:color w:val="auto"/>
          <w:sz w:val="24"/>
          <w:highlight w:val="none"/>
        </w:rPr>
      </w:pPr>
    </w:p>
    <w:p w14:paraId="7B7932DF">
      <w:pPr>
        <w:pageBreakBefore w:val="0"/>
        <w:kinsoku/>
        <w:wordWrap w:val="0"/>
        <w:overflowPunct/>
        <w:bidi w:val="0"/>
        <w:spacing w:line="360" w:lineRule="auto"/>
        <w:outlineLvl w:val="9"/>
        <w:rPr>
          <w:rFonts w:hint="eastAsia" w:ascii="宋体" w:hAnsi="宋体" w:eastAsia="宋体" w:cs="宋体"/>
          <w:b/>
          <w:bCs/>
          <w:color w:val="auto"/>
          <w:sz w:val="28"/>
          <w:szCs w:val="28"/>
          <w:highlight w:val="none"/>
        </w:rPr>
      </w:pPr>
    </w:p>
    <w:p w14:paraId="28DDB296">
      <w:pPr>
        <w:pageBreakBefore w:val="0"/>
        <w:kinsoku/>
        <w:wordWrap w:val="0"/>
        <w:overflowPunct/>
        <w:bidi w:val="0"/>
        <w:spacing w:line="360" w:lineRule="auto"/>
        <w:outlineLvl w:val="9"/>
        <w:rPr>
          <w:rFonts w:hint="eastAsia" w:ascii="宋体" w:hAnsi="宋体" w:eastAsia="宋体" w:cs="宋体"/>
          <w:b/>
          <w:bCs/>
          <w:color w:val="auto"/>
          <w:sz w:val="32"/>
          <w:szCs w:val="32"/>
          <w:highlight w:val="none"/>
        </w:rPr>
      </w:pPr>
    </w:p>
    <w:p w14:paraId="218E428F">
      <w:pPr>
        <w:pageBreakBefore w:val="0"/>
        <w:kinsoku/>
        <w:wordWrap w:val="0"/>
        <w:overflowPunct/>
        <w:bidi w:val="0"/>
        <w:spacing w:line="360" w:lineRule="auto"/>
        <w:outlineLvl w:val="9"/>
        <w:rPr>
          <w:rFonts w:hint="eastAsia" w:ascii="宋体" w:hAnsi="宋体" w:eastAsia="宋体" w:cs="宋体"/>
          <w:b/>
          <w:bCs/>
          <w:color w:val="auto"/>
          <w:sz w:val="32"/>
          <w:szCs w:val="32"/>
          <w:highlight w:val="none"/>
        </w:rPr>
      </w:pPr>
    </w:p>
    <w:p w14:paraId="6823489C">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u w:val="single"/>
          <w:lang w:eastAsia="zh-CN"/>
        </w:rPr>
      </w:pPr>
      <w:bookmarkStart w:id="272" w:name="_Toc29241"/>
      <w:bookmarkStart w:id="273" w:name="_Toc12302"/>
      <w:bookmarkStart w:id="274" w:name="_Toc18006"/>
      <w:r>
        <w:rPr>
          <w:rFonts w:hint="eastAsia" w:ascii="宋体" w:hAnsi="宋体" w:eastAsia="宋体" w:cs="宋体"/>
          <w:b w:val="0"/>
          <w:bCs w:val="0"/>
          <w:color w:val="auto"/>
          <w:sz w:val="28"/>
          <w:szCs w:val="28"/>
          <w:highlight w:val="none"/>
          <w:lang w:eastAsia="zh-CN"/>
        </w:rPr>
        <w:t>项目编号</w:t>
      </w:r>
      <w:bookmarkEnd w:id="272"/>
      <w:bookmarkEnd w:id="273"/>
      <w:bookmarkEnd w:id="274"/>
      <w:r>
        <w:rPr>
          <w:rFonts w:hint="eastAsia" w:ascii="宋体" w:hAnsi="宋体" w:cs="宋体"/>
          <w:b w:val="0"/>
          <w:bCs w:val="0"/>
          <w:color w:val="auto"/>
          <w:sz w:val="28"/>
          <w:szCs w:val="28"/>
          <w:highlight w:val="none"/>
          <w:lang w:eastAsia="zh-CN"/>
        </w:rPr>
        <w:t>：</w:t>
      </w:r>
      <w:r>
        <w:rPr>
          <w:rFonts w:hint="eastAsia" w:ascii="宋体" w:hAnsi="宋体" w:cs="宋体"/>
          <w:b w:val="0"/>
          <w:bCs w:val="0"/>
          <w:color w:val="auto"/>
          <w:sz w:val="28"/>
          <w:szCs w:val="28"/>
          <w:highlight w:val="none"/>
          <w:u w:val="single"/>
          <w:lang w:eastAsia="zh-CN"/>
        </w:rPr>
        <w:t>NJZC2026-C2-00162-YNDB-0016</w:t>
      </w:r>
    </w:p>
    <w:p w14:paraId="63441CD8">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u w:val="single"/>
        </w:rPr>
      </w:pPr>
      <w:bookmarkStart w:id="275" w:name="_Toc5021"/>
      <w:bookmarkStart w:id="276" w:name="_Toc3648"/>
      <w:bookmarkStart w:id="277" w:name="_Toc30656"/>
      <w:bookmarkStart w:id="278" w:name="_Toc30356"/>
      <w:r>
        <w:rPr>
          <w:rFonts w:hint="eastAsia" w:ascii="宋体" w:hAnsi="宋体" w:eastAsia="宋体" w:cs="宋体"/>
          <w:b w:val="0"/>
          <w:bCs w:val="0"/>
          <w:color w:val="auto"/>
          <w:sz w:val="28"/>
          <w:szCs w:val="28"/>
          <w:highlight w:val="none"/>
          <w:lang w:eastAsia="zh-CN"/>
        </w:rPr>
        <w:t>供应商</w:t>
      </w:r>
      <w:r>
        <w:rPr>
          <w:rFonts w:hint="eastAsia" w:ascii="宋体" w:hAnsi="宋体" w:eastAsia="宋体" w:cs="宋体"/>
          <w:b w:val="0"/>
          <w:bCs w:val="0"/>
          <w:color w:val="auto"/>
          <w:sz w:val="28"/>
          <w:szCs w:val="28"/>
          <w:highlight w:val="none"/>
        </w:rPr>
        <w:t>全称(</w:t>
      </w:r>
      <w:r>
        <w:rPr>
          <w:rFonts w:hint="eastAsia" w:ascii="宋体" w:hAnsi="宋体" w:cs="宋体"/>
          <w:b w:val="0"/>
          <w:bCs w:val="0"/>
          <w:color w:val="auto"/>
          <w:sz w:val="28"/>
          <w:szCs w:val="28"/>
          <w:highlight w:val="none"/>
          <w:lang w:eastAsia="zh-CN"/>
        </w:rPr>
        <w:t>电子签章</w:t>
      </w:r>
      <w:r>
        <w:rPr>
          <w:rFonts w:hint="eastAsia" w:ascii="宋体" w:hAnsi="宋体" w:eastAsia="宋体" w:cs="宋体"/>
          <w:b w:val="0"/>
          <w:bCs w:val="0"/>
          <w:color w:val="auto"/>
          <w:sz w:val="28"/>
          <w:szCs w:val="28"/>
          <w:highlight w:val="none"/>
        </w:rPr>
        <w:t>)</w:t>
      </w:r>
      <w:bookmarkEnd w:id="275"/>
      <w:bookmarkEnd w:id="276"/>
      <w:bookmarkEnd w:id="277"/>
      <w:bookmarkEnd w:id="278"/>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u w:val="single"/>
        </w:rPr>
        <w:t xml:space="preserve">           </w:t>
      </w:r>
    </w:p>
    <w:p w14:paraId="2B309886">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u w:val="single"/>
        </w:rPr>
      </w:pPr>
      <w:bookmarkStart w:id="279" w:name="_Toc21604"/>
      <w:bookmarkStart w:id="280" w:name="_Toc8559"/>
      <w:bookmarkStart w:id="281" w:name="_Toc30409"/>
      <w:bookmarkStart w:id="282" w:name="_Toc27249"/>
      <w:r>
        <w:rPr>
          <w:rFonts w:hint="eastAsia" w:ascii="宋体" w:hAnsi="宋体" w:eastAsia="宋体" w:cs="宋体"/>
          <w:b w:val="0"/>
          <w:bCs w:val="0"/>
          <w:color w:val="auto"/>
          <w:sz w:val="28"/>
          <w:szCs w:val="28"/>
          <w:highlight w:val="none"/>
        </w:rPr>
        <w:t>地址</w:t>
      </w:r>
      <w:bookmarkEnd w:id="279"/>
      <w:bookmarkEnd w:id="280"/>
      <w:bookmarkEnd w:id="281"/>
      <w:bookmarkEnd w:id="282"/>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rPr>
        <w:t xml:space="preserve"> </w:t>
      </w:r>
    </w:p>
    <w:p w14:paraId="44E1DDF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rPr>
      </w:pPr>
      <w:bookmarkStart w:id="283" w:name="_Toc5437"/>
      <w:bookmarkStart w:id="284" w:name="_Toc27615"/>
      <w:bookmarkStart w:id="285" w:name="_Toc12839"/>
      <w:bookmarkStart w:id="286" w:name="_Toc3076"/>
      <w:r>
        <w:rPr>
          <w:rFonts w:hint="eastAsia" w:ascii="宋体" w:hAnsi="宋体" w:eastAsia="宋体" w:cs="宋体"/>
          <w:b w:val="0"/>
          <w:bCs w:val="0"/>
          <w:color w:val="auto"/>
          <w:sz w:val="28"/>
          <w:szCs w:val="28"/>
          <w:highlight w:val="none"/>
        </w:rPr>
        <w:t>联系人</w:t>
      </w:r>
      <w:bookmarkEnd w:id="283"/>
      <w:bookmarkEnd w:id="284"/>
      <w:bookmarkEnd w:id="285"/>
      <w:bookmarkEnd w:id="286"/>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rPr>
        <w:t xml:space="preserve">               </w:t>
      </w:r>
    </w:p>
    <w:p w14:paraId="69E7F4C1">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u w:val="single"/>
        </w:rPr>
      </w:pPr>
      <w:bookmarkStart w:id="287" w:name="_Toc4549"/>
      <w:bookmarkStart w:id="288" w:name="_Toc21508"/>
      <w:bookmarkStart w:id="289" w:name="_Toc10954"/>
      <w:bookmarkStart w:id="290" w:name="_Toc11170"/>
      <w:r>
        <w:rPr>
          <w:rFonts w:hint="eastAsia" w:ascii="宋体" w:hAnsi="宋体" w:eastAsia="宋体" w:cs="宋体"/>
          <w:b w:val="0"/>
          <w:bCs w:val="0"/>
          <w:color w:val="auto"/>
          <w:sz w:val="28"/>
          <w:szCs w:val="28"/>
          <w:highlight w:val="none"/>
        </w:rPr>
        <w:t>联系电话</w:t>
      </w:r>
      <w:bookmarkEnd w:id="287"/>
      <w:bookmarkEnd w:id="288"/>
      <w:bookmarkEnd w:id="289"/>
      <w:bookmarkEnd w:id="290"/>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rPr>
        <w:t xml:space="preserve">  </w:t>
      </w:r>
    </w:p>
    <w:p w14:paraId="036E3209">
      <w:pPr>
        <w:keepNext w:val="0"/>
        <w:keepLines w:val="0"/>
        <w:pageBreakBefore w:val="0"/>
        <w:widowControl w:val="0"/>
        <w:kinsoku/>
        <w:wordWrap w:val="0"/>
        <w:overflowPunct/>
        <w:topLinePunct w:val="0"/>
        <w:autoSpaceDE/>
        <w:autoSpaceDN/>
        <w:bidi w:val="0"/>
        <w:adjustRightInd/>
        <w:snapToGrid/>
        <w:spacing w:line="360" w:lineRule="auto"/>
        <w:textAlignment w:val="auto"/>
        <w:outlineLvl w:val="9"/>
        <w:rPr>
          <w:rFonts w:hint="eastAsia" w:ascii="宋体" w:hAnsi="宋体" w:eastAsia="宋体" w:cs="宋体"/>
          <w:b w:val="0"/>
          <w:bCs w:val="0"/>
          <w:color w:val="auto"/>
          <w:sz w:val="28"/>
          <w:szCs w:val="28"/>
          <w:highlight w:val="none"/>
          <w:u w:val="single"/>
        </w:rPr>
      </w:pPr>
      <w:bookmarkStart w:id="291" w:name="_Toc2788"/>
      <w:bookmarkStart w:id="292" w:name="_Toc29838"/>
      <w:bookmarkStart w:id="293" w:name="_Toc26180"/>
      <w:bookmarkStart w:id="294" w:name="_Toc31447"/>
      <w:r>
        <w:rPr>
          <w:rFonts w:hint="eastAsia" w:ascii="宋体" w:hAnsi="宋体" w:eastAsia="宋体" w:cs="宋体"/>
          <w:b w:val="0"/>
          <w:bCs w:val="0"/>
          <w:color w:val="auto"/>
          <w:sz w:val="28"/>
          <w:szCs w:val="28"/>
          <w:highlight w:val="none"/>
        </w:rPr>
        <w:t>日    期</w:t>
      </w:r>
      <w:bookmarkEnd w:id="291"/>
      <w:bookmarkEnd w:id="292"/>
      <w:bookmarkEnd w:id="293"/>
      <w:bookmarkEnd w:id="294"/>
      <w:r>
        <w:rPr>
          <w:rFonts w:hint="eastAsia" w:ascii="宋体" w:hAnsi="宋体" w:cs="宋体"/>
          <w:b w:val="0"/>
          <w:bCs w:val="0"/>
          <w:color w:val="auto"/>
          <w:sz w:val="28"/>
          <w:szCs w:val="28"/>
          <w:highlight w:val="none"/>
          <w:lang w:eastAsia="zh-CN"/>
        </w:rPr>
        <w:t>：</w:t>
      </w:r>
      <w:r>
        <w:rPr>
          <w:rFonts w:hint="eastAsia" w:ascii="宋体" w:hAnsi="宋体" w:eastAsia="宋体" w:cs="宋体"/>
          <w:b w:val="0"/>
          <w:bCs w:val="0"/>
          <w:color w:val="auto"/>
          <w:sz w:val="28"/>
          <w:szCs w:val="28"/>
          <w:highlight w:val="none"/>
          <w:u w:val="single"/>
        </w:rPr>
        <w:t xml:space="preserve">                      </w:t>
      </w:r>
      <w:r>
        <w:rPr>
          <w:rFonts w:hint="eastAsia" w:ascii="宋体" w:hAnsi="宋体" w:eastAsia="宋体" w:cs="宋体"/>
          <w:b w:val="0"/>
          <w:bCs w:val="0"/>
          <w:color w:val="auto"/>
          <w:sz w:val="28"/>
          <w:szCs w:val="28"/>
          <w:highlight w:val="none"/>
          <w:u w:val="single"/>
          <w:lang w:val="en-US" w:eastAsia="zh-CN"/>
        </w:rPr>
        <w:t xml:space="preserve">    </w:t>
      </w:r>
      <w:r>
        <w:rPr>
          <w:rFonts w:hint="eastAsia" w:ascii="宋体" w:hAnsi="宋体" w:eastAsia="宋体" w:cs="宋体"/>
          <w:b w:val="0"/>
          <w:bCs w:val="0"/>
          <w:color w:val="auto"/>
          <w:sz w:val="28"/>
          <w:szCs w:val="28"/>
          <w:highlight w:val="none"/>
          <w:u w:val="single"/>
        </w:rPr>
        <w:t xml:space="preserve"> </w:t>
      </w:r>
    </w:p>
    <w:p w14:paraId="2D369EB4">
      <w:pPr>
        <w:pageBreakBefore w:val="0"/>
        <w:numPr>
          <w:ilvl w:val="3"/>
          <w:numId w:val="0"/>
        </w:numPr>
        <w:tabs>
          <w:tab w:val="left" w:pos="2155"/>
        </w:tabs>
        <w:kinsoku/>
        <w:wordWrap w:val="0"/>
        <w:overflowPunct/>
        <w:bidi w:val="0"/>
        <w:ind w:left="1077" w:leftChars="0"/>
        <w:outlineLvl w:val="9"/>
        <w:rPr>
          <w:rFonts w:hint="eastAsia" w:ascii="宋体" w:hAnsi="宋体" w:eastAsia="宋体" w:cs="宋体"/>
          <w:b/>
          <w:color w:val="auto"/>
          <w:sz w:val="30"/>
          <w:szCs w:val="30"/>
          <w:highlight w:val="none"/>
        </w:rPr>
      </w:pPr>
      <w:r>
        <w:rPr>
          <w:rFonts w:hint="eastAsia" w:ascii="宋体" w:hAnsi="宋体" w:eastAsia="宋体" w:cs="宋体"/>
          <w:b/>
          <w:color w:val="auto"/>
          <w:sz w:val="32"/>
          <w:szCs w:val="32"/>
          <w:highlight w:val="none"/>
        </w:rPr>
        <w:br w:type="page"/>
      </w:r>
      <w:bookmarkStart w:id="295" w:name="_Toc24784"/>
      <w:bookmarkStart w:id="296" w:name="_Toc15400"/>
      <w:bookmarkStart w:id="297" w:name="_Toc22154"/>
      <w:bookmarkStart w:id="298" w:name="_Toc16343"/>
      <w:bookmarkStart w:id="299" w:name="_Toc5585"/>
      <w:bookmarkStart w:id="300" w:name="_Toc14459"/>
      <w:bookmarkStart w:id="301" w:name="_Toc29994"/>
      <w:bookmarkStart w:id="302" w:name="_Toc29008"/>
      <w:bookmarkStart w:id="303" w:name="_Toc9504"/>
    </w:p>
    <w:bookmarkEnd w:id="295"/>
    <w:bookmarkEnd w:id="296"/>
    <w:bookmarkEnd w:id="297"/>
    <w:bookmarkEnd w:id="298"/>
    <w:bookmarkEnd w:id="299"/>
    <w:bookmarkEnd w:id="300"/>
    <w:bookmarkEnd w:id="301"/>
    <w:bookmarkEnd w:id="302"/>
    <w:bookmarkEnd w:id="303"/>
    <w:p w14:paraId="1D0B86AB">
      <w:pPr>
        <w:pageBreakBefore w:val="0"/>
        <w:kinsoku/>
        <w:wordWrap w:val="0"/>
        <w:overflowPunct/>
        <w:bidi w:val="0"/>
        <w:spacing w:line="480" w:lineRule="auto"/>
        <w:outlineLvl w:val="1"/>
        <w:rPr>
          <w:rFonts w:hint="eastAsia" w:ascii="宋体" w:hAnsi="宋体" w:eastAsia="宋体" w:cs="宋体"/>
          <w:b/>
          <w:bCs/>
          <w:color w:val="auto"/>
          <w:sz w:val="32"/>
          <w:szCs w:val="32"/>
          <w:highlight w:val="none"/>
          <w:lang w:val="en-US" w:eastAsia="zh-CN"/>
        </w:rPr>
      </w:pPr>
      <w:bookmarkStart w:id="304" w:name="_Toc28997"/>
      <w:r>
        <w:rPr>
          <w:rFonts w:hint="eastAsia" w:ascii="宋体" w:hAnsi="宋体" w:eastAsia="宋体" w:cs="宋体"/>
          <w:b/>
          <w:bCs/>
          <w:color w:val="auto"/>
          <w:sz w:val="32"/>
          <w:szCs w:val="32"/>
          <w:highlight w:val="none"/>
          <w:lang w:val="en-US" w:eastAsia="zh-CN"/>
        </w:rPr>
        <w:t xml:space="preserve">第一部分  </w:t>
      </w:r>
      <w:bookmarkEnd w:id="304"/>
      <w:r>
        <w:rPr>
          <w:rFonts w:hint="eastAsia" w:ascii="宋体" w:hAnsi="宋体" w:cs="宋体"/>
          <w:b/>
          <w:bCs/>
          <w:color w:val="auto"/>
          <w:sz w:val="32"/>
          <w:szCs w:val="32"/>
          <w:highlight w:val="none"/>
          <w:lang w:val="en-US" w:eastAsia="zh-CN"/>
        </w:rPr>
        <w:t>资格文件部分</w:t>
      </w:r>
    </w:p>
    <w:p w14:paraId="2F7608D0">
      <w:pPr>
        <w:shd w:val="clear" w:color="auto" w:fill="auto"/>
        <w:wordWrap w:val="0"/>
        <w:autoSpaceDE w:val="0"/>
        <w:autoSpaceDN w:val="0"/>
        <w:adjustRightInd w:val="0"/>
        <w:spacing w:line="360" w:lineRule="auto"/>
        <w:jc w:val="center"/>
        <w:outlineLvl w:val="2"/>
        <w:rPr>
          <w:rFonts w:hint="eastAsia" w:ascii="宋体" w:hAnsi="宋体" w:eastAsia="宋体" w:cs="宋体"/>
          <w:b/>
          <w:bCs/>
          <w:color w:val="auto"/>
          <w:kern w:val="2"/>
          <w:sz w:val="32"/>
          <w:szCs w:val="32"/>
          <w:highlight w:val="none"/>
          <w:lang w:val="en-US" w:eastAsia="zh-CN" w:bidi="ar-SA"/>
        </w:rPr>
      </w:pPr>
      <w:bookmarkStart w:id="305" w:name="_Toc31159"/>
      <w:r>
        <w:rPr>
          <w:rFonts w:hint="eastAsia" w:ascii="宋体" w:hAnsi="宋体" w:eastAsia="宋体" w:cs="宋体"/>
          <w:b/>
          <w:bCs w:val="0"/>
          <w:color w:val="auto"/>
          <w:w w:val="100"/>
          <w:kern w:val="2"/>
          <w:sz w:val="28"/>
          <w:szCs w:val="28"/>
          <w:highlight w:val="none"/>
          <w:lang w:val="en-US" w:eastAsia="zh-CN" w:bidi="ar-SA"/>
        </w:rPr>
        <w:t>一、</w:t>
      </w:r>
      <w:r>
        <w:rPr>
          <w:rFonts w:hint="eastAsia" w:ascii="宋体" w:hAnsi="宋体" w:eastAsia="宋体" w:cs="宋体"/>
          <w:b/>
          <w:bCs/>
          <w:color w:val="auto"/>
          <w:kern w:val="2"/>
          <w:sz w:val="32"/>
          <w:szCs w:val="32"/>
          <w:highlight w:val="none"/>
          <w:lang w:val="en-US" w:eastAsia="zh-CN" w:bidi="ar-SA"/>
        </w:rPr>
        <w:t>供应商信息表</w:t>
      </w:r>
      <w:bookmarkEnd w:id="305"/>
    </w:p>
    <w:tbl>
      <w:tblPr>
        <w:tblStyle w:val="39"/>
        <w:tblW w:w="4999" w:type="pct"/>
        <w:tblInd w:w="0" w:type="dxa"/>
        <w:tblLayout w:type="autofit"/>
        <w:tblCellMar>
          <w:top w:w="0" w:type="dxa"/>
          <w:left w:w="0" w:type="dxa"/>
          <w:bottom w:w="0" w:type="dxa"/>
          <w:right w:w="0" w:type="dxa"/>
        </w:tblCellMar>
      </w:tblPr>
      <w:tblGrid>
        <w:gridCol w:w="1885"/>
        <w:gridCol w:w="980"/>
        <w:gridCol w:w="1036"/>
        <w:gridCol w:w="915"/>
        <w:gridCol w:w="458"/>
        <w:gridCol w:w="342"/>
        <w:gridCol w:w="1175"/>
        <w:gridCol w:w="533"/>
        <w:gridCol w:w="937"/>
        <w:gridCol w:w="1089"/>
      </w:tblGrid>
      <w:tr w14:paraId="675F8E3C">
        <w:tblPrEx>
          <w:tblCellMar>
            <w:top w:w="0" w:type="dxa"/>
            <w:left w:w="0" w:type="dxa"/>
            <w:bottom w:w="0" w:type="dxa"/>
            <w:right w:w="0" w:type="dxa"/>
          </w:tblCellMar>
        </w:tblPrEx>
        <w:trPr>
          <w:trHeight w:val="571"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228B6C01">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3991" w:type="pct"/>
            <w:gridSpan w:val="9"/>
            <w:tcBorders>
              <w:top w:val="single" w:color="000000" w:sz="4" w:space="0"/>
              <w:left w:val="single" w:color="000000" w:sz="4" w:space="0"/>
              <w:bottom w:val="single" w:color="000000" w:sz="4" w:space="0"/>
              <w:right w:val="single" w:color="000000" w:sz="4" w:space="0"/>
            </w:tcBorders>
            <w:vAlign w:val="center"/>
          </w:tcPr>
          <w:p w14:paraId="045F5202">
            <w:pPr>
              <w:adjustRightInd w:val="0"/>
              <w:snapToGrid w:val="0"/>
              <w:ind w:firstLine="0" w:firstLineChars="0"/>
              <w:jc w:val="center"/>
              <w:rPr>
                <w:rFonts w:hint="eastAsia" w:ascii="宋体" w:hAnsi="宋体" w:eastAsia="宋体" w:cs="宋体"/>
                <w:color w:val="auto"/>
                <w:sz w:val="21"/>
                <w:szCs w:val="21"/>
                <w:highlight w:val="none"/>
              </w:rPr>
            </w:pPr>
          </w:p>
        </w:tc>
      </w:tr>
      <w:tr w14:paraId="5DD3B4DD">
        <w:tblPrEx>
          <w:tblCellMar>
            <w:top w:w="0" w:type="dxa"/>
            <w:left w:w="0" w:type="dxa"/>
            <w:bottom w:w="0" w:type="dxa"/>
            <w:right w:w="0" w:type="dxa"/>
          </w:tblCellMar>
        </w:tblPrEx>
        <w:trPr>
          <w:trHeight w:val="621"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25EA3421">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注册地址</w:t>
            </w:r>
          </w:p>
        </w:tc>
        <w:tc>
          <w:tcPr>
            <w:tcW w:w="1995" w:type="pct"/>
            <w:gridSpan w:val="5"/>
            <w:tcBorders>
              <w:top w:val="single" w:color="000000" w:sz="4" w:space="0"/>
              <w:left w:val="single" w:color="000000" w:sz="4" w:space="0"/>
              <w:bottom w:val="single" w:color="000000" w:sz="4" w:space="0"/>
              <w:right w:val="single" w:color="000000" w:sz="4" w:space="0"/>
            </w:tcBorders>
            <w:vAlign w:val="center"/>
          </w:tcPr>
          <w:p w14:paraId="164E38BF">
            <w:pPr>
              <w:adjustRightInd w:val="0"/>
              <w:snapToGrid w:val="0"/>
              <w:ind w:firstLine="0" w:firstLineChars="0"/>
              <w:jc w:val="center"/>
              <w:rPr>
                <w:rFonts w:hint="eastAsia" w:ascii="宋体" w:hAnsi="宋体" w:eastAsia="宋体" w:cs="宋体"/>
                <w:color w:val="auto"/>
                <w:sz w:val="21"/>
                <w:szCs w:val="21"/>
                <w:highlight w:val="none"/>
              </w:rPr>
            </w:pPr>
          </w:p>
        </w:tc>
        <w:tc>
          <w:tcPr>
            <w:tcW w:w="628" w:type="pct"/>
            <w:tcBorders>
              <w:top w:val="single" w:color="000000" w:sz="4" w:space="0"/>
              <w:left w:val="single" w:color="000000" w:sz="4" w:space="0"/>
              <w:bottom w:val="single" w:color="000000" w:sz="4" w:space="0"/>
              <w:right w:val="single" w:color="000000" w:sz="4" w:space="0"/>
            </w:tcBorders>
            <w:vAlign w:val="center"/>
          </w:tcPr>
          <w:p w14:paraId="60C91D41">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367" w:type="pct"/>
            <w:gridSpan w:val="3"/>
            <w:tcBorders>
              <w:top w:val="single" w:color="000000" w:sz="4" w:space="0"/>
              <w:left w:val="single" w:color="000000" w:sz="4" w:space="0"/>
              <w:bottom w:val="single" w:color="000000" w:sz="4" w:space="0"/>
              <w:right w:val="single" w:color="000000" w:sz="4" w:space="0"/>
            </w:tcBorders>
            <w:vAlign w:val="center"/>
          </w:tcPr>
          <w:p w14:paraId="778CABDF">
            <w:pPr>
              <w:adjustRightInd w:val="0"/>
              <w:snapToGrid w:val="0"/>
              <w:ind w:firstLine="0" w:firstLineChars="0"/>
              <w:jc w:val="center"/>
              <w:rPr>
                <w:rFonts w:hint="eastAsia" w:ascii="宋体" w:hAnsi="宋体" w:eastAsia="宋体" w:cs="宋体"/>
                <w:color w:val="auto"/>
                <w:sz w:val="21"/>
                <w:szCs w:val="21"/>
                <w:highlight w:val="none"/>
              </w:rPr>
            </w:pPr>
          </w:p>
        </w:tc>
      </w:tr>
      <w:tr w14:paraId="754BEF85">
        <w:tblPrEx>
          <w:tblCellMar>
            <w:top w:w="0" w:type="dxa"/>
            <w:left w:w="0" w:type="dxa"/>
            <w:bottom w:w="0" w:type="dxa"/>
            <w:right w:w="0" w:type="dxa"/>
          </w:tblCellMar>
        </w:tblPrEx>
        <w:trPr>
          <w:trHeight w:val="615" w:hRule="exact"/>
        </w:trPr>
        <w:tc>
          <w:tcPr>
            <w:tcW w:w="1008" w:type="pct"/>
            <w:vMerge w:val="restart"/>
            <w:tcBorders>
              <w:top w:val="single" w:color="000000" w:sz="4" w:space="0"/>
              <w:left w:val="single" w:color="000000" w:sz="4" w:space="0"/>
              <w:right w:val="single" w:color="000000" w:sz="4" w:space="0"/>
            </w:tcBorders>
            <w:vAlign w:val="center"/>
          </w:tcPr>
          <w:p w14:paraId="7201B803">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c>
          <w:tcPr>
            <w:tcW w:w="524" w:type="pct"/>
            <w:tcBorders>
              <w:top w:val="single" w:color="000000" w:sz="4" w:space="0"/>
              <w:left w:val="single" w:color="000000" w:sz="4" w:space="0"/>
              <w:bottom w:val="single" w:color="000000" w:sz="4" w:space="0"/>
              <w:right w:val="single" w:color="000000" w:sz="4" w:space="0"/>
            </w:tcBorders>
            <w:vAlign w:val="center"/>
          </w:tcPr>
          <w:p w14:paraId="5D45857B">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w:t>
            </w:r>
          </w:p>
        </w:tc>
        <w:tc>
          <w:tcPr>
            <w:tcW w:w="1471" w:type="pct"/>
            <w:gridSpan w:val="4"/>
            <w:tcBorders>
              <w:top w:val="single" w:color="000000" w:sz="4" w:space="0"/>
              <w:left w:val="single" w:color="000000" w:sz="4" w:space="0"/>
              <w:bottom w:val="single" w:color="000000" w:sz="4" w:space="0"/>
              <w:right w:val="single" w:color="000000" w:sz="4" w:space="0"/>
            </w:tcBorders>
            <w:vAlign w:val="center"/>
          </w:tcPr>
          <w:p w14:paraId="14C033C4">
            <w:pPr>
              <w:adjustRightInd w:val="0"/>
              <w:snapToGrid w:val="0"/>
              <w:ind w:firstLine="0" w:firstLineChars="0"/>
              <w:jc w:val="center"/>
              <w:rPr>
                <w:rFonts w:hint="eastAsia" w:ascii="宋体" w:hAnsi="宋体" w:eastAsia="宋体" w:cs="宋体"/>
                <w:color w:val="auto"/>
                <w:sz w:val="21"/>
                <w:szCs w:val="21"/>
                <w:highlight w:val="none"/>
              </w:rPr>
            </w:pPr>
          </w:p>
        </w:tc>
        <w:tc>
          <w:tcPr>
            <w:tcW w:w="628" w:type="pct"/>
            <w:tcBorders>
              <w:top w:val="single" w:color="000000" w:sz="4" w:space="0"/>
              <w:left w:val="single" w:color="000000" w:sz="4" w:space="0"/>
              <w:bottom w:val="single" w:color="000000" w:sz="4" w:space="0"/>
              <w:right w:val="single" w:color="000000" w:sz="4" w:space="0"/>
            </w:tcBorders>
            <w:vAlign w:val="center"/>
          </w:tcPr>
          <w:p w14:paraId="483F4382">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话</w:t>
            </w:r>
          </w:p>
        </w:tc>
        <w:tc>
          <w:tcPr>
            <w:tcW w:w="1367" w:type="pct"/>
            <w:gridSpan w:val="3"/>
            <w:tcBorders>
              <w:top w:val="single" w:color="000000" w:sz="4" w:space="0"/>
              <w:left w:val="single" w:color="000000" w:sz="4" w:space="0"/>
              <w:bottom w:val="single" w:color="000000" w:sz="4" w:space="0"/>
              <w:right w:val="single" w:color="000000" w:sz="4" w:space="0"/>
            </w:tcBorders>
            <w:vAlign w:val="center"/>
          </w:tcPr>
          <w:p w14:paraId="062E63B5">
            <w:pPr>
              <w:adjustRightInd w:val="0"/>
              <w:snapToGrid w:val="0"/>
              <w:ind w:firstLine="0" w:firstLineChars="0"/>
              <w:jc w:val="center"/>
              <w:rPr>
                <w:rFonts w:hint="eastAsia" w:ascii="宋体" w:hAnsi="宋体" w:eastAsia="宋体" w:cs="宋体"/>
                <w:color w:val="auto"/>
                <w:sz w:val="21"/>
                <w:szCs w:val="21"/>
                <w:highlight w:val="none"/>
              </w:rPr>
            </w:pPr>
          </w:p>
        </w:tc>
      </w:tr>
      <w:tr w14:paraId="70E79426">
        <w:tblPrEx>
          <w:tblCellMar>
            <w:top w:w="0" w:type="dxa"/>
            <w:left w:w="0" w:type="dxa"/>
            <w:bottom w:w="0" w:type="dxa"/>
            <w:right w:w="0" w:type="dxa"/>
          </w:tblCellMar>
        </w:tblPrEx>
        <w:trPr>
          <w:trHeight w:val="623" w:hRule="exact"/>
        </w:trPr>
        <w:tc>
          <w:tcPr>
            <w:tcW w:w="1008" w:type="pct"/>
            <w:vMerge w:val="continue"/>
            <w:tcBorders>
              <w:left w:val="single" w:color="000000" w:sz="4" w:space="0"/>
              <w:bottom w:val="single" w:color="000000" w:sz="4" w:space="0"/>
              <w:right w:val="single" w:color="000000" w:sz="4" w:space="0"/>
            </w:tcBorders>
            <w:vAlign w:val="center"/>
          </w:tcPr>
          <w:p w14:paraId="1FD0549A">
            <w:pPr>
              <w:adjustRightInd w:val="0"/>
              <w:snapToGrid w:val="0"/>
              <w:ind w:firstLine="0" w:firstLineChars="0"/>
              <w:jc w:val="center"/>
              <w:rPr>
                <w:rFonts w:hint="eastAsia" w:ascii="宋体" w:hAnsi="宋体" w:eastAsia="宋体" w:cs="宋体"/>
                <w:color w:val="auto"/>
                <w:sz w:val="21"/>
                <w:szCs w:val="21"/>
                <w:highlight w:val="none"/>
              </w:rPr>
            </w:pPr>
          </w:p>
        </w:tc>
        <w:tc>
          <w:tcPr>
            <w:tcW w:w="524" w:type="pct"/>
            <w:tcBorders>
              <w:top w:val="single" w:color="000000" w:sz="4" w:space="0"/>
              <w:left w:val="single" w:color="000000" w:sz="4" w:space="0"/>
              <w:bottom w:val="single" w:color="000000" w:sz="4" w:space="0"/>
              <w:right w:val="single" w:color="000000" w:sz="4" w:space="0"/>
            </w:tcBorders>
            <w:vAlign w:val="center"/>
          </w:tcPr>
          <w:p w14:paraId="37282D88">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真</w:t>
            </w:r>
          </w:p>
        </w:tc>
        <w:tc>
          <w:tcPr>
            <w:tcW w:w="1471" w:type="pct"/>
            <w:gridSpan w:val="4"/>
            <w:tcBorders>
              <w:top w:val="single" w:color="000000" w:sz="4" w:space="0"/>
              <w:left w:val="single" w:color="000000" w:sz="4" w:space="0"/>
              <w:bottom w:val="single" w:color="000000" w:sz="4" w:space="0"/>
              <w:right w:val="single" w:color="000000" w:sz="4" w:space="0"/>
            </w:tcBorders>
            <w:vAlign w:val="center"/>
          </w:tcPr>
          <w:p w14:paraId="498E36BE">
            <w:pPr>
              <w:adjustRightInd w:val="0"/>
              <w:snapToGrid w:val="0"/>
              <w:ind w:firstLine="0" w:firstLineChars="0"/>
              <w:jc w:val="center"/>
              <w:rPr>
                <w:rFonts w:hint="eastAsia" w:ascii="宋体" w:hAnsi="宋体" w:eastAsia="宋体" w:cs="宋体"/>
                <w:color w:val="auto"/>
                <w:sz w:val="21"/>
                <w:szCs w:val="21"/>
                <w:highlight w:val="none"/>
              </w:rPr>
            </w:pPr>
          </w:p>
        </w:tc>
        <w:tc>
          <w:tcPr>
            <w:tcW w:w="628" w:type="pct"/>
            <w:tcBorders>
              <w:top w:val="single" w:color="000000" w:sz="4" w:space="0"/>
              <w:left w:val="single" w:color="000000" w:sz="4" w:space="0"/>
              <w:bottom w:val="single" w:color="000000" w:sz="4" w:space="0"/>
              <w:right w:val="single" w:color="000000" w:sz="4" w:space="0"/>
            </w:tcBorders>
            <w:vAlign w:val="center"/>
          </w:tcPr>
          <w:p w14:paraId="7ECA155E">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z w:val="21"/>
                <w:szCs w:val="21"/>
                <w:highlight w:val="none"/>
              </w:rPr>
              <w:t>址</w:t>
            </w:r>
          </w:p>
        </w:tc>
        <w:tc>
          <w:tcPr>
            <w:tcW w:w="1367" w:type="pct"/>
            <w:gridSpan w:val="3"/>
            <w:tcBorders>
              <w:top w:val="single" w:color="000000" w:sz="4" w:space="0"/>
              <w:left w:val="single" w:color="000000" w:sz="4" w:space="0"/>
              <w:bottom w:val="single" w:color="000000" w:sz="4" w:space="0"/>
              <w:right w:val="single" w:color="000000" w:sz="4" w:space="0"/>
            </w:tcBorders>
            <w:vAlign w:val="center"/>
          </w:tcPr>
          <w:p w14:paraId="67D33C10">
            <w:pPr>
              <w:adjustRightInd w:val="0"/>
              <w:snapToGrid w:val="0"/>
              <w:ind w:firstLine="0" w:firstLineChars="0"/>
              <w:jc w:val="center"/>
              <w:rPr>
                <w:rFonts w:hint="eastAsia" w:ascii="宋体" w:hAnsi="宋体" w:eastAsia="宋体" w:cs="宋体"/>
                <w:color w:val="auto"/>
                <w:sz w:val="21"/>
                <w:szCs w:val="21"/>
                <w:highlight w:val="none"/>
              </w:rPr>
            </w:pPr>
          </w:p>
        </w:tc>
      </w:tr>
      <w:tr w14:paraId="154E3BF9">
        <w:tblPrEx>
          <w:tblCellMar>
            <w:top w:w="0" w:type="dxa"/>
            <w:left w:w="0" w:type="dxa"/>
            <w:bottom w:w="0" w:type="dxa"/>
            <w:right w:w="0" w:type="dxa"/>
          </w:tblCellMar>
        </w:tblPrEx>
        <w:trPr>
          <w:trHeight w:val="624"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65CA4318">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组织结构</w:t>
            </w:r>
          </w:p>
        </w:tc>
        <w:tc>
          <w:tcPr>
            <w:tcW w:w="3991" w:type="pct"/>
            <w:gridSpan w:val="9"/>
            <w:tcBorders>
              <w:top w:val="single" w:color="000000" w:sz="4" w:space="0"/>
              <w:left w:val="single" w:color="000000" w:sz="4" w:space="0"/>
              <w:bottom w:val="single" w:color="000000" w:sz="4" w:space="0"/>
              <w:right w:val="single" w:color="000000" w:sz="4" w:space="0"/>
            </w:tcBorders>
            <w:vAlign w:val="center"/>
          </w:tcPr>
          <w:p w14:paraId="4A0F6014">
            <w:pPr>
              <w:adjustRightInd w:val="0"/>
              <w:snapToGrid w:val="0"/>
              <w:ind w:firstLine="0" w:firstLineChars="0"/>
              <w:jc w:val="center"/>
              <w:rPr>
                <w:rFonts w:hint="eastAsia" w:ascii="宋体" w:hAnsi="宋体" w:eastAsia="宋体" w:cs="宋体"/>
                <w:color w:val="auto"/>
                <w:sz w:val="21"/>
                <w:szCs w:val="21"/>
                <w:highlight w:val="none"/>
              </w:rPr>
            </w:pPr>
          </w:p>
        </w:tc>
      </w:tr>
      <w:tr w14:paraId="4B1D6B01">
        <w:tblPrEx>
          <w:tblCellMar>
            <w:top w:w="0" w:type="dxa"/>
            <w:left w:w="0" w:type="dxa"/>
            <w:bottom w:w="0" w:type="dxa"/>
            <w:right w:w="0" w:type="dxa"/>
          </w:tblCellMar>
        </w:tblPrEx>
        <w:trPr>
          <w:trHeight w:val="618"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6B2473D7">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tc>
        <w:tc>
          <w:tcPr>
            <w:tcW w:w="524" w:type="pct"/>
            <w:tcBorders>
              <w:top w:val="single" w:color="000000" w:sz="4" w:space="0"/>
              <w:left w:val="single" w:color="000000" w:sz="4" w:space="0"/>
              <w:bottom w:val="single" w:color="000000" w:sz="4" w:space="0"/>
              <w:right w:val="single" w:color="000000" w:sz="4" w:space="0"/>
            </w:tcBorders>
            <w:vAlign w:val="center"/>
          </w:tcPr>
          <w:p w14:paraId="2266C871">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554" w:type="pct"/>
            <w:tcBorders>
              <w:top w:val="single" w:color="000000" w:sz="4" w:space="0"/>
              <w:left w:val="single" w:color="000000" w:sz="4" w:space="0"/>
              <w:bottom w:val="single" w:color="000000" w:sz="4" w:space="0"/>
              <w:right w:val="single" w:color="000000" w:sz="4" w:space="0"/>
            </w:tcBorders>
            <w:vAlign w:val="center"/>
          </w:tcPr>
          <w:p w14:paraId="4A28CD85">
            <w:pPr>
              <w:adjustRightInd w:val="0"/>
              <w:snapToGrid w:val="0"/>
              <w:ind w:firstLine="0" w:firstLineChars="0"/>
              <w:jc w:val="center"/>
              <w:rPr>
                <w:rFonts w:hint="eastAsia" w:ascii="宋体" w:hAnsi="宋体" w:eastAsia="宋体" w:cs="宋体"/>
                <w:color w:val="auto"/>
                <w:sz w:val="21"/>
                <w:szCs w:val="21"/>
                <w:highlight w:val="none"/>
              </w:rPr>
            </w:pP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558B0C83">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096" w:type="pct"/>
            <w:gridSpan w:val="3"/>
            <w:tcBorders>
              <w:top w:val="single" w:color="000000" w:sz="4" w:space="0"/>
              <w:left w:val="single" w:color="000000" w:sz="4" w:space="0"/>
              <w:bottom w:val="single" w:color="000000" w:sz="4" w:space="0"/>
              <w:right w:val="single" w:color="000000" w:sz="4" w:space="0"/>
            </w:tcBorders>
            <w:vAlign w:val="center"/>
          </w:tcPr>
          <w:p w14:paraId="55EC415D">
            <w:pPr>
              <w:adjustRightInd w:val="0"/>
              <w:snapToGrid w:val="0"/>
              <w:ind w:firstLine="0" w:firstLineChars="0"/>
              <w:jc w:val="center"/>
              <w:rPr>
                <w:rFonts w:hint="eastAsia" w:ascii="宋体" w:hAnsi="宋体" w:eastAsia="宋体" w:cs="宋体"/>
                <w:color w:val="auto"/>
                <w:sz w:val="21"/>
                <w:szCs w:val="21"/>
                <w:highlight w:val="none"/>
              </w:rPr>
            </w:pPr>
          </w:p>
        </w:tc>
        <w:tc>
          <w:tcPr>
            <w:tcW w:w="501" w:type="pct"/>
            <w:tcBorders>
              <w:top w:val="single" w:color="000000" w:sz="4" w:space="0"/>
              <w:left w:val="single" w:color="000000" w:sz="4" w:space="0"/>
              <w:bottom w:val="single" w:color="000000" w:sz="4" w:space="0"/>
              <w:right w:val="single" w:color="000000" w:sz="4" w:space="0"/>
            </w:tcBorders>
            <w:vAlign w:val="center"/>
          </w:tcPr>
          <w:p w14:paraId="6A7B180A">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580" w:type="pct"/>
            <w:tcBorders>
              <w:top w:val="single" w:color="000000" w:sz="4" w:space="0"/>
              <w:left w:val="single" w:color="000000" w:sz="4" w:space="0"/>
              <w:bottom w:val="single" w:color="000000" w:sz="4" w:space="0"/>
              <w:right w:val="single" w:color="000000" w:sz="4" w:space="0"/>
            </w:tcBorders>
            <w:vAlign w:val="center"/>
          </w:tcPr>
          <w:p w14:paraId="2680F71D">
            <w:pPr>
              <w:adjustRightInd w:val="0"/>
              <w:snapToGrid w:val="0"/>
              <w:ind w:firstLine="0" w:firstLineChars="0"/>
              <w:jc w:val="center"/>
              <w:rPr>
                <w:rFonts w:hint="eastAsia" w:ascii="宋体" w:hAnsi="宋体" w:eastAsia="宋体" w:cs="宋体"/>
                <w:color w:val="auto"/>
                <w:sz w:val="21"/>
                <w:szCs w:val="21"/>
                <w:highlight w:val="none"/>
              </w:rPr>
            </w:pPr>
          </w:p>
        </w:tc>
      </w:tr>
      <w:tr w14:paraId="2243FE52">
        <w:tblPrEx>
          <w:tblCellMar>
            <w:top w:w="0" w:type="dxa"/>
            <w:left w:w="0" w:type="dxa"/>
            <w:bottom w:w="0" w:type="dxa"/>
            <w:right w:w="0" w:type="dxa"/>
          </w:tblCellMar>
        </w:tblPrEx>
        <w:trPr>
          <w:trHeight w:val="612"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31336E04">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524" w:type="pct"/>
            <w:tcBorders>
              <w:top w:val="single" w:color="000000" w:sz="4" w:space="0"/>
              <w:left w:val="single" w:color="000000" w:sz="4" w:space="0"/>
              <w:bottom w:val="single" w:color="000000" w:sz="4" w:space="0"/>
              <w:right w:val="single" w:color="000000" w:sz="4" w:space="0"/>
            </w:tcBorders>
            <w:vAlign w:val="center"/>
          </w:tcPr>
          <w:p w14:paraId="24936AE8">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554" w:type="pct"/>
            <w:tcBorders>
              <w:top w:val="single" w:color="000000" w:sz="4" w:space="0"/>
              <w:left w:val="single" w:color="000000" w:sz="4" w:space="0"/>
              <w:bottom w:val="single" w:color="000000" w:sz="4" w:space="0"/>
              <w:right w:val="single" w:color="000000" w:sz="4" w:space="0"/>
            </w:tcBorders>
            <w:vAlign w:val="center"/>
          </w:tcPr>
          <w:p w14:paraId="57937936">
            <w:pPr>
              <w:adjustRightInd w:val="0"/>
              <w:snapToGrid w:val="0"/>
              <w:ind w:firstLine="0" w:firstLineChars="0"/>
              <w:jc w:val="center"/>
              <w:rPr>
                <w:rFonts w:hint="eastAsia" w:ascii="宋体" w:hAnsi="宋体" w:eastAsia="宋体" w:cs="宋体"/>
                <w:color w:val="auto"/>
                <w:sz w:val="21"/>
                <w:szCs w:val="21"/>
                <w:highlight w:val="none"/>
              </w:rPr>
            </w:pPr>
          </w:p>
        </w:tc>
        <w:tc>
          <w:tcPr>
            <w:tcW w:w="734" w:type="pct"/>
            <w:gridSpan w:val="2"/>
            <w:tcBorders>
              <w:top w:val="single" w:color="000000" w:sz="4" w:space="0"/>
              <w:left w:val="single" w:color="000000" w:sz="4" w:space="0"/>
              <w:bottom w:val="single" w:color="000000" w:sz="4" w:space="0"/>
              <w:right w:val="single" w:color="000000" w:sz="4" w:space="0"/>
            </w:tcBorders>
            <w:vAlign w:val="center"/>
          </w:tcPr>
          <w:p w14:paraId="581AFF3C">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技术职称</w:t>
            </w:r>
          </w:p>
        </w:tc>
        <w:tc>
          <w:tcPr>
            <w:tcW w:w="1096" w:type="pct"/>
            <w:gridSpan w:val="3"/>
            <w:tcBorders>
              <w:top w:val="single" w:color="000000" w:sz="4" w:space="0"/>
              <w:left w:val="single" w:color="000000" w:sz="4" w:space="0"/>
              <w:bottom w:val="single" w:color="000000" w:sz="4" w:space="0"/>
              <w:right w:val="single" w:color="000000" w:sz="4" w:space="0"/>
            </w:tcBorders>
            <w:vAlign w:val="center"/>
          </w:tcPr>
          <w:p w14:paraId="58C7AEFD">
            <w:pPr>
              <w:adjustRightInd w:val="0"/>
              <w:snapToGrid w:val="0"/>
              <w:ind w:firstLine="0" w:firstLineChars="0"/>
              <w:jc w:val="center"/>
              <w:rPr>
                <w:rFonts w:hint="eastAsia" w:ascii="宋体" w:hAnsi="宋体" w:eastAsia="宋体" w:cs="宋体"/>
                <w:color w:val="auto"/>
                <w:sz w:val="21"/>
                <w:szCs w:val="21"/>
                <w:highlight w:val="none"/>
              </w:rPr>
            </w:pPr>
          </w:p>
        </w:tc>
        <w:tc>
          <w:tcPr>
            <w:tcW w:w="501" w:type="pct"/>
            <w:tcBorders>
              <w:top w:val="single" w:color="000000" w:sz="4" w:space="0"/>
              <w:left w:val="single" w:color="000000" w:sz="4" w:space="0"/>
              <w:bottom w:val="single" w:color="000000" w:sz="4" w:space="0"/>
              <w:right w:val="single" w:color="000000" w:sz="4" w:space="0"/>
            </w:tcBorders>
            <w:vAlign w:val="center"/>
          </w:tcPr>
          <w:p w14:paraId="7604C98C">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tc>
        <w:tc>
          <w:tcPr>
            <w:tcW w:w="580" w:type="pct"/>
            <w:tcBorders>
              <w:top w:val="single" w:color="000000" w:sz="4" w:space="0"/>
              <w:left w:val="single" w:color="000000" w:sz="4" w:space="0"/>
              <w:bottom w:val="single" w:color="000000" w:sz="4" w:space="0"/>
              <w:right w:val="single" w:color="000000" w:sz="4" w:space="0"/>
            </w:tcBorders>
            <w:vAlign w:val="center"/>
          </w:tcPr>
          <w:p w14:paraId="5DC59C73">
            <w:pPr>
              <w:adjustRightInd w:val="0"/>
              <w:snapToGrid w:val="0"/>
              <w:ind w:firstLine="0" w:firstLineChars="0"/>
              <w:jc w:val="center"/>
              <w:rPr>
                <w:rFonts w:hint="eastAsia" w:ascii="宋体" w:hAnsi="宋体" w:eastAsia="宋体" w:cs="宋体"/>
                <w:color w:val="auto"/>
                <w:sz w:val="21"/>
                <w:szCs w:val="21"/>
                <w:highlight w:val="none"/>
              </w:rPr>
            </w:pPr>
          </w:p>
        </w:tc>
      </w:tr>
      <w:tr w14:paraId="346E62F5">
        <w:tblPrEx>
          <w:tblCellMar>
            <w:top w:w="0" w:type="dxa"/>
            <w:left w:w="0" w:type="dxa"/>
            <w:bottom w:w="0" w:type="dxa"/>
            <w:right w:w="0" w:type="dxa"/>
          </w:tblCellMar>
        </w:tblPrEx>
        <w:trPr>
          <w:trHeight w:val="634"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7C733E84">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19ECC80D">
            <w:pPr>
              <w:adjustRightInd w:val="0"/>
              <w:snapToGrid w:val="0"/>
              <w:ind w:firstLine="0" w:firstLineChars="0"/>
              <w:jc w:val="center"/>
              <w:rPr>
                <w:rFonts w:hint="eastAsia" w:ascii="宋体" w:hAnsi="宋体" w:eastAsia="宋体" w:cs="宋体"/>
                <w:color w:val="auto"/>
                <w:sz w:val="21"/>
                <w:szCs w:val="21"/>
                <w:highlight w:val="none"/>
              </w:rPr>
            </w:pPr>
          </w:p>
        </w:tc>
        <w:tc>
          <w:tcPr>
            <w:tcW w:w="2912" w:type="pct"/>
            <w:gridSpan w:val="7"/>
            <w:tcBorders>
              <w:top w:val="single" w:color="000000" w:sz="4" w:space="0"/>
              <w:left w:val="single" w:color="000000" w:sz="4" w:space="0"/>
              <w:bottom w:val="single" w:color="000000" w:sz="4" w:space="0"/>
              <w:right w:val="single" w:color="000000" w:sz="4" w:space="0"/>
            </w:tcBorders>
            <w:vAlign w:val="center"/>
          </w:tcPr>
          <w:p w14:paraId="480C30AF">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员工总人数：</w:t>
            </w:r>
          </w:p>
        </w:tc>
      </w:tr>
      <w:tr w14:paraId="7EB75F4E">
        <w:tblPrEx>
          <w:tblCellMar>
            <w:top w:w="0" w:type="dxa"/>
            <w:left w:w="0" w:type="dxa"/>
            <w:bottom w:w="0" w:type="dxa"/>
            <w:right w:w="0" w:type="dxa"/>
          </w:tblCellMar>
        </w:tblPrEx>
        <w:trPr>
          <w:trHeight w:val="668"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0CA7F645">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企业资质等级</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7343D631">
            <w:pPr>
              <w:adjustRightInd w:val="0"/>
              <w:snapToGrid w:val="0"/>
              <w:ind w:firstLine="0" w:firstLineChars="0"/>
              <w:jc w:val="center"/>
              <w:rPr>
                <w:rFonts w:hint="eastAsia" w:ascii="宋体" w:hAnsi="宋体" w:eastAsia="宋体" w:cs="宋体"/>
                <w:color w:val="auto"/>
                <w:sz w:val="21"/>
                <w:szCs w:val="21"/>
                <w:highlight w:val="none"/>
              </w:rPr>
            </w:pPr>
          </w:p>
        </w:tc>
        <w:tc>
          <w:tcPr>
            <w:tcW w:w="489" w:type="pct"/>
            <w:vMerge w:val="restart"/>
            <w:tcBorders>
              <w:top w:val="single" w:color="000000" w:sz="4" w:space="0"/>
              <w:left w:val="single" w:color="000000" w:sz="4" w:space="0"/>
              <w:right w:val="single" w:color="000000" w:sz="4" w:space="0"/>
            </w:tcBorders>
            <w:vAlign w:val="center"/>
          </w:tcPr>
          <w:p w14:paraId="37F4F08E">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tc>
        <w:tc>
          <w:tcPr>
            <w:tcW w:w="1341" w:type="pct"/>
            <w:gridSpan w:val="4"/>
            <w:tcBorders>
              <w:top w:val="single" w:color="000000" w:sz="4" w:space="0"/>
              <w:left w:val="single" w:color="000000" w:sz="4" w:space="0"/>
              <w:bottom w:val="single" w:color="000000" w:sz="4" w:space="0"/>
              <w:right w:val="single" w:color="000000" w:sz="4" w:space="0"/>
            </w:tcBorders>
            <w:vAlign w:val="center"/>
          </w:tcPr>
          <w:p w14:paraId="57246E05">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1081" w:type="pct"/>
            <w:gridSpan w:val="2"/>
            <w:tcBorders>
              <w:top w:val="single" w:color="000000" w:sz="4" w:space="0"/>
              <w:left w:val="single" w:color="000000" w:sz="4" w:space="0"/>
              <w:bottom w:val="single" w:color="000000" w:sz="4" w:space="0"/>
              <w:right w:val="single" w:color="000000" w:sz="4" w:space="0"/>
            </w:tcBorders>
            <w:vAlign w:val="center"/>
          </w:tcPr>
          <w:p w14:paraId="6BF361BD">
            <w:pPr>
              <w:adjustRightInd w:val="0"/>
              <w:snapToGrid w:val="0"/>
              <w:ind w:firstLine="0" w:firstLineChars="0"/>
              <w:jc w:val="center"/>
              <w:rPr>
                <w:rFonts w:hint="eastAsia" w:ascii="宋体" w:hAnsi="宋体" w:eastAsia="宋体" w:cs="宋体"/>
                <w:color w:val="auto"/>
                <w:sz w:val="21"/>
                <w:szCs w:val="21"/>
                <w:highlight w:val="none"/>
              </w:rPr>
            </w:pPr>
          </w:p>
        </w:tc>
      </w:tr>
      <w:tr w14:paraId="529FA484">
        <w:tblPrEx>
          <w:tblCellMar>
            <w:top w:w="0" w:type="dxa"/>
            <w:left w:w="0" w:type="dxa"/>
            <w:bottom w:w="0" w:type="dxa"/>
            <w:right w:w="0" w:type="dxa"/>
          </w:tblCellMar>
        </w:tblPrEx>
        <w:trPr>
          <w:trHeight w:val="620"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53DB51AA">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营业执照号</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20BFF83A">
            <w:pPr>
              <w:adjustRightInd w:val="0"/>
              <w:snapToGrid w:val="0"/>
              <w:ind w:firstLine="0" w:firstLineChars="0"/>
              <w:jc w:val="center"/>
              <w:rPr>
                <w:rFonts w:hint="eastAsia" w:ascii="宋体" w:hAnsi="宋体" w:eastAsia="宋体" w:cs="宋体"/>
                <w:color w:val="auto"/>
                <w:sz w:val="21"/>
                <w:szCs w:val="21"/>
                <w:highlight w:val="none"/>
              </w:rPr>
            </w:pPr>
          </w:p>
        </w:tc>
        <w:tc>
          <w:tcPr>
            <w:tcW w:w="489" w:type="pct"/>
            <w:vMerge w:val="continue"/>
            <w:tcBorders>
              <w:left w:val="single" w:color="000000" w:sz="4" w:space="0"/>
              <w:right w:val="single" w:color="000000" w:sz="4" w:space="0"/>
            </w:tcBorders>
            <w:vAlign w:val="center"/>
          </w:tcPr>
          <w:p w14:paraId="2CF0543F">
            <w:pPr>
              <w:adjustRightInd w:val="0"/>
              <w:snapToGrid w:val="0"/>
              <w:ind w:firstLine="0" w:firstLineChars="0"/>
              <w:jc w:val="center"/>
              <w:rPr>
                <w:rFonts w:hint="eastAsia" w:ascii="宋体" w:hAnsi="宋体" w:eastAsia="宋体" w:cs="宋体"/>
                <w:color w:val="auto"/>
                <w:sz w:val="21"/>
                <w:szCs w:val="21"/>
                <w:highlight w:val="none"/>
              </w:rPr>
            </w:pPr>
          </w:p>
        </w:tc>
        <w:tc>
          <w:tcPr>
            <w:tcW w:w="1341" w:type="pct"/>
            <w:gridSpan w:val="4"/>
            <w:tcBorders>
              <w:top w:val="single" w:color="000000" w:sz="4" w:space="0"/>
              <w:left w:val="single" w:color="000000" w:sz="4" w:space="0"/>
              <w:bottom w:val="single" w:color="000000" w:sz="4" w:space="0"/>
              <w:right w:val="single" w:color="000000" w:sz="4" w:space="0"/>
            </w:tcBorders>
            <w:vAlign w:val="center"/>
          </w:tcPr>
          <w:p w14:paraId="27375A12">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高级职称人员</w:t>
            </w:r>
          </w:p>
        </w:tc>
        <w:tc>
          <w:tcPr>
            <w:tcW w:w="1081" w:type="pct"/>
            <w:gridSpan w:val="2"/>
            <w:tcBorders>
              <w:top w:val="single" w:color="000000" w:sz="4" w:space="0"/>
              <w:left w:val="single" w:color="000000" w:sz="4" w:space="0"/>
              <w:bottom w:val="single" w:color="000000" w:sz="4" w:space="0"/>
              <w:right w:val="single" w:color="000000" w:sz="4" w:space="0"/>
            </w:tcBorders>
            <w:vAlign w:val="center"/>
          </w:tcPr>
          <w:p w14:paraId="5A9A99B6">
            <w:pPr>
              <w:adjustRightInd w:val="0"/>
              <w:snapToGrid w:val="0"/>
              <w:ind w:firstLine="0" w:firstLineChars="0"/>
              <w:jc w:val="center"/>
              <w:rPr>
                <w:rFonts w:hint="eastAsia" w:ascii="宋体" w:hAnsi="宋体" w:eastAsia="宋体" w:cs="宋体"/>
                <w:color w:val="auto"/>
                <w:sz w:val="21"/>
                <w:szCs w:val="21"/>
                <w:highlight w:val="none"/>
              </w:rPr>
            </w:pPr>
          </w:p>
        </w:tc>
      </w:tr>
      <w:tr w14:paraId="167E6E5D">
        <w:tblPrEx>
          <w:tblCellMar>
            <w:top w:w="0" w:type="dxa"/>
            <w:left w:w="0" w:type="dxa"/>
            <w:bottom w:w="0" w:type="dxa"/>
            <w:right w:w="0" w:type="dxa"/>
          </w:tblCellMar>
        </w:tblPrEx>
        <w:trPr>
          <w:trHeight w:val="614"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52D4C122">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注册资金</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6469BB27">
            <w:pPr>
              <w:adjustRightInd w:val="0"/>
              <w:snapToGrid w:val="0"/>
              <w:ind w:firstLine="0" w:firstLineChars="0"/>
              <w:jc w:val="center"/>
              <w:rPr>
                <w:rFonts w:hint="eastAsia" w:ascii="宋体" w:hAnsi="宋体" w:eastAsia="宋体" w:cs="宋体"/>
                <w:color w:val="auto"/>
                <w:sz w:val="21"/>
                <w:szCs w:val="21"/>
                <w:highlight w:val="none"/>
              </w:rPr>
            </w:pPr>
          </w:p>
        </w:tc>
        <w:tc>
          <w:tcPr>
            <w:tcW w:w="489" w:type="pct"/>
            <w:vMerge w:val="continue"/>
            <w:tcBorders>
              <w:left w:val="single" w:color="000000" w:sz="4" w:space="0"/>
              <w:right w:val="single" w:color="000000" w:sz="4" w:space="0"/>
            </w:tcBorders>
            <w:vAlign w:val="center"/>
          </w:tcPr>
          <w:p w14:paraId="2EFE78E1">
            <w:pPr>
              <w:adjustRightInd w:val="0"/>
              <w:snapToGrid w:val="0"/>
              <w:ind w:firstLine="0" w:firstLineChars="0"/>
              <w:jc w:val="center"/>
              <w:rPr>
                <w:rFonts w:hint="eastAsia" w:ascii="宋体" w:hAnsi="宋体" w:eastAsia="宋体" w:cs="宋体"/>
                <w:color w:val="auto"/>
                <w:sz w:val="21"/>
                <w:szCs w:val="21"/>
                <w:highlight w:val="none"/>
              </w:rPr>
            </w:pPr>
          </w:p>
        </w:tc>
        <w:tc>
          <w:tcPr>
            <w:tcW w:w="1341" w:type="pct"/>
            <w:gridSpan w:val="4"/>
            <w:tcBorders>
              <w:top w:val="single" w:color="000000" w:sz="4" w:space="0"/>
              <w:left w:val="single" w:color="000000" w:sz="4" w:space="0"/>
              <w:bottom w:val="single" w:color="000000" w:sz="4" w:space="0"/>
              <w:right w:val="single" w:color="000000" w:sz="4" w:space="0"/>
            </w:tcBorders>
            <w:vAlign w:val="center"/>
          </w:tcPr>
          <w:p w14:paraId="63F2B377">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中级职称人员</w:t>
            </w:r>
          </w:p>
        </w:tc>
        <w:tc>
          <w:tcPr>
            <w:tcW w:w="1081" w:type="pct"/>
            <w:gridSpan w:val="2"/>
            <w:tcBorders>
              <w:top w:val="single" w:color="000000" w:sz="4" w:space="0"/>
              <w:left w:val="single" w:color="000000" w:sz="4" w:space="0"/>
              <w:bottom w:val="single" w:color="000000" w:sz="4" w:space="0"/>
              <w:right w:val="single" w:color="000000" w:sz="4" w:space="0"/>
            </w:tcBorders>
            <w:vAlign w:val="center"/>
          </w:tcPr>
          <w:p w14:paraId="7B58383D">
            <w:pPr>
              <w:adjustRightInd w:val="0"/>
              <w:snapToGrid w:val="0"/>
              <w:ind w:firstLine="0" w:firstLineChars="0"/>
              <w:jc w:val="center"/>
              <w:rPr>
                <w:rFonts w:hint="eastAsia" w:ascii="宋体" w:hAnsi="宋体" w:eastAsia="宋体" w:cs="宋体"/>
                <w:color w:val="auto"/>
                <w:sz w:val="21"/>
                <w:szCs w:val="21"/>
                <w:highlight w:val="none"/>
              </w:rPr>
            </w:pPr>
          </w:p>
        </w:tc>
      </w:tr>
      <w:tr w14:paraId="3FD18F40">
        <w:tblPrEx>
          <w:tblCellMar>
            <w:top w:w="0" w:type="dxa"/>
            <w:left w:w="0" w:type="dxa"/>
            <w:bottom w:w="0" w:type="dxa"/>
            <w:right w:w="0" w:type="dxa"/>
          </w:tblCellMar>
        </w:tblPrEx>
        <w:trPr>
          <w:trHeight w:val="636"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045FE31F">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08F219CE">
            <w:pPr>
              <w:adjustRightInd w:val="0"/>
              <w:snapToGrid w:val="0"/>
              <w:ind w:firstLine="0" w:firstLineChars="0"/>
              <w:jc w:val="center"/>
              <w:rPr>
                <w:rFonts w:hint="eastAsia" w:ascii="宋体" w:hAnsi="宋体" w:eastAsia="宋体" w:cs="宋体"/>
                <w:color w:val="auto"/>
                <w:sz w:val="21"/>
                <w:szCs w:val="21"/>
                <w:highlight w:val="none"/>
              </w:rPr>
            </w:pPr>
          </w:p>
        </w:tc>
        <w:tc>
          <w:tcPr>
            <w:tcW w:w="489" w:type="pct"/>
            <w:vMerge w:val="continue"/>
            <w:tcBorders>
              <w:left w:val="single" w:color="000000" w:sz="4" w:space="0"/>
              <w:right w:val="single" w:color="000000" w:sz="4" w:space="0"/>
            </w:tcBorders>
            <w:vAlign w:val="center"/>
          </w:tcPr>
          <w:p w14:paraId="78623DCA">
            <w:pPr>
              <w:adjustRightInd w:val="0"/>
              <w:snapToGrid w:val="0"/>
              <w:ind w:firstLine="0" w:firstLineChars="0"/>
              <w:jc w:val="center"/>
              <w:rPr>
                <w:rFonts w:hint="eastAsia" w:ascii="宋体" w:hAnsi="宋体" w:eastAsia="宋体" w:cs="宋体"/>
                <w:color w:val="auto"/>
                <w:sz w:val="21"/>
                <w:szCs w:val="21"/>
                <w:highlight w:val="none"/>
              </w:rPr>
            </w:pPr>
          </w:p>
        </w:tc>
        <w:tc>
          <w:tcPr>
            <w:tcW w:w="1341" w:type="pct"/>
            <w:gridSpan w:val="4"/>
            <w:tcBorders>
              <w:top w:val="single" w:color="000000" w:sz="4" w:space="0"/>
              <w:left w:val="single" w:color="000000" w:sz="4" w:space="0"/>
              <w:bottom w:val="single" w:color="000000" w:sz="4" w:space="0"/>
              <w:right w:val="single" w:color="000000" w:sz="4" w:space="0"/>
            </w:tcBorders>
            <w:vAlign w:val="center"/>
          </w:tcPr>
          <w:p w14:paraId="2514512E">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初级职称人员</w:t>
            </w:r>
          </w:p>
        </w:tc>
        <w:tc>
          <w:tcPr>
            <w:tcW w:w="1081" w:type="pct"/>
            <w:gridSpan w:val="2"/>
            <w:tcBorders>
              <w:top w:val="single" w:color="000000" w:sz="4" w:space="0"/>
              <w:left w:val="single" w:color="000000" w:sz="4" w:space="0"/>
              <w:bottom w:val="single" w:color="000000" w:sz="4" w:space="0"/>
              <w:right w:val="single" w:color="000000" w:sz="4" w:space="0"/>
            </w:tcBorders>
            <w:vAlign w:val="center"/>
          </w:tcPr>
          <w:p w14:paraId="657D9E97">
            <w:pPr>
              <w:adjustRightInd w:val="0"/>
              <w:snapToGrid w:val="0"/>
              <w:ind w:firstLine="0" w:firstLineChars="0"/>
              <w:jc w:val="center"/>
              <w:rPr>
                <w:rFonts w:hint="eastAsia" w:ascii="宋体" w:hAnsi="宋体" w:eastAsia="宋体" w:cs="宋体"/>
                <w:color w:val="auto"/>
                <w:sz w:val="21"/>
                <w:szCs w:val="21"/>
                <w:highlight w:val="none"/>
              </w:rPr>
            </w:pPr>
          </w:p>
        </w:tc>
      </w:tr>
      <w:tr w14:paraId="0737A006">
        <w:tblPrEx>
          <w:tblCellMar>
            <w:top w:w="0" w:type="dxa"/>
            <w:left w:w="0" w:type="dxa"/>
            <w:bottom w:w="0" w:type="dxa"/>
            <w:right w:w="0" w:type="dxa"/>
          </w:tblCellMar>
        </w:tblPrEx>
        <w:trPr>
          <w:trHeight w:val="616"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037D8692">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账号</w:t>
            </w:r>
          </w:p>
        </w:tc>
        <w:tc>
          <w:tcPr>
            <w:tcW w:w="1078" w:type="pct"/>
            <w:gridSpan w:val="2"/>
            <w:tcBorders>
              <w:top w:val="single" w:color="000000" w:sz="4" w:space="0"/>
              <w:left w:val="single" w:color="000000" w:sz="4" w:space="0"/>
              <w:bottom w:val="single" w:color="000000" w:sz="4" w:space="0"/>
              <w:right w:val="single" w:color="000000" w:sz="4" w:space="0"/>
            </w:tcBorders>
            <w:vAlign w:val="center"/>
          </w:tcPr>
          <w:p w14:paraId="59A24A38">
            <w:pPr>
              <w:adjustRightInd w:val="0"/>
              <w:snapToGrid w:val="0"/>
              <w:ind w:firstLine="0" w:firstLineChars="0"/>
              <w:jc w:val="center"/>
              <w:rPr>
                <w:rFonts w:hint="eastAsia" w:ascii="宋体" w:hAnsi="宋体" w:eastAsia="宋体" w:cs="宋体"/>
                <w:color w:val="auto"/>
                <w:sz w:val="21"/>
                <w:szCs w:val="21"/>
                <w:highlight w:val="none"/>
              </w:rPr>
            </w:pPr>
          </w:p>
        </w:tc>
        <w:tc>
          <w:tcPr>
            <w:tcW w:w="489" w:type="pct"/>
            <w:vMerge w:val="continue"/>
            <w:tcBorders>
              <w:left w:val="single" w:color="000000" w:sz="4" w:space="0"/>
              <w:bottom w:val="single" w:color="000000" w:sz="4" w:space="0"/>
              <w:right w:val="single" w:color="000000" w:sz="4" w:space="0"/>
            </w:tcBorders>
            <w:vAlign w:val="center"/>
          </w:tcPr>
          <w:p w14:paraId="2B94F856">
            <w:pPr>
              <w:adjustRightInd w:val="0"/>
              <w:snapToGrid w:val="0"/>
              <w:ind w:firstLine="0" w:firstLineChars="0"/>
              <w:jc w:val="center"/>
              <w:rPr>
                <w:rFonts w:hint="eastAsia" w:ascii="宋体" w:hAnsi="宋体" w:eastAsia="宋体" w:cs="宋体"/>
                <w:color w:val="auto"/>
                <w:sz w:val="21"/>
                <w:szCs w:val="21"/>
                <w:highlight w:val="none"/>
              </w:rPr>
            </w:pPr>
          </w:p>
        </w:tc>
        <w:tc>
          <w:tcPr>
            <w:tcW w:w="1341" w:type="pct"/>
            <w:gridSpan w:val="4"/>
            <w:tcBorders>
              <w:top w:val="single" w:color="000000" w:sz="4" w:space="0"/>
              <w:left w:val="single" w:color="000000" w:sz="4" w:space="0"/>
              <w:bottom w:val="single" w:color="000000" w:sz="4" w:space="0"/>
              <w:right w:val="single" w:color="000000" w:sz="4" w:space="0"/>
            </w:tcBorders>
            <w:vAlign w:val="center"/>
          </w:tcPr>
          <w:p w14:paraId="04C49777">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工</w:t>
            </w:r>
          </w:p>
        </w:tc>
        <w:tc>
          <w:tcPr>
            <w:tcW w:w="1081" w:type="pct"/>
            <w:gridSpan w:val="2"/>
            <w:tcBorders>
              <w:top w:val="single" w:color="000000" w:sz="4" w:space="0"/>
              <w:left w:val="single" w:color="000000" w:sz="4" w:space="0"/>
              <w:bottom w:val="single" w:color="000000" w:sz="4" w:space="0"/>
              <w:right w:val="single" w:color="000000" w:sz="4" w:space="0"/>
            </w:tcBorders>
            <w:vAlign w:val="center"/>
          </w:tcPr>
          <w:p w14:paraId="5A531649">
            <w:pPr>
              <w:adjustRightInd w:val="0"/>
              <w:snapToGrid w:val="0"/>
              <w:ind w:firstLine="0" w:firstLineChars="0"/>
              <w:jc w:val="center"/>
              <w:rPr>
                <w:rFonts w:hint="eastAsia" w:ascii="宋体" w:hAnsi="宋体" w:eastAsia="宋体" w:cs="宋体"/>
                <w:color w:val="auto"/>
                <w:sz w:val="21"/>
                <w:szCs w:val="21"/>
                <w:highlight w:val="none"/>
              </w:rPr>
            </w:pPr>
          </w:p>
        </w:tc>
      </w:tr>
      <w:tr w14:paraId="136E7C6C">
        <w:tblPrEx>
          <w:tblCellMar>
            <w:top w:w="0" w:type="dxa"/>
            <w:left w:w="0" w:type="dxa"/>
            <w:bottom w:w="0" w:type="dxa"/>
            <w:right w:w="0" w:type="dxa"/>
          </w:tblCellMar>
        </w:tblPrEx>
        <w:trPr>
          <w:trHeight w:val="2210"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0CAC8FC7">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经营范围</w:t>
            </w:r>
          </w:p>
        </w:tc>
        <w:tc>
          <w:tcPr>
            <w:tcW w:w="3991" w:type="pct"/>
            <w:gridSpan w:val="9"/>
            <w:tcBorders>
              <w:top w:val="single" w:color="000000" w:sz="4" w:space="0"/>
              <w:left w:val="single" w:color="000000" w:sz="4" w:space="0"/>
              <w:bottom w:val="single" w:color="000000" w:sz="4" w:space="0"/>
              <w:right w:val="single" w:color="000000" w:sz="4" w:space="0"/>
            </w:tcBorders>
            <w:vAlign w:val="center"/>
          </w:tcPr>
          <w:p w14:paraId="5FB7D446">
            <w:pPr>
              <w:adjustRightInd w:val="0"/>
              <w:snapToGrid w:val="0"/>
              <w:ind w:firstLine="0" w:firstLineChars="0"/>
              <w:jc w:val="center"/>
              <w:rPr>
                <w:rFonts w:hint="eastAsia" w:ascii="宋体" w:hAnsi="宋体" w:eastAsia="宋体" w:cs="宋体"/>
                <w:color w:val="auto"/>
                <w:sz w:val="21"/>
                <w:szCs w:val="21"/>
                <w:highlight w:val="none"/>
              </w:rPr>
            </w:pPr>
          </w:p>
        </w:tc>
      </w:tr>
      <w:tr w14:paraId="3EF28145">
        <w:tblPrEx>
          <w:tblCellMar>
            <w:top w:w="0" w:type="dxa"/>
            <w:left w:w="0" w:type="dxa"/>
            <w:bottom w:w="0" w:type="dxa"/>
            <w:right w:w="0" w:type="dxa"/>
          </w:tblCellMar>
        </w:tblPrEx>
        <w:trPr>
          <w:trHeight w:val="625" w:hRule="exact"/>
        </w:trPr>
        <w:tc>
          <w:tcPr>
            <w:tcW w:w="1008" w:type="pct"/>
            <w:tcBorders>
              <w:top w:val="single" w:color="000000" w:sz="4" w:space="0"/>
              <w:left w:val="single" w:color="000000" w:sz="4" w:space="0"/>
              <w:bottom w:val="single" w:color="000000" w:sz="4" w:space="0"/>
              <w:right w:val="single" w:color="000000" w:sz="4" w:space="0"/>
            </w:tcBorders>
            <w:vAlign w:val="center"/>
          </w:tcPr>
          <w:p w14:paraId="1D63CA84">
            <w:pPr>
              <w:pStyle w:val="121"/>
              <w:adjustRightInd w:val="0"/>
              <w:snapToGrid w:val="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3991" w:type="pct"/>
            <w:gridSpan w:val="9"/>
            <w:tcBorders>
              <w:top w:val="single" w:color="000000" w:sz="4" w:space="0"/>
              <w:left w:val="single" w:color="000000" w:sz="4" w:space="0"/>
              <w:bottom w:val="single" w:color="000000" w:sz="4" w:space="0"/>
              <w:right w:val="single" w:color="000000" w:sz="4" w:space="0"/>
            </w:tcBorders>
            <w:vAlign w:val="center"/>
          </w:tcPr>
          <w:p w14:paraId="7F83B013">
            <w:pPr>
              <w:adjustRightInd w:val="0"/>
              <w:snapToGrid w:val="0"/>
              <w:ind w:firstLine="0" w:firstLineChars="0"/>
              <w:jc w:val="center"/>
              <w:rPr>
                <w:rFonts w:hint="eastAsia" w:ascii="宋体" w:hAnsi="宋体" w:eastAsia="宋体" w:cs="宋体"/>
                <w:color w:val="auto"/>
                <w:sz w:val="21"/>
                <w:szCs w:val="21"/>
                <w:highlight w:val="none"/>
              </w:rPr>
            </w:pPr>
          </w:p>
        </w:tc>
      </w:tr>
    </w:tbl>
    <w:p w14:paraId="2BDD3509">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rPr>
          <w:rFonts w:hint="eastAsia" w:ascii="宋体" w:hAnsi="宋体" w:eastAsia="宋体" w:cs="宋体"/>
          <w:bCs/>
          <w:color w:val="auto"/>
          <w:w w:val="100"/>
          <w:kern w:val="2"/>
          <w:sz w:val="21"/>
          <w:szCs w:val="21"/>
          <w:highlight w:val="none"/>
          <w:lang w:val="en-US" w:eastAsia="zh-CN" w:bidi="ar-SA"/>
        </w:rPr>
      </w:pPr>
      <w:r>
        <w:rPr>
          <w:rFonts w:hint="eastAsia" w:ascii="宋体" w:hAnsi="宋体" w:eastAsia="宋体" w:cs="宋体"/>
          <w:b/>
          <w:color w:val="auto"/>
          <w:sz w:val="21"/>
          <w:szCs w:val="21"/>
          <w:highlight w:val="none"/>
        </w:rPr>
        <w:t>注：</w:t>
      </w:r>
      <w:r>
        <w:rPr>
          <w:rFonts w:hint="eastAsia" w:ascii="宋体" w:hAnsi="宋体" w:cs="宋体"/>
          <w:b/>
          <w:bCs w:val="0"/>
          <w:color w:val="auto"/>
          <w:w w:val="100"/>
          <w:kern w:val="2"/>
          <w:sz w:val="21"/>
          <w:szCs w:val="21"/>
          <w:highlight w:val="none"/>
          <w:lang w:val="en-US" w:eastAsia="zh-CN" w:bidi="ar-SA"/>
        </w:rPr>
        <w:t>提供有效的营业执照或事业单位法人证书或其他类似的法定证明文件的</w:t>
      </w:r>
      <w:r>
        <w:rPr>
          <w:rFonts w:hint="eastAsia" w:ascii="宋体" w:hAnsi="宋体" w:eastAsia="宋体" w:cs="宋体"/>
          <w:b/>
          <w:bCs w:val="0"/>
          <w:color w:val="auto"/>
          <w:w w:val="100"/>
          <w:kern w:val="2"/>
          <w:sz w:val="21"/>
          <w:szCs w:val="21"/>
          <w:highlight w:val="none"/>
          <w:lang w:val="en-US" w:eastAsia="zh-CN" w:bidi="ar-SA"/>
        </w:rPr>
        <w:t>扫描件</w:t>
      </w:r>
    </w:p>
    <w:p w14:paraId="6F9C415B">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w w:val="100"/>
          <w:kern w:val="2"/>
          <w:sz w:val="28"/>
          <w:szCs w:val="28"/>
          <w:highlight w:val="none"/>
          <w:lang w:val="en-US" w:eastAsia="zh-CN" w:bidi="ar-SA"/>
        </w:rPr>
      </w:pPr>
    </w:p>
    <w:p w14:paraId="378E771E">
      <w:pPr>
        <w:rPr>
          <w:rFonts w:hint="eastAsia" w:ascii="宋体" w:hAnsi="宋体" w:eastAsia="宋体" w:cs="宋体"/>
          <w:b/>
          <w:bCs w:val="0"/>
          <w:color w:val="auto"/>
          <w:w w:val="100"/>
          <w:kern w:val="2"/>
          <w:sz w:val="28"/>
          <w:szCs w:val="28"/>
          <w:highlight w:val="none"/>
          <w:lang w:val="en-US" w:eastAsia="zh-CN" w:bidi="ar-SA"/>
        </w:rPr>
      </w:pPr>
      <w:r>
        <w:rPr>
          <w:rFonts w:hint="eastAsia" w:ascii="宋体" w:hAnsi="宋体" w:eastAsia="宋体" w:cs="宋体"/>
          <w:b/>
          <w:bCs w:val="0"/>
          <w:color w:val="auto"/>
          <w:w w:val="100"/>
          <w:kern w:val="2"/>
          <w:sz w:val="28"/>
          <w:szCs w:val="28"/>
          <w:highlight w:val="none"/>
          <w:lang w:val="en-US" w:eastAsia="zh-CN" w:bidi="ar-SA"/>
        </w:rPr>
        <w:br w:type="page"/>
      </w:r>
    </w:p>
    <w:p w14:paraId="04B272FA">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06" w:name="_Toc18800"/>
      <w:r>
        <w:rPr>
          <w:rFonts w:hint="eastAsia" w:ascii="宋体" w:hAnsi="宋体" w:eastAsia="宋体" w:cs="宋体"/>
          <w:b/>
          <w:bCs w:val="0"/>
          <w:color w:val="auto"/>
          <w:w w:val="100"/>
          <w:kern w:val="2"/>
          <w:sz w:val="28"/>
          <w:szCs w:val="28"/>
          <w:highlight w:val="none"/>
          <w:lang w:val="en-US" w:eastAsia="zh-CN" w:bidi="ar-SA"/>
        </w:rPr>
        <w:t>二、具有良好的商业信誉：</w:t>
      </w:r>
      <w:bookmarkEnd w:id="306"/>
    </w:p>
    <w:p w14:paraId="5E2DA4F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w w:val="100"/>
          <w:kern w:val="2"/>
          <w:sz w:val="21"/>
          <w:szCs w:val="21"/>
          <w:highlight w:val="none"/>
          <w:lang w:val="en-US" w:eastAsia="zh-CN" w:bidi="ar-SA"/>
        </w:rPr>
      </w:pPr>
      <w:r>
        <w:rPr>
          <w:rFonts w:hint="eastAsia" w:ascii="宋体" w:hAnsi="宋体" w:eastAsia="宋体" w:cs="宋体"/>
          <w:bCs/>
          <w:color w:val="auto"/>
          <w:w w:val="100"/>
          <w:kern w:val="2"/>
          <w:sz w:val="21"/>
          <w:szCs w:val="21"/>
          <w:highlight w:val="none"/>
          <w:lang w:val="en-US" w:eastAsia="zh-CN" w:bidi="ar-SA"/>
        </w:rPr>
        <w:t>投标人在中国执行信息公开网（https://zxgk.court.gov.cn/）中未被列入失信被执行人；投标人未被列入信用中国（www.creditchina.gov.cn）严重失信主体名单、重大税收违法失信主体名单，在中国政府采购网（www.ccgp.gov.cn）未被列入政府采购严重违法失信行为记录名单（被禁止在一定期限内参加政府采购活动但期限届满的除外）。由采购人或采购代理机构在资格审查时查询，若投标人有失信行为，视为不满足资格要求，为无效投标。</w:t>
      </w:r>
    </w:p>
    <w:p w14:paraId="49966900">
      <w:pPr>
        <w:keepNext w:val="0"/>
        <w:keepLines w:val="0"/>
        <w:pageBreakBefore w:val="0"/>
        <w:widowControl w:val="0"/>
        <w:kinsoku/>
        <w:wordWrap w:val="0"/>
        <w:overflowPunct/>
        <w:topLinePunct w:val="0"/>
        <w:autoSpaceDE/>
        <w:autoSpaceDN/>
        <w:bidi w:val="0"/>
        <w:adjustRightInd/>
        <w:snapToGrid/>
        <w:spacing w:before="1" w:beforeLines="100" w:after="0" w:afterLines="50" w:line="360" w:lineRule="auto"/>
        <w:jc w:val="center"/>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信誉情况承诺</w:t>
      </w:r>
    </w:p>
    <w:p w14:paraId="3338F96F">
      <w:pPr>
        <w:keepNext w:val="0"/>
        <w:keepLines w:val="0"/>
        <w:pageBreakBefore w:val="0"/>
        <w:widowControl w:val="0"/>
        <w:kinsoku/>
        <w:wordWrap w:val="0"/>
        <w:overflowPunct/>
        <w:topLinePunct w:val="0"/>
        <w:autoSpaceDE/>
        <w:autoSpaceDN/>
        <w:bidi w:val="0"/>
        <w:adjustRightInd/>
        <w:snapToGrid/>
        <w:spacing w:before="0" w:beforeLines="50" w:after="0" w:afterLines="50" w:line="36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采购人</w:t>
      </w:r>
      <w:r>
        <w:rPr>
          <w:rFonts w:hint="eastAsia" w:ascii="宋体" w:hAnsi="宋体" w:eastAsia="宋体" w:cs="宋体"/>
          <w:color w:val="auto"/>
          <w:sz w:val="21"/>
          <w:szCs w:val="21"/>
          <w:highlight w:val="none"/>
          <w:u w:val="single"/>
        </w:rPr>
        <w:t>名称）</w:t>
      </w:r>
    </w:p>
    <w:p w14:paraId="14572ED6">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我公司作出以下承诺：</w:t>
      </w:r>
    </w:p>
    <w:p w14:paraId="07B67323">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1.我公司在中国执行信息公开网（https://zxgk.court.gov.cn/）中未被列入失信被执行人。</w:t>
      </w:r>
    </w:p>
    <w:p w14:paraId="42661386">
      <w:pPr>
        <w:pageBreakBefore w:val="0"/>
        <w:kinsoku/>
        <w:wordWrap w:val="0"/>
        <w:overflowPunct/>
        <w:topLinePunct w:val="0"/>
        <w:bidi w:val="0"/>
        <w:spacing w:line="360" w:lineRule="auto"/>
        <w:ind w:firstLine="420" w:firstLineChars="200"/>
        <w:rPr>
          <w:rFonts w:hint="eastAsia" w:ascii="宋体" w:hAnsi="宋体" w:eastAsia="宋体" w:cs="宋体"/>
          <w:bCs/>
          <w:color w:val="auto"/>
          <w:sz w:val="21"/>
          <w:szCs w:val="21"/>
          <w:highlight w:val="none"/>
          <w:lang w:bidi="en-US"/>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.我公司未被列入</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信用中国</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网站（www.creditchina.gov.cn）</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"https://www.creditchina.gov.cn/xinxigongshi/shixinheimingdan/"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严重失信主体名单</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lang w:eastAsia="zh-CN"/>
        </w:rPr>
        <w:t>、重大税收违法失信主体名单</w:t>
      </w:r>
      <w:r>
        <w:rPr>
          <w:rFonts w:hint="eastAsia" w:ascii="宋体" w:hAnsi="宋体" w:eastAsia="宋体" w:cs="宋体"/>
          <w:color w:val="auto"/>
          <w:sz w:val="21"/>
          <w:szCs w:val="21"/>
          <w:highlight w:val="none"/>
        </w:rPr>
        <w:t>。</w:t>
      </w:r>
    </w:p>
    <w:p w14:paraId="77AA3860">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.我公司未在中国政府采购网（www.ccgp.gov.cn）政府采购严重违法失信行为信息记录（被禁止在一定期限内参加政府采购活动但期限届满的除外）名单上。</w:t>
      </w:r>
    </w:p>
    <w:p w14:paraId="45AD72F8">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.我公司不存在行贿犯罪行为。</w:t>
      </w:r>
    </w:p>
    <w:p w14:paraId="6E3F643E">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我公司对上述承诺的真实性承担法律责任，若因上述承诺不真实，我公司愿意接受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或有关行政主管部门取消成交候选资格及承担相应的一切处罚。</w:t>
      </w:r>
    </w:p>
    <w:p w14:paraId="55D7489F">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73564766">
      <w:pPr>
        <w:pageBreakBefore w:val="0"/>
        <w:kinsoku/>
        <w:overflowPunct/>
        <w:topLinePunct w:val="0"/>
        <w:bidi w:val="0"/>
        <w:spacing w:beforeAutospacing="0" w:afterAutospacing="0"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69691997">
      <w:pPr>
        <w:pageBreakBefore w:val="0"/>
        <w:kinsoku/>
        <w:overflowPunct/>
        <w:topLinePunct w:val="0"/>
        <w:bidi w:val="0"/>
        <w:spacing w:beforeAutospacing="0" w:afterAutospacing="0"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161D8117">
      <w:pPr>
        <w:pageBreakBefore w:val="0"/>
        <w:kinsoku/>
        <w:overflowPunct/>
        <w:topLinePunct w:val="0"/>
        <w:bidi w:val="0"/>
        <w:spacing w:beforeAutospacing="0" w:afterAutospacing="0" w:line="360" w:lineRule="auto"/>
        <w:ind w:firstLine="1050" w:firstLineChars="500"/>
        <w:jc w:val="right"/>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BF75EEA">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w w:val="100"/>
          <w:kern w:val="2"/>
          <w:sz w:val="24"/>
          <w:szCs w:val="24"/>
          <w:highlight w:val="none"/>
          <w:lang w:val="en-US" w:eastAsia="zh-CN" w:bidi="ar-SA"/>
        </w:rPr>
      </w:pPr>
    </w:p>
    <w:p w14:paraId="49FECC5E">
      <w:pPr>
        <w:rPr>
          <w:rFonts w:hint="eastAsia" w:ascii="宋体" w:hAnsi="宋体" w:eastAsia="宋体" w:cs="宋体"/>
          <w:b/>
          <w:bCs w:val="0"/>
          <w:color w:val="auto"/>
          <w:w w:val="100"/>
          <w:kern w:val="2"/>
          <w:sz w:val="28"/>
          <w:szCs w:val="28"/>
          <w:highlight w:val="none"/>
          <w:lang w:val="en-US" w:eastAsia="zh-CN" w:bidi="ar-SA"/>
        </w:rPr>
      </w:pPr>
      <w:r>
        <w:rPr>
          <w:rFonts w:hint="eastAsia" w:ascii="宋体" w:hAnsi="宋体" w:eastAsia="宋体" w:cs="宋体"/>
          <w:b/>
          <w:bCs w:val="0"/>
          <w:color w:val="auto"/>
          <w:w w:val="100"/>
          <w:kern w:val="2"/>
          <w:sz w:val="28"/>
          <w:szCs w:val="28"/>
          <w:highlight w:val="none"/>
          <w:lang w:val="en-US" w:eastAsia="zh-CN" w:bidi="ar-SA"/>
        </w:rPr>
        <w:br w:type="page"/>
      </w:r>
    </w:p>
    <w:p w14:paraId="0FB6B5FC">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07" w:name="_Toc2248"/>
      <w:r>
        <w:rPr>
          <w:rFonts w:hint="eastAsia" w:ascii="宋体" w:hAnsi="宋体" w:eastAsia="宋体" w:cs="宋体"/>
          <w:b/>
          <w:bCs w:val="0"/>
          <w:color w:val="auto"/>
          <w:w w:val="100"/>
          <w:kern w:val="2"/>
          <w:sz w:val="28"/>
          <w:szCs w:val="28"/>
          <w:highlight w:val="none"/>
          <w:lang w:val="en-US" w:eastAsia="zh-CN" w:bidi="ar-SA"/>
        </w:rPr>
        <w:t>三、具有健全的财务会计制度</w:t>
      </w:r>
      <w:bookmarkEnd w:id="307"/>
    </w:p>
    <w:p w14:paraId="5565C420">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16"/>
          <w:highlight w:val="none"/>
          <w:lang w:eastAsia="zh-CN"/>
        </w:rPr>
      </w:pPr>
      <w:r>
        <w:rPr>
          <w:rFonts w:hint="eastAsia" w:ascii="宋体" w:hAnsi="宋体" w:eastAsia="宋体" w:cs="宋体"/>
          <w:bCs/>
          <w:color w:val="auto"/>
          <w:w w:val="100"/>
          <w:kern w:val="2"/>
          <w:sz w:val="21"/>
          <w:szCs w:val="21"/>
          <w:highlight w:val="none"/>
          <w:lang w:val="en-US" w:eastAsia="zh-CN" w:bidi="ar-SA"/>
        </w:rPr>
        <w:t>提供2024年或2025年任意年度的财务报表，新成立的公司（成立不满1年）提供自成立之日至响应文件提交截止时间前1个月公司自行编制的财务报表，无法提供上述材料的，可提供财务情况说明或银行存款证明或相关承诺书。</w:t>
      </w:r>
      <w:r>
        <w:rPr>
          <w:rFonts w:hint="eastAsia" w:ascii="宋体" w:hAnsi="宋体" w:eastAsia="宋体" w:cs="宋体"/>
          <w:b/>
          <w:bCs/>
          <w:color w:val="auto"/>
          <w:sz w:val="21"/>
          <w:szCs w:val="16"/>
          <w:highlight w:val="none"/>
          <w:lang w:eastAsia="zh-CN"/>
        </w:rPr>
        <w:t>（提供扫描件）</w:t>
      </w:r>
    </w:p>
    <w:p w14:paraId="243CE55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bCs w:val="0"/>
          <w:color w:val="auto"/>
          <w:w w:val="100"/>
          <w:kern w:val="2"/>
          <w:sz w:val="28"/>
          <w:szCs w:val="28"/>
          <w:highlight w:val="none"/>
          <w:lang w:val="en-US" w:eastAsia="zh-CN" w:bidi="ar-SA"/>
        </w:rPr>
      </w:pPr>
    </w:p>
    <w:p w14:paraId="0239F1B2">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6BDF94E9">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3F87595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7BBB9AD3">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5578460A">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08" w:name="_Toc16933"/>
      <w:r>
        <w:rPr>
          <w:rFonts w:hint="eastAsia" w:ascii="宋体" w:hAnsi="宋体" w:eastAsia="宋体" w:cs="宋体"/>
          <w:b/>
          <w:bCs w:val="0"/>
          <w:color w:val="auto"/>
          <w:w w:val="100"/>
          <w:kern w:val="2"/>
          <w:sz w:val="28"/>
          <w:szCs w:val="28"/>
          <w:highlight w:val="none"/>
          <w:lang w:val="en-US" w:eastAsia="zh-CN" w:bidi="ar-SA"/>
        </w:rPr>
        <w:t>四、有依法缴纳税收和社会保障资金的良好记录：</w:t>
      </w:r>
      <w:bookmarkEnd w:id="308"/>
    </w:p>
    <w:p w14:paraId="54376AB2">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Cs/>
          <w:color w:val="auto"/>
          <w:w w:val="100"/>
          <w:kern w:val="2"/>
          <w:sz w:val="21"/>
          <w:szCs w:val="21"/>
          <w:highlight w:val="none"/>
          <w:lang w:val="en-US" w:eastAsia="zh-CN" w:bidi="ar-SA"/>
        </w:rPr>
      </w:pPr>
      <w:r>
        <w:rPr>
          <w:rFonts w:hint="eastAsia" w:ascii="宋体" w:hAnsi="宋体" w:eastAsia="宋体" w:cs="宋体"/>
          <w:bCs/>
          <w:color w:val="auto"/>
          <w:w w:val="100"/>
          <w:kern w:val="2"/>
          <w:sz w:val="21"/>
          <w:szCs w:val="21"/>
          <w:highlight w:val="none"/>
          <w:lang w:val="en-US" w:eastAsia="zh-CN" w:bidi="ar-SA"/>
        </w:rPr>
        <w:t>（1）依法缴纳税收：投标供应商须提供缴费所属时间在</w:t>
      </w:r>
      <w:r>
        <w:rPr>
          <w:rFonts w:hint="eastAsia" w:ascii="宋体" w:hAnsi="宋体" w:cs="宋体"/>
          <w:bCs/>
          <w:color w:val="auto"/>
          <w:w w:val="100"/>
          <w:kern w:val="2"/>
          <w:sz w:val="21"/>
          <w:szCs w:val="21"/>
          <w:highlight w:val="none"/>
          <w:lang w:val="en-US" w:eastAsia="zh-CN" w:bidi="ar-SA"/>
        </w:rPr>
        <w:t>2026年1月至</w:t>
      </w:r>
      <w:r>
        <w:rPr>
          <w:rFonts w:hint="eastAsia" w:ascii="宋体" w:hAnsi="宋体" w:eastAsia="宋体" w:cs="宋体"/>
          <w:bCs/>
          <w:color w:val="auto"/>
          <w:w w:val="100"/>
          <w:kern w:val="2"/>
          <w:sz w:val="21"/>
          <w:szCs w:val="21"/>
          <w:highlight w:val="none"/>
          <w:lang w:val="en-US" w:eastAsia="zh-CN" w:bidi="ar-SA"/>
        </w:rPr>
        <w:t>本项目响应文件提交截止时间前任意1个月的税收缴纳凭证（新成立未产生税务缴纳的单位提供情况说明）或提供依法缴纳税收的书面声明；</w:t>
      </w:r>
      <w:r>
        <w:rPr>
          <w:rFonts w:hint="eastAsia" w:ascii="宋体" w:hAnsi="宋体" w:eastAsia="宋体" w:cs="宋体"/>
          <w:b/>
          <w:bCs w:val="0"/>
          <w:color w:val="auto"/>
          <w:w w:val="100"/>
          <w:kern w:val="2"/>
          <w:sz w:val="21"/>
          <w:szCs w:val="21"/>
          <w:highlight w:val="none"/>
          <w:lang w:val="en-US" w:eastAsia="zh-CN" w:bidi="ar-SA"/>
        </w:rPr>
        <w:t>（提供扫描件）</w:t>
      </w:r>
    </w:p>
    <w:p w14:paraId="5AF5C98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val="0"/>
          <w:color w:val="auto"/>
          <w:w w:val="100"/>
          <w:kern w:val="2"/>
          <w:sz w:val="21"/>
          <w:szCs w:val="21"/>
          <w:highlight w:val="none"/>
          <w:lang w:val="en-US" w:eastAsia="zh-CN" w:bidi="ar-SA"/>
        </w:rPr>
      </w:pPr>
      <w:r>
        <w:rPr>
          <w:rFonts w:hint="eastAsia" w:ascii="宋体" w:hAnsi="宋体" w:eastAsia="宋体" w:cs="宋体"/>
          <w:bCs/>
          <w:color w:val="auto"/>
          <w:w w:val="100"/>
          <w:kern w:val="2"/>
          <w:sz w:val="21"/>
          <w:szCs w:val="21"/>
          <w:highlight w:val="none"/>
          <w:lang w:val="en-US" w:eastAsia="zh-CN" w:bidi="ar-SA"/>
        </w:rPr>
        <w:t>（2）供依法缴纳社会保障资金：投标供应商须提供缴费所属时间在</w:t>
      </w:r>
      <w:r>
        <w:rPr>
          <w:rFonts w:hint="eastAsia" w:ascii="宋体" w:hAnsi="宋体" w:cs="宋体"/>
          <w:bCs/>
          <w:color w:val="auto"/>
          <w:w w:val="100"/>
          <w:kern w:val="2"/>
          <w:sz w:val="21"/>
          <w:szCs w:val="21"/>
          <w:highlight w:val="none"/>
          <w:lang w:val="en-US" w:eastAsia="zh-CN" w:bidi="ar-SA"/>
        </w:rPr>
        <w:t>2026年1月至</w:t>
      </w:r>
      <w:r>
        <w:rPr>
          <w:rFonts w:hint="eastAsia" w:ascii="宋体" w:hAnsi="宋体" w:eastAsia="宋体" w:cs="宋体"/>
          <w:bCs/>
          <w:color w:val="auto"/>
          <w:w w:val="100"/>
          <w:kern w:val="2"/>
          <w:sz w:val="21"/>
          <w:szCs w:val="21"/>
          <w:highlight w:val="none"/>
          <w:lang w:val="en-US" w:eastAsia="zh-CN" w:bidi="ar-SA"/>
        </w:rPr>
        <w:t>本项目响应文件提交截止时间前任意1个月的社保资金缴纳凭证（新成立尚未缴纳社保的单位提供情况说明）或提供依法缴纳社会保障资金的书面声明。</w:t>
      </w:r>
      <w:r>
        <w:rPr>
          <w:rFonts w:hint="eastAsia" w:ascii="宋体" w:hAnsi="宋体" w:eastAsia="宋体" w:cs="宋体"/>
          <w:b/>
          <w:bCs w:val="0"/>
          <w:color w:val="auto"/>
          <w:w w:val="100"/>
          <w:kern w:val="2"/>
          <w:sz w:val="21"/>
          <w:szCs w:val="21"/>
          <w:highlight w:val="none"/>
          <w:lang w:val="en-US" w:eastAsia="zh-CN" w:bidi="ar-SA"/>
        </w:rPr>
        <w:t>（提供扫描件）</w:t>
      </w:r>
    </w:p>
    <w:p w14:paraId="78E8D3DC">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w w:val="100"/>
          <w:kern w:val="2"/>
          <w:sz w:val="24"/>
          <w:szCs w:val="24"/>
          <w:highlight w:val="none"/>
          <w:lang w:val="en-US" w:eastAsia="zh-CN" w:bidi="ar-SA"/>
        </w:rPr>
      </w:pPr>
    </w:p>
    <w:p w14:paraId="6718BEA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宋体" w:hAnsi="宋体" w:eastAsia="宋体" w:cs="宋体"/>
          <w:b/>
          <w:bCs w:val="0"/>
          <w:color w:val="auto"/>
          <w:w w:val="100"/>
          <w:kern w:val="2"/>
          <w:sz w:val="28"/>
          <w:szCs w:val="28"/>
          <w:highlight w:val="none"/>
          <w:lang w:val="en-US" w:eastAsia="zh-CN" w:bidi="ar-SA"/>
        </w:rPr>
      </w:pPr>
    </w:p>
    <w:p w14:paraId="0C3986D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33C7D33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0BD2F61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58E9973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p>
    <w:p w14:paraId="60CCD51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09" w:name="_Toc26385"/>
      <w:r>
        <w:rPr>
          <w:rFonts w:hint="eastAsia" w:ascii="宋体" w:hAnsi="宋体" w:eastAsia="宋体" w:cs="宋体"/>
          <w:b/>
          <w:bCs w:val="0"/>
          <w:color w:val="auto"/>
          <w:w w:val="100"/>
          <w:kern w:val="2"/>
          <w:sz w:val="28"/>
          <w:szCs w:val="28"/>
          <w:highlight w:val="none"/>
          <w:lang w:val="en-US" w:eastAsia="zh-CN" w:bidi="ar-SA"/>
        </w:rPr>
        <w:t>五、</w:t>
      </w:r>
      <w:r>
        <w:rPr>
          <w:rFonts w:hint="eastAsia" w:ascii="宋体" w:hAnsi="宋体" w:cs="宋体"/>
          <w:b/>
          <w:bCs w:val="0"/>
          <w:color w:val="auto"/>
          <w:w w:val="100"/>
          <w:kern w:val="2"/>
          <w:sz w:val="28"/>
          <w:szCs w:val="28"/>
          <w:highlight w:val="none"/>
          <w:lang w:val="en-US" w:eastAsia="zh-CN" w:bidi="ar-SA"/>
        </w:rPr>
        <w:t>具有履行合同所必需的设备和专业技术能力</w:t>
      </w:r>
      <w:bookmarkEnd w:id="309"/>
    </w:p>
    <w:p w14:paraId="29FDC1E4">
      <w:pPr>
        <w:keepNext w:val="0"/>
        <w:keepLines w:val="0"/>
        <w:pageBreakBefore w:val="0"/>
        <w:widowControl w:val="0"/>
        <w:kinsoku/>
        <w:wordWrap w:val="0"/>
        <w:overflowPunct/>
        <w:topLinePunct w:val="0"/>
        <w:autoSpaceDE/>
        <w:autoSpaceDN/>
        <w:bidi w:val="0"/>
        <w:adjustRightInd/>
        <w:snapToGrid/>
        <w:spacing w:before="313" w:beforeLines="100" w:line="360" w:lineRule="auto"/>
        <w:ind w:left="0" w:leftChars="0" w:right="0" w:rightChars="0" w:firstLine="480" w:firstLineChars="200"/>
        <w:textAlignment w:val="auto"/>
        <w:rPr>
          <w:rFonts w:hint="eastAsia" w:ascii="宋体" w:hAnsi="宋体" w:eastAsia="宋体" w:cs="宋体"/>
          <w:bCs/>
          <w:color w:val="auto"/>
          <w:w w:val="100"/>
          <w:kern w:val="2"/>
          <w:sz w:val="24"/>
          <w:szCs w:val="24"/>
          <w:highlight w:val="none"/>
          <w:lang w:val="en-US" w:eastAsia="zh-CN" w:bidi="ar-SA"/>
        </w:rPr>
      </w:pPr>
      <w:r>
        <w:rPr>
          <w:rFonts w:hint="eastAsia" w:ascii="宋体" w:hAnsi="宋体" w:cs="宋体"/>
          <w:bCs/>
          <w:color w:val="auto"/>
          <w:w w:val="100"/>
          <w:kern w:val="2"/>
          <w:sz w:val="24"/>
          <w:szCs w:val="24"/>
          <w:highlight w:val="none"/>
          <w:lang w:val="en-US" w:eastAsia="zh-CN" w:bidi="ar-SA"/>
        </w:rPr>
        <w:t>提供书面声明或证明材料。</w:t>
      </w:r>
      <w:r>
        <w:rPr>
          <w:rFonts w:hint="eastAsia" w:ascii="宋体" w:hAnsi="宋体" w:eastAsia="宋体" w:cs="宋体"/>
          <w:b/>
          <w:bCs w:val="0"/>
          <w:color w:val="auto"/>
          <w:w w:val="100"/>
          <w:kern w:val="2"/>
          <w:sz w:val="24"/>
          <w:szCs w:val="24"/>
          <w:highlight w:val="none"/>
          <w:lang w:val="en-US" w:eastAsia="zh-CN" w:bidi="ar-SA"/>
        </w:rPr>
        <w:t>（格式自拟）</w:t>
      </w:r>
    </w:p>
    <w:p w14:paraId="746766E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562" w:firstLineChars="200"/>
        <w:jc w:val="center"/>
        <w:textAlignment w:val="auto"/>
        <w:rPr>
          <w:rFonts w:hint="eastAsia" w:ascii="宋体" w:hAnsi="宋体" w:eastAsia="宋体" w:cs="宋体"/>
          <w:b/>
          <w:bCs w:val="0"/>
          <w:color w:val="auto"/>
          <w:w w:val="100"/>
          <w:kern w:val="2"/>
          <w:sz w:val="28"/>
          <w:szCs w:val="28"/>
          <w:highlight w:val="none"/>
          <w:lang w:val="en-US" w:eastAsia="zh-CN" w:bidi="ar-SA"/>
        </w:rPr>
      </w:pPr>
    </w:p>
    <w:p w14:paraId="5C93F2D3">
      <w:pPr>
        <w:keepNext w:val="0"/>
        <w:keepLines w:val="0"/>
        <w:pageBreakBefore w:val="0"/>
        <w:widowControl w:val="0"/>
        <w:kinsoku/>
        <w:wordWrap w:val="0"/>
        <w:overflowPunct/>
        <w:topLinePunct w:val="0"/>
        <w:autoSpaceDE/>
        <w:autoSpaceDN/>
        <w:bidi w:val="0"/>
        <w:adjustRightInd/>
        <w:snapToGrid/>
        <w:spacing w:line="360" w:lineRule="auto"/>
        <w:ind w:right="0" w:rightChars="0"/>
        <w:jc w:val="both"/>
        <w:textAlignment w:val="auto"/>
        <w:rPr>
          <w:rFonts w:hint="eastAsia" w:ascii="宋体" w:hAnsi="宋体" w:eastAsia="宋体" w:cs="宋体"/>
          <w:b/>
          <w:bCs w:val="0"/>
          <w:color w:val="auto"/>
          <w:w w:val="100"/>
          <w:kern w:val="2"/>
          <w:sz w:val="28"/>
          <w:szCs w:val="28"/>
          <w:highlight w:val="none"/>
          <w:lang w:val="en-US" w:eastAsia="zh-CN" w:bidi="ar-SA"/>
        </w:rPr>
      </w:pPr>
    </w:p>
    <w:p w14:paraId="5E830F65">
      <w:pPr>
        <w:rPr>
          <w:rFonts w:hint="eastAsia" w:ascii="宋体" w:hAnsi="宋体" w:eastAsia="宋体" w:cs="宋体"/>
          <w:b/>
          <w:bCs w:val="0"/>
          <w:color w:val="auto"/>
          <w:w w:val="100"/>
          <w:kern w:val="2"/>
          <w:sz w:val="28"/>
          <w:szCs w:val="28"/>
          <w:highlight w:val="none"/>
          <w:lang w:val="en-US" w:eastAsia="zh-CN" w:bidi="ar-SA"/>
        </w:rPr>
      </w:pPr>
      <w:r>
        <w:rPr>
          <w:rFonts w:hint="eastAsia" w:ascii="宋体" w:hAnsi="宋体" w:eastAsia="宋体" w:cs="宋体"/>
          <w:b/>
          <w:bCs w:val="0"/>
          <w:color w:val="auto"/>
          <w:w w:val="100"/>
          <w:kern w:val="2"/>
          <w:sz w:val="28"/>
          <w:szCs w:val="28"/>
          <w:highlight w:val="none"/>
          <w:lang w:val="en-US" w:eastAsia="zh-CN" w:bidi="ar-SA"/>
        </w:rPr>
        <w:br w:type="page"/>
      </w:r>
    </w:p>
    <w:p w14:paraId="3C75E9E1">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10" w:name="_Toc8114"/>
      <w:r>
        <w:rPr>
          <w:rFonts w:hint="eastAsia" w:ascii="宋体" w:hAnsi="宋体" w:eastAsia="宋体" w:cs="宋体"/>
          <w:b/>
          <w:bCs w:val="0"/>
          <w:color w:val="auto"/>
          <w:w w:val="100"/>
          <w:kern w:val="2"/>
          <w:sz w:val="28"/>
          <w:szCs w:val="28"/>
          <w:highlight w:val="none"/>
          <w:lang w:val="en-US" w:eastAsia="zh-CN" w:bidi="ar-SA"/>
        </w:rPr>
        <w:t>六、无重大违法记录声明</w:t>
      </w:r>
      <w:bookmarkEnd w:id="310"/>
    </w:p>
    <w:p w14:paraId="5208DA1D">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bCs/>
          <w:color w:val="auto"/>
          <w:w w:val="100"/>
          <w:kern w:val="2"/>
          <w:sz w:val="21"/>
          <w:szCs w:val="21"/>
          <w:highlight w:val="none"/>
          <w:lang w:val="en-US" w:eastAsia="zh-CN" w:bidi="ar-SA"/>
        </w:rPr>
      </w:pPr>
      <w:r>
        <w:rPr>
          <w:rFonts w:hint="eastAsia" w:ascii="宋体" w:hAnsi="宋体" w:eastAsia="宋体" w:cs="宋体"/>
          <w:bCs/>
          <w:color w:val="auto"/>
          <w:w w:val="100"/>
          <w:kern w:val="2"/>
          <w:sz w:val="21"/>
          <w:szCs w:val="21"/>
          <w:highlight w:val="none"/>
          <w:lang w:val="en-US" w:eastAsia="zh-CN" w:bidi="ar-SA"/>
        </w:rPr>
        <w:t>提供参加政府采购活动前3年内在经营活动中没有重大违法记录的书面声明（重大违法记录，是指供应商因违法经营受到刑事处罚或者责令停产停业、吊销许可证或者执照、较大数额罚款等行政处罚）</w:t>
      </w:r>
      <w:r>
        <w:rPr>
          <w:rFonts w:hint="eastAsia" w:ascii="宋体" w:hAnsi="宋体" w:cs="宋体"/>
          <w:bCs/>
          <w:color w:val="auto"/>
          <w:w w:val="100"/>
          <w:kern w:val="2"/>
          <w:sz w:val="21"/>
          <w:szCs w:val="21"/>
          <w:highlight w:val="none"/>
          <w:lang w:val="en-US" w:eastAsia="zh-CN" w:bidi="ar-SA"/>
        </w:rPr>
        <w:t>。提供书面声明，</w:t>
      </w:r>
      <w:r>
        <w:rPr>
          <w:rFonts w:hint="eastAsia" w:ascii="宋体" w:hAnsi="宋体" w:eastAsia="宋体" w:cs="宋体"/>
          <w:bCs/>
          <w:color w:val="auto"/>
          <w:w w:val="100"/>
          <w:kern w:val="2"/>
          <w:sz w:val="21"/>
          <w:szCs w:val="21"/>
          <w:highlight w:val="none"/>
          <w:lang w:val="en-US" w:eastAsia="zh-CN" w:bidi="ar-SA"/>
        </w:rPr>
        <w:t>格式</w:t>
      </w:r>
      <w:r>
        <w:rPr>
          <w:rFonts w:hint="eastAsia" w:ascii="宋体" w:hAnsi="宋体" w:cs="宋体"/>
          <w:bCs/>
          <w:color w:val="auto"/>
          <w:w w:val="100"/>
          <w:kern w:val="2"/>
          <w:sz w:val="21"/>
          <w:szCs w:val="21"/>
          <w:highlight w:val="none"/>
          <w:lang w:val="en-US" w:eastAsia="zh-CN" w:bidi="ar-SA"/>
        </w:rPr>
        <w:t>如下：</w:t>
      </w:r>
    </w:p>
    <w:p w14:paraId="243B40B5">
      <w:pPr>
        <w:keepNext w:val="0"/>
        <w:keepLines w:val="0"/>
        <w:pageBreakBefore w:val="0"/>
        <w:widowControl w:val="0"/>
        <w:shd w:val="clear" w:color="auto" w:fill="auto"/>
        <w:kinsoku/>
        <w:wordWrap w:val="0"/>
        <w:overflowPunct/>
        <w:topLinePunct w:val="0"/>
        <w:autoSpaceDE w:val="0"/>
        <w:autoSpaceDN w:val="0"/>
        <w:bidi w:val="0"/>
        <w:adjustRightInd w:val="0"/>
        <w:snapToGrid/>
        <w:spacing w:before="313" w:beforeLines="100" w:line="360" w:lineRule="auto"/>
        <w:jc w:val="center"/>
        <w:textAlignment w:val="auto"/>
        <w:outlineLvl w:val="9"/>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参加政府采购活动前3年内在经营活动中没有重大违法记录的书面声明</w:t>
      </w:r>
    </w:p>
    <w:p w14:paraId="04FE87F3">
      <w:pPr>
        <w:keepNext w:val="0"/>
        <w:keepLines w:val="0"/>
        <w:pageBreakBefore w:val="0"/>
        <w:widowControl w:val="0"/>
        <w:kinsoku/>
        <w:wordWrap/>
        <w:overflowPunct/>
        <w:topLinePunct w:val="0"/>
        <w:autoSpaceDE/>
        <w:autoSpaceDN/>
        <w:bidi w:val="0"/>
        <w:adjustRightInd/>
        <w:snapToGrid/>
        <w:spacing w:before="160" w:beforeLines="50" w:line="440" w:lineRule="exact"/>
        <w:ind w:firstLine="0" w:firstLineChars="0"/>
        <w:textAlignment w:val="auto"/>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致：</w:t>
      </w:r>
      <w:r>
        <w:rPr>
          <w:rFonts w:hint="eastAsia" w:ascii="宋体" w:hAnsi="宋体" w:eastAsia="宋体" w:cs="宋体"/>
          <w:b/>
          <w:color w:val="auto"/>
          <w:sz w:val="21"/>
          <w:szCs w:val="21"/>
          <w:highlight w:val="none"/>
          <w:u w:val="single"/>
        </w:rPr>
        <w:t>（采购人名称）</w:t>
      </w:r>
    </w:p>
    <w:p w14:paraId="2985F37D">
      <w:pPr>
        <w:keepNext w:val="0"/>
        <w:keepLines w:val="0"/>
        <w:pageBreakBefore w:val="0"/>
        <w:widowControl w:val="0"/>
        <w:kinsoku/>
        <w:wordWrap/>
        <w:overflowPunct/>
        <w:topLinePunct w:val="0"/>
        <w:autoSpaceDE/>
        <w:autoSpaceDN/>
        <w:bidi w:val="0"/>
        <w:adjustRightInd/>
        <w:snapToGrid/>
        <w:spacing w:before="160" w:beforeLines="50"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w:t>
      </w:r>
      <w:r>
        <w:rPr>
          <w:rFonts w:hint="eastAsia" w:ascii="宋体" w:hAnsi="宋体" w:cs="宋体"/>
          <w:b w:val="0"/>
          <w:bCs/>
          <w:color w:val="auto"/>
          <w:sz w:val="21"/>
          <w:szCs w:val="21"/>
          <w:highlight w:val="none"/>
          <w:u w:val="single"/>
          <w:lang w:eastAsia="zh-CN"/>
        </w:rPr>
        <w:t>项目名称</w:t>
      </w:r>
      <w:r>
        <w:rPr>
          <w:rFonts w:hint="eastAsia" w:ascii="宋体" w:hAnsi="宋体" w:eastAsia="宋体" w:cs="宋体"/>
          <w:b w:val="0"/>
          <w:bCs/>
          <w:color w:val="auto"/>
          <w:sz w:val="21"/>
          <w:szCs w:val="21"/>
          <w:highlight w:val="none"/>
          <w:u w:val="single"/>
          <w:lang w:eastAsia="zh-CN"/>
        </w:rPr>
        <w:t>）</w:t>
      </w:r>
      <w:r>
        <w:rPr>
          <w:rFonts w:hint="eastAsia" w:ascii="宋体" w:hAnsi="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（项目编号：</w:t>
      </w:r>
      <w:r>
        <w:rPr>
          <w:rFonts w:hint="eastAsia" w:ascii="宋体" w:hAnsi="宋体" w:eastAsia="宋体" w:cs="宋体"/>
          <w:b w:val="0"/>
          <w:bCs/>
          <w:color w:val="auto"/>
          <w:sz w:val="21"/>
          <w:szCs w:val="21"/>
          <w:highlight w:val="none"/>
          <w:lang w:val="en-US" w:eastAsia="zh-CN"/>
        </w:rPr>
        <w:t>_____________</w:t>
      </w:r>
      <w:r>
        <w:rPr>
          <w:rFonts w:hint="eastAsia" w:ascii="宋体" w:hAnsi="宋体" w:eastAsia="宋体" w:cs="宋体"/>
          <w:b w:val="0"/>
          <w:bCs/>
          <w:color w:val="auto"/>
          <w:sz w:val="21"/>
          <w:szCs w:val="21"/>
          <w:highlight w:val="none"/>
        </w:rPr>
        <w:t>）</w:t>
      </w:r>
    </w:p>
    <w:p w14:paraId="18F8A2C6">
      <w:pPr>
        <w:keepNext w:val="0"/>
        <w:keepLines w:val="0"/>
        <w:pageBreakBefore w:val="0"/>
        <w:widowControl w:val="0"/>
        <w:kinsoku/>
        <w:wordWrap/>
        <w:overflowPunct/>
        <w:topLinePunct w:val="0"/>
        <w:autoSpaceDE/>
        <w:autoSpaceDN/>
        <w:bidi w:val="0"/>
        <w:adjustRightInd/>
        <w:snapToGrid/>
        <w:spacing w:before="160" w:beforeLines="50"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声明单位：</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（单位</w:t>
      </w:r>
      <w:r>
        <w:rPr>
          <w:rFonts w:hint="eastAsia" w:ascii="宋体" w:hAnsi="宋体" w:eastAsia="宋体" w:cs="宋体"/>
          <w:b w:val="0"/>
          <w:bCs/>
          <w:color w:val="auto"/>
          <w:sz w:val="21"/>
          <w:szCs w:val="21"/>
          <w:highlight w:val="none"/>
          <w:u w:val="single"/>
        </w:rPr>
        <w:t>全称</w:t>
      </w:r>
      <w:r>
        <w:rPr>
          <w:rFonts w:hint="eastAsia" w:ascii="宋体" w:hAnsi="宋体" w:eastAsia="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（统一社会信用代码：</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w:t>
      </w:r>
    </w:p>
    <w:p w14:paraId="565C2530">
      <w:pPr>
        <w:keepNext w:val="0"/>
        <w:keepLines w:val="0"/>
        <w:pageBreakBefore w:val="0"/>
        <w:widowControl w:val="0"/>
        <w:kinsoku/>
        <w:wordWrap/>
        <w:overflowPunct/>
        <w:topLinePunct w:val="0"/>
        <w:autoSpaceDE/>
        <w:autoSpaceDN/>
        <w:bidi w:val="0"/>
        <w:adjustRightInd/>
        <w:snapToGrid/>
        <w:spacing w:before="160" w:beforeLines="50" w:line="440" w:lineRule="exact"/>
        <w:ind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本声明单位郑重声明：</w:t>
      </w:r>
    </w:p>
    <w:p w14:paraId="7E744151">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本单位</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w:t>
      </w:r>
      <w:r>
        <w:rPr>
          <w:rFonts w:hint="eastAsia" w:ascii="宋体" w:hAnsi="宋体" w:eastAsia="宋体" w:cs="宋体"/>
          <w:b w:val="0"/>
          <w:bCs/>
          <w:color w:val="auto"/>
          <w:sz w:val="21"/>
          <w:szCs w:val="21"/>
          <w:highlight w:val="none"/>
          <w:u w:val="single"/>
          <w:lang w:eastAsia="zh-CN"/>
        </w:rPr>
        <w:t>单位</w:t>
      </w:r>
      <w:r>
        <w:rPr>
          <w:rFonts w:hint="eastAsia" w:ascii="宋体" w:hAnsi="宋体" w:eastAsia="宋体" w:cs="宋体"/>
          <w:b w:val="0"/>
          <w:bCs/>
          <w:color w:val="auto"/>
          <w:sz w:val="21"/>
          <w:szCs w:val="21"/>
          <w:highlight w:val="none"/>
          <w:u w:val="single"/>
        </w:rPr>
        <w:t>全称）</w:t>
      </w:r>
      <w:r>
        <w:rPr>
          <w:rFonts w:hint="eastAsia" w:ascii="宋体" w:hAnsi="宋体" w:eastAsia="宋体" w:cs="宋体"/>
          <w:b w:val="0"/>
          <w:bCs/>
          <w:color w:val="auto"/>
          <w:sz w:val="21"/>
          <w:szCs w:val="21"/>
          <w:highlight w:val="none"/>
        </w:rPr>
        <w:t>在参加上述政府采购项目活动（</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w:t>
      </w:r>
      <w:r>
        <w:rPr>
          <w:rFonts w:hint="eastAsia" w:ascii="宋体" w:hAnsi="宋体" w:cs="宋体"/>
          <w:b w:val="0"/>
          <w:bCs/>
          <w:color w:val="auto"/>
          <w:sz w:val="21"/>
          <w:szCs w:val="21"/>
          <w:highlight w:val="none"/>
          <w:u w:val="single"/>
          <w:lang w:eastAsia="zh-CN"/>
        </w:rPr>
        <w:t>项目名称</w:t>
      </w:r>
      <w:r>
        <w:rPr>
          <w:rFonts w:hint="eastAsia" w:ascii="宋体" w:hAnsi="宋体" w:eastAsia="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rPr>
        <w:t>，项目编号：</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）时，严格遵守《中华人民共和国政府采购法》及其实施条例等相关法律法规的规定。</w:t>
      </w:r>
    </w:p>
    <w:p w14:paraId="1D78017F">
      <w:pPr>
        <w:keepNext w:val="0"/>
        <w:keepLines w:val="0"/>
        <w:pageBreakBefore w:val="0"/>
        <w:widowControl w:val="0"/>
        <w:kinsoku/>
        <w:wordWrap/>
        <w:overflowPunct/>
        <w:topLinePunct w:val="0"/>
        <w:autoSpaceDE/>
        <w:autoSpaceDN/>
        <w:bidi w:val="0"/>
        <w:adjustRightInd/>
        <w:snapToGrid/>
        <w:spacing w:before="160" w:beforeLines="50" w:line="440" w:lineRule="exact"/>
        <w:ind w:firstLine="422" w:firstLineChars="200"/>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特别声明如下：</w:t>
      </w:r>
    </w:p>
    <w:p w14:paraId="3051BA3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本单位在参加本项目政府采购活动前三年内（即自</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年</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月</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日起至本声明签署之日止），在经营活动中没有因违法经营受到刑事处罚或者责令停产停业、吊销许可证或者执照、较大数额罚款等重大违法记录。</w:t>
      </w:r>
    </w:p>
    <w:p w14:paraId="05AE954A">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单位承诺上述声明内容真实、准确、完整。如有不实，本单位愿意承担由此引起的一切法律责任，包括但不限于被取消投标（响应）资格、中标（成交）资格，以及被列入不良行为记录名单等法律后果，并赔偿采购人及相关方因此遭受的所有损失。</w:t>
      </w:r>
    </w:p>
    <w:p w14:paraId="25BD5D62">
      <w:pPr>
        <w:keepNext w:val="0"/>
        <w:keepLines w:val="0"/>
        <w:pageBreakBefore w:val="0"/>
        <w:widowControl w:val="0"/>
        <w:kinsoku/>
        <w:wordWrap/>
        <w:overflowPunct/>
        <w:topLinePunct w:val="0"/>
        <w:autoSpaceDE/>
        <w:autoSpaceDN/>
        <w:bidi w:val="0"/>
        <w:adjustRightInd/>
        <w:snapToGrid/>
        <w:spacing w:before="160" w:beforeLines="50" w:after="160" w:afterLines="50" w:line="440" w:lineRule="exact"/>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特此声明。</w:t>
      </w:r>
    </w:p>
    <w:p w14:paraId="5556F9F0">
      <w:pPr>
        <w:pageBreakBefore w:val="0"/>
        <w:kinsoku/>
        <w:overflowPunct/>
        <w:topLinePunct w:val="0"/>
        <w:bidi w:val="0"/>
        <w:spacing w:beforeAutospacing="0" w:afterAutospacing="0"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0F244133">
      <w:pPr>
        <w:pageBreakBefore w:val="0"/>
        <w:kinsoku/>
        <w:overflowPunct/>
        <w:topLinePunct w:val="0"/>
        <w:bidi w:val="0"/>
        <w:spacing w:beforeAutospacing="0" w:afterAutospacing="0"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0D5C6479">
      <w:pPr>
        <w:pageBreakBefore w:val="0"/>
        <w:kinsoku/>
        <w:overflowPunct/>
        <w:topLinePunct w:val="0"/>
        <w:bidi w:val="0"/>
        <w:spacing w:beforeAutospacing="0" w:afterAutospacing="0" w:line="360" w:lineRule="auto"/>
        <w:ind w:firstLine="1050" w:firstLineChars="50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B3104A8">
      <w:pPr>
        <w:wordWrap w:val="0"/>
        <w:spacing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w:t>
      </w:r>
    </w:p>
    <w:p w14:paraId="63AEF8ED">
      <w:pPr>
        <w:wordWrap w:val="0"/>
        <w:spacing w:line="360" w:lineRule="auto"/>
        <w:jc w:val="left"/>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1、重大违法记录，是指供应商因违法经营受到刑事处罚或者责令停产停业、吊销许可证或者执照、较大数额罚款（指200万元及以上罚款）等行政处罚。</w:t>
      </w:r>
    </w:p>
    <w:p w14:paraId="09C0856E">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cs="宋体"/>
          <w:bCs/>
          <w:color w:val="auto"/>
          <w:w w:val="100"/>
          <w:kern w:val="2"/>
          <w:sz w:val="21"/>
          <w:szCs w:val="21"/>
          <w:highlight w:val="none"/>
          <w:lang w:val="en-US" w:eastAsia="zh-CN" w:bidi="ar-SA"/>
        </w:rPr>
      </w:pPr>
      <w:r>
        <w:rPr>
          <w:rFonts w:hint="eastAsia" w:ascii="宋体" w:hAnsi="宋体" w:eastAsia="宋体" w:cs="宋体"/>
          <w:b/>
          <w:color w:val="auto"/>
          <w:sz w:val="21"/>
          <w:szCs w:val="21"/>
          <w:highlight w:val="none"/>
        </w:rPr>
        <w:br w:type="page"/>
      </w:r>
    </w:p>
    <w:p w14:paraId="124091A7">
      <w:pPr>
        <w:keepNext w:val="0"/>
        <w:keepLines w:val="0"/>
        <w:pageBreakBefore w:val="0"/>
        <w:widowControl w:val="0"/>
        <w:kinsoku/>
        <w:wordWrap w:val="0"/>
        <w:overflowPunct/>
        <w:topLinePunct w:val="0"/>
        <w:autoSpaceDE/>
        <w:autoSpaceDN/>
        <w:bidi w:val="0"/>
        <w:adjustRightInd/>
        <w:snapToGrid/>
        <w:spacing w:line="360" w:lineRule="auto"/>
        <w:ind w:right="0" w:rightChars="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11" w:name="_Toc28754"/>
      <w:r>
        <w:rPr>
          <w:rFonts w:hint="eastAsia" w:ascii="宋体" w:hAnsi="宋体" w:eastAsia="宋体" w:cs="宋体"/>
          <w:b/>
          <w:bCs w:val="0"/>
          <w:color w:val="auto"/>
          <w:w w:val="100"/>
          <w:kern w:val="2"/>
          <w:sz w:val="28"/>
          <w:szCs w:val="28"/>
          <w:highlight w:val="none"/>
          <w:lang w:val="en-US" w:eastAsia="zh-CN" w:bidi="ar-SA"/>
        </w:rPr>
        <w:t>七、法律、行政法规规定的其他条件</w:t>
      </w:r>
      <w:bookmarkEnd w:id="311"/>
    </w:p>
    <w:p w14:paraId="5238F178">
      <w:pPr>
        <w:keepNext w:val="0"/>
        <w:keepLines w:val="0"/>
        <w:pageBreakBefore w:val="0"/>
        <w:widowControl w:val="0"/>
        <w:numPr>
          <w:ilvl w:val="0"/>
          <w:numId w:val="0"/>
        </w:numPr>
        <w:kinsoku/>
        <w:wordWrap w:val="0"/>
        <w:overflowPunct/>
        <w:topLinePunct w:val="0"/>
        <w:autoSpaceDE/>
        <w:autoSpaceDN/>
        <w:bidi w:val="0"/>
        <w:adjustRightInd/>
        <w:snapToGrid/>
        <w:spacing w:before="157" w:beforeLines="50" w:line="360" w:lineRule="auto"/>
        <w:ind w:firstLine="420" w:firstLineChars="200"/>
        <w:textAlignment w:val="auto"/>
        <w:outlineLvl w:val="9"/>
        <w:rPr>
          <w:rFonts w:hint="eastAsia" w:ascii="宋体" w:hAnsi="宋体" w:cs="宋体"/>
          <w:b/>
          <w:bCs w:val="0"/>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宋体" w:hAnsi="宋体" w:cs="宋体"/>
          <w:bCs/>
          <w:color w:val="auto"/>
          <w:w w:val="100"/>
          <w:kern w:val="2"/>
          <w:sz w:val="21"/>
          <w:szCs w:val="21"/>
          <w:highlight w:val="none"/>
          <w:lang w:val="en-US" w:eastAsia="zh-CN" w:bidi="ar-SA"/>
        </w:rPr>
        <w:t>提供声明函，</w:t>
      </w:r>
      <w:r>
        <w:rPr>
          <w:rFonts w:hint="eastAsia" w:ascii="宋体" w:hAnsi="宋体" w:eastAsia="宋体" w:cs="宋体"/>
          <w:b w:val="0"/>
          <w:bCs/>
          <w:color w:val="auto"/>
          <w:w w:val="100"/>
          <w:kern w:val="2"/>
          <w:sz w:val="21"/>
          <w:szCs w:val="21"/>
          <w:highlight w:val="none"/>
          <w:lang w:val="en-US" w:eastAsia="zh-CN" w:bidi="ar-SA"/>
        </w:rPr>
        <w:t>格式</w:t>
      </w:r>
      <w:r>
        <w:rPr>
          <w:rFonts w:hint="eastAsia" w:ascii="宋体" w:hAnsi="宋体" w:cs="宋体"/>
          <w:b w:val="0"/>
          <w:bCs/>
          <w:color w:val="auto"/>
          <w:w w:val="100"/>
          <w:kern w:val="2"/>
          <w:sz w:val="21"/>
          <w:szCs w:val="21"/>
          <w:highlight w:val="none"/>
          <w:lang w:val="en-US" w:eastAsia="zh-CN" w:bidi="ar-SA"/>
        </w:rPr>
        <w:t>如下：</w:t>
      </w:r>
    </w:p>
    <w:p w14:paraId="57C08DAF">
      <w:pPr>
        <w:keepNext w:val="0"/>
        <w:keepLines w:val="0"/>
        <w:pageBreakBefore w:val="0"/>
        <w:widowControl w:val="0"/>
        <w:shd w:val="clear" w:color="auto" w:fill="auto"/>
        <w:kinsoku/>
        <w:wordWrap w:val="0"/>
        <w:overflowPunct/>
        <w:topLinePunct w:val="0"/>
        <w:autoSpaceDE w:val="0"/>
        <w:autoSpaceDN w:val="0"/>
        <w:bidi w:val="0"/>
        <w:adjustRightInd w:val="0"/>
        <w:snapToGrid/>
        <w:spacing w:before="313" w:beforeLines="100" w:line="360" w:lineRule="auto"/>
        <w:jc w:val="center"/>
        <w:textAlignment w:val="auto"/>
        <w:outlineLvl w:val="9"/>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声明函</w:t>
      </w:r>
    </w:p>
    <w:p w14:paraId="222EB923">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outlineLvl w:val="9"/>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采购人名称</w:t>
      </w:r>
      <w:r>
        <w:rPr>
          <w:rFonts w:hint="eastAsia" w:ascii="宋体" w:hAnsi="宋体" w:eastAsia="宋体" w:cs="宋体"/>
          <w:color w:val="auto"/>
          <w:sz w:val="21"/>
          <w:szCs w:val="21"/>
          <w:highlight w:val="none"/>
          <w:u w:val="single"/>
          <w:lang w:eastAsia="zh-CN"/>
        </w:rPr>
        <w:t>）</w:t>
      </w:r>
    </w:p>
    <w:p w14:paraId="5639085D">
      <w:pPr>
        <w:keepNext w:val="0"/>
        <w:keepLines w:val="0"/>
        <w:pageBreakBefore w:val="0"/>
        <w:widowControl w:val="0"/>
        <w:kinsoku/>
        <w:wordWrap/>
        <w:overflowPunct/>
        <w:topLinePunct w:val="0"/>
        <w:autoSpaceDE/>
        <w:autoSpaceDN/>
        <w:bidi w:val="0"/>
        <w:adjustRightInd/>
        <w:snapToGrid/>
        <w:spacing w:before="160" w:beforeLines="50" w:line="360" w:lineRule="auto"/>
        <w:ind w:firstLine="420" w:firstLineChars="200"/>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（项目名称）</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（项目编号：</w:t>
      </w:r>
      <w:r>
        <w:rPr>
          <w:rFonts w:hint="eastAsia" w:ascii="宋体" w:hAnsi="宋体" w:eastAsia="宋体" w:cs="宋体"/>
          <w:b w:val="0"/>
          <w:bCs/>
          <w:color w:val="auto"/>
          <w:sz w:val="21"/>
          <w:szCs w:val="21"/>
          <w:highlight w:val="none"/>
          <w:lang w:val="en-US" w:eastAsia="zh-CN"/>
        </w:rPr>
        <w:t>_____________</w:t>
      </w:r>
      <w:r>
        <w:rPr>
          <w:rFonts w:hint="eastAsia" w:ascii="宋体" w:hAnsi="宋体" w:eastAsia="宋体" w:cs="宋体"/>
          <w:b w:val="0"/>
          <w:bCs/>
          <w:color w:val="auto"/>
          <w:sz w:val="21"/>
          <w:szCs w:val="21"/>
          <w:highlight w:val="none"/>
        </w:rPr>
        <w:t>）</w:t>
      </w:r>
    </w:p>
    <w:p w14:paraId="1EE685FF">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声明单位：</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lang w:eastAsia="zh-CN"/>
        </w:rPr>
        <w:t>（单位</w:t>
      </w:r>
      <w:r>
        <w:rPr>
          <w:rFonts w:hint="eastAsia" w:ascii="宋体" w:hAnsi="宋体" w:eastAsia="宋体" w:cs="宋体"/>
          <w:b w:val="0"/>
          <w:bCs/>
          <w:color w:val="auto"/>
          <w:sz w:val="21"/>
          <w:szCs w:val="21"/>
          <w:highlight w:val="none"/>
          <w:u w:val="single"/>
        </w:rPr>
        <w:t>全称</w:t>
      </w:r>
      <w:r>
        <w:rPr>
          <w:rFonts w:hint="eastAsia" w:ascii="宋体" w:hAnsi="宋体" w:eastAsia="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（统一社会信用代码：</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rPr>
        <w:t>）</w:t>
      </w:r>
    </w:p>
    <w:p w14:paraId="682D29B4">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我方（供应商全称）自愿参与本项目政府采购活动，现郑重声明如下：</w:t>
      </w:r>
    </w:p>
    <w:p w14:paraId="47EC3E86">
      <w:pPr>
        <w:keepNext w:val="0"/>
        <w:keepLines w:val="0"/>
        <w:pageBreakBefore w:val="0"/>
        <w:widowControl/>
        <w:kinsoku/>
        <w:wordWrap/>
        <w:overflowPunct/>
        <w:topLinePunct w:val="0"/>
        <w:autoSpaceDE/>
        <w:autoSpaceDN/>
        <w:bidi w:val="0"/>
        <w:adjustRightInd/>
        <w:snapToGrid/>
        <w:spacing w:before="167" w:beforeLines="50" w:line="360" w:lineRule="auto"/>
        <w:ind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关联关系声明</w:t>
      </w:r>
    </w:p>
    <w:p w14:paraId="6D9BF359">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我方与本项目其他参加投标（响应）的供应商之间，不存在单位负责人为同一人的情形；不存在直接控股、管理关系的不同供应商同时参加同一合同项下政府采购活动的情形。</w:t>
      </w:r>
    </w:p>
    <w:p w14:paraId="21511C57">
      <w:pPr>
        <w:keepNext w:val="0"/>
        <w:keepLines w:val="0"/>
        <w:pageBreakBefore w:val="0"/>
        <w:widowControl/>
        <w:kinsoku/>
        <w:wordWrap/>
        <w:overflowPunct/>
        <w:topLinePunct w:val="0"/>
        <w:autoSpaceDE/>
        <w:autoSpaceDN/>
        <w:bidi w:val="0"/>
        <w:adjustRightInd/>
        <w:snapToGrid/>
        <w:spacing w:before="167" w:beforeLines="50" w:line="360" w:lineRule="auto"/>
        <w:ind w:firstLine="422" w:firstLineChars="200"/>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前期服务回避声明</w:t>
      </w:r>
    </w:p>
    <w:p w14:paraId="269F9855">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我方未曾在本项目采购活动中提供整体设计、规范编制或者项目管理、监理、检测等服务。若我方曾提供上述任何一项服务，则自愿放弃参加本项目（包括但不限于投标、响应、后续采购活动）的资格。</w:t>
      </w:r>
    </w:p>
    <w:p w14:paraId="2C32F6D7">
      <w:pPr>
        <w:keepNext w:val="0"/>
        <w:keepLines w:val="0"/>
        <w:pageBreakBefore w:val="0"/>
        <w:widowControl/>
        <w:kinsoku/>
        <w:wordWrap/>
        <w:overflowPunct/>
        <w:topLinePunct w:val="0"/>
        <w:autoSpaceDE/>
        <w:autoSpaceDN/>
        <w:bidi w:val="0"/>
        <w:adjustRightInd/>
        <w:snapToGrid/>
        <w:spacing w:before="167" w:beforeLines="50" w:line="36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我方保证上述声明内容真实、准确、完整，并愿意承担因虚假声明所导致的一切法律责任（包括但不限于取消投标/成交资格、列入不良行为记录、赔偿采购人损失等）。</w:t>
      </w:r>
    </w:p>
    <w:p w14:paraId="44CB6A80">
      <w:pPr>
        <w:keepNext w:val="0"/>
        <w:keepLines w:val="0"/>
        <w:pageBreakBefore w:val="0"/>
        <w:widowControl/>
        <w:kinsoku/>
        <w:wordWrap/>
        <w:overflowPunct/>
        <w:topLinePunct w:val="0"/>
        <w:autoSpaceDE/>
        <w:autoSpaceDN/>
        <w:bidi w:val="0"/>
        <w:adjustRightInd/>
        <w:snapToGrid/>
        <w:spacing w:before="167" w:beforeLines="50" w:line="360" w:lineRule="auto"/>
        <w:ind w:firstLine="420" w:firstLineChars="200"/>
        <w:textAlignment w:val="auto"/>
        <w:outlineLvl w:val="9"/>
        <w:rPr>
          <w:rFonts w:hint="eastAsia" w:ascii="宋体" w:hAnsi="宋体" w:eastAsia="宋体" w:cs="宋体"/>
          <w:b w:val="0"/>
          <w:color w:val="auto"/>
          <w:sz w:val="21"/>
          <w:szCs w:val="21"/>
          <w:highlight w:val="none"/>
          <w:lang w:val="en-US" w:eastAsia="zh-CN"/>
        </w:rPr>
      </w:pPr>
      <w:r>
        <w:rPr>
          <w:rFonts w:hint="eastAsia" w:ascii="宋体" w:hAnsi="宋体" w:eastAsia="宋体" w:cs="宋体"/>
          <w:color w:val="auto"/>
          <w:sz w:val="21"/>
          <w:szCs w:val="21"/>
          <w:highlight w:val="none"/>
        </w:rPr>
        <w:t>特此声明。</w:t>
      </w:r>
    </w:p>
    <w:p w14:paraId="59398C09">
      <w:pPr>
        <w:pageBreakBefore w:val="0"/>
        <w:kinsoku/>
        <w:overflowPunct/>
        <w:topLinePunct w:val="0"/>
        <w:bidi w:val="0"/>
        <w:spacing w:beforeAutospacing="0" w:afterAutospacing="0" w:line="360" w:lineRule="auto"/>
        <w:ind w:leftChars="10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2DE58711">
      <w:pPr>
        <w:pageBreakBefore w:val="0"/>
        <w:kinsoku/>
        <w:overflowPunct/>
        <w:topLinePunct w:val="0"/>
        <w:bidi w:val="0"/>
        <w:spacing w:beforeAutospacing="0" w:afterAutospacing="0" w:line="360" w:lineRule="auto"/>
        <w:ind w:leftChars="10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25DB5733">
      <w:pPr>
        <w:pageBreakBefore w:val="0"/>
        <w:kinsoku/>
        <w:overflowPunct/>
        <w:topLinePunct w:val="0"/>
        <w:bidi w:val="0"/>
        <w:spacing w:beforeAutospacing="0" w:afterAutospacing="0" w:line="360" w:lineRule="auto"/>
        <w:ind w:firstLine="1050" w:firstLineChars="500"/>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4F1A04">
      <w:pPr>
        <w:keepNext w:val="0"/>
        <w:keepLines w:val="0"/>
        <w:pageBreakBefore w:val="0"/>
        <w:widowControl w:val="0"/>
        <w:numPr>
          <w:ilvl w:val="0"/>
          <w:numId w:val="0"/>
        </w:numPr>
        <w:kinsoku/>
        <w:wordWrap w:val="0"/>
        <w:overflowPunct/>
        <w:topLinePunct w:val="0"/>
        <w:autoSpaceDE/>
        <w:autoSpaceDN/>
        <w:bidi w:val="0"/>
        <w:adjustRightInd/>
        <w:snapToGrid/>
        <w:spacing w:before="157" w:beforeLines="50" w:line="360" w:lineRule="auto"/>
        <w:ind w:firstLine="482" w:firstLineChars="200"/>
        <w:textAlignment w:val="auto"/>
        <w:outlineLvl w:val="9"/>
        <w:rPr>
          <w:rFonts w:hint="eastAsia" w:ascii="宋体" w:hAnsi="宋体" w:cs="宋体"/>
          <w:b/>
          <w:bCs w:val="0"/>
          <w:color w:val="auto"/>
          <w:w w:val="100"/>
          <w:kern w:val="2"/>
          <w:sz w:val="24"/>
          <w:szCs w:val="24"/>
          <w:highlight w:val="none"/>
          <w:lang w:val="en-US" w:eastAsia="zh-CN" w:bidi="ar-SA"/>
        </w:rPr>
      </w:pPr>
    </w:p>
    <w:p w14:paraId="4F499EA1">
      <w:pPr>
        <w:pStyle w:val="15"/>
        <w:keepNext w:val="0"/>
        <w:keepLines w:val="0"/>
        <w:pageBreakBefore w:val="0"/>
        <w:widowControl w:val="0"/>
        <w:kinsoku/>
        <w:wordWrap w:val="0"/>
        <w:overflowPunct/>
        <w:topLinePunct w:val="0"/>
        <w:autoSpaceDE/>
        <w:autoSpaceDN/>
        <w:bidi w:val="0"/>
        <w:adjustRightInd/>
        <w:snapToGrid/>
        <w:spacing w:after="0" w:line="360" w:lineRule="auto"/>
        <w:ind w:left="0" w:leftChars="0" w:right="0" w:rightChars="0" w:firstLine="562" w:firstLineChars="200"/>
        <w:jc w:val="center"/>
        <w:textAlignment w:val="auto"/>
        <w:rPr>
          <w:rFonts w:hint="eastAsia" w:ascii="宋体" w:hAnsi="宋体" w:eastAsia="宋体" w:cs="宋体"/>
          <w:b/>
          <w:bCs w:val="0"/>
          <w:color w:val="auto"/>
          <w:w w:val="100"/>
          <w:kern w:val="2"/>
          <w:sz w:val="28"/>
          <w:szCs w:val="28"/>
          <w:highlight w:val="none"/>
          <w:lang w:val="en-US" w:eastAsia="zh-CN" w:bidi="ar-SA"/>
        </w:rPr>
      </w:pPr>
    </w:p>
    <w:p w14:paraId="50EABF7D">
      <w:pPr>
        <w:rPr>
          <w:rFonts w:hint="eastAsia" w:ascii="宋体" w:hAnsi="宋体" w:eastAsia="宋体" w:cs="宋体"/>
          <w:b/>
          <w:bCs w:val="0"/>
          <w:color w:val="auto"/>
          <w:w w:val="100"/>
          <w:kern w:val="2"/>
          <w:sz w:val="28"/>
          <w:szCs w:val="28"/>
          <w:highlight w:val="none"/>
          <w:lang w:val="en-US" w:eastAsia="zh-CN" w:bidi="ar-SA"/>
        </w:rPr>
      </w:pPr>
      <w:r>
        <w:rPr>
          <w:rFonts w:hint="eastAsia" w:ascii="宋体" w:hAnsi="宋体" w:eastAsia="宋体" w:cs="宋体"/>
          <w:b/>
          <w:bCs w:val="0"/>
          <w:color w:val="auto"/>
          <w:w w:val="100"/>
          <w:kern w:val="2"/>
          <w:sz w:val="28"/>
          <w:szCs w:val="28"/>
          <w:highlight w:val="none"/>
          <w:lang w:val="en-US" w:eastAsia="zh-CN" w:bidi="ar-SA"/>
        </w:rPr>
        <w:br w:type="page"/>
      </w:r>
    </w:p>
    <w:p w14:paraId="2171C48E">
      <w:pPr>
        <w:pStyle w:val="15"/>
        <w:keepNext w:val="0"/>
        <w:keepLines w:val="0"/>
        <w:pageBreakBefore w:val="0"/>
        <w:widowControl w:val="0"/>
        <w:kinsoku/>
        <w:wordWrap w:val="0"/>
        <w:overflowPunct/>
        <w:topLinePunct w:val="0"/>
        <w:autoSpaceDE/>
        <w:autoSpaceDN/>
        <w:bidi w:val="0"/>
        <w:adjustRightInd/>
        <w:snapToGrid/>
        <w:spacing w:after="0" w:line="360" w:lineRule="auto"/>
        <w:ind w:right="0" w:rightChars="0"/>
        <w:jc w:val="center"/>
        <w:textAlignment w:val="auto"/>
        <w:outlineLvl w:val="2"/>
        <w:rPr>
          <w:rFonts w:hint="eastAsia" w:ascii="宋体" w:hAnsi="宋体" w:eastAsia="宋体" w:cs="宋体"/>
          <w:b/>
          <w:bCs w:val="0"/>
          <w:color w:val="auto"/>
          <w:w w:val="100"/>
          <w:kern w:val="2"/>
          <w:sz w:val="28"/>
          <w:szCs w:val="28"/>
          <w:highlight w:val="none"/>
          <w:lang w:val="en-US" w:eastAsia="zh-CN" w:bidi="ar-SA"/>
        </w:rPr>
      </w:pPr>
      <w:bookmarkStart w:id="312" w:name="_Toc31962"/>
      <w:r>
        <w:rPr>
          <w:rFonts w:hint="eastAsia" w:ascii="宋体" w:hAnsi="宋体" w:eastAsia="宋体" w:cs="宋体"/>
          <w:b/>
          <w:bCs w:val="0"/>
          <w:color w:val="auto"/>
          <w:w w:val="100"/>
          <w:kern w:val="2"/>
          <w:sz w:val="28"/>
          <w:szCs w:val="28"/>
          <w:highlight w:val="none"/>
          <w:lang w:val="en-US" w:eastAsia="zh-CN" w:bidi="ar-SA"/>
        </w:rPr>
        <w:t>八、特定资格要求</w:t>
      </w:r>
      <w:bookmarkEnd w:id="312"/>
    </w:p>
    <w:p w14:paraId="2A351BC7">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16"/>
          <w:highlight w:val="none"/>
          <w:lang w:val="en-US" w:eastAsia="zh-CN"/>
        </w:rPr>
      </w:pPr>
      <w:r>
        <w:rPr>
          <w:rFonts w:hint="eastAsia" w:ascii="宋体" w:hAnsi="宋体" w:eastAsia="宋体" w:cs="宋体"/>
          <w:color w:val="auto"/>
          <w:kern w:val="0"/>
          <w:sz w:val="21"/>
          <w:szCs w:val="16"/>
          <w:highlight w:val="none"/>
          <w:lang w:val="en-US" w:eastAsia="zh-CN"/>
        </w:rPr>
        <w:t>1.</w:t>
      </w:r>
      <w:r>
        <w:rPr>
          <w:rFonts w:hint="eastAsia" w:ascii="宋体" w:hAnsi="宋体" w:cs="宋体"/>
          <w:color w:val="auto"/>
          <w:kern w:val="0"/>
          <w:sz w:val="21"/>
          <w:szCs w:val="16"/>
          <w:highlight w:val="none"/>
          <w:lang w:val="en-US" w:eastAsia="zh-CN"/>
        </w:rPr>
        <w:t>具备行政主管部门颁发的水利水电工程施工总承包叁级（含叁级）及以上资质证书，并具备有效的安全生产许可证</w:t>
      </w:r>
      <w:r>
        <w:rPr>
          <w:rFonts w:hint="eastAsia" w:ascii="宋体" w:hAnsi="宋体" w:eastAsia="宋体" w:cs="宋体"/>
          <w:color w:val="auto"/>
          <w:kern w:val="0"/>
          <w:sz w:val="21"/>
          <w:szCs w:val="16"/>
          <w:highlight w:val="none"/>
          <w:lang w:val="en-US" w:eastAsia="zh-CN"/>
        </w:rPr>
        <w:t>。</w:t>
      </w:r>
    </w:p>
    <w:p w14:paraId="66FAE549">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16"/>
          <w:highlight w:val="none"/>
          <w:lang w:val="en-US" w:eastAsia="zh-CN"/>
        </w:rPr>
      </w:pPr>
      <w:r>
        <w:rPr>
          <w:rFonts w:hint="eastAsia" w:ascii="宋体" w:hAnsi="宋体" w:eastAsia="宋体" w:cs="宋体"/>
          <w:b/>
          <w:bCs/>
          <w:color w:val="auto"/>
          <w:kern w:val="0"/>
          <w:sz w:val="21"/>
          <w:szCs w:val="16"/>
          <w:highlight w:val="none"/>
          <w:lang w:val="en-US" w:eastAsia="zh-CN"/>
        </w:rPr>
        <w:t>附资质证书和安全生产许可证等材料的原件扫描件</w:t>
      </w:r>
    </w:p>
    <w:p w14:paraId="317C51FC">
      <w:pPr>
        <w:rPr>
          <w:rFonts w:hint="eastAsia" w:ascii="宋体" w:hAnsi="宋体" w:eastAsia="宋体" w:cs="宋体"/>
          <w:color w:val="auto"/>
          <w:kern w:val="0"/>
          <w:sz w:val="21"/>
          <w:szCs w:val="16"/>
          <w:highlight w:val="none"/>
          <w:lang w:val="en-US" w:eastAsia="zh-CN"/>
        </w:rPr>
      </w:pPr>
    </w:p>
    <w:p w14:paraId="7123AA29">
      <w:pPr>
        <w:rPr>
          <w:rFonts w:hint="eastAsia" w:ascii="宋体" w:hAnsi="宋体" w:eastAsia="宋体" w:cs="宋体"/>
          <w:color w:val="auto"/>
          <w:kern w:val="0"/>
          <w:sz w:val="21"/>
          <w:szCs w:val="16"/>
          <w:highlight w:val="none"/>
          <w:lang w:val="en-US" w:eastAsia="zh-CN"/>
        </w:rPr>
      </w:pPr>
    </w:p>
    <w:p w14:paraId="3FD02F5B">
      <w:pPr>
        <w:rPr>
          <w:rFonts w:hint="eastAsia" w:ascii="宋体" w:hAnsi="宋体" w:eastAsia="宋体" w:cs="宋体"/>
          <w:color w:val="auto"/>
          <w:kern w:val="0"/>
          <w:sz w:val="21"/>
          <w:szCs w:val="16"/>
          <w:highlight w:val="none"/>
          <w:lang w:val="en-US" w:eastAsia="zh-CN"/>
        </w:rPr>
      </w:pPr>
    </w:p>
    <w:p w14:paraId="1CE4C696">
      <w:pPr>
        <w:rPr>
          <w:rFonts w:hint="eastAsia" w:ascii="宋体" w:hAnsi="宋体" w:eastAsia="宋体" w:cs="宋体"/>
          <w:color w:val="auto"/>
          <w:kern w:val="0"/>
          <w:sz w:val="21"/>
          <w:szCs w:val="16"/>
          <w:highlight w:val="none"/>
          <w:lang w:val="en-US" w:eastAsia="zh-CN"/>
        </w:rPr>
      </w:pPr>
    </w:p>
    <w:p w14:paraId="0EE769C1">
      <w:pPr>
        <w:rPr>
          <w:rFonts w:hint="eastAsia" w:ascii="宋体" w:hAnsi="宋体" w:eastAsia="宋体" w:cs="宋体"/>
          <w:color w:val="auto"/>
          <w:kern w:val="0"/>
          <w:sz w:val="21"/>
          <w:szCs w:val="16"/>
          <w:highlight w:val="none"/>
          <w:lang w:val="en-US" w:eastAsia="zh-CN"/>
        </w:rPr>
      </w:pPr>
    </w:p>
    <w:p w14:paraId="1592A74E">
      <w:pPr>
        <w:rPr>
          <w:rFonts w:hint="eastAsia" w:ascii="宋体" w:hAnsi="宋体" w:eastAsia="宋体" w:cs="宋体"/>
          <w:color w:val="auto"/>
          <w:kern w:val="0"/>
          <w:sz w:val="21"/>
          <w:szCs w:val="16"/>
          <w:highlight w:val="none"/>
          <w:lang w:val="en-US" w:eastAsia="zh-CN"/>
        </w:rPr>
      </w:pPr>
    </w:p>
    <w:p w14:paraId="38EF5965">
      <w:pPr>
        <w:rPr>
          <w:rFonts w:hint="eastAsia" w:ascii="宋体" w:hAnsi="宋体" w:eastAsia="宋体" w:cs="宋体"/>
          <w:color w:val="auto"/>
          <w:kern w:val="0"/>
          <w:sz w:val="21"/>
          <w:szCs w:val="16"/>
          <w:highlight w:val="none"/>
          <w:lang w:val="en-US" w:eastAsia="zh-CN"/>
        </w:rPr>
      </w:pPr>
    </w:p>
    <w:p w14:paraId="1763A14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16"/>
          <w:highlight w:val="none"/>
          <w:lang w:val="en-US" w:eastAsia="zh-CN"/>
        </w:rPr>
      </w:pPr>
      <w:r>
        <w:rPr>
          <w:rFonts w:hint="eastAsia" w:ascii="宋体" w:hAnsi="宋体" w:eastAsia="宋体" w:cs="宋体"/>
          <w:color w:val="auto"/>
          <w:kern w:val="0"/>
          <w:sz w:val="21"/>
          <w:szCs w:val="16"/>
          <w:highlight w:val="none"/>
          <w:lang w:val="en-US" w:eastAsia="zh-CN"/>
        </w:rPr>
        <w:t>2.</w:t>
      </w:r>
      <w:r>
        <w:rPr>
          <w:rFonts w:hint="eastAsia" w:ascii="宋体" w:hAnsi="宋体" w:cs="宋体"/>
          <w:color w:val="auto"/>
          <w:kern w:val="0"/>
          <w:sz w:val="21"/>
          <w:szCs w:val="16"/>
          <w:highlight w:val="none"/>
          <w:lang w:val="en-US" w:eastAsia="zh-CN"/>
        </w:rPr>
        <w:t>拟投入本工程的项目经理必须具备水利水电工程专业贰级以上（含贰级）建造师资格和有效的安全生产考核合格证（B证）。提供为本单位人员的社保证明，提供项目经理无在建承诺</w:t>
      </w:r>
      <w:r>
        <w:rPr>
          <w:rFonts w:hint="eastAsia" w:ascii="宋体" w:hAnsi="宋体" w:eastAsia="宋体" w:cs="宋体"/>
          <w:color w:val="auto"/>
          <w:kern w:val="0"/>
          <w:sz w:val="21"/>
          <w:szCs w:val="16"/>
          <w:highlight w:val="none"/>
          <w:lang w:val="en-US" w:eastAsia="zh-CN"/>
        </w:rPr>
        <w:t>。</w:t>
      </w:r>
    </w:p>
    <w:p w14:paraId="1C6BC976">
      <w:pPr>
        <w:keepNext w:val="0"/>
        <w:keepLines w:val="0"/>
        <w:pageBreakBefore w:val="0"/>
        <w:widowControl w:val="0"/>
        <w:kinsoku/>
        <w:wordWrap w:val="0"/>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0"/>
          <w:sz w:val="21"/>
          <w:szCs w:val="16"/>
          <w:highlight w:val="none"/>
          <w:lang w:val="en-US" w:eastAsia="zh-CN"/>
        </w:rPr>
      </w:pPr>
      <w:r>
        <w:rPr>
          <w:rFonts w:hint="eastAsia" w:ascii="宋体" w:hAnsi="宋体" w:eastAsia="宋体" w:cs="宋体"/>
          <w:b/>
          <w:bCs/>
          <w:color w:val="auto"/>
          <w:kern w:val="0"/>
          <w:sz w:val="21"/>
          <w:szCs w:val="16"/>
          <w:highlight w:val="none"/>
          <w:lang w:val="en-US" w:eastAsia="zh-CN"/>
        </w:rPr>
        <w:t xml:space="preserve"> 附拟派项目负责人（项目经理）的建造师注册证书、安全生产考核合格证书、身份证、劳动合同或社保证明等材料的原件扫描件</w:t>
      </w:r>
    </w:p>
    <w:p w14:paraId="582277CB">
      <w:pPr>
        <w:keepNext w:val="0"/>
        <w:keepLines w:val="0"/>
        <w:pageBreakBefore w:val="0"/>
        <w:widowControl w:val="0"/>
        <w:kinsoku/>
        <w:wordWrap w:val="0"/>
        <w:overflowPunct/>
        <w:topLinePunct w:val="0"/>
        <w:autoSpaceDE/>
        <w:autoSpaceDN/>
        <w:bidi w:val="0"/>
        <w:adjustRightInd/>
        <w:snapToGrid/>
        <w:spacing w:before="469" w:beforeLines="150" w:line="360" w:lineRule="auto"/>
        <w:jc w:val="center"/>
        <w:textAlignment w:val="auto"/>
        <w:outlineLvl w:val="3"/>
        <w:rPr>
          <w:rFonts w:hint="eastAsia" w:ascii="宋体" w:hAnsi="宋体" w:cs="宋体"/>
          <w:b/>
          <w:bCs/>
          <w:color w:val="auto"/>
          <w:sz w:val="28"/>
          <w:highlight w:val="none"/>
        </w:rPr>
      </w:pPr>
    </w:p>
    <w:p w14:paraId="1D68F2E6">
      <w:pPr>
        <w:keepNext w:val="0"/>
        <w:keepLines w:val="0"/>
        <w:pageBreakBefore w:val="0"/>
        <w:widowControl w:val="0"/>
        <w:kinsoku/>
        <w:wordWrap w:val="0"/>
        <w:overflowPunct/>
        <w:topLinePunct w:val="0"/>
        <w:autoSpaceDE/>
        <w:autoSpaceDN/>
        <w:bidi w:val="0"/>
        <w:adjustRightInd/>
        <w:snapToGrid/>
        <w:spacing w:before="469" w:beforeLines="150" w:line="360" w:lineRule="auto"/>
        <w:jc w:val="center"/>
        <w:textAlignment w:val="auto"/>
        <w:outlineLvl w:val="3"/>
        <w:rPr>
          <w:rFonts w:ascii="宋体" w:hAnsi="宋体" w:cs="宋体"/>
          <w:b/>
          <w:bCs/>
          <w:color w:val="auto"/>
          <w:sz w:val="28"/>
          <w:highlight w:val="none"/>
        </w:rPr>
      </w:pPr>
      <w:r>
        <w:rPr>
          <w:rFonts w:hint="eastAsia" w:ascii="宋体" w:hAnsi="宋体" w:cs="宋体"/>
          <w:b/>
          <w:bCs/>
          <w:color w:val="auto"/>
          <w:sz w:val="28"/>
          <w:highlight w:val="none"/>
        </w:rPr>
        <w:t>承  诺  书</w:t>
      </w:r>
    </w:p>
    <w:p w14:paraId="4A1130CB">
      <w:pPr>
        <w:pageBreakBefore w:val="0"/>
        <w:kinsoku/>
        <w:wordWrap w:val="0"/>
        <w:overflowPunct/>
        <w:topLinePunct w:val="0"/>
        <w:bidi w:val="0"/>
        <w:jc w:val="center"/>
        <w:rPr>
          <w:rFonts w:ascii="宋体" w:hAnsi="宋体" w:cs="宋体"/>
          <w:color w:val="auto"/>
          <w:sz w:val="28"/>
          <w:highlight w:val="none"/>
        </w:rPr>
      </w:pPr>
    </w:p>
    <w:p w14:paraId="03E3148E">
      <w:pPr>
        <w:keepNext w:val="0"/>
        <w:keepLines w:val="0"/>
        <w:pageBreakBefore w:val="0"/>
        <w:widowControl w:val="0"/>
        <w:kinsoku/>
        <w:wordWrap w:val="0"/>
        <w:overflowPunct/>
        <w:topLinePunct w:val="0"/>
        <w:autoSpaceDE/>
        <w:autoSpaceDN/>
        <w:bidi w:val="0"/>
        <w:adjustRightInd/>
        <w:snapToGrid/>
        <w:spacing w:after="72" w:line="480" w:lineRule="auto"/>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采购人</w:t>
      </w:r>
      <w:r>
        <w:rPr>
          <w:rFonts w:hint="eastAsia" w:ascii="宋体" w:hAnsi="宋体" w:cs="宋体"/>
          <w:color w:val="auto"/>
          <w:sz w:val="21"/>
          <w:szCs w:val="21"/>
          <w:highlight w:val="none"/>
        </w:rPr>
        <w:t>名称）：</w:t>
      </w:r>
    </w:p>
    <w:p w14:paraId="11951E29">
      <w:pPr>
        <w:keepNext w:val="0"/>
        <w:keepLines w:val="0"/>
        <w:pageBreakBefore w:val="0"/>
        <w:widowControl w:val="0"/>
        <w:kinsoku/>
        <w:wordWrap w:val="0"/>
        <w:overflowPunct/>
        <w:topLinePunct w:val="0"/>
        <w:autoSpaceDE/>
        <w:autoSpaceDN/>
        <w:bidi w:val="0"/>
        <w:adjustRightInd/>
        <w:snapToGrid/>
        <w:spacing w:line="480" w:lineRule="auto"/>
        <w:ind w:firstLine="42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我方在此声明，我方拟派往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（项目名称）（以下简称“本工程”）的项目经理</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（项目经理姓名）现阶段没有担任任何在建建设工程项目的项目经理。</w:t>
      </w:r>
    </w:p>
    <w:p w14:paraId="7B5EACE6">
      <w:pPr>
        <w:keepNext w:val="0"/>
        <w:keepLines w:val="0"/>
        <w:pageBreakBefore w:val="0"/>
        <w:widowControl w:val="0"/>
        <w:kinsoku/>
        <w:wordWrap w:val="0"/>
        <w:overflowPunct/>
        <w:topLinePunct w:val="0"/>
        <w:autoSpaceDE/>
        <w:autoSpaceDN/>
        <w:bidi w:val="0"/>
        <w:adjustRightInd/>
        <w:snapToGrid/>
        <w:spacing w:line="480" w:lineRule="auto"/>
        <w:ind w:firstLine="42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我方保证上述信息的真实和准确，并愿意承担因我方就此弄虚作假所引起的一切法律后果。</w:t>
      </w:r>
    </w:p>
    <w:p w14:paraId="40D53984">
      <w:pPr>
        <w:keepNext w:val="0"/>
        <w:keepLines w:val="0"/>
        <w:pageBreakBefore w:val="0"/>
        <w:widowControl w:val="0"/>
        <w:kinsoku/>
        <w:wordWrap w:val="0"/>
        <w:overflowPunct/>
        <w:topLinePunct w:val="0"/>
        <w:autoSpaceDE/>
        <w:autoSpaceDN/>
        <w:bidi w:val="0"/>
        <w:adjustRightInd/>
        <w:snapToGrid/>
        <w:spacing w:line="480" w:lineRule="auto"/>
        <w:ind w:firstLine="420"/>
        <w:jc w:val="left"/>
        <w:textAlignment w:val="auto"/>
        <w:rPr>
          <w:rFonts w:ascii="宋体" w:hAnsi="宋体" w:cs="宋体"/>
          <w:color w:val="auto"/>
          <w:sz w:val="21"/>
          <w:szCs w:val="21"/>
          <w:highlight w:val="none"/>
        </w:rPr>
      </w:pPr>
      <w:r>
        <w:rPr>
          <w:rFonts w:hint="eastAsia" w:ascii="宋体" w:hAnsi="宋体" w:cs="宋体"/>
          <w:color w:val="auto"/>
          <w:sz w:val="21"/>
          <w:szCs w:val="21"/>
          <w:highlight w:val="none"/>
        </w:rPr>
        <w:t>特此承诺</w:t>
      </w:r>
    </w:p>
    <w:p w14:paraId="785569A1">
      <w:pPr>
        <w:keepNext w:val="0"/>
        <w:keepLines w:val="0"/>
        <w:pageBreakBefore w:val="0"/>
        <w:widowControl w:val="0"/>
        <w:kinsoku/>
        <w:wordWrap w:val="0"/>
        <w:overflowPunct/>
        <w:topLinePunct w:val="0"/>
        <w:autoSpaceDE/>
        <w:autoSpaceDN/>
        <w:bidi w:val="0"/>
        <w:adjustRightInd/>
        <w:snapToGrid/>
        <w:spacing w:line="480" w:lineRule="auto"/>
        <w:ind w:firstLine="420"/>
        <w:jc w:val="left"/>
        <w:textAlignment w:val="auto"/>
        <w:rPr>
          <w:rFonts w:ascii="宋体" w:hAnsi="宋体" w:cs="宋体"/>
          <w:color w:val="auto"/>
          <w:sz w:val="21"/>
          <w:szCs w:val="21"/>
          <w:highlight w:val="none"/>
        </w:rPr>
      </w:pPr>
    </w:p>
    <w:p w14:paraId="0A0FF821">
      <w:pPr>
        <w:pageBreakBefore w:val="0"/>
        <w:kinsoku/>
        <w:overflowPunct/>
        <w:topLinePunct w:val="0"/>
        <w:bidi w:val="0"/>
        <w:spacing w:beforeAutospacing="0" w:afterAutospacing="0"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7BC351F8">
      <w:pPr>
        <w:pageBreakBefore w:val="0"/>
        <w:kinsoku/>
        <w:overflowPunct/>
        <w:topLinePunct w:val="0"/>
        <w:bidi w:val="0"/>
        <w:spacing w:beforeAutospacing="0" w:afterAutospacing="0"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（电子签章）</w:t>
      </w:r>
    </w:p>
    <w:p w14:paraId="0C96C999">
      <w:pPr>
        <w:spacing w:line="480" w:lineRule="auto"/>
        <w:jc w:val="right"/>
        <w:rPr>
          <w:rFonts w:hint="eastAsia" w:ascii="宋体" w:hAnsi="宋体" w:eastAsia="宋体" w:cs="宋体"/>
          <w:b/>
          <w:color w:val="auto"/>
          <w:kern w:val="2"/>
          <w:sz w:val="21"/>
          <w:szCs w:val="21"/>
          <w:highlight w:val="none"/>
          <w:lang w:val="en-US" w:eastAsia="zh-CN" w:bidi="ar-SA"/>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D5A770A">
      <w:pPr>
        <w:spacing w:line="360" w:lineRule="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br w:type="page"/>
      </w:r>
    </w:p>
    <w:p w14:paraId="46E49C3E">
      <w:pPr>
        <w:pStyle w:val="4"/>
        <w:pageBreakBefore w:val="0"/>
        <w:widowControl w:val="0"/>
        <w:numPr>
          <w:ilvl w:val="1"/>
          <w:numId w:val="0"/>
        </w:numPr>
        <w:kinsoku/>
        <w:wordWrap w:val="0"/>
        <w:overflowPunct/>
        <w:topLinePunct w:val="0"/>
        <w:autoSpaceDE/>
        <w:autoSpaceDN/>
        <w:bidi w:val="0"/>
        <w:adjustRightInd/>
        <w:snapToGrid/>
        <w:spacing w:before="0" w:after="0"/>
        <w:jc w:val="center"/>
        <w:textAlignment w:val="auto"/>
        <w:outlineLvl w:val="2"/>
        <w:rPr>
          <w:rFonts w:hint="eastAsia" w:ascii="宋体" w:hAnsi="宋体" w:eastAsia="宋体" w:cs="宋体"/>
          <w:color w:val="auto"/>
          <w:sz w:val="28"/>
          <w:szCs w:val="28"/>
          <w:highlight w:val="none"/>
        </w:rPr>
      </w:pPr>
      <w:bookmarkStart w:id="313" w:name="_Toc16030"/>
      <w:r>
        <w:rPr>
          <w:rFonts w:hint="eastAsia" w:ascii="宋体" w:hAnsi="宋体" w:eastAsia="宋体" w:cs="宋体"/>
          <w:b/>
          <w:color w:val="auto"/>
          <w:kern w:val="2"/>
          <w:sz w:val="28"/>
          <w:szCs w:val="28"/>
          <w:highlight w:val="none"/>
          <w:lang w:val="en-US" w:eastAsia="zh-CN" w:bidi="ar-SA"/>
        </w:rPr>
        <w:t>九、中小企业声明函(小微企业需提供)</w:t>
      </w:r>
      <w:bookmarkEnd w:id="313"/>
    </w:p>
    <w:p w14:paraId="3DBF2085">
      <w:pPr>
        <w:pageBreakBefore w:val="0"/>
        <w:widowControl w:val="0"/>
        <w:kinsoku/>
        <w:wordWrap w:val="0"/>
        <w:overflowPunct/>
        <w:topLinePunct w:val="0"/>
        <w:autoSpaceDE/>
        <w:autoSpaceDN/>
        <w:bidi w:val="0"/>
        <w:adjustRightInd/>
        <w:snapToGrid/>
        <w:spacing w:line="588" w:lineRule="exact"/>
        <w:jc w:val="center"/>
        <w:textAlignment w:val="auto"/>
        <w:rPr>
          <w:rFonts w:hint="eastAsia" w:ascii="宋体" w:hAnsi="宋体" w:eastAsia="宋体" w:cs="宋体"/>
          <w:b/>
          <w:bCs/>
          <w:color w:val="auto"/>
          <w:kern w:val="0"/>
          <w:sz w:val="28"/>
          <w:szCs w:val="28"/>
          <w:highlight w:val="none"/>
          <w:lang w:val="en-US" w:eastAsia="zh-CN" w:bidi="ar-SA"/>
        </w:rPr>
      </w:pPr>
      <w:r>
        <w:rPr>
          <w:rFonts w:hint="eastAsia" w:ascii="宋体" w:hAnsi="宋体" w:eastAsia="宋体" w:cs="宋体"/>
          <w:b/>
          <w:bCs/>
          <w:color w:val="auto"/>
          <w:kern w:val="0"/>
          <w:sz w:val="28"/>
          <w:szCs w:val="28"/>
          <w:highlight w:val="none"/>
          <w:lang w:val="en-US" w:eastAsia="zh-CN" w:bidi="ar-SA"/>
        </w:rPr>
        <w:t>（一）中小企业声明函（工程）</w:t>
      </w:r>
    </w:p>
    <w:p w14:paraId="057835E2">
      <w:pPr>
        <w:pStyle w:val="15"/>
        <w:keepNext w:val="0"/>
        <w:keepLines w:val="0"/>
        <w:pageBreakBefore w:val="0"/>
        <w:widowControl w:val="0"/>
        <w:kinsoku/>
        <w:wordWrap w:val="0"/>
        <w:overflowPunct/>
        <w:topLinePunct w:val="0"/>
        <w:autoSpaceDE/>
        <w:autoSpaceDN/>
        <w:bidi w:val="0"/>
        <w:adjustRightInd/>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p>
    <w:p w14:paraId="0CCDF78C">
      <w:pPr>
        <w:pStyle w:val="15"/>
        <w:keepNext w:val="0"/>
        <w:keepLines w:val="0"/>
        <w:pageBreakBefore w:val="0"/>
        <w:widowControl w:val="0"/>
        <w:kinsoku/>
        <w:wordWrap w:val="0"/>
        <w:overflowPunct/>
        <w:topLinePunct w:val="0"/>
        <w:autoSpaceDE/>
        <w:autoSpaceDN/>
        <w:bidi w:val="0"/>
        <w:adjustRightInd w:val="0"/>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本公司（联合体）郑重声明，根据《政府采购促进中小企业发展管理办法》（财库﹝2020﹞46号）的规定，本公司（联合体）参加</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（单位名称）</w:t>
      </w:r>
      <w:r>
        <w:rPr>
          <w:rFonts w:hint="eastAsia" w:ascii="宋体" w:hAnsi="宋体" w:eastAsia="宋体" w:cs="宋体"/>
          <w:i w:val="0"/>
          <w:iCs w:val="0"/>
          <w:color w:val="auto"/>
          <w:sz w:val="21"/>
          <w:szCs w:val="21"/>
          <w:highlight w:val="none"/>
        </w:rPr>
        <w:t>的</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（项目名称）</w:t>
      </w:r>
      <w:r>
        <w:rPr>
          <w:rFonts w:hint="eastAsia" w:ascii="宋体" w:hAnsi="宋体" w:eastAsia="宋体" w:cs="宋体"/>
          <w:i w:val="0"/>
          <w:iCs w:val="0"/>
          <w:color w:val="auto"/>
          <w:sz w:val="21"/>
          <w:szCs w:val="21"/>
          <w:highlight w:val="none"/>
        </w:rPr>
        <w:t>采购活动，</w:t>
      </w:r>
      <w:r>
        <w:rPr>
          <w:rFonts w:hint="eastAsia" w:ascii="宋体" w:hAnsi="宋体" w:eastAsia="宋体" w:cs="宋体"/>
          <w:i w:val="0"/>
          <w:iCs w:val="0"/>
          <w:color w:val="auto"/>
          <w:sz w:val="21"/>
          <w:szCs w:val="21"/>
          <w:highlight w:val="none"/>
          <w:lang w:val="en-US" w:eastAsia="zh-CN"/>
        </w:rPr>
        <w:t>工程的施工单位全部为符合政策要求的中小企业。相关企业（含联合体中的中小企业、签订分包意向协议的中小企业）的具体情况如下：</w:t>
      </w:r>
    </w:p>
    <w:p w14:paraId="17375B65">
      <w:pPr>
        <w:pStyle w:val="15"/>
        <w:keepNext w:val="0"/>
        <w:keepLines w:val="0"/>
        <w:pageBreakBefore w:val="0"/>
        <w:widowControl w:val="0"/>
        <w:numPr>
          <w:ilvl w:val="0"/>
          <w:numId w:val="5"/>
        </w:numPr>
        <w:kinsoku/>
        <w:wordWrap w:val="0"/>
        <w:overflowPunct/>
        <w:topLinePunct w:val="0"/>
        <w:autoSpaceDE/>
        <w:autoSpaceDN/>
        <w:bidi w:val="0"/>
        <w:adjustRightInd w:val="0"/>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（标的名称）</w:t>
      </w:r>
      <w:r>
        <w:rPr>
          <w:rFonts w:hint="eastAsia" w:ascii="宋体" w:hAnsi="宋体" w:eastAsia="宋体" w:cs="宋体"/>
          <w:i w:val="0"/>
          <w:iCs w:val="0"/>
          <w:color w:val="auto"/>
          <w:sz w:val="21"/>
          <w:szCs w:val="21"/>
          <w:highlight w:val="none"/>
        </w:rPr>
        <w:t>，属</w:t>
      </w:r>
      <w:r>
        <w:rPr>
          <w:rFonts w:hint="eastAsia" w:ascii="宋体" w:hAnsi="宋体" w:eastAsia="宋体" w:cs="宋体"/>
          <w:i w:val="0"/>
          <w:iCs w:val="0"/>
          <w:color w:val="auto"/>
          <w:sz w:val="21"/>
          <w:szCs w:val="21"/>
          <w:highlight w:val="none"/>
          <w:u w:val="single"/>
        </w:rPr>
        <w:t>于</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w:t>
      </w:r>
      <w:r>
        <w:rPr>
          <w:rFonts w:hint="eastAsia" w:ascii="宋体" w:hAnsi="宋体" w:eastAsia="宋体" w:cs="宋体"/>
          <w:i/>
          <w:iCs/>
          <w:color w:val="auto"/>
          <w:sz w:val="21"/>
          <w:szCs w:val="21"/>
          <w:highlight w:val="none"/>
          <w:u w:val="single"/>
          <w:lang w:eastAsia="zh-CN"/>
        </w:rPr>
        <w:t>竞争性磋商文件中</w:t>
      </w:r>
      <w:r>
        <w:rPr>
          <w:rFonts w:hint="eastAsia" w:ascii="宋体" w:hAnsi="宋体" w:eastAsia="宋体" w:cs="宋体"/>
          <w:i/>
          <w:iCs/>
          <w:color w:val="auto"/>
          <w:sz w:val="21"/>
          <w:szCs w:val="21"/>
          <w:highlight w:val="none"/>
          <w:u w:val="single"/>
        </w:rPr>
        <w:t>明确的所属行业）</w:t>
      </w:r>
      <w:r>
        <w:rPr>
          <w:rFonts w:hint="eastAsia" w:ascii="宋体" w:hAnsi="宋体" w:eastAsia="宋体" w:cs="宋体"/>
          <w:i w:val="0"/>
          <w:iCs w:val="0"/>
          <w:color w:val="auto"/>
          <w:sz w:val="21"/>
          <w:szCs w:val="21"/>
          <w:highlight w:val="none"/>
        </w:rPr>
        <w:t>；承建（承接）企业为</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万元</w:t>
      </w:r>
      <w:r>
        <w:rPr>
          <w:rFonts w:hint="eastAsia" w:ascii="宋体" w:hAnsi="宋体" w:eastAsia="宋体" w:cs="宋体"/>
          <w:b/>
          <w:bCs/>
          <w:i w:val="0"/>
          <w:iCs w:val="0"/>
          <w:color w:val="auto"/>
          <w:sz w:val="21"/>
          <w:szCs w:val="21"/>
          <w:highlight w:val="none"/>
          <w:vertAlign w:val="superscript"/>
          <w:lang w:val="en-US"/>
        </w:rPr>
        <w:t>1</w:t>
      </w:r>
      <w:r>
        <w:rPr>
          <w:rFonts w:hint="eastAsia" w:ascii="宋体" w:hAnsi="宋体" w:eastAsia="宋体" w:cs="宋体"/>
          <w:i w:val="0"/>
          <w:iCs w:val="0"/>
          <w:color w:val="auto"/>
          <w:sz w:val="21"/>
          <w:szCs w:val="21"/>
          <w:highlight w:val="none"/>
        </w:rPr>
        <w:t>，属于</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w:t>
      </w:r>
    </w:p>
    <w:p w14:paraId="0A47420C">
      <w:pPr>
        <w:pStyle w:val="15"/>
        <w:keepNext w:val="0"/>
        <w:keepLines w:val="0"/>
        <w:pageBreakBefore w:val="0"/>
        <w:widowControl w:val="0"/>
        <w:numPr>
          <w:ilvl w:val="0"/>
          <w:numId w:val="5"/>
        </w:numPr>
        <w:kinsoku/>
        <w:wordWrap w:val="0"/>
        <w:overflowPunct/>
        <w:topLinePunct w:val="0"/>
        <w:autoSpaceDE/>
        <w:autoSpaceDN/>
        <w:bidi w:val="0"/>
        <w:adjustRightInd w:val="0"/>
        <w:snapToGrid w:val="0"/>
        <w:spacing w:after="0" w:line="480" w:lineRule="auto"/>
        <w:ind w:left="0" w:leftChars="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（标的名称）</w:t>
      </w:r>
      <w:r>
        <w:rPr>
          <w:rFonts w:hint="eastAsia" w:ascii="宋体" w:hAnsi="宋体" w:eastAsia="宋体" w:cs="宋体"/>
          <w:i w:val="0"/>
          <w:iCs w:val="0"/>
          <w:color w:val="auto"/>
          <w:sz w:val="21"/>
          <w:szCs w:val="21"/>
          <w:highlight w:val="none"/>
        </w:rPr>
        <w:t>，属于</w:t>
      </w:r>
      <w:r>
        <w:rPr>
          <w:rFonts w:hint="eastAsia" w:ascii="宋体" w:hAnsi="宋体" w:cs="宋体"/>
          <w:i/>
          <w:iCs/>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w:t>
      </w:r>
      <w:r>
        <w:rPr>
          <w:rFonts w:hint="eastAsia" w:ascii="宋体" w:hAnsi="宋体" w:eastAsia="宋体" w:cs="宋体"/>
          <w:i/>
          <w:iCs/>
          <w:color w:val="auto"/>
          <w:sz w:val="21"/>
          <w:szCs w:val="21"/>
          <w:highlight w:val="none"/>
          <w:u w:val="single"/>
          <w:lang w:eastAsia="zh-CN"/>
        </w:rPr>
        <w:t>竞争性磋商文件</w:t>
      </w:r>
      <w:r>
        <w:rPr>
          <w:rFonts w:hint="eastAsia" w:ascii="宋体" w:hAnsi="宋体" w:eastAsia="宋体" w:cs="宋体"/>
          <w:i/>
          <w:iCs/>
          <w:color w:val="auto"/>
          <w:sz w:val="21"/>
          <w:szCs w:val="21"/>
          <w:highlight w:val="none"/>
          <w:u w:val="single"/>
        </w:rPr>
        <w:t>中明确的所属行业）</w:t>
      </w:r>
      <w:r>
        <w:rPr>
          <w:rFonts w:hint="eastAsia" w:ascii="宋体" w:hAnsi="宋体" w:eastAsia="宋体" w:cs="宋体"/>
          <w:i w:val="0"/>
          <w:iCs w:val="0"/>
          <w:color w:val="auto"/>
          <w:sz w:val="21"/>
          <w:szCs w:val="21"/>
          <w:highlight w:val="none"/>
        </w:rPr>
        <w:t>；承建（承接）企业为</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val="0"/>
          <w:iCs w:val="0"/>
          <w:color w:val="auto"/>
          <w:sz w:val="21"/>
          <w:szCs w:val="21"/>
          <w:highlight w:val="none"/>
          <w:u w:val="single"/>
        </w:rPr>
        <w:t>（企业名称）</w:t>
      </w:r>
      <w:r>
        <w:rPr>
          <w:rFonts w:hint="eastAsia" w:ascii="宋体" w:hAnsi="宋体" w:eastAsia="宋体" w:cs="宋体"/>
          <w:i w:val="0"/>
          <w:iCs w:val="0"/>
          <w:color w:val="auto"/>
          <w:sz w:val="21"/>
          <w:szCs w:val="21"/>
          <w:highlight w:val="none"/>
        </w:rPr>
        <w:t>，从业人员</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人，营业收入为</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万元，资产总额为</w:t>
      </w:r>
      <w:r>
        <w:rPr>
          <w:rFonts w:hint="eastAsia" w:ascii="宋体" w:hAnsi="宋体" w:eastAsia="宋体" w:cs="宋体"/>
          <w:i w:val="0"/>
          <w:iCs w:val="0"/>
          <w:color w:val="auto"/>
          <w:sz w:val="21"/>
          <w:szCs w:val="21"/>
          <w:highlight w:val="none"/>
          <w:u w:val="single"/>
        </w:rPr>
        <w:t>　　</w:t>
      </w:r>
      <w:r>
        <w:rPr>
          <w:rFonts w:hint="eastAsia" w:ascii="宋体" w:hAnsi="宋体" w:eastAsia="宋体" w:cs="宋体"/>
          <w:i w:val="0"/>
          <w:iCs w:val="0"/>
          <w:color w:val="auto"/>
          <w:sz w:val="21"/>
          <w:szCs w:val="21"/>
          <w:highlight w:val="none"/>
        </w:rPr>
        <w:t>万元，属于</w:t>
      </w:r>
      <w:r>
        <w:rPr>
          <w:rFonts w:hint="eastAsia" w:ascii="宋体" w:hAnsi="宋体" w:cs="宋体"/>
          <w:i w:val="0"/>
          <w:iCs w:val="0"/>
          <w:color w:val="auto"/>
          <w:sz w:val="21"/>
          <w:szCs w:val="21"/>
          <w:highlight w:val="none"/>
          <w:u w:val="single"/>
          <w:lang w:val="en-US" w:eastAsia="zh-CN"/>
        </w:rPr>
        <w:t xml:space="preserve">        </w:t>
      </w:r>
      <w:r>
        <w:rPr>
          <w:rFonts w:hint="eastAsia" w:ascii="宋体" w:hAnsi="宋体" w:eastAsia="宋体" w:cs="宋体"/>
          <w:i/>
          <w:iCs/>
          <w:color w:val="auto"/>
          <w:sz w:val="21"/>
          <w:szCs w:val="21"/>
          <w:highlight w:val="none"/>
          <w:u w:val="single"/>
        </w:rPr>
        <w:t>（中型企业、小型企业、微型企业）</w:t>
      </w:r>
      <w:r>
        <w:rPr>
          <w:rFonts w:hint="eastAsia" w:ascii="宋体" w:hAnsi="宋体" w:eastAsia="宋体" w:cs="宋体"/>
          <w:i w:val="0"/>
          <w:iCs w:val="0"/>
          <w:color w:val="auto"/>
          <w:sz w:val="21"/>
          <w:szCs w:val="21"/>
          <w:highlight w:val="none"/>
        </w:rPr>
        <w:t>；</w:t>
      </w:r>
    </w:p>
    <w:p w14:paraId="34E0EC40">
      <w:pPr>
        <w:pStyle w:val="15"/>
        <w:keepNext w:val="0"/>
        <w:keepLines w:val="0"/>
        <w:pageBreakBefore w:val="0"/>
        <w:widowControl w:val="0"/>
        <w:kinsoku/>
        <w:wordWrap w:val="0"/>
        <w:overflowPunct/>
        <w:topLinePunct w:val="0"/>
        <w:autoSpaceDE/>
        <w:autoSpaceDN/>
        <w:bidi w:val="0"/>
        <w:adjustRightInd w:val="0"/>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w:t>
      </w:r>
    </w:p>
    <w:p w14:paraId="0A0800F8">
      <w:pPr>
        <w:pStyle w:val="15"/>
        <w:keepNext w:val="0"/>
        <w:keepLines w:val="0"/>
        <w:pageBreakBefore w:val="0"/>
        <w:widowControl w:val="0"/>
        <w:kinsoku/>
        <w:wordWrap w:val="0"/>
        <w:overflowPunct/>
        <w:topLinePunct w:val="0"/>
        <w:autoSpaceDE/>
        <w:autoSpaceDN/>
        <w:bidi w:val="0"/>
        <w:adjustRightInd w:val="0"/>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以上企业，不属于大企业的分支机构，不存在控股股东为大企业的情形，也不存在与大企业的负责人为同一人的情形。</w:t>
      </w:r>
    </w:p>
    <w:p w14:paraId="5B2C39E0">
      <w:pPr>
        <w:pStyle w:val="15"/>
        <w:keepNext w:val="0"/>
        <w:keepLines w:val="0"/>
        <w:pageBreakBefore w:val="0"/>
        <w:widowControl w:val="0"/>
        <w:kinsoku/>
        <w:wordWrap w:val="0"/>
        <w:overflowPunct/>
        <w:topLinePunct w:val="0"/>
        <w:autoSpaceDE/>
        <w:autoSpaceDN/>
        <w:bidi w:val="0"/>
        <w:adjustRightInd w:val="0"/>
        <w:snapToGrid w:val="0"/>
        <w:spacing w:after="0" w:line="480" w:lineRule="auto"/>
        <w:ind w:left="0" w:right="0" w:firstLine="420" w:firstLineChars="200"/>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本企业对上述声明内容的真实性负责。如有虚假，将依法承担相应责任。</w:t>
      </w:r>
    </w:p>
    <w:p w14:paraId="334ACFB7">
      <w:pPr>
        <w:pStyle w:val="15"/>
        <w:keepNext w:val="0"/>
        <w:keepLines w:val="0"/>
        <w:pageBreakBefore w:val="0"/>
        <w:widowControl w:val="0"/>
        <w:kinsoku/>
        <w:wordWrap/>
        <w:overflowPunct/>
        <w:topLinePunct w:val="0"/>
        <w:autoSpaceDE/>
        <w:autoSpaceDN/>
        <w:bidi w:val="0"/>
        <w:adjustRightInd/>
        <w:snapToGrid/>
        <w:spacing w:before="35" w:line="316" w:lineRule="auto"/>
        <w:ind w:righ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企业名称（盖章）：</w:t>
      </w:r>
    </w:p>
    <w:p w14:paraId="5F0763B9">
      <w:pPr>
        <w:keepNext w:val="0"/>
        <w:keepLines w:val="0"/>
        <w:pageBreakBefore w:val="0"/>
        <w:widowControl w:val="0"/>
        <w:kinsoku/>
        <w:wordWrap w:val="0"/>
        <w:overflowPunct/>
        <w:topLinePunct w:val="0"/>
        <w:autoSpaceDE/>
        <w:autoSpaceDN/>
        <w:bidi w:val="0"/>
        <w:adjustRightInd/>
        <w:snapToGrid/>
        <w:ind w:right="0" w:firstLine="0" w:firstLineChars="0"/>
        <w:jc w:val="center"/>
        <w:textAlignment w:val="auto"/>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val="zh-CN" w:bidi="zh-CN"/>
        </w:rPr>
        <w:t>日期：</w:t>
      </w:r>
    </w:p>
    <w:p w14:paraId="7E1B21C6">
      <w:pPr>
        <w:pageBreakBefore w:val="0"/>
        <w:kinsoku/>
        <w:wordWrap w:val="0"/>
        <w:overflowPunct/>
        <w:bidi w:val="0"/>
        <w:rPr>
          <w:rFonts w:hint="eastAsia" w:ascii="宋体" w:hAnsi="宋体" w:eastAsia="宋体" w:cs="宋体"/>
          <w:color w:val="auto"/>
          <w:sz w:val="21"/>
          <w:szCs w:val="21"/>
          <w:highlight w:val="none"/>
        </w:rPr>
      </w:pPr>
    </w:p>
    <w:p w14:paraId="7EBD2A5E">
      <w:pPr>
        <w:pageBreakBefore w:val="0"/>
        <w:kinsoku/>
        <w:wordWrap w:val="0"/>
        <w:overflowPunct/>
        <w:bidi w:val="0"/>
        <w:rPr>
          <w:rFonts w:hint="eastAsia" w:ascii="宋体" w:hAnsi="宋体" w:eastAsia="宋体" w:cs="宋体"/>
          <w:color w:val="auto"/>
          <w:sz w:val="21"/>
          <w:szCs w:val="21"/>
          <w:highlight w:val="none"/>
        </w:rPr>
      </w:pPr>
    </w:p>
    <w:p w14:paraId="3A115CDB">
      <w:pPr>
        <w:keepNext w:val="0"/>
        <w:keepLines w:val="0"/>
        <w:pageBreakBefore w:val="0"/>
        <w:widowControl w:val="0"/>
        <w:numPr>
          <w:ilvl w:val="0"/>
          <w:numId w:val="0"/>
        </w:numPr>
        <w:kinsoku/>
        <w:wordWrap w:val="0"/>
        <w:overflowPunct/>
        <w:topLinePunct w:val="0"/>
        <w:autoSpaceDE/>
        <w:autoSpaceDN/>
        <w:bidi w:val="0"/>
        <w:adjustRightInd/>
        <w:snapToGrid/>
        <w:spacing w:after="157" w:afterLines="50" w:line="360" w:lineRule="auto"/>
        <w:ind w:firstLine="0" w:firstLineChars="0"/>
        <w:textAlignment w:val="auto"/>
        <w:rPr>
          <w:rFonts w:hint="eastAsia" w:ascii="黑体" w:hAnsi="黑体" w:eastAsia="黑体" w:cs="黑体"/>
          <w:b w:val="0"/>
          <w:bCs/>
          <w:color w:val="auto"/>
          <w:sz w:val="21"/>
          <w:szCs w:val="21"/>
          <w:highlight w:val="none"/>
        </w:rPr>
      </w:pPr>
      <w:r>
        <w:rPr>
          <w:rFonts w:hint="eastAsia" w:ascii="黑体" w:hAnsi="黑体" w:eastAsia="黑体" w:cs="黑体"/>
          <w:b/>
          <w:bCs w:val="0"/>
          <w:color w:val="auto"/>
          <w:kern w:val="2"/>
          <w:sz w:val="21"/>
          <w:szCs w:val="21"/>
          <w:highlight w:val="none"/>
          <w:lang w:val="en-US" w:eastAsia="zh-CN" w:bidi="ar-SA"/>
        </w:rPr>
        <w:t>注：1.</w:t>
      </w:r>
      <w:r>
        <w:rPr>
          <w:rFonts w:hint="eastAsia" w:ascii="黑体" w:hAnsi="黑体" w:eastAsia="黑体" w:cs="黑体"/>
          <w:b w:val="0"/>
          <w:bCs/>
          <w:color w:val="auto"/>
          <w:kern w:val="2"/>
          <w:sz w:val="21"/>
          <w:szCs w:val="21"/>
          <w:highlight w:val="none"/>
          <w:lang w:val="en-US" w:eastAsia="zh-CN" w:bidi="ar-SA"/>
        </w:rPr>
        <w:t>从业人员、营业收入、资产总额填报上一年度数据，无上一年度数据的新成立企业可不填报</w:t>
      </w:r>
      <w:r>
        <w:rPr>
          <w:rFonts w:hint="eastAsia" w:ascii="黑体" w:hAnsi="黑体" w:eastAsia="黑体" w:cs="黑体"/>
          <w:b w:val="0"/>
          <w:bCs/>
          <w:color w:val="auto"/>
          <w:sz w:val="21"/>
          <w:szCs w:val="21"/>
          <w:highlight w:val="none"/>
        </w:rPr>
        <w:t>。</w:t>
      </w:r>
    </w:p>
    <w:p w14:paraId="6B46183C">
      <w:pPr>
        <w:keepNext w:val="0"/>
        <w:keepLines w:val="0"/>
        <w:pageBreakBefore w:val="0"/>
        <w:widowControl w:val="0"/>
        <w:numPr>
          <w:ilvl w:val="0"/>
          <w:numId w:val="0"/>
        </w:numPr>
        <w:kinsoku/>
        <w:wordWrap w:val="0"/>
        <w:overflowPunct/>
        <w:topLinePunct w:val="0"/>
        <w:autoSpaceDE/>
        <w:autoSpaceDN/>
        <w:bidi w:val="0"/>
        <w:adjustRightInd/>
        <w:snapToGrid/>
        <w:spacing w:after="157" w:afterLines="50" w:line="360" w:lineRule="auto"/>
        <w:ind w:firstLine="422" w:firstLineChars="200"/>
        <w:textAlignment w:val="auto"/>
        <w:rPr>
          <w:rFonts w:hint="eastAsia" w:ascii="黑体" w:hAnsi="黑体" w:eastAsia="黑体" w:cs="黑体"/>
          <w:b w:val="0"/>
          <w:bCs/>
          <w:color w:val="auto"/>
          <w:sz w:val="21"/>
          <w:szCs w:val="21"/>
          <w:highlight w:val="none"/>
          <w:lang w:val="en-US" w:eastAsia="zh-CN"/>
        </w:rPr>
      </w:pPr>
      <w:r>
        <w:rPr>
          <w:rFonts w:hint="eastAsia" w:ascii="黑体" w:hAnsi="黑体" w:eastAsia="黑体" w:cs="黑体"/>
          <w:b/>
          <w:bCs/>
          <w:color w:val="auto"/>
          <w:sz w:val="21"/>
          <w:szCs w:val="21"/>
          <w:highlight w:val="none"/>
          <w:lang w:val="en-US" w:eastAsia="zh-CN"/>
        </w:rPr>
        <w:t>2.</w:t>
      </w:r>
      <w:r>
        <w:rPr>
          <w:rFonts w:hint="eastAsia" w:ascii="黑体" w:hAnsi="黑体" w:eastAsia="黑体" w:cs="黑体"/>
          <w:color w:val="auto"/>
          <w:sz w:val="21"/>
          <w:szCs w:val="21"/>
          <w:highlight w:val="none"/>
          <w:lang w:val="en-US" w:eastAsia="zh-CN"/>
        </w:rPr>
        <w:t>本项目专门面向中小微企业采购，磋商申请人必须提供中小企业声明函（符合划型标准的个体工商户、监狱企业、残疾人福利性单位在政府采购活动中视同中小企业，监狱企业、残疾人福利性单位提供对应声明函）。</w:t>
      </w:r>
    </w:p>
    <w:p w14:paraId="4D213A77">
      <w:pPr>
        <w:keepNext w:val="0"/>
        <w:keepLines w:val="0"/>
        <w:pageBreakBefore w:val="0"/>
        <w:widowControl w:val="0"/>
        <w:numPr>
          <w:ilvl w:val="0"/>
          <w:numId w:val="0"/>
        </w:numPr>
        <w:kinsoku/>
        <w:wordWrap w:val="0"/>
        <w:overflowPunct/>
        <w:topLinePunct w:val="0"/>
        <w:autoSpaceDE/>
        <w:autoSpaceDN/>
        <w:bidi w:val="0"/>
        <w:adjustRightInd/>
        <w:snapToGrid/>
        <w:spacing w:line="360" w:lineRule="auto"/>
        <w:ind w:firstLine="422" w:firstLineChars="200"/>
        <w:textAlignment w:val="auto"/>
        <w:rPr>
          <w:rFonts w:hint="eastAsia" w:ascii="黑体" w:hAnsi="黑体" w:eastAsia="黑体" w:cs="黑体"/>
          <w:b w:val="0"/>
          <w:bCs/>
          <w:color w:val="auto"/>
          <w:sz w:val="21"/>
          <w:szCs w:val="21"/>
          <w:highlight w:val="none"/>
        </w:rPr>
      </w:pPr>
      <w:r>
        <w:rPr>
          <w:rFonts w:hint="eastAsia" w:ascii="黑体" w:hAnsi="黑体" w:eastAsia="黑体" w:cs="黑体"/>
          <w:b/>
          <w:bCs w:val="0"/>
          <w:color w:val="auto"/>
          <w:sz w:val="21"/>
          <w:szCs w:val="21"/>
          <w:highlight w:val="none"/>
          <w:lang w:val="en-US" w:eastAsia="zh-CN"/>
        </w:rPr>
        <w:t>3.</w:t>
      </w:r>
      <w:r>
        <w:rPr>
          <w:rFonts w:hint="eastAsia" w:ascii="黑体" w:hAnsi="黑体" w:eastAsia="黑体" w:cs="黑体"/>
          <w:b w:val="0"/>
          <w:bCs w:val="0"/>
          <w:color w:val="auto"/>
          <w:spacing w:val="1"/>
          <w:w w:val="100"/>
          <w:sz w:val="21"/>
          <w:szCs w:val="21"/>
          <w:highlight w:val="none"/>
          <w:lang w:val="en-US"/>
        </w:rPr>
        <w:t>根据《关于印发中小企业划型标准规定的通知》（工信部联企业〔2011〕300号）文件规定的划分标准，本项目对应的中小企业划分标准所属行业为：</w:t>
      </w:r>
      <w:r>
        <w:rPr>
          <w:rFonts w:hint="eastAsia" w:ascii="黑体" w:hAnsi="黑体" w:eastAsia="黑体" w:cs="黑体"/>
          <w:b/>
          <w:bCs/>
          <w:color w:val="auto"/>
          <w:spacing w:val="1"/>
          <w:w w:val="100"/>
          <w:sz w:val="21"/>
          <w:szCs w:val="21"/>
          <w:highlight w:val="none"/>
          <w:u w:val="single"/>
          <w:lang w:val="en-US"/>
        </w:rPr>
        <w:t>建筑业</w:t>
      </w:r>
      <w:r>
        <w:rPr>
          <w:rFonts w:hint="eastAsia" w:ascii="黑体" w:hAnsi="黑体" w:eastAsia="黑体" w:cs="黑体"/>
          <w:b w:val="0"/>
          <w:bCs w:val="0"/>
          <w:color w:val="auto"/>
          <w:spacing w:val="1"/>
          <w:w w:val="100"/>
          <w:sz w:val="21"/>
          <w:szCs w:val="21"/>
          <w:highlight w:val="none"/>
          <w:lang w:val="en-US"/>
        </w:rPr>
        <w:t>。</w:t>
      </w:r>
    </w:p>
    <w:p w14:paraId="70BF15B6">
      <w:pPr>
        <w:pageBreakBefore w:val="0"/>
        <w:widowControl w:val="0"/>
        <w:numPr>
          <w:ilvl w:val="0"/>
          <w:numId w:val="0"/>
        </w:numPr>
        <w:tabs>
          <w:tab w:val="left" w:pos="420"/>
        </w:tabs>
        <w:kinsoku/>
        <w:wordWrap w:val="0"/>
        <w:overflowPunct/>
        <w:topLinePunct w:val="0"/>
        <w:autoSpaceDE/>
        <w:autoSpaceDN/>
        <w:bidi w:val="0"/>
        <w:adjustRightInd/>
        <w:snapToGrid/>
        <w:spacing w:before="0" w:after="0" w:line="360" w:lineRule="auto"/>
        <w:ind w:leftChars="0"/>
        <w:jc w:val="center"/>
        <w:textAlignment w:val="auto"/>
        <w:outlineLvl w:val="9"/>
        <w:rPr>
          <w:rFonts w:hint="eastAsia" w:ascii="宋体" w:hAnsi="宋体" w:eastAsia="宋体" w:cs="宋体"/>
          <w:b/>
          <w:bCs/>
          <w:color w:val="auto"/>
          <w:kern w:val="0"/>
          <w:sz w:val="28"/>
          <w:szCs w:val="28"/>
          <w:highlight w:val="none"/>
        </w:rPr>
      </w:pPr>
      <w:r>
        <w:rPr>
          <w:rFonts w:hint="eastAsia" w:ascii="宋体" w:hAnsi="宋体" w:eastAsia="宋体" w:cs="宋体"/>
          <w:b/>
          <w:color w:val="auto"/>
          <w:kern w:val="2"/>
          <w:sz w:val="21"/>
          <w:szCs w:val="21"/>
          <w:highlight w:val="none"/>
          <w:lang w:val="en-US" w:eastAsia="zh-CN" w:bidi="ar-SA"/>
        </w:rPr>
        <w:br w:type="page"/>
      </w:r>
      <w:bookmarkStart w:id="314" w:name="_Toc12430"/>
      <w:r>
        <w:rPr>
          <w:rFonts w:hint="eastAsia" w:ascii="宋体" w:hAnsi="宋体" w:eastAsia="宋体" w:cs="宋体"/>
          <w:b/>
          <w:bCs/>
          <w:color w:val="auto"/>
          <w:sz w:val="28"/>
          <w:szCs w:val="28"/>
          <w:highlight w:val="none"/>
        </w:rPr>
        <w:t>（二）</w:t>
      </w:r>
      <w:r>
        <w:rPr>
          <w:rFonts w:hint="eastAsia" w:ascii="宋体" w:hAnsi="宋体" w:eastAsia="宋体" w:cs="宋体"/>
          <w:b/>
          <w:bCs/>
          <w:color w:val="auto"/>
          <w:kern w:val="0"/>
          <w:sz w:val="28"/>
          <w:szCs w:val="28"/>
          <w:highlight w:val="none"/>
        </w:rPr>
        <w:t>监狱企业声明函</w:t>
      </w:r>
      <w:bookmarkEnd w:id="314"/>
    </w:p>
    <w:p w14:paraId="4DE8F3DE">
      <w:pPr>
        <w:pStyle w:val="15"/>
        <w:pageBreakBefore w:val="0"/>
        <w:widowControl w:val="0"/>
        <w:kinsoku/>
        <w:wordWrap w:val="0"/>
        <w:overflowPunct/>
        <w:topLinePunct w:val="0"/>
        <w:autoSpaceDE/>
        <w:autoSpaceDN/>
        <w:bidi w:val="0"/>
        <w:adjustRightInd/>
        <w:snapToGrid/>
        <w:spacing w:after="0" w:line="360" w:lineRule="auto"/>
        <w:ind w:firstLine="3150" w:firstLineChars="1358"/>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不属于监狱企业的无需填写</w:t>
      </w:r>
      <w:r>
        <w:rPr>
          <w:rFonts w:hint="eastAsia" w:ascii="宋体" w:hAnsi="宋体" w:eastAsia="宋体" w:cs="宋体"/>
          <w:color w:val="auto"/>
          <w:spacing w:val="-4"/>
          <w:sz w:val="24"/>
          <w:szCs w:val="24"/>
          <w:highlight w:val="none"/>
        </w:rPr>
        <w:t>）</w:t>
      </w:r>
    </w:p>
    <w:p w14:paraId="7E2C83F5">
      <w:pPr>
        <w:pStyle w:val="15"/>
        <w:pageBreakBefore w:val="0"/>
        <w:kinsoku/>
        <w:wordWrap w:val="0"/>
        <w:overflowPunct/>
        <w:bidi w:val="0"/>
        <w:spacing w:line="360" w:lineRule="auto"/>
        <w:ind w:firstLine="404"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公司郑重声明，根据《关于政府采购支持监狱企业发展有关问题的通知》 </w:t>
      </w:r>
      <w:r>
        <w:rPr>
          <w:rFonts w:hint="eastAsia" w:ascii="宋体" w:hAnsi="宋体" w:eastAsia="宋体" w:cs="宋体"/>
          <w:color w:val="auto"/>
          <w:sz w:val="21"/>
          <w:szCs w:val="21"/>
          <w:highlight w:val="none"/>
        </w:rPr>
        <w:t>（财库[2014]68</w:t>
      </w:r>
      <w:r>
        <w:rPr>
          <w:rFonts w:hint="eastAsia" w:ascii="宋体" w:hAnsi="宋体" w:eastAsia="宋体" w:cs="宋体"/>
          <w:color w:val="auto"/>
          <w:spacing w:val="-47"/>
          <w:sz w:val="21"/>
          <w:szCs w:val="21"/>
          <w:highlight w:val="none"/>
        </w:rPr>
        <w:t xml:space="preserve"> </w:t>
      </w:r>
      <w:r>
        <w:rPr>
          <w:rFonts w:hint="eastAsia" w:ascii="宋体" w:hAnsi="宋体" w:eastAsia="宋体" w:cs="宋体"/>
          <w:color w:val="auto"/>
          <w:sz w:val="21"/>
          <w:szCs w:val="21"/>
          <w:highlight w:val="none"/>
        </w:rPr>
        <w:t xml:space="preserve">号）的规定，本公司为监狱企业。 </w:t>
      </w:r>
    </w:p>
    <w:p w14:paraId="6C4FF2BE">
      <w:pPr>
        <w:pStyle w:val="15"/>
        <w:pageBreakBefore w:val="0"/>
        <w:kinsoku/>
        <w:wordWrap w:val="0"/>
        <w:overflowPunct/>
        <w:bidi w:val="0"/>
        <w:spacing w:line="360" w:lineRule="auto"/>
        <w:ind w:firstLine="392"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根据上述标准，我公司属于监狱企业的理由为：</w:t>
      </w:r>
      <w:r>
        <w:rPr>
          <w:rFonts w:hint="eastAsia" w:ascii="宋体" w:hAnsi="宋体" w:eastAsia="宋体" w:cs="宋体"/>
          <w:color w:val="auto"/>
          <w:spacing w:val="-7"/>
          <w:sz w:val="21"/>
          <w:szCs w:val="21"/>
          <w:highlight w:val="none"/>
          <w:u w:val="single"/>
        </w:rPr>
        <w:t xml:space="preserve">                    </w:t>
      </w:r>
      <w:r>
        <w:rPr>
          <w:rFonts w:hint="eastAsia" w:ascii="宋体" w:hAnsi="宋体" w:eastAsia="宋体" w:cs="宋体"/>
          <w:color w:val="auto"/>
          <w:spacing w:val="-7"/>
          <w:sz w:val="21"/>
          <w:szCs w:val="21"/>
          <w:highlight w:val="none"/>
        </w:rPr>
        <w:t>。</w:t>
      </w:r>
    </w:p>
    <w:p w14:paraId="0DDE809D">
      <w:pPr>
        <w:pStyle w:val="15"/>
        <w:pageBreakBefore w:val="0"/>
        <w:tabs>
          <w:tab w:val="left" w:pos="3120"/>
        </w:tabs>
        <w:kinsoku/>
        <w:wordWrap w:val="0"/>
        <w:overflowPunct/>
        <w:bidi w:val="0"/>
        <w:spacing w:line="360" w:lineRule="auto"/>
        <w:ind w:firstLine="41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本公司为参加</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pacing w:val="-1"/>
          <w:sz w:val="21"/>
          <w:szCs w:val="21"/>
          <w:highlight w:val="none"/>
          <w:u w:val="single" w:color="000000"/>
        </w:rPr>
        <w:t>（项目名称）</w:t>
      </w:r>
      <w:r>
        <w:rPr>
          <w:rFonts w:hint="eastAsia" w:ascii="宋体" w:hAnsi="宋体" w:eastAsia="宋体" w:cs="宋体"/>
          <w:color w:val="auto"/>
          <w:spacing w:val="34"/>
          <w:sz w:val="21"/>
          <w:szCs w:val="21"/>
          <w:highlight w:val="none"/>
          <w:u w:val="single" w:color="000000"/>
        </w:rPr>
        <w:t xml:space="preserve"> </w:t>
      </w:r>
      <w:r>
        <w:rPr>
          <w:rFonts w:hint="eastAsia" w:ascii="宋体" w:hAnsi="宋体" w:eastAsia="宋体" w:cs="宋体"/>
          <w:color w:val="auto"/>
          <w:spacing w:val="-6"/>
          <w:sz w:val="21"/>
          <w:szCs w:val="21"/>
          <w:highlight w:val="none"/>
        </w:rPr>
        <w:t xml:space="preserve">（项目编号： </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）采购活动提供本企业</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color="000000"/>
        </w:rPr>
        <w:t>（填写制造的货</w:t>
      </w:r>
      <w:r>
        <w:rPr>
          <w:rFonts w:hint="eastAsia" w:ascii="宋体" w:hAnsi="宋体" w:eastAsia="宋体" w:cs="宋体"/>
          <w:color w:val="auto"/>
          <w:spacing w:val="-8"/>
          <w:sz w:val="21"/>
          <w:szCs w:val="21"/>
          <w:highlight w:val="none"/>
          <w:u w:val="single" w:color="000000"/>
        </w:rPr>
        <w:t>物，由本企业承担工程、提供服务）</w:t>
      </w:r>
      <w:r>
        <w:rPr>
          <w:rFonts w:hint="eastAsia" w:ascii="宋体" w:hAnsi="宋体" w:eastAsia="宋体" w:cs="宋体"/>
          <w:color w:val="auto"/>
          <w:spacing w:val="-8"/>
          <w:sz w:val="21"/>
          <w:szCs w:val="21"/>
          <w:highlight w:val="none"/>
        </w:rPr>
        <w:t>。</w:t>
      </w:r>
    </w:p>
    <w:p w14:paraId="3E94759E">
      <w:pPr>
        <w:pageBreakBefore w:val="0"/>
        <w:kinsoku/>
        <w:wordWrap w:val="0"/>
        <w:overflowPunct/>
        <w:bidi w:val="0"/>
        <w:spacing w:line="360" w:lineRule="auto"/>
        <w:rPr>
          <w:rFonts w:hint="eastAsia" w:ascii="宋体" w:hAnsi="宋体" w:eastAsia="宋体" w:cs="宋体"/>
          <w:color w:val="auto"/>
          <w:sz w:val="21"/>
          <w:szCs w:val="21"/>
          <w:highlight w:val="none"/>
        </w:rPr>
      </w:pPr>
    </w:p>
    <w:p w14:paraId="5E874AE8">
      <w:pPr>
        <w:pStyle w:val="15"/>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本条所称货物不包括使用大型企业注册商标的货物和服务。 </w:t>
      </w:r>
    </w:p>
    <w:p w14:paraId="1FD2DFBD">
      <w:pPr>
        <w:pStyle w:val="15"/>
        <w:pageBreakBefore w:val="0"/>
        <w:kinsoku/>
        <w:wordWrap w:val="0"/>
        <w:overflowPunct/>
        <w:bidi w:val="0"/>
        <w:spacing w:line="360" w:lineRule="auto"/>
        <w:ind w:firstLine="412"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本公司对上述声明的真实性负责。如有虚假，将依法承担相应责任。</w:t>
      </w:r>
    </w:p>
    <w:p w14:paraId="0EA1930A">
      <w:pPr>
        <w:pageBreakBefore w:val="0"/>
        <w:kinsoku/>
        <w:wordWrap w:val="0"/>
        <w:overflowPunct/>
        <w:bidi w:val="0"/>
        <w:spacing w:line="360" w:lineRule="auto"/>
        <w:rPr>
          <w:rFonts w:hint="eastAsia" w:ascii="宋体" w:hAnsi="宋体" w:eastAsia="宋体" w:cs="宋体"/>
          <w:color w:val="auto"/>
          <w:sz w:val="21"/>
          <w:szCs w:val="21"/>
          <w:highlight w:val="none"/>
        </w:rPr>
      </w:pPr>
    </w:p>
    <w:p w14:paraId="70A8A93C">
      <w:pPr>
        <w:pageBreakBefore w:val="0"/>
        <w:kinsoku/>
        <w:wordWrap w:val="0"/>
        <w:overflowPunct/>
        <w:bidi w:val="0"/>
        <w:spacing w:line="360" w:lineRule="auto"/>
        <w:ind w:firstLine="2" w:firstLineChars="1"/>
        <w:rPr>
          <w:rFonts w:hint="eastAsia" w:ascii="宋体" w:hAnsi="宋体" w:eastAsia="宋体" w:cs="宋体"/>
          <w:color w:val="auto"/>
          <w:sz w:val="21"/>
          <w:szCs w:val="21"/>
          <w:highlight w:val="none"/>
        </w:rPr>
      </w:pPr>
    </w:p>
    <w:p w14:paraId="344F4AC5">
      <w:pPr>
        <w:pageBreakBefore w:val="0"/>
        <w:kinsoku/>
        <w:wordWrap w:val="0"/>
        <w:overflowPunct/>
        <w:bidi w:val="0"/>
        <w:snapToGrid w:val="0"/>
        <w:spacing w:line="700" w:lineRule="exact"/>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供应商全称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u w:val="single"/>
        </w:rPr>
        <w:t xml:space="preserve">                    </w:t>
      </w:r>
    </w:p>
    <w:p w14:paraId="72C96211">
      <w:pPr>
        <w:pStyle w:val="21"/>
        <w:pageBreakBefore w:val="0"/>
        <w:kinsoku/>
        <w:wordWrap w:val="0"/>
        <w:overflowPunct/>
        <w:bidi w:val="0"/>
        <w:snapToGrid w:val="0"/>
        <w:spacing w:line="700" w:lineRule="exact"/>
        <w:rPr>
          <w:rFonts w:hint="eastAsia" w:ascii="宋体" w:hAnsi="宋体" w:eastAsia="宋体" w:cs="宋体"/>
          <w:color w:val="auto"/>
          <w:sz w:val="21"/>
          <w:szCs w:val="21"/>
          <w:highlight w:val="none"/>
          <w:u w:val="single"/>
        </w:rPr>
      </w:pPr>
      <w:r>
        <w:rPr>
          <w:rFonts w:hint="eastAsia" w:ascii="宋体" w:hAnsi="宋体" w:eastAsia="宋体" w:cs="宋体"/>
          <w:caps/>
          <w:color w:val="auto"/>
          <w:sz w:val="21"/>
          <w:szCs w:val="21"/>
          <w:highlight w:val="none"/>
        </w:rPr>
        <w:t>法定代表人或其委托代理人（</w:t>
      </w:r>
      <w:r>
        <w:rPr>
          <w:rFonts w:hint="eastAsia" w:hAnsi="宋体" w:cs="宋体"/>
          <w:color w:val="auto"/>
          <w:sz w:val="21"/>
          <w:szCs w:val="21"/>
          <w:highlight w:val="none"/>
          <w:lang w:eastAsia="zh-CN"/>
        </w:rPr>
        <w:t>电子签章</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6C2AB0C0">
      <w:pPr>
        <w:pStyle w:val="21"/>
        <w:pageBreakBefore w:val="0"/>
        <w:kinsoku/>
        <w:wordWrap w:val="0"/>
        <w:overflowPunct/>
        <w:bidi w:val="0"/>
        <w:snapToGrid w:val="0"/>
        <w:spacing w:line="700" w:lineRule="exact"/>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日期：</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 xml:space="preserve"> 年</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月</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日</w:t>
      </w:r>
    </w:p>
    <w:p w14:paraId="22415E86">
      <w:pPr>
        <w:pageBreakBefore w:val="0"/>
        <w:kinsoku/>
        <w:wordWrap w:val="0"/>
        <w:overflowPunct/>
        <w:bidi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p>
    <w:p w14:paraId="683C2F9B">
      <w:pPr>
        <w:pageBreakBefore w:val="0"/>
        <w:kinsoku/>
        <w:wordWrap w:val="0"/>
        <w:overflowPunct/>
        <w:bidi w:val="0"/>
        <w:spacing w:line="360" w:lineRule="auto"/>
        <w:rPr>
          <w:rFonts w:hint="eastAsia" w:ascii="宋体" w:hAnsi="宋体" w:eastAsia="宋体" w:cs="宋体"/>
          <w:color w:val="auto"/>
          <w:sz w:val="21"/>
          <w:szCs w:val="21"/>
          <w:highlight w:val="none"/>
        </w:rPr>
      </w:pPr>
    </w:p>
    <w:p w14:paraId="23BD3437">
      <w:pPr>
        <w:pageBreakBefore w:val="0"/>
        <w:kinsoku/>
        <w:wordWrap w:val="0"/>
        <w:overflowPunct/>
        <w:bidi w:val="0"/>
        <w:spacing w:line="360" w:lineRule="auto"/>
        <w:rPr>
          <w:rFonts w:hint="eastAsia" w:ascii="宋体" w:hAnsi="宋体" w:eastAsia="宋体" w:cs="宋体"/>
          <w:color w:val="auto"/>
          <w:sz w:val="21"/>
          <w:szCs w:val="21"/>
          <w:highlight w:val="none"/>
        </w:rPr>
      </w:pPr>
    </w:p>
    <w:p w14:paraId="78987D04">
      <w:pPr>
        <w:pStyle w:val="15"/>
        <w:pageBreakBefore w:val="0"/>
        <w:kinsoku/>
        <w:wordWrap w:val="0"/>
        <w:overflowPunct/>
        <w:bidi w:val="0"/>
        <w:spacing w:line="360" w:lineRule="auto"/>
        <w:ind w:firstLine="418" w:firstLineChars="200"/>
        <w:jc w:val="left"/>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注： 若产品出自符合国家规定的监狱企业，则该产品制造企业必须出具上述声明函，且供应商必须提供 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14:paraId="31A9ABD4">
      <w:pPr>
        <w:pStyle w:val="15"/>
        <w:keepNext w:val="0"/>
        <w:keepLines w:val="0"/>
        <w:pageBreakBefore w:val="0"/>
        <w:widowControl w:val="0"/>
        <w:kinsoku/>
        <w:wordWrap w:val="0"/>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b/>
          <w:bCs/>
          <w:color w:val="auto"/>
          <w:kern w:val="0"/>
          <w:sz w:val="24"/>
          <w:szCs w:val="24"/>
          <w:highlight w:val="none"/>
        </w:rPr>
      </w:pPr>
      <w:r>
        <w:rPr>
          <w:rFonts w:hint="eastAsia" w:ascii="宋体" w:hAnsi="宋体" w:eastAsia="宋体" w:cs="宋体"/>
          <w:b/>
          <w:bCs/>
          <w:color w:val="auto"/>
          <w:spacing w:val="-1"/>
          <w:sz w:val="24"/>
          <w:szCs w:val="24"/>
          <w:highlight w:val="none"/>
        </w:rPr>
        <w:br w:type="page"/>
      </w:r>
      <w:r>
        <w:rPr>
          <w:rFonts w:hint="eastAsia" w:ascii="宋体" w:hAnsi="宋体" w:eastAsia="宋体" w:cs="宋体"/>
          <w:b/>
          <w:bCs/>
          <w:color w:val="auto"/>
          <w:sz w:val="28"/>
          <w:szCs w:val="28"/>
          <w:highlight w:val="none"/>
        </w:rPr>
        <w:t>（三）</w:t>
      </w:r>
      <w:r>
        <w:rPr>
          <w:rFonts w:hint="eastAsia" w:ascii="宋体" w:hAnsi="宋体" w:eastAsia="宋体" w:cs="宋体"/>
          <w:b/>
          <w:bCs/>
          <w:color w:val="auto"/>
          <w:kern w:val="0"/>
          <w:sz w:val="28"/>
          <w:szCs w:val="28"/>
          <w:highlight w:val="none"/>
        </w:rPr>
        <w:t>残疾人福利性单位声明函</w:t>
      </w:r>
    </w:p>
    <w:p w14:paraId="7CEE9337">
      <w:pPr>
        <w:pStyle w:val="15"/>
        <w:keepNext w:val="0"/>
        <w:keepLines w:val="0"/>
        <w:pageBreakBefore w:val="0"/>
        <w:widowControl w:val="0"/>
        <w:kinsoku/>
        <w:wordWrap w:val="0"/>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z w:val="24"/>
          <w:szCs w:val="24"/>
          <w:highlight w:val="none"/>
        </w:rPr>
      </w:pPr>
      <w:bookmarkStart w:id="315" w:name="_Toc20904"/>
      <w:bookmarkStart w:id="316" w:name="_Toc2930"/>
      <w:bookmarkStart w:id="317" w:name="_Toc12907"/>
      <w:r>
        <w:rPr>
          <w:rFonts w:hint="eastAsia" w:ascii="宋体" w:hAnsi="宋体" w:eastAsia="宋体" w:cs="宋体"/>
          <w:color w:val="auto"/>
          <w:sz w:val="24"/>
          <w:szCs w:val="24"/>
          <w:highlight w:val="none"/>
        </w:rPr>
        <w:t>（不属于残疾人福利性单位的无需填写）</w:t>
      </w:r>
      <w:bookmarkEnd w:id="315"/>
      <w:bookmarkEnd w:id="316"/>
      <w:bookmarkEnd w:id="317"/>
    </w:p>
    <w:p w14:paraId="530A2AE2">
      <w:pPr>
        <w:pStyle w:val="15"/>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w:t>
      </w:r>
      <w:r>
        <w:rPr>
          <w:rFonts w:hint="eastAsia" w:ascii="宋体" w:hAnsi="宋体" w:eastAsia="宋体" w:cs="宋体"/>
          <w:color w:val="auto"/>
          <w:spacing w:val="-10"/>
          <w:sz w:val="21"/>
          <w:szCs w:val="21"/>
          <w:highlight w:val="none"/>
        </w:rPr>
        <w:t>的通知》（财库〔2017〕</w:t>
      </w:r>
      <w:r>
        <w:rPr>
          <w:rFonts w:hint="eastAsia" w:ascii="宋体" w:hAnsi="宋体" w:eastAsia="宋体" w:cs="宋体"/>
          <w:color w:val="auto"/>
          <w:sz w:val="21"/>
          <w:szCs w:val="21"/>
          <w:highlight w:val="none"/>
        </w:rPr>
        <w:t>141</w:t>
      </w:r>
      <w:r>
        <w:rPr>
          <w:rFonts w:hint="eastAsia" w:ascii="宋体" w:hAnsi="宋体" w:eastAsia="宋体" w:cs="宋体"/>
          <w:color w:val="auto"/>
          <w:spacing w:val="-32"/>
          <w:sz w:val="21"/>
          <w:szCs w:val="21"/>
          <w:highlight w:val="none"/>
        </w:rPr>
        <w:t xml:space="preserve"> </w:t>
      </w:r>
      <w:r>
        <w:rPr>
          <w:rFonts w:hint="eastAsia" w:ascii="宋体" w:hAnsi="宋体" w:eastAsia="宋体" w:cs="宋体"/>
          <w:color w:val="auto"/>
          <w:sz w:val="21"/>
          <w:szCs w:val="21"/>
          <w:highlight w:val="none"/>
        </w:rPr>
        <w:t>号）的规定，本单位为符合条件的残疾人福利性单位，且本单位参加</w:t>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z w:val="21"/>
          <w:szCs w:val="21"/>
          <w:highlight w:val="none"/>
          <w:u w:val="single" w:color="000000"/>
        </w:rPr>
        <w:tab/>
      </w:r>
      <w:r>
        <w:rPr>
          <w:rFonts w:hint="eastAsia" w:ascii="宋体" w:hAnsi="宋体" w:eastAsia="宋体" w:cs="宋体"/>
          <w:color w:val="auto"/>
          <w:sz w:val="21"/>
          <w:szCs w:val="21"/>
          <w:highlight w:val="none"/>
          <w:u w:val="single" w:color="000000"/>
        </w:rPr>
        <w:t xml:space="preserve">         </w:t>
      </w:r>
      <w:r>
        <w:rPr>
          <w:rFonts w:hint="eastAsia" w:ascii="宋体" w:hAnsi="宋体" w:eastAsia="宋体" w:cs="宋体"/>
          <w:color w:val="auto"/>
          <w:spacing w:val="-1"/>
          <w:sz w:val="21"/>
          <w:szCs w:val="21"/>
          <w:highlight w:val="none"/>
        </w:rPr>
        <w:t>单位的</w:t>
      </w:r>
      <w:r>
        <w:rPr>
          <w:rFonts w:hint="eastAsia" w:ascii="宋体" w:hAnsi="宋体" w:eastAsia="宋体" w:cs="宋体"/>
          <w:color w:val="auto"/>
          <w:spacing w:val="-1"/>
          <w:sz w:val="21"/>
          <w:szCs w:val="21"/>
          <w:highlight w:val="none"/>
          <w:u w:val="single" w:color="000000"/>
        </w:rPr>
        <w:tab/>
      </w:r>
      <w:r>
        <w:rPr>
          <w:rFonts w:hint="eastAsia" w:ascii="宋体" w:hAnsi="宋体" w:eastAsia="宋体" w:cs="宋体"/>
          <w:color w:val="auto"/>
          <w:spacing w:val="-1"/>
          <w:sz w:val="21"/>
          <w:szCs w:val="21"/>
          <w:highlight w:val="none"/>
          <w:u w:val="single" w:color="000000"/>
        </w:rPr>
        <w:t xml:space="preserve">              </w:t>
      </w:r>
      <w:r>
        <w:rPr>
          <w:rFonts w:hint="eastAsia" w:ascii="宋体" w:hAnsi="宋体" w:eastAsia="宋体" w:cs="宋体"/>
          <w:color w:val="auto"/>
          <w:spacing w:val="-4"/>
          <w:sz w:val="21"/>
          <w:szCs w:val="21"/>
          <w:highlight w:val="none"/>
        </w:rPr>
        <w:t>项目采购活动提供本单位制造的货物（由本单位承担工程/提供服务），或者提供其他残疾人福利性单位制造的货物（不包括使用非残疾人福利性单位注册商标的货物）。</w:t>
      </w:r>
    </w:p>
    <w:p w14:paraId="7112BE37">
      <w:pPr>
        <w:pStyle w:val="15"/>
        <w:pageBreakBefore w:val="0"/>
        <w:kinsoku/>
        <w:wordWrap w:val="0"/>
        <w:overflowPunct/>
        <w:bidi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13ADA7B1">
      <w:pPr>
        <w:pageBreakBefore w:val="0"/>
        <w:kinsoku/>
        <w:wordWrap w:val="0"/>
        <w:overflowPunct/>
        <w:bidi w:val="0"/>
        <w:spacing w:line="360" w:lineRule="auto"/>
        <w:rPr>
          <w:rFonts w:hint="eastAsia" w:ascii="宋体" w:hAnsi="宋体" w:eastAsia="宋体" w:cs="宋体"/>
          <w:color w:val="auto"/>
          <w:sz w:val="21"/>
          <w:szCs w:val="21"/>
          <w:highlight w:val="none"/>
        </w:rPr>
      </w:pPr>
    </w:p>
    <w:p w14:paraId="68B4EE45">
      <w:pPr>
        <w:pStyle w:val="15"/>
        <w:pageBreakBefore w:val="0"/>
        <w:kinsoku/>
        <w:wordWrap w:val="0"/>
        <w:overflowPunct/>
        <w:bidi w:val="0"/>
        <w:spacing w:line="360" w:lineRule="auto"/>
        <w:ind w:firstLine="420"/>
        <w:jc w:val="left"/>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注： 单独列出所供残疾人福利性单位制造的货物产品单价和总价。</w:t>
      </w:r>
    </w:p>
    <w:p w14:paraId="3F64331A">
      <w:pPr>
        <w:pStyle w:val="15"/>
        <w:pageBreakBefore w:val="0"/>
        <w:kinsoku/>
        <w:wordWrap w:val="0"/>
        <w:overflowPunct/>
        <w:bidi w:val="0"/>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（若响应文件中无上述材料，则在评审时不考虑对该小、微企业的相关优惠。）</w:t>
      </w:r>
    </w:p>
    <w:p w14:paraId="4A537650">
      <w:pPr>
        <w:pageBreakBefore w:val="0"/>
        <w:kinsoku/>
        <w:wordWrap w:val="0"/>
        <w:overflowPunct/>
        <w:bidi w:val="0"/>
        <w:spacing w:line="360" w:lineRule="auto"/>
        <w:rPr>
          <w:rFonts w:hint="eastAsia" w:ascii="宋体" w:hAnsi="宋体" w:eastAsia="宋体" w:cs="宋体"/>
          <w:color w:val="auto"/>
          <w:sz w:val="21"/>
          <w:szCs w:val="21"/>
          <w:highlight w:val="none"/>
        </w:rPr>
      </w:pPr>
    </w:p>
    <w:p w14:paraId="60E526B0">
      <w:pPr>
        <w:pageBreakBefore w:val="0"/>
        <w:kinsoku/>
        <w:wordWrap w:val="0"/>
        <w:overflowPunct/>
        <w:bidi w:val="0"/>
        <w:snapToGrid w:val="0"/>
        <w:spacing w:line="700" w:lineRule="exact"/>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供应商全称</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u w:val="single"/>
        </w:rPr>
        <w:t xml:space="preserve">                    </w:t>
      </w:r>
    </w:p>
    <w:p w14:paraId="2E291D7D">
      <w:pPr>
        <w:pStyle w:val="21"/>
        <w:pageBreakBefore w:val="0"/>
        <w:kinsoku/>
        <w:wordWrap w:val="0"/>
        <w:overflowPunct/>
        <w:bidi w:val="0"/>
        <w:snapToGrid w:val="0"/>
        <w:spacing w:line="700" w:lineRule="exact"/>
        <w:rPr>
          <w:rFonts w:hint="eastAsia" w:ascii="宋体" w:hAnsi="宋体" w:eastAsia="宋体" w:cs="宋体"/>
          <w:color w:val="auto"/>
          <w:sz w:val="21"/>
          <w:szCs w:val="21"/>
          <w:highlight w:val="none"/>
          <w:u w:val="single"/>
        </w:rPr>
      </w:pPr>
      <w:r>
        <w:rPr>
          <w:rFonts w:hint="eastAsia" w:ascii="宋体" w:hAnsi="宋体" w:eastAsia="宋体" w:cs="宋体"/>
          <w:caps/>
          <w:color w:val="auto"/>
          <w:sz w:val="21"/>
          <w:szCs w:val="21"/>
          <w:highlight w:val="none"/>
        </w:rPr>
        <w:t>法定代表人或其委托代理人（</w:t>
      </w:r>
      <w:r>
        <w:rPr>
          <w:rFonts w:hint="eastAsia" w:hAnsi="宋体" w:cs="宋体"/>
          <w:color w:val="auto"/>
          <w:sz w:val="21"/>
          <w:szCs w:val="21"/>
          <w:highlight w:val="none"/>
          <w:lang w:eastAsia="zh-CN"/>
        </w:rPr>
        <w:t>电子签章</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p>
    <w:p w14:paraId="24FF19F0">
      <w:pPr>
        <w:pStyle w:val="21"/>
        <w:pageBreakBefore w:val="0"/>
        <w:kinsoku/>
        <w:wordWrap w:val="0"/>
        <w:overflowPunct/>
        <w:bidi w:val="0"/>
        <w:snapToGrid w:val="0"/>
        <w:spacing w:line="700" w:lineRule="exact"/>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日期：</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 xml:space="preserve"> 年</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月</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日</w:t>
      </w:r>
    </w:p>
    <w:p w14:paraId="06C1249E">
      <w:pPr>
        <w:pageBreakBefore w:val="0"/>
        <w:kinsoku/>
        <w:wordWrap w:val="0"/>
        <w:overflowPunct/>
        <w:bidi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  </w:t>
      </w:r>
    </w:p>
    <w:p w14:paraId="421D1FCC">
      <w:pPr>
        <w:pageBreakBefore w:val="0"/>
        <w:kinsoku/>
        <w:wordWrap w:val="0"/>
        <w:overflowPunct/>
        <w:bidi w:val="0"/>
        <w:spacing w:line="360" w:lineRule="auto"/>
        <w:rPr>
          <w:rFonts w:hint="eastAsia" w:ascii="宋体" w:hAnsi="宋体" w:eastAsia="宋体" w:cs="宋体"/>
          <w:color w:val="auto"/>
          <w:sz w:val="21"/>
          <w:szCs w:val="21"/>
          <w:highlight w:val="none"/>
        </w:rPr>
      </w:pPr>
    </w:p>
    <w:p w14:paraId="18A70910">
      <w:pPr>
        <w:pStyle w:val="17"/>
        <w:keepNext w:val="0"/>
        <w:keepLines w:val="0"/>
        <w:pageBreakBefore w:val="0"/>
        <w:widowControl w:val="0"/>
        <w:kinsoku/>
        <w:wordWrap w:val="0"/>
        <w:overflowPunct/>
        <w:topLinePunct w:val="0"/>
        <w:autoSpaceDE/>
        <w:autoSpaceDN/>
        <w:bidi w:val="0"/>
        <w:adjustRightInd/>
        <w:snapToGrid/>
        <w:spacing w:after="0" w:line="360" w:lineRule="auto"/>
        <w:ind w:left="0" w:leftChars="0" w:firstLine="418" w:firstLineChars="200"/>
        <w:textAlignment w:val="auto"/>
        <w:rPr>
          <w:rFonts w:hint="eastAsia" w:ascii="宋体" w:hAnsi="宋体" w:eastAsia="宋体" w:cs="宋体"/>
          <w:b/>
          <w:bCs/>
          <w:color w:val="auto"/>
          <w:spacing w:val="-1"/>
          <w:sz w:val="21"/>
          <w:szCs w:val="21"/>
          <w:highlight w:val="none"/>
        </w:rPr>
      </w:pPr>
      <w:r>
        <w:rPr>
          <w:rFonts w:hint="eastAsia" w:ascii="宋体" w:hAnsi="宋体" w:eastAsia="宋体" w:cs="宋体"/>
          <w:b/>
          <w:bCs/>
          <w:color w:val="auto"/>
          <w:spacing w:val="-1"/>
          <w:sz w:val="21"/>
          <w:szCs w:val="21"/>
          <w:highlight w:val="none"/>
        </w:rPr>
        <w:t>注：符合条件的残疾人福利性单位在参加政府采购活动时，应当提供本通知规定的《残疾人福利性单位声明函》，并对声明的真实性负责。</w:t>
      </w:r>
      <w:r>
        <w:rPr>
          <w:rFonts w:hint="eastAsia" w:ascii="宋体" w:hAnsi="宋体" w:cs="宋体"/>
          <w:b/>
          <w:bCs/>
          <w:color w:val="auto"/>
          <w:spacing w:val="-1"/>
          <w:sz w:val="21"/>
          <w:szCs w:val="21"/>
          <w:highlight w:val="none"/>
          <w:lang w:eastAsia="zh-CN"/>
        </w:rPr>
        <w:t>采购</w:t>
      </w:r>
      <w:r>
        <w:rPr>
          <w:rFonts w:hint="eastAsia" w:ascii="宋体" w:hAnsi="宋体" w:eastAsia="宋体" w:cs="宋体"/>
          <w:b/>
          <w:bCs/>
          <w:color w:val="auto"/>
          <w:spacing w:val="-1"/>
          <w:sz w:val="21"/>
          <w:szCs w:val="21"/>
          <w:highlight w:val="none"/>
        </w:rPr>
        <w:t>代理机构在随成交、成交结果同时公告其《残疾人福利性单位声明函》，接受社会监督。供应商提供的《残疾人福利性单位声明函》与事实不符的，依照《政府采购法》第七十七条第一款的规定追究法律责任。</w:t>
      </w:r>
    </w:p>
    <w:p w14:paraId="4D7709CA">
      <w:pPr>
        <w:pStyle w:val="21"/>
        <w:pageBreakBefore w:val="0"/>
        <w:kinsoku/>
        <w:wordWrap w:val="0"/>
        <w:overflowPunct/>
        <w:bidi w:val="0"/>
        <w:spacing w:line="360" w:lineRule="auto"/>
        <w:rPr>
          <w:rFonts w:hint="eastAsia" w:ascii="宋体" w:hAnsi="宋体" w:eastAsia="宋体" w:cs="宋体"/>
          <w:b/>
          <w:bCs/>
          <w:color w:val="auto"/>
          <w:sz w:val="21"/>
          <w:szCs w:val="21"/>
          <w:highlight w:val="none"/>
        </w:rPr>
      </w:pPr>
    </w:p>
    <w:p w14:paraId="4911C441">
      <w:pPr>
        <w:pageBreakBefore w:val="0"/>
        <w:kinsoku/>
        <w:wordWrap w:val="0"/>
        <w:overflowPunct/>
        <w:bidi w:val="0"/>
        <w:rPr>
          <w:rFonts w:hint="eastAsia" w:ascii="宋体" w:hAnsi="宋体" w:eastAsia="宋体" w:cs="宋体"/>
          <w:b/>
          <w:color w:val="auto"/>
          <w:kern w:val="2"/>
          <w:sz w:val="21"/>
          <w:szCs w:val="21"/>
          <w:highlight w:val="none"/>
          <w:lang w:val="en-US" w:eastAsia="zh-CN" w:bidi="ar-SA"/>
        </w:rPr>
      </w:pPr>
    </w:p>
    <w:p w14:paraId="6A22403A">
      <w:pPr>
        <w:pStyle w:val="6"/>
        <w:pageBreakBefore w:val="0"/>
        <w:numPr>
          <w:ilvl w:val="3"/>
          <w:numId w:val="0"/>
        </w:numPr>
        <w:kinsoku/>
        <w:wordWrap w:val="0"/>
        <w:overflowPunct/>
        <w:bidi w:val="0"/>
        <w:ind w:left="1077" w:leftChars="0"/>
        <w:outlineLvl w:val="9"/>
        <w:rPr>
          <w:rFonts w:hint="eastAsia" w:ascii="宋体" w:hAnsi="宋体" w:eastAsia="宋体" w:cs="宋体"/>
          <w:color w:val="auto"/>
          <w:sz w:val="21"/>
          <w:szCs w:val="21"/>
          <w:highlight w:val="none"/>
          <w:lang w:val="en-US" w:eastAsia="zh-CN"/>
        </w:rPr>
      </w:pPr>
    </w:p>
    <w:p w14:paraId="257C2C82">
      <w:pPr>
        <w:pageBreakBefore w:val="0"/>
        <w:kinsoku/>
        <w:wordWrap w:val="0"/>
        <w:overflowPunct/>
        <w:bidi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43B08945">
      <w:pPr>
        <w:pStyle w:val="10"/>
        <w:pageBreakBefore w:val="0"/>
        <w:widowControl w:val="0"/>
        <w:numPr>
          <w:ilvl w:val="0"/>
          <w:numId w:val="0"/>
        </w:numPr>
        <w:tabs>
          <w:tab w:val="left" w:pos="7335"/>
        </w:tabs>
        <w:kinsoku/>
        <w:wordWrap w:val="0"/>
        <w:overflowPunct/>
        <w:topLinePunct w:val="0"/>
        <w:autoSpaceDE/>
        <w:autoSpaceDN/>
        <w:bidi w:val="0"/>
        <w:adjustRightInd/>
        <w:snapToGrid/>
        <w:spacing w:line="480" w:lineRule="auto"/>
        <w:ind w:right="0" w:rightChars="0"/>
        <w:jc w:val="both"/>
        <w:textAlignment w:val="auto"/>
        <w:outlineLvl w:val="1"/>
        <w:rPr>
          <w:rFonts w:hint="eastAsia" w:ascii="宋体" w:hAnsi="宋体" w:eastAsia="宋体" w:cs="宋体"/>
          <w:color w:val="auto"/>
          <w:sz w:val="32"/>
          <w:szCs w:val="32"/>
          <w:highlight w:val="none"/>
        </w:rPr>
      </w:pPr>
      <w:bookmarkStart w:id="318" w:name="_Toc23443"/>
      <w:r>
        <w:rPr>
          <w:rFonts w:hint="eastAsia" w:ascii="宋体" w:hAnsi="宋体" w:eastAsia="宋体" w:cs="宋体"/>
          <w:b/>
          <w:bCs/>
          <w:color w:val="auto"/>
          <w:sz w:val="32"/>
          <w:szCs w:val="32"/>
          <w:highlight w:val="none"/>
          <w:lang w:val="en-US" w:eastAsia="zh-CN"/>
        </w:rPr>
        <w:t xml:space="preserve">第二部分  </w:t>
      </w:r>
      <w:bookmarkEnd w:id="318"/>
      <w:r>
        <w:rPr>
          <w:rFonts w:hint="eastAsia" w:ascii="宋体" w:hAnsi="宋体" w:cs="宋体"/>
          <w:b/>
          <w:bCs/>
          <w:color w:val="auto"/>
          <w:sz w:val="32"/>
          <w:szCs w:val="32"/>
          <w:highlight w:val="none"/>
          <w:lang w:val="en-US" w:eastAsia="zh-CN"/>
        </w:rPr>
        <w:t>报价文件部分</w:t>
      </w:r>
    </w:p>
    <w:p w14:paraId="5C6BB2F0">
      <w:pPr>
        <w:pStyle w:val="4"/>
        <w:pageBreakBefore w:val="0"/>
        <w:numPr>
          <w:ilvl w:val="1"/>
          <w:numId w:val="0"/>
        </w:numPr>
        <w:kinsoku/>
        <w:wordWrap w:val="0"/>
        <w:overflowPunct/>
        <w:bidi w:val="0"/>
        <w:jc w:val="center"/>
        <w:outlineLvl w:val="2"/>
        <w:rPr>
          <w:rFonts w:hint="eastAsia" w:ascii="宋体" w:hAnsi="宋体" w:eastAsia="宋体" w:cs="宋体"/>
          <w:b/>
          <w:color w:val="auto"/>
          <w:kern w:val="2"/>
          <w:sz w:val="28"/>
          <w:szCs w:val="28"/>
          <w:highlight w:val="none"/>
          <w:lang w:val="en-US" w:eastAsia="zh-CN" w:bidi="ar-SA"/>
        </w:rPr>
      </w:pPr>
      <w:bookmarkStart w:id="319" w:name="_Toc10058"/>
      <w:r>
        <w:rPr>
          <w:rFonts w:hint="eastAsia" w:ascii="宋体" w:hAnsi="宋体" w:eastAsia="宋体" w:cs="宋体"/>
          <w:b/>
          <w:color w:val="auto"/>
          <w:kern w:val="2"/>
          <w:sz w:val="28"/>
          <w:szCs w:val="28"/>
          <w:highlight w:val="none"/>
          <w:lang w:val="en-US" w:eastAsia="zh-CN" w:bidi="ar-SA"/>
        </w:rPr>
        <w:t>一、报价编制说明</w:t>
      </w:r>
      <w:bookmarkEnd w:id="319"/>
    </w:p>
    <w:p w14:paraId="3A9486FD">
      <w:pPr>
        <w:pageBreakBefore w:val="0"/>
        <w:widowControl w:val="0"/>
        <w:kinsoku/>
        <w:wordWrap w:val="0"/>
        <w:overflowPunct/>
        <w:bidi w:val="0"/>
        <w:ind w:left="180" w:right="-328" w:rightChars="-156"/>
        <w:rPr>
          <w:rFonts w:hint="eastAsia" w:ascii="宋体" w:hAnsi="宋体" w:eastAsia="宋体" w:cs="宋体"/>
          <w:b/>
          <w:color w:val="auto"/>
          <w:sz w:val="36"/>
          <w:szCs w:val="36"/>
          <w:highlight w:val="none"/>
        </w:rPr>
      </w:pPr>
    </w:p>
    <w:p w14:paraId="5713208A">
      <w:pPr>
        <w:pageBreakBefore w:val="0"/>
        <w:widowControl w:val="0"/>
        <w:numPr>
          <w:ilvl w:val="0"/>
          <w:numId w:val="0"/>
        </w:numPr>
        <w:tabs>
          <w:tab w:val="left" w:pos="900"/>
        </w:tabs>
        <w:kinsoku/>
        <w:wordWrap w:val="0"/>
        <w:overflowPunct/>
        <w:bidi w:val="0"/>
        <w:spacing w:line="360" w:lineRule="auto"/>
        <w:ind w:leftChars="-281" w:right="-328" w:rightChars="-156" w:firstLine="630" w:firstLineChars="3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报价依据</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文件中</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须知有关条款</w:t>
      </w:r>
      <w:r>
        <w:rPr>
          <w:rFonts w:hint="eastAsia" w:ascii="宋体" w:hAnsi="宋体" w:eastAsia="宋体" w:cs="宋体"/>
          <w:color w:val="auto"/>
          <w:sz w:val="21"/>
          <w:szCs w:val="21"/>
          <w:highlight w:val="none"/>
          <w:lang w:eastAsia="zh-CN"/>
        </w:rPr>
        <w:t>、工程量清单</w:t>
      </w:r>
      <w:r>
        <w:rPr>
          <w:rFonts w:hint="eastAsia" w:ascii="宋体" w:hAnsi="宋体" w:eastAsia="宋体" w:cs="宋体"/>
          <w:color w:val="auto"/>
          <w:sz w:val="21"/>
          <w:szCs w:val="21"/>
          <w:highlight w:val="none"/>
        </w:rPr>
        <w:t>及施工设计图进行编制。</w:t>
      </w:r>
    </w:p>
    <w:p w14:paraId="1C4C4E3D">
      <w:pPr>
        <w:pageBreakBefore w:val="0"/>
        <w:widowControl w:val="0"/>
        <w:numPr>
          <w:ilvl w:val="0"/>
          <w:numId w:val="0"/>
        </w:numPr>
        <w:tabs>
          <w:tab w:val="left" w:pos="900"/>
        </w:tabs>
        <w:kinsoku/>
        <w:wordWrap w:val="0"/>
        <w:overflowPunct/>
        <w:bidi w:val="0"/>
        <w:spacing w:line="360" w:lineRule="auto"/>
        <w:ind w:leftChars="-281" w:right="-328" w:rightChars="-156" w:firstLine="630" w:firstLineChars="3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本工程的报价币种为人民币。 </w:t>
      </w:r>
    </w:p>
    <w:p w14:paraId="735E8A4A">
      <w:pPr>
        <w:pageBreakBefore w:val="0"/>
        <w:tabs>
          <w:tab w:val="left" w:pos="900"/>
        </w:tabs>
        <w:kinsoku/>
        <w:wordWrap w:val="0"/>
        <w:overflowPunct/>
        <w:bidi w:val="0"/>
        <w:ind w:left="674" w:right="-328" w:rightChars="-156" w:hanging="590" w:hangingChars="281"/>
        <w:rPr>
          <w:rFonts w:hint="eastAsia" w:ascii="宋体" w:hAnsi="宋体" w:eastAsia="宋体" w:cs="宋体"/>
          <w:color w:val="auto"/>
          <w:sz w:val="21"/>
          <w:szCs w:val="21"/>
          <w:highlight w:val="none"/>
        </w:rPr>
      </w:pPr>
    </w:p>
    <w:p w14:paraId="3D7BBB3F">
      <w:pPr>
        <w:pageBreakBefore w:val="0"/>
        <w:kinsoku/>
        <w:wordWrap w:val="0"/>
        <w:overflowPunct/>
        <w:bidi w:val="0"/>
        <w:ind w:right="-328" w:rightChars="-156"/>
        <w:rPr>
          <w:rFonts w:hint="eastAsia" w:ascii="宋体" w:hAnsi="宋体" w:eastAsia="宋体" w:cs="宋体"/>
          <w:color w:val="auto"/>
          <w:sz w:val="21"/>
          <w:szCs w:val="21"/>
          <w:highlight w:val="none"/>
        </w:rPr>
      </w:pPr>
    </w:p>
    <w:p w14:paraId="01853601">
      <w:pPr>
        <w:pageBreakBefore w:val="0"/>
        <w:kinsoku/>
        <w:wordWrap w:val="0"/>
        <w:overflowPunct/>
        <w:bidi w:val="0"/>
        <w:ind w:right="-328" w:rightChars="-156"/>
        <w:rPr>
          <w:rFonts w:hint="eastAsia" w:ascii="宋体" w:hAnsi="宋体" w:eastAsia="宋体" w:cs="宋体"/>
          <w:color w:val="auto"/>
          <w:sz w:val="21"/>
          <w:szCs w:val="21"/>
          <w:highlight w:val="none"/>
        </w:rPr>
      </w:pPr>
    </w:p>
    <w:p w14:paraId="1D36364F">
      <w:pPr>
        <w:pageBreakBefore w:val="0"/>
        <w:kinsoku/>
        <w:wordWrap w:val="0"/>
        <w:overflowPunct/>
        <w:bidi w:val="0"/>
        <w:ind w:right="-328" w:rightChars="-156"/>
        <w:rPr>
          <w:rFonts w:hint="eastAsia" w:ascii="宋体" w:hAnsi="宋体" w:eastAsia="宋体" w:cs="宋体"/>
          <w:color w:val="auto"/>
          <w:sz w:val="21"/>
          <w:szCs w:val="21"/>
          <w:highlight w:val="none"/>
        </w:rPr>
      </w:pPr>
    </w:p>
    <w:p w14:paraId="7CC6D80C">
      <w:pPr>
        <w:pageBreakBefore w:val="0"/>
        <w:kinsoku/>
        <w:wordWrap w:val="0"/>
        <w:overflowPunct/>
        <w:bidi w:val="0"/>
        <w:ind w:right="-328" w:rightChars="-156"/>
        <w:rPr>
          <w:rFonts w:hint="eastAsia" w:ascii="宋体" w:hAnsi="宋体" w:eastAsia="宋体" w:cs="宋体"/>
          <w:color w:val="auto"/>
          <w:sz w:val="21"/>
          <w:szCs w:val="21"/>
          <w:highlight w:val="none"/>
        </w:rPr>
      </w:pPr>
    </w:p>
    <w:p w14:paraId="7303F53C">
      <w:pPr>
        <w:pageBreakBefore w:val="0"/>
        <w:kinsoku/>
        <w:wordWrap w:val="0"/>
        <w:overflowPunct/>
        <w:bidi w:val="0"/>
        <w:ind w:right="-328" w:rightChars="-156"/>
        <w:rPr>
          <w:rFonts w:hint="eastAsia" w:ascii="宋体" w:hAnsi="宋体" w:eastAsia="宋体" w:cs="宋体"/>
          <w:color w:val="auto"/>
          <w:sz w:val="21"/>
          <w:szCs w:val="21"/>
          <w:highlight w:val="none"/>
        </w:rPr>
      </w:pPr>
    </w:p>
    <w:p w14:paraId="038BC004">
      <w:pPr>
        <w:pageBreakBefore w:val="0"/>
        <w:kinsoku/>
        <w:wordWrap w:val="0"/>
        <w:overflowPunct/>
        <w:bidi w:val="0"/>
        <w:ind w:right="-328" w:rightChars="-156"/>
        <w:rPr>
          <w:rFonts w:hint="eastAsia" w:ascii="宋体" w:hAnsi="宋体" w:eastAsia="宋体" w:cs="宋体"/>
          <w:color w:val="auto"/>
          <w:sz w:val="21"/>
          <w:szCs w:val="21"/>
          <w:highlight w:val="none"/>
        </w:rPr>
      </w:pPr>
    </w:p>
    <w:p w14:paraId="7F56A17A">
      <w:pPr>
        <w:pageBreakBefore w:val="0"/>
        <w:kinsoku/>
        <w:wordWrap w:val="0"/>
        <w:overflowPunct/>
        <w:bidi w:val="0"/>
        <w:ind w:right="-328" w:rightChars="-156"/>
        <w:rPr>
          <w:rFonts w:hint="eastAsia" w:ascii="宋体" w:hAnsi="宋体" w:eastAsia="宋体" w:cs="宋体"/>
          <w:color w:val="auto"/>
          <w:sz w:val="21"/>
          <w:szCs w:val="21"/>
          <w:highlight w:val="none"/>
        </w:rPr>
      </w:pPr>
    </w:p>
    <w:p w14:paraId="1F6F9453">
      <w:pPr>
        <w:pageBreakBefore w:val="0"/>
        <w:kinsoku/>
        <w:wordWrap w:val="0"/>
        <w:overflowPunct/>
        <w:bidi w:val="0"/>
        <w:ind w:right="-328" w:rightChars="-156"/>
        <w:rPr>
          <w:rFonts w:hint="eastAsia" w:ascii="宋体" w:hAnsi="宋体" w:eastAsia="宋体" w:cs="宋体"/>
          <w:color w:val="auto"/>
          <w:sz w:val="21"/>
          <w:szCs w:val="21"/>
          <w:highlight w:val="none"/>
        </w:rPr>
      </w:pPr>
    </w:p>
    <w:p w14:paraId="5A156CE6">
      <w:pPr>
        <w:pageBreakBefore w:val="0"/>
        <w:kinsoku/>
        <w:wordWrap w:val="0"/>
        <w:overflowPunct/>
        <w:bidi w:val="0"/>
        <w:ind w:right="-328" w:rightChars="-156"/>
        <w:rPr>
          <w:rFonts w:hint="eastAsia" w:ascii="宋体" w:hAnsi="宋体" w:eastAsia="宋体" w:cs="宋体"/>
          <w:color w:val="auto"/>
          <w:sz w:val="21"/>
          <w:szCs w:val="21"/>
          <w:highlight w:val="none"/>
        </w:rPr>
      </w:pPr>
    </w:p>
    <w:p w14:paraId="1301EC7D">
      <w:pPr>
        <w:pageBreakBefore w:val="0"/>
        <w:kinsoku/>
        <w:wordWrap w:val="0"/>
        <w:overflowPunct/>
        <w:bidi w:val="0"/>
        <w:ind w:right="-328" w:rightChars="-156"/>
        <w:rPr>
          <w:rFonts w:hint="eastAsia" w:ascii="宋体" w:hAnsi="宋体" w:eastAsia="宋体" w:cs="宋体"/>
          <w:color w:val="auto"/>
          <w:sz w:val="21"/>
          <w:szCs w:val="21"/>
          <w:highlight w:val="none"/>
        </w:rPr>
      </w:pPr>
    </w:p>
    <w:p w14:paraId="5E01C99E">
      <w:pPr>
        <w:pageBreakBefore w:val="0"/>
        <w:kinsoku/>
        <w:wordWrap w:val="0"/>
        <w:overflowPunct/>
        <w:bidi w:val="0"/>
        <w:spacing w:line="480" w:lineRule="auto"/>
        <w:ind w:right="-328" w:rightChars="-156"/>
        <w:rPr>
          <w:rFonts w:hint="eastAsia" w:ascii="宋体" w:hAnsi="宋体" w:eastAsia="宋体" w:cs="宋体"/>
          <w:color w:val="auto"/>
          <w:sz w:val="21"/>
          <w:szCs w:val="21"/>
          <w:highlight w:val="none"/>
        </w:rPr>
      </w:pPr>
    </w:p>
    <w:p w14:paraId="5B7A1589">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全称（</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548A8C7F">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其</w:t>
      </w:r>
      <w:r>
        <w:rPr>
          <w:rFonts w:hint="eastAsia" w:ascii="宋体" w:hAnsi="宋体" w:eastAsia="宋体" w:cs="宋体"/>
          <w:color w:val="auto"/>
          <w:sz w:val="21"/>
          <w:szCs w:val="21"/>
          <w:highlight w:val="none"/>
        </w:rPr>
        <w:t>委托代理人（</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25FB728E">
      <w:pPr>
        <w:keepNext w:val="0"/>
        <w:keepLines w:val="0"/>
        <w:pageBreakBefore w:val="0"/>
        <w:widowControl w:val="0"/>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14:paraId="6218B70A">
      <w:pPr>
        <w:pageBreakBefore w:val="0"/>
        <w:kinsoku/>
        <w:wordWrap w:val="0"/>
        <w:overflowPunct/>
        <w:bidi w:val="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r>
    </w:p>
    <w:p w14:paraId="698241EE">
      <w:pPr>
        <w:pageBreakBefore w:val="0"/>
        <w:kinsoku/>
        <w:wordWrap w:val="0"/>
        <w:overflowPunct/>
        <w:bidi w:val="0"/>
        <w:jc w:val="center"/>
        <w:outlineLvl w:val="2"/>
        <w:rPr>
          <w:rFonts w:hint="eastAsia" w:ascii="宋体" w:hAnsi="宋体" w:eastAsia="宋体" w:cs="宋体"/>
          <w:color w:val="auto"/>
          <w:sz w:val="32"/>
          <w:szCs w:val="32"/>
          <w:highlight w:val="none"/>
        </w:rPr>
      </w:pPr>
      <w:bookmarkStart w:id="320" w:name="_Toc16784"/>
      <w:r>
        <w:rPr>
          <w:rFonts w:hint="eastAsia" w:ascii="宋体" w:hAnsi="宋体" w:eastAsia="宋体" w:cs="宋体"/>
          <w:b/>
          <w:color w:val="auto"/>
          <w:sz w:val="32"/>
          <w:szCs w:val="32"/>
          <w:highlight w:val="none"/>
          <w:lang w:eastAsia="zh-CN"/>
        </w:rPr>
        <w:t>二、初次报价</w:t>
      </w:r>
      <w:r>
        <w:rPr>
          <w:rFonts w:hint="eastAsia" w:ascii="宋体" w:hAnsi="宋体" w:eastAsia="宋体" w:cs="宋体"/>
          <w:b/>
          <w:color w:val="auto"/>
          <w:sz w:val="32"/>
          <w:szCs w:val="32"/>
          <w:highlight w:val="none"/>
        </w:rPr>
        <w:t>表</w:t>
      </w:r>
      <w:bookmarkEnd w:id="320"/>
    </w:p>
    <w:p w14:paraId="66552DC6">
      <w:pPr>
        <w:pageBreakBefore w:val="0"/>
        <w:kinsoku/>
        <w:wordWrap w:val="0"/>
        <w:overflowPunct/>
        <w:bidi w:val="0"/>
        <w:rPr>
          <w:rFonts w:hint="eastAsia" w:ascii="宋体" w:hAnsi="宋体" w:eastAsia="宋体" w:cs="宋体"/>
          <w:color w:val="auto"/>
          <w:sz w:val="24"/>
          <w:szCs w:val="24"/>
          <w:highlight w:val="none"/>
        </w:rPr>
      </w:pPr>
    </w:p>
    <w:p w14:paraId="70CC7F36">
      <w:pPr>
        <w:pageBreakBefore w:val="0"/>
        <w:kinsoku/>
        <w:wordWrap w:val="0"/>
        <w:overflowPunct/>
        <w:bidi w:val="0"/>
        <w:rPr>
          <w:rFonts w:hint="eastAsia" w:ascii="宋体" w:hAnsi="宋体" w:eastAsia="宋体" w:cs="宋体"/>
          <w:color w:val="auto"/>
          <w:sz w:val="24"/>
          <w:szCs w:val="24"/>
          <w:highlight w:val="none"/>
        </w:rPr>
      </w:pPr>
    </w:p>
    <w:p w14:paraId="0F4E6101">
      <w:pPr>
        <w:pageBreakBefore w:val="0"/>
        <w:kinsoku/>
        <w:wordWrap w:val="0"/>
        <w:overflowPunct/>
        <w:bidi w:val="0"/>
        <w:spacing w:line="36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工程名称：</w:t>
      </w:r>
      <w:r>
        <w:rPr>
          <w:rFonts w:hint="eastAsia" w:ascii="宋体" w:hAnsi="宋体" w:eastAsia="宋体" w:cs="宋体"/>
          <w:color w:val="auto"/>
          <w:sz w:val="21"/>
          <w:szCs w:val="21"/>
          <w:highlight w:val="none"/>
          <w:u w:val="single"/>
        </w:rPr>
        <w:t xml:space="preserve">                       </w:t>
      </w:r>
    </w:p>
    <w:p w14:paraId="3E134A24">
      <w:pPr>
        <w:pageBreakBefore w:val="0"/>
        <w:kinsoku/>
        <w:wordWrap w:val="0"/>
        <w:overflowPunct/>
        <w:bidi w:val="0"/>
        <w:spacing w:line="360" w:lineRule="exact"/>
        <w:ind w:firstLine="482"/>
        <w:rPr>
          <w:rFonts w:hint="eastAsia" w:ascii="宋体" w:hAnsi="宋体" w:eastAsia="宋体" w:cs="宋体"/>
          <w:color w:val="auto"/>
          <w:sz w:val="21"/>
          <w:szCs w:val="21"/>
          <w:highlight w:val="none"/>
          <w:u w:val="single"/>
        </w:rPr>
      </w:pPr>
    </w:p>
    <w:tbl>
      <w:tblPr>
        <w:tblStyle w:val="39"/>
        <w:tblW w:w="920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30"/>
        <w:gridCol w:w="2556"/>
        <w:gridCol w:w="2835"/>
        <w:gridCol w:w="3180"/>
      </w:tblGrid>
      <w:tr w14:paraId="69A172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630" w:type="dxa"/>
            <w:vMerge w:val="restart"/>
            <w:vAlign w:val="center"/>
          </w:tcPr>
          <w:p w14:paraId="16CF645B">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2556" w:type="dxa"/>
            <w:vMerge w:val="restart"/>
            <w:vAlign w:val="center"/>
          </w:tcPr>
          <w:p w14:paraId="66ED1FA1">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项   目</w:t>
            </w:r>
          </w:p>
        </w:tc>
        <w:tc>
          <w:tcPr>
            <w:tcW w:w="6015" w:type="dxa"/>
            <w:gridSpan w:val="2"/>
            <w:vAlign w:val="center"/>
          </w:tcPr>
          <w:p w14:paraId="1E2622E1">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金        额</w:t>
            </w:r>
          </w:p>
        </w:tc>
      </w:tr>
      <w:tr w14:paraId="42904B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630" w:type="dxa"/>
            <w:vMerge w:val="continue"/>
            <w:vAlign w:val="center"/>
          </w:tcPr>
          <w:p w14:paraId="01BEC503">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p>
        </w:tc>
        <w:tc>
          <w:tcPr>
            <w:tcW w:w="2556" w:type="dxa"/>
            <w:vMerge w:val="continue"/>
            <w:vAlign w:val="center"/>
          </w:tcPr>
          <w:p w14:paraId="3F39DCF8">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p>
        </w:tc>
        <w:tc>
          <w:tcPr>
            <w:tcW w:w="2835" w:type="dxa"/>
            <w:vAlign w:val="center"/>
          </w:tcPr>
          <w:p w14:paraId="26AE7F5A">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小写（元）</w:t>
            </w:r>
          </w:p>
        </w:tc>
        <w:tc>
          <w:tcPr>
            <w:tcW w:w="3180" w:type="dxa"/>
            <w:vAlign w:val="center"/>
          </w:tcPr>
          <w:p w14:paraId="31351645">
            <w:pPr>
              <w:pageBreakBefore w:val="0"/>
              <w:kinsoku/>
              <w:wordWrap w:val="0"/>
              <w:overflowPunct/>
              <w:bidi w:val="0"/>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大写（元）</w:t>
            </w:r>
          </w:p>
        </w:tc>
      </w:tr>
      <w:tr w14:paraId="0837E7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630" w:type="dxa"/>
            <w:vAlign w:val="center"/>
          </w:tcPr>
          <w:p w14:paraId="496BDAFE">
            <w:pPr>
              <w:pageBreakBefore w:val="0"/>
              <w:kinsoku/>
              <w:wordWrap w:val="0"/>
              <w:overflowPunct/>
              <w:bidi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556" w:type="dxa"/>
            <w:vAlign w:val="center"/>
          </w:tcPr>
          <w:p w14:paraId="6813EFD4">
            <w:pPr>
              <w:pageBreakBefore w:val="0"/>
              <w:kinsoku/>
              <w:wordWrap w:val="0"/>
              <w:overflowPunct/>
              <w:bidi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投标</w:t>
            </w:r>
            <w:r>
              <w:rPr>
                <w:rFonts w:hint="eastAsia" w:ascii="宋体" w:hAnsi="宋体" w:eastAsia="宋体" w:cs="宋体"/>
                <w:color w:val="auto"/>
                <w:sz w:val="21"/>
                <w:szCs w:val="21"/>
                <w:highlight w:val="none"/>
              </w:rPr>
              <w:t>报价</w:t>
            </w:r>
          </w:p>
        </w:tc>
        <w:tc>
          <w:tcPr>
            <w:tcW w:w="2835" w:type="dxa"/>
            <w:vAlign w:val="center"/>
          </w:tcPr>
          <w:p w14:paraId="168950A7">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c>
          <w:tcPr>
            <w:tcW w:w="3180" w:type="dxa"/>
            <w:vAlign w:val="center"/>
          </w:tcPr>
          <w:p w14:paraId="2588D66B">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r>
      <w:tr w14:paraId="5713AC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0" w:hRule="atLeast"/>
          <w:jc w:val="center"/>
        </w:trPr>
        <w:tc>
          <w:tcPr>
            <w:tcW w:w="630" w:type="dxa"/>
            <w:vAlign w:val="center"/>
          </w:tcPr>
          <w:p w14:paraId="7D79466A">
            <w:pPr>
              <w:pageBreakBefore w:val="0"/>
              <w:kinsoku/>
              <w:wordWrap w:val="0"/>
              <w:overflowPunct/>
              <w:bidi w:val="0"/>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556" w:type="dxa"/>
            <w:vAlign w:val="center"/>
          </w:tcPr>
          <w:p w14:paraId="276E6C21">
            <w:pPr>
              <w:pageBreakBefore w:val="0"/>
              <w:kinsoku/>
              <w:wordWrap w:val="0"/>
              <w:overflowPunct/>
              <w:bidi w:val="0"/>
              <w:spacing w:line="24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项目负责人（项目经理）姓名及证书编号</w:t>
            </w:r>
          </w:p>
        </w:tc>
        <w:tc>
          <w:tcPr>
            <w:tcW w:w="6015" w:type="dxa"/>
            <w:gridSpan w:val="2"/>
            <w:vAlign w:val="center"/>
          </w:tcPr>
          <w:p w14:paraId="67F7B765">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r>
      <w:tr w14:paraId="0F6426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630" w:type="dxa"/>
            <w:vAlign w:val="center"/>
          </w:tcPr>
          <w:p w14:paraId="34BD23FC">
            <w:pPr>
              <w:pageBreakBefore w:val="0"/>
              <w:kinsoku/>
              <w:wordWrap w:val="0"/>
              <w:overflowPunct/>
              <w:bidi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2556" w:type="dxa"/>
            <w:vAlign w:val="center"/>
          </w:tcPr>
          <w:p w14:paraId="5A1A803B">
            <w:pPr>
              <w:pageBreakBefore w:val="0"/>
              <w:kinsoku/>
              <w:wordWrap w:val="0"/>
              <w:overflowPunct/>
              <w:bidi w:val="0"/>
              <w:spacing w:line="24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质量承诺</w:t>
            </w:r>
          </w:p>
        </w:tc>
        <w:tc>
          <w:tcPr>
            <w:tcW w:w="6015" w:type="dxa"/>
            <w:gridSpan w:val="2"/>
            <w:vAlign w:val="center"/>
          </w:tcPr>
          <w:p w14:paraId="5154DC10">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r>
      <w:tr w14:paraId="1FAE6F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630" w:type="dxa"/>
            <w:vAlign w:val="center"/>
          </w:tcPr>
          <w:p w14:paraId="71A89E97">
            <w:pPr>
              <w:pageBreakBefore w:val="0"/>
              <w:kinsoku/>
              <w:wordWrap w:val="0"/>
              <w:overflowPunct/>
              <w:bidi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2556" w:type="dxa"/>
            <w:vAlign w:val="center"/>
          </w:tcPr>
          <w:p w14:paraId="7383D4CC">
            <w:pPr>
              <w:pageBreakBefore w:val="0"/>
              <w:kinsoku/>
              <w:wordWrap w:val="0"/>
              <w:overflowPunct/>
              <w:bidi w:val="0"/>
              <w:spacing w:line="240" w:lineRule="auto"/>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合同履行期限</w:t>
            </w:r>
            <w:r>
              <w:rPr>
                <w:rFonts w:hint="eastAsia" w:ascii="宋体" w:hAnsi="宋体" w:cs="宋体"/>
                <w:color w:val="auto"/>
                <w:kern w:val="0"/>
                <w:sz w:val="21"/>
                <w:szCs w:val="21"/>
                <w:highlight w:val="none"/>
                <w:lang w:eastAsia="zh-CN"/>
              </w:rPr>
              <w:t>（工期）</w:t>
            </w:r>
          </w:p>
        </w:tc>
        <w:tc>
          <w:tcPr>
            <w:tcW w:w="6015" w:type="dxa"/>
            <w:gridSpan w:val="2"/>
            <w:vAlign w:val="center"/>
          </w:tcPr>
          <w:p w14:paraId="1CCD7CA6">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r>
      <w:tr w14:paraId="1B749F2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24" w:hRule="atLeast"/>
          <w:jc w:val="center"/>
        </w:trPr>
        <w:tc>
          <w:tcPr>
            <w:tcW w:w="630" w:type="dxa"/>
            <w:vAlign w:val="center"/>
          </w:tcPr>
          <w:p w14:paraId="2F4BD839">
            <w:pPr>
              <w:pageBreakBefore w:val="0"/>
              <w:kinsoku/>
              <w:wordWrap w:val="0"/>
              <w:overflowPunct/>
              <w:bidi w:val="0"/>
              <w:spacing w:line="240" w:lineRule="auto"/>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5</w:t>
            </w:r>
          </w:p>
        </w:tc>
        <w:tc>
          <w:tcPr>
            <w:tcW w:w="2556" w:type="dxa"/>
            <w:vAlign w:val="center"/>
          </w:tcPr>
          <w:p w14:paraId="789DC8FC">
            <w:pPr>
              <w:pageBreakBefore w:val="0"/>
              <w:kinsoku/>
              <w:wordWrap w:val="0"/>
              <w:overflowPunct/>
              <w:bidi w:val="0"/>
              <w:spacing w:line="240" w:lineRule="auto"/>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备注</w:t>
            </w:r>
          </w:p>
        </w:tc>
        <w:tc>
          <w:tcPr>
            <w:tcW w:w="6015" w:type="dxa"/>
            <w:gridSpan w:val="2"/>
            <w:vAlign w:val="center"/>
          </w:tcPr>
          <w:p w14:paraId="5AB9C917">
            <w:pPr>
              <w:pageBreakBefore w:val="0"/>
              <w:kinsoku/>
              <w:wordWrap w:val="0"/>
              <w:overflowPunct/>
              <w:bidi w:val="0"/>
              <w:spacing w:line="240" w:lineRule="auto"/>
              <w:jc w:val="center"/>
              <w:rPr>
                <w:rFonts w:hint="eastAsia" w:ascii="宋体" w:hAnsi="宋体" w:eastAsia="宋体" w:cs="宋体"/>
                <w:color w:val="auto"/>
                <w:sz w:val="21"/>
                <w:szCs w:val="21"/>
                <w:highlight w:val="none"/>
              </w:rPr>
            </w:pPr>
          </w:p>
        </w:tc>
      </w:tr>
    </w:tbl>
    <w:p w14:paraId="67BD5B8E">
      <w:pPr>
        <w:pStyle w:val="22"/>
        <w:pageBreakBefore w:val="0"/>
        <w:kinsoku/>
        <w:wordWrap w:val="0"/>
        <w:overflowPunct/>
        <w:bidi w:val="0"/>
        <w:spacing w:line="360" w:lineRule="auto"/>
        <w:rPr>
          <w:rFonts w:hint="eastAsia" w:ascii="宋体" w:hAnsi="宋体" w:eastAsia="宋体" w:cs="宋体"/>
          <w:color w:val="auto"/>
          <w:sz w:val="21"/>
          <w:szCs w:val="21"/>
          <w:highlight w:val="none"/>
        </w:rPr>
      </w:pPr>
    </w:p>
    <w:p w14:paraId="6038F868">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全称（</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5E2A2E1B">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其</w:t>
      </w:r>
      <w:r>
        <w:rPr>
          <w:rFonts w:hint="eastAsia" w:ascii="宋体" w:hAnsi="宋体" w:eastAsia="宋体" w:cs="宋体"/>
          <w:color w:val="auto"/>
          <w:sz w:val="21"/>
          <w:szCs w:val="21"/>
          <w:highlight w:val="none"/>
        </w:rPr>
        <w:t>委托代理人（</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6B74B91D">
      <w:pPr>
        <w:keepNext w:val="0"/>
        <w:keepLines w:val="0"/>
        <w:pageBreakBefore w:val="0"/>
        <w:widowControl w:val="0"/>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14:paraId="176EEC88">
      <w:pPr>
        <w:pageBreakBefore w:val="0"/>
        <w:tabs>
          <w:tab w:val="left" w:pos="900"/>
        </w:tabs>
        <w:kinsoku/>
        <w:wordWrap w:val="0"/>
        <w:overflowPunct/>
        <w:bidi w:val="0"/>
        <w:ind w:left="674" w:right="-328" w:rightChars="-156" w:hanging="590" w:hangingChars="281"/>
        <w:rPr>
          <w:rFonts w:hint="eastAsia" w:ascii="宋体" w:hAnsi="宋体" w:eastAsia="宋体" w:cs="宋体"/>
          <w:color w:val="auto"/>
          <w:sz w:val="21"/>
          <w:szCs w:val="21"/>
          <w:highlight w:val="none"/>
        </w:rPr>
      </w:pPr>
    </w:p>
    <w:p w14:paraId="1A5F0CB2">
      <w:pPr>
        <w:pageBreakBefore w:val="0"/>
        <w:kinsoku/>
        <w:wordWrap w:val="0"/>
        <w:overflowPunct/>
        <w:bidi w:val="0"/>
        <w:ind w:right="-328" w:rightChars="-156"/>
        <w:rPr>
          <w:rFonts w:hint="eastAsia" w:ascii="宋体" w:hAnsi="宋体" w:eastAsia="宋体" w:cs="宋体"/>
          <w:color w:val="auto"/>
          <w:sz w:val="21"/>
          <w:szCs w:val="21"/>
          <w:highlight w:val="none"/>
        </w:rPr>
      </w:pPr>
    </w:p>
    <w:p w14:paraId="28C283CF">
      <w:pPr>
        <w:pageBreakBefore w:val="0"/>
        <w:kinsoku/>
        <w:wordWrap w:val="0"/>
        <w:overflowPunct/>
        <w:bidi w:val="0"/>
        <w:ind w:right="-328" w:rightChars="-156"/>
        <w:rPr>
          <w:rFonts w:hint="eastAsia" w:ascii="宋体" w:hAnsi="宋体" w:eastAsia="宋体" w:cs="宋体"/>
          <w:color w:val="auto"/>
          <w:sz w:val="21"/>
          <w:szCs w:val="21"/>
          <w:highlight w:val="none"/>
        </w:rPr>
      </w:pPr>
    </w:p>
    <w:p w14:paraId="5DD3A547">
      <w:pPr>
        <w:pageBreakBefore w:val="0"/>
        <w:kinsoku/>
        <w:wordWrap w:val="0"/>
        <w:overflowPunct/>
        <w:bidi w:val="0"/>
        <w:ind w:right="-328" w:rightChars="-156"/>
        <w:rPr>
          <w:rFonts w:hint="eastAsia" w:ascii="宋体" w:hAnsi="宋体" w:eastAsia="宋体" w:cs="宋体"/>
          <w:color w:val="auto"/>
          <w:sz w:val="21"/>
          <w:szCs w:val="21"/>
          <w:highlight w:val="none"/>
        </w:rPr>
      </w:pPr>
    </w:p>
    <w:p w14:paraId="5D645368">
      <w:pPr>
        <w:pageBreakBefore w:val="0"/>
        <w:kinsoku/>
        <w:wordWrap w:val="0"/>
        <w:overflowPunct/>
        <w:bidi w:val="0"/>
        <w:ind w:right="-328" w:rightChars="-156"/>
        <w:rPr>
          <w:rFonts w:hint="eastAsia" w:ascii="宋体" w:hAnsi="宋体" w:eastAsia="宋体" w:cs="宋体"/>
          <w:color w:val="auto"/>
          <w:sz w:val="24"/>
          <w:highlight w:val="none"/>
        </w:rPr>
      </w:pPr>
    </w:p>
    <w:p w14:paraId="0F0418DB">
      <w:pPr>
        <w:pageBreakBefore w:val="0"/>
        <w:kinsoku/>
        <w:wordWrap w:val="0"/>
        <w:overflowPunct/>
        <w:bidi w:val="0"/>
        <w:ind w:right="-328" w:rightChars="-156"/>
        <w:rPr>
          <w:rFonts w:hint="eastAsia" w:ascii="宋体" w:hAnsi="宋体" w:eastAsia="宋体" w:cs="宋体"/>
          <w:color w:val="auto"/>
          <w:sz w:val="24"/>
          <w:highlight w:val="none"/>
        </w:rPr>
      </w:pPr>
    </w:p>
    <w:p w14:paraId="55449944">
      <w:pPr>
        <w:pageBreakBefore w:val="0"/>
        <w:kinsoku/>
        <w:wordWrap w:val="0"/>
        <w:overflowPunct/>
        <w:bidi w:val="0"/>
        <w:ind w:right="-328" w:rightChars="-156"/>
        <w:rPr>
          <w:rFonts w:hint="eastAsia" w:ascii="宋体" w:hAnsi="宋体" w:eastAsia="宋体" w:cs="宋体"/>
          <w:color w:val="auto"/>
          <w:sz w:val="24"/>
          <w:highlight w:val="none"/>
        </w:rPr>
      </w:pPr>
    </w:p>
    <w:p w14:paraId="37410265">
      <w:pPr>
        <w:pageBreakBefore w:val="0"/>
        <w:kinsoku/>
        <w:wordWrap w:val="0"/>
        <w:overflowPunct/>
        <w:bidi w:val="0"/>
        <w:ind w:right="-328" w:rightChars="-156"/>
        <w:rPr>
          <w:rFonts w:hint="eastAsia" w:ascii="宋体" w:hAnsi="宋体" w:eastAsia="宋体" w:cs="宋体"/>
          <w:color w:val="auto"/>
          <w:sz w:val="24"/>
          <w:highlight w:val="none"/>
        </w:rPr>
      </w:pPr>
    </w:p>
    <w:p w14:paraId="24E7E18E">
      <w:pPr>
        <w:pageBreakBefore w:val="0"/>
        <w:kinsoku/>
        <w:wordWrap w:val="0"/>
        <w:overflowPunct/>
        <w:bidi w:val="0"/>
        <w:ind w:right="-328" w:rightChars="-156"/>
        <w:rPr>
          <w:rFonts w:hint="eastAsia" w:ascii="宋体" w:hAnsi="宋体" w:eastAsia="宋体" w:cs="宋体"/>
          <w:color w:val="auto"/>
          <w:sz w:val="24"/>
          <w:highlight w:val="none"/>
        </w:rPr>
      </w:pPr>
    </w:p>
    <w:p w14:paraId="46A60F1B">
      <w:pPr>
        <w:pageBreakBefore w:val="0"/>
        <w:kinsoku/>
        <w:wordWrap w:val="0"/>
        <w:overflowPunct/>
        <w:bidi w:val="0"/>
        <w:ind w:right="-328" w:rightChars="-156"/>
        <w:rPr>
          <w:rFonts w:hint="eastAsia" w:ascii="宋体" w:hAnsi="宋体" w:eastAsia="宋体" w:cs="宋体"/>
          <w:color w:val="auto"/>
          <w:sz w:val="24"/>
          <w:highlight w:val="none"/>
        </w:rPr>
      </w:pPr>
    </w:p>
    <w:p w14:paraId="392A7E63">
      <w:pPr>
        <w:pageBreakBefore w:val="0"/>
        <w:kinsoku/>
        <w:wordWrap w:val="0"/>
        <w:overflowPunct/>
        <w:bidi w:val="0"/>
        <w:ind w:right="-328" w:rightChars="-156"/>
        <w:rPr>
          <w:rFonts w:hint="eastAsia" w:ascii="宋体" w:hAnsi="宋体" w:eastAsia="宋体" w:cs="宋体"/>
          <w:color w:val="auto"/>
          <w:sz w:val="24"/>
          <w:highlight w:val="none"/>
        </w:rPr>
      </w:pPr>
    </w:p>
    <w:p w14:paraId="37603442">
      <w:pPr>
        <w:pageBreakBefore w:val="0"/>
        <w:kinsoku/>
        <w:wordWrap w:val="0"/>
        <w:overflowPunct/>
        <w:bidi w:val="0"/>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page"/>
      </w:r>
    </w:p>
    <w:p w14:paraId="02EF1938">
      <w:pPr>
        <w:pageBreakBefore w:val="0"/>
        <w:kinsoku/>
        <w:wordWrap w:val="0"/>
        <w:overflowPunct/>
        <w:bidi w:val="0"/>
        <w:jc w:val="center"/>
        <w:outlineLvl w:val="2"/>
        <w:rPr>
          <w:rFonts w:hint="eastAsia" w:ascii="宋体" w:hAnsi="宋体" w:eastAsia="宋体" w:cs="宋体"/>
          <w:b/>
          <w:color w:val="auto"/>
          <w:sz w:val="32"/>
          <w:szCs w:val="32"/>
          <w:highlight w:val="none"/>
          <w:lang w:val="en-US" w:eastAsia="zh-CN"/>
        </w:rPr>
      </w:pPr>
      <w:bookmarkStart w:id="321" w:name="_Toc2800"/>
      <w:r>
        <w:rPr>
          <w:rFonts w:hint="eastAsia" w:ascii="宋体" w:hAnsi="宋体" w:eastAsia="宋体" w:cs="宋体"/>
          <w:b/>
          <w:color w:val="auto"/>
          <w:sz w:val="32"/>
          <w:szCs w:val="32"/>
          <w:highlight w:val="none"/>
          <w:lang w:val="en-US" w:eastAsia="zh-CN"/>
        </w:rPr>
        <w:t>三、预算书</w:t>
      </w:r>
      <w:bookmarkEnd w:id="321"/>
    </w:p>
    <w:p w14:paraId="3B3CDE4E">
      <w:pPr>
        <w:pageBreakBefore w:val="0"/>
        <w:kinsoku/>
        <w:wordWrap w:val="0"/>
        <w:overflowPunct/>
        <w:bidi w:val="0"/>
        <w:jc w:val="center"/>
        <w:rPr>
          <w:rFonts w:hint="eastAsia" w:ascii="宋体" w:hAnsi="宋体" w:eastAsia="宋体" w:cs="宋体"/>
          <w:b/>
          <w:bCs/>
          <w:color w:val="auto"/>
          <w:sz w:val="30"/>
          <w:szCs w:val="30"/>
          <w:highlight w:val="none"/>
          <w:lang w:val="en-US" w:eastAsia="zh-CN"/>
        </w:rPr>
      </w:pPr>
    </w:p>
    <w:p w14:paraId="0C63D96D">
      <w:pPr>
        <w:pageBreakBefore w:val="0"/>
        <w:kinsoku/>
        <w:wordWrap w:val="0"/>
        <w:overflowPunct/>
        <w:bidi w:val="0"/>
        <w:spacing w:line="360" w:lineRule="auto"/>
        <w:jc w:val="center"/>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（由供应商按照第三章所提供的工程量清单的格式自行编制，格式自拟）</w:t>
      </w:r>
    </w:p>
    <w:p w14:paraId="07DD2DEA">
      <w:pPr>
        <w:pageBreakBefore w:val="0"/>
        <w:kinsoku/>
        <w:wordWrap w:val="0"/>
        <w:overflowPunct/>
        <w:bidi w:val="0"/>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r>
    </w:p>
    <w:p w14:paraId="5D6A9742">
      <w:pPr>
        <w:pageBreakBefore w:val="0"/>
        <w:kinsoku/>
        <w:wordWrap w:val="0"/>
        <w:overflowPunct/>
        <w:bidi w:val="0"/>
        <w:spacing w:line="480" w:lineRule="auto"/>
        <w:jc w:val="both"/>
        <w:outlineLvl w:val="1"/>
        <w:rPr>
          <w:rFonts w:hint="eastAsia" w:ascii="宋体" w:hAnsi="宋体" w:eastAsia="宋体" w:cs="宋体"/>
          <w:color w:val="auto"/>
          <w:highlight w:val="none"/>
          <w:lang w:val="en-US" w:eastAsia="zh-CN"/>
        </w:rPr>
      </w:pPr>
      <w:bookmarkStart w:id="322" w:name="_Toc29925"/>
      <w:r>
        <w:rPr>
          <w:rFonts w:hint="eastAsia" w:ascii="宋体" w:hAnsi="宋体" w:eastAsia="宋体" w:cs="宋体"/>
          <w:b/>
          <w:bCs/>
          <w:color w:val="auto"/>
          <w:sz w:val="32"/>
          <w:szCs w:val="32"/>
          <w:highlight w:val="none"/>
          <w:lang w:val="en-US" w:eastAsia="zh-CN"/>
        </w:rPr>
        <w:t xml:space="preserve">第三部分  </w:t>
      </w:r>
      <w:bookmarkEnd w:id="322"/>
      <w:r>
        <w:rPr>
          <w:rFonts w:hint="eastAsia" w:ascii="宋体" w:hAnsi="宋体" w:cs="宋体"/>
          <w:b/>
          <w:bCs/>
          <w:color w:val="auto"/>
          <w:sz w:val="32"/>
          <w:szCs w:val="32"/>
          <w:highlight w:val="none"/>
          <w:lang w:val="en-US" w:eastAsia="zh-CN"/>
        </w:rPr>
        <w:t>商务技术文件部分</w:t>
      </w:r>
    </w:p>
    <w:p w14:paraId="154EC455">
      <w:pPr>
        <w:pageBreakBefore w:val="0"/>
        <w:kinsoku/>
        <w:wordWrap w:val="0"/>
        <w:overflowPunct/>
        <w:bidi w:val="0"/>
        <w:spacing w:line="360" w:lineRule="auto"/>
        <w:jc w:val="center"/>
        <w:outlineLvl w:val="2"/>
        <w:rPr>
          <w:rFonts w:hint="eastAsia" w:ascii="宋体" w:hAnsi="宋体" w:eastAsia="宋体" w:cs="宋体"/>
          <w:b/>
          <w:bCs/>
          <w:color w:val="auto"/>
          <w:sz w:val="28"/>
          <w:szCs w:val="28"/>
          <w:highlight w:val="none"/>
          <w:lang w:eastAsia="zh-CN"/>
        </w:rPr>
      </w:pPr>
      <w:bookmarkStart w:id="323" w:name="_Toc30904"/>
      <w:r>
        <w:rPr>
          <w:rFonts w:hint="eastAsia" w:ascii="宋体" w:hAnsi="宋体" w:cs="宋体"/>
          <w:b/>
          <w:bCs/>
          <w:color w:val="auto"/>
          <w:sz w:val="28"/>
          <w:szCs w:val="28"/>
          <w:highlight w:val="none"/>
          <w:lang w:eastAsia="zh-CN"/>
        </w:rPr>
        <w:t>一</w:t>
      </w:r>
      <w:r>
        <w:rPr>
          <w:rFonts w:hint="eastAsia" w:ascii="宋体" w:hAnsi="宋体" w:eastAsia="宋体" w:cs="宋体"/>
          <w:b/>
          <w:bCs/>
          <w:color w:val="auto"/>
          <w:sz w:val="28"/>
          <w:szCs w:val="28"/>
          <w:highlight w:val="none"/>
          <w:lang w:eastAsia="zh-CN"/>
        </w:rPr>
        <w:t>、法定代表人身份证明书</w:t>
      </w:r>
      <w:bookmarkEnd w:id="323"/>
    </w:p>
    <w:p w14:paraId="04000C36">
      <w:pPr>
        <w:pageBreakBefore w:val="0"/>
        <w:kinsoku/>
        <w:wordWrap w:val="0"/>
        <w:overflowPunct/>
        <w:bidi w:val="0"/>
        <w:spacing w:line="360" w:lineRule="auto"/>
        <w:rPr>
          <w:rFonts w:hint="eastAsia" w:ascii="宋体" w:hAnsi="宋体" w:eastAsia="宋体" w:cs="宋体"/>
          <w:color w:val="auto"/>
          <w:sz w:val="24"/>
          <w:szCs w:val="24"/>
          <w:highlight w:val="none"/>
        </w:rPr>
      </w:pPr>
    </w:p>
    <w:p w14:paraId="3BF464B2">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p>
    <w:p w14:paraId="5DCCABF1">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p>
    <w:p w14:paraId="2E1A47AF">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7D7C00F5">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AC7CF12">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p>
    <w:p w14:paraId="6FA12486">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p>
    <w:p w14:paraId="617C2D48">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的法定代表人。</w:t>
      </w:r>
    </w:p>
    <w:p w14:paraId="476F86BE">
      <w:pPr>
        <w:pageBreakBefore w:val="0"/>
        <w:kinsoku/>
        <w:wordWrap w:val="0"/>
        <w:overflowPunct/>
        <w:bidi w:val="0"/>
        <w:spacing w:line="360" w:lineRule="auto"/>
        <w:rPr>
          <w:rFonts w:hint="eastAsia" w:ascii="宋体" w:hAnsi="宋体" w:eastAsia="宋体" w:cs="宋体"/>
          <w:color w:val="auto"/>
          <w:sz w:val="21"/>
          <w:szCs w:val="21"/>
          <w:highlight w:val="none"/>
        </w:rPr>
      </w:pPr>
    </w:p>
    <w:p w14:paraId="0BC538EF">
      <w:pPr>
        <w:pageBreakBefore w:val="0"/>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特此证明。</w:t>
      </w:r>
    </w:p>
    <w:p w14:paraId="77BBDD8A">
      <w:pPr>
        <w:pageBreakBefore w:val="0"/>
        <w:tabs>
          <w:tab w:val="left" w:pos="720"/>
          <w:tab w:val="left" w:pos="900"/>
        </w:tabs>
        <w:kinsoku/>
        <w:wordWrap w:val="0"/>
        <w:overflowPunct/>
        <w:bidi w:val="0"/>
        <w:spacing w:line="360" w:lineRule="auto"/>
        <w:ind w:firstLine="420" w:firstLineChars="200"/>
        <w:rPr>
          <w:rFonts w:hint="eastAsia" w:ascii="宋体" w:hAnsi="宋体" w:eastAsia="宋体" w:cs="宋体"/>
          <w:color w:val="auto"/>
          <w:sz w:val="21"/>
          <w:szCs w:val="21"/>
          <w:highlight w:val="none"/>
        </w:rPr>
      </w:pPr>
    </w:p>
    <w:p w14:paraId="26DDE84C">
      <w:pPr>
        <w:pageBreakBefore w:val="0"/>
        <w:tabs>
          <w:tab w:val="left" w:pos="720"/>
          <w:tab w:val="left" w:pos="900"/>
        </w:tabs>
        <w:kinsoku/>
        <w:wordWrap w:val="0"/>
        <w:overflowPunct/>
        <w:bidi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附法定代表人身份证</w:t>
      </w:r>
      <w:r>
        <w:rPr>
          <w:rFonts w:hint="eastAsia" w:ascii="宋体" w:hAnsi="宋体" w:eastAsia="宋体" w:cs="宋体"/>
          <w:color w:val="auto"/>
          <w:sz w:val="21"/>
          <w:szCs w:val="21"/>
          <w:highlight w:val="none"/>
          <w:lang w:eastAsia="zh-CN"/>
        </w:rPr>
        <w:t>复印件</w:t>
      </w:r>
    </w:p>
    <w:p w14:paraId="458C615F">
      <w:pPr>
        <w:pageBreakBefore w:val="0"/>
        <w:tabs>
          <w:tab w:val="left" w:pos="720"/>
          <w:tab w:val="left" w:pos="900"/>
        </w:tabs>
        <w:kinsoku/>
        <w:wordWrap w:val="0"/>
        <w:overflowPunct/>
        <w:bidi w:val="0"/>
        <w:spacing w:line="360" w:lineRule="auto"/>
        <w:rPr>
          <w:rFonts w:hint="eastAsia" w:ascii="宋体" w:hAnsi="宋体" w:eastAsia="宋体" w:cs="宋体"/>
          <w:color w:val="auto"/>
          <w:sz w:val="21"/>
          <w:szCs w:val="21"/>
          <w:highlight w:val="none"/>
        </w:rPr>
      </w:pPr>
    </w:p>
    <w:p w14:paraId="6D0CB63F">
      <w:pPr>
        <w:pageBreakBefore w:val="0"/>
        <w:tabs>
          <w:tab w:val="left" w:pos="720"/>
          <w:tab w:val="left" w:pos="900"/>
        </w:tabs>
        <w:kinsoku/>
        <w:wordWrap w:val="0"/>
        <w:overflowPunct/>
        <w:bidi w:val="0"/>
        <w:spacing w:line="360" w:lineRule="auto"/>
        <w:rPr>
          <w:rFonts w:hint="eastAsia" w:ascii="宋体" w:hAnsi="宋体" w:eastAsia="宋体" w:cs="宋体"/>
          <w:color w:val="auto"/>
          <w:sz w:val="21"/>
          <w:szCs w:val="21"/>
          <w:highlight w:val="none"/>
        </w:rPr>
      </w:pPr>
    </w:p>
    <w:p w14:paraId="21DF4BAC">
      <w:pPr>
        <w:pageBreakBefore w:val="0"/>
        <w:tabs>
          <w:tab w:val="left" w:pos="720"/>
          <w:tab w:val="left" w:pos="900"/>
        </w:tabs>
        <w:kinsoku/>
        <w:wordWrap w:val="0"/>
        <w:overflowPunct/>
        <w:bidi w:val="0"/>
        <w:spacing w:line="360" w:lineRule="auto"/>
        <w:rPr>
          <w:rFonts w:hint="eastAsia" w:ascii="宋体" w:hAnsi="宋体" w:eastAsia="宋体" w:cs="宋体"/>
          <w:color w:val="auto"/>
          <w:sz w:val="21"/>
          <w:szCs w:val="21"/>
          <w:highlight w:val="none"/>
        </w:rPr>
      </w:pPr>
    </w:p>
    <w:p w14:paraId="539A9349">
      <w:pPr>
        <w:pageBreakBefore w:val="0"/>
        <w:tabs>
          <w:tab w:val="left" w:pos="720"/>
          <w:tab w:val="left" w:pos="900"/>
        </w:tabs>
        <w:kinsoku/>
        <w:wordWrap w:val="0"/>
        <w:overflowPunct/>
        <w:bidi w:val="0"/>
        <w:spacing w:line="360" w:lineRule="auto"/>
        <w:ind w:firstLine="2730" w:firstLineChars="130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u w:val="none"/>
          <w:lang w:eastAsia="zh-CN"/>
        </w:rPr>
        <w:t>全称</w:t>
      </w:r>
      <w:r>
        <w:rPr>
          <w:rFonts w:hint="eastAsia" w:ascii="宋体" w:hAnsi="宋体" w:eastAsia="宋体" w:cs="宋体"/>
          <w:color w:val="auto"/>
          <w:sz w:val="21"/>
          <w:szCs w:val="21"/>
          <w:highlight w:val="none"/>
          <w:u w:val="none"/>
        </w:rPr>
        <w:t>（</w:t>
      </w:r>
      <w:r>
        <w:rPr>
          <w:rFonts w:hint="eastAsia" w:ascii="宋体" w:hAnsi="宋体" w:cs="宋体"/>
          <w:color w:val="auto"/>
          <w:sz w:val="21"/>
          <w:szCs w:val="21"/>
          <w:highlight w:val="none"/>
          <w:lang w:eastAsia="zh-CN"/>
        </w:rPr>
        <w:t>电子签章</w:t>
      </w:r>
      <w:r>
        <w:rPr>
          <w:rFonts w:hint="eastAsia" w:ascii="宋体" w:hAnsi="宋体" w:eastAsia="宋体" w:cs="宋体"/>
          <w:color w:val="auto"/>
          <w:kern w:val="2"/>
          <w:sz w:val="21"/>
          <w:szCs w:val="21"/>
          <w:highlight w:val="none"/>
          <w:u w:val="none"/>
          <w:lang w:val="en-US" w:eastAsia="zh-CN" w:bidi="ar-SA"/>
        </w:rPr>
        <w:t>)</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3E564045">
      <w:pPr>
        <w:pageBreakBefore w:val="0"/>
        <w:tabs>
          <w:tab w:val="left" w:pos="720"/>
          <w:tab w:val="left" w:pos="900"/>
        </w:tabs>
        <w:kinsoku/>
        <w:wordWrap w:val="0"/>
        <w:overflowPunct/>
        <w:bidi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66C1994">
      <w:pPr>
        <w:pageBreakBefore w:val="0"/>
        <w:tabs>
          <w:tab w:val="left" w:pos="720"/>
          <w:tab w:val="left" w:pos="900"/>
        </w:tabs>
        <w:kinsoku/>
        <w:wordWrap w:val="0"/>
        <w:overflowPunct/>
        <w:bidi w:val="0"/>
        <w:spacing w:line="360" w:lineRule="auto"/>
        <w:rPr>
          <w:rFonts w:hint="eastAsia" w:ascii="宋体" w:hAnsi="宋体" w:eastAsia="宋体" w:cs="宋体"/>
          <w:color w:val="auto"/>
          <w:sz w:val="21"/>
          <w:szCs w:val="21"/>
          <w:highlight w:val="none"/>
        </w:rPr>
      </w:pPr>
    </w:p>
    <w:p w14:paraId="47205D09">
      <w:pPr>
        <w:pStyle w:val="4"/>
        <w:keepNext/>
        <w:keepLines/>
        <w:pageBreakBefore w:val="0"/>
        <w:widowControl w:val="0"/>
        <w:numPr>
          <w:ilvl w:val="1"/>
          <w:numId w:val="0"/>
        </w:numPr>
        <w:kinsoku/>
        <w:wordWrap w:val="0"/>
        <w:overflowPunct/>
        <w:topLinePunct w:val="0"/>
        <w:autoSpaceDE/>
        <w:autoSpaceDN/>
        <w:bidi w:val="0"/>
        <w:adjustRightInd/>
        <w:snapToGrid/>
        <w:spacing w:before="140" w:after="20" w:line="360" w:lineRule="auto"/>
        <w:jc w:val="center"/>
        <w:textAlignment w:val="auto"/>
        <w:outlineLvl w:val="2"/>
        <w:rPr>
          <w:rFonts w:hint="eastAsia" w:ascii="宋体" w:hAnsi="宋体" w:eastAsia="宋体" w:cs="宋体"/>
          <w:b w:val="0"/>
          <w:caps/>
          <w:color w:val="auto"/>
          <w:highlight w:val="none"/>
        </w:rPr>
      </w:pPr>
      <w:r>
        <w:rPr>
          <w:rFonts w:hint="eastAsia" w:ascii="宋体" w:hAnsi="宋体" w:eastAsia="宋体" w:cs="宋体"/>
          <w:b w:val="0"/>
          <w:color w:val="auto"/>
          <w:sz w:val="21"/>
          <w:szCs w:val="21"/>
          <w:highlight w:val="none"/>
        </w:rPr>
        <w:br w:type="page"/>
      </w:r>
      <w:bookmarkStart w:id="324" w:name="_Toc11349"/>
      <w:r>
        <w:rPr>
          <w:rFonts w:hint="eastAsia" w:ascii="宋体" w:hAnsi="宋体" w:eastAsia="宋体" w:cs="宋体"/>
          <w:b/>
          <w:bCs/>
          <w:color w:val="auto"/>
          <w:kern w:val="2"/>
          <w:sz w:val="28"/>
          <w:szCs w:val="28"/>
          <w:highlight w:val="none"/>
          <w:lang w:val="en-US" w:eastAsia="zh-CN" w:bidi="ar-SA"/>
        </w:rPr>
        <w:t>二、法定代表人授权书</w:t>
      </w:r>
      <w:bookmarkEnd w:id="324"/>
    </w:p>
    <w:p w14:paraId="26A53BB1">
      <w:pPr>
        <w:pageBreakBefore w:val="0"/>
        <w:kinsoku/>
        <w:wordWrap w:val="0"/>
        <w:overflowPunct/>
        <w:bidi w:val="0"/>
        <w:spacing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供应商</w:t>
      </w:r>
      <w:r>
        <w:rPr>
          <w:rFonts w:hint="eastAsia" w:ascii="宋体" w:hAnsi="宋体" w:eastAsia="宋体" w:cs="宋体"/>
          <w:color w:val="auto"/>
          <w:sz w:val="21"/>
          <w:szCs w:val="21"/>
          <w:highlight w:val="none"/>
          <w:u w:val="single"/>
        </w:rPr>
        <w:t>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的法定代表人，现委托</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（姓名）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为我方代理人。代理人根据授权，以我方名义签署、澄清、说明、补正、递交、撤回、修改</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（项目名称）   </w:t>
      </w:r>
      <w:r>
        <w:rPr>
          <w:rFonts w:hint="eastAsia" w:ascii="宋体" w:hAnsi="宋体" w:eastAsia="宋体" w:cs="宋体"/>
          <w:color w:val="auto"/>
          <w:sz w:val="21"/>
          <w:szCs w:val="21"/>
          <w:highlight w:val="none"/>
          <w:lang w:eastAsia="zh-CN"/>
        </w:rPr>
        <w:t>响应文件</w:t>
      </w:r>
      <w:r>
        <w:rPr>
          <w:rFonts w:hint="eastAsia" w:ascii="宋体" w:hAnsi="宋体" w:eastAsia="宋体" w:cs="宋体"/>
          <w:color w:val="auto"/>
          <w:sz w:val="21"/>
          <w:szCs w:val="21"/>
          <w:highlight w:val="none"/>
        </w:rPr>
        <w:t>、签订合同和处理有关事宜，其法律后果由我方承担。</w:t>
      </w:r>
    </w:p>
    <w:p w14:paraId="1C3CF503">
      <w:pPr>
        <w:pageBreakBefore w:val="0"/>
        <w:kinsoku/>
        <w:wordWrap w:val="0"/>
        <w:overflowPunct/>
        <w:bidi w:val="0"/>
        <w:spacing w:beforeLines="50"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委托期限：</w:t>
      </w:r>
      <w:r>
        <w:rPr>
          <w:rFonts w:hint="eastAsia" w:ascii="宋体" w:hAnsi="宋体" w:eastAsia="宋体" w:cs="宋体"/>
          <w:color w:val="auto"/>
          <w:sz w:val="21"/>
          <w:szCs w:val="21"/>
          <w:highlight w:val="none"/>
          <w:u w:val="single"/>
          <w:lang w:val="en-US" w:eastAsia="zh-CN"/>
        </w:rPr>
        <w:t xml:space="preserve">             </w:t>
      </w:r>
    </w:p>
    <w:p w14:paraId="123D04C5">
      <w:pPr>
        <w:pageBreakBefore w:val="0"/>
        <w:kinsoku/>
        <w:wordWrap w:val="0"/>
        <w:overflowPunct/>
        <w:bidi w:val="0"/>
        <w:spacing w:beforeLines="100" w:afterLines="100" w:line="5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w:t>
      </w:r>
    </w:p>
    <w:p w14:paraId="453C12DA">
      <w:pPr>
        <w:pageBreakBefore w:val="0"/>
        <w:kinsoku/>
        <w:wordWrap w:val="0"/>
        <w:overflowPunct/>
        <w:bidi w:val="0"/>
        <w:spacing w:line="360" w:lineRule="auto"/>
        <w:ind w:left="100"/>
        <w:rPr>
          <w:rFonts w:hint="eastAsia" w:ascii="宋体" w:hAnsi="宋体" w:eastAsia="宋体" w:cs="宋体"/>
          <w:color w:val="auto"/>
          <w:sz w:val="21"/>
          <w:szCs w:val="21"/>
          <w:highlight w:val="none"/>
        </w:rPr>
      </w:pPr>
    </w:p>
    <w:p w14:paraId="7FE410FF">
      <w:pPr>
        <w:pageBreakBefore w:val="0"/>
        <w:kinsoku/>
        <w:wordWrap w:val="0"/>
        <w:overflowPunct/>
        <w:bidi w:val="0"/>
        <w:spacing w:line="360" w:lineRule="auto"/>
        <w:ind w:left="1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附：身份证</w:t>
      </w:r>
      <w:r>
        <w:rPr>
          <w:rFonts w:hint="eastAsia" w:ascii="宋体" w:hAnsi="宋体" w:eastAsia="宋体" w:cs="宋体"/>
          <w:color w:val="auto"/>
          <w:sz w:val="21"/>
          <w:szCs w:val="21"/>
          <w:highlight w:val="none"/>
          <w:lang w:eastAsia="zh-CN"/>
        </w:rPr>
        <w:t>复印件</w:t>
      </w:r>
    </w:p>
    <w:p w14:paraId="048149F0">
      <w:pPr>
        <w:pageBreakBefore w:val="0"/>
        <w:kinsoku/>
        <w:wordWrap w:val="0"/>
        <w:overflowPunct/>
        <w:bidi w:val="0"/>
        <w:spacing w:line="400" w:lineRule="exact"/>
        <w:rPr>
          <w:rFonts w:hint="eastAsia" w:ascii="宋体" w:hAnsi="宋体" w:eastAsia="宋体" w:cs="宋体"/>
          <w:color w:val="auto"/>
          <w:sz w:val="21"/>
          <w:szCs w:val="21"/>
          <w:highlight w:val="none"/>
        </w:rPr>
      </w:pPr>
    </w:p>
    <w:p w14:paraId="500CC8DC">
      <w:pPr>
        <w:pageBreakBefore w:val="0"/>
        <w:kinsoku/>
        <w:wordWrap w:val="0"/>
        <w:overflowPunct/>
        <w:bidi w:val="0"/>
        <w:spacing w:line="300" w:lineRule="exact"/>
        <w:rPr>
          <w:rFonts w:hint="eastAsia" w:ascii="宋体" w:hAnsi="宋体" w:eastAsia="宋体" w:cs="宋体"/>
          <w:color w:val="auto"/>
          <w:sz w:val="21"/>
          <w:szCs w:val="21"/>
          <w:highlight w:val="none"/>
        </w:rPr>
      </w:pPr>
    </w:p>
    <w:p w14:paraId="498B43A9">
      <w:pPr>
        <w:pageBreakBefore w:val="0"/>
        <w:kinsoku/>
        <w:wordWrap w:val="0"/>
        <w:overflowPunct/>
        <w:bidi w:val="0"/>
        <w:spacing w:line="300" w:lineRule="exact"/>
        <w:rPr>
          <w:rFonts w:hint="eastAsia" w:ascii="宋体" w:hAnsi="宋体" w:eastAsia="宋体" w:cs="宋体"/>
          <w:color w:val="auto"/>
          <w:sz w:val="21"/>
          <w:szCs w:val="21"/>
          <w:highlight w:val="none"/>
        </w:rPr>
      </w:pPr>
    </w:p>
    <w:p w14:paraId="58BE6651">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供应商全称（</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4C728F5C">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70128889">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电子签章</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val="en-US" w:eastAsia="zh-CN"/>
        </w:rPr>
        <w:t xml:space="preserve">    </w:t>
      </w:r>
    </w:p>
    <w:p w14:paraId="724D9F02">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7896000B">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p>
    <w:p w14:paraId="1310E085">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11F07A62">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w:t>
      </w:r>
      <w:r>
        <w:rPr>
          <w:rFonts w:hint="eastAsia" w:ascii="宋体" w:hAnsi="宋体" w:cs="宋体"/>
          <w:color w:val="auto"/>
          <w:sz w:val="21"/>
          <w:szCs w:val="21"/>
          <w:highlight w:val="none"/>
          <w:u w:val="single"/>
          <w:lang w:eastAsia="zh-CN"/>
        </w:rPr>
        <w:t>签字或电子签章</w:t>
      </w:r>
      <w:r>
        <w:rPr>
          <w:rFonts w:hint="eastAsia" w:ascii="宋体" w:hAnsi="宋体" w:eastAsia="宋体" w:cs="宋体"/>
          <w:color w:val="auto"/>
          <w:sz w:val="21"/>
          <w:szCs w:val="21"/>
          <w:highlight w:val="none"/>
          <w:u w:val="single"/>
          <w:lang w:eastAsia="zh-CN"/>
        </w:rPr>
        <w:t>）</w:t>
      </w:r>
      <w:r>
        <w:rPr>
          <w:rFonts w:hint="eastAsia" w:ascii="宋体" w:hAnsi="宋体" w:eastAsia="宋体" w:cs="宋体"/>
          <w:color w:val="auto"/>
          <w:sz w:val="21"/>
          <w:szCs w:val="21"/>
          <w:highlight w:val="none"/>
          <w:u w:val="single"/>
        </w:rPr>
        <w:t xml:space="preserve">       </w:t>
      </w:r>
    </w:p>
    <w:p w14:paraId="50BC4457">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3294EA8E">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r>
        <w:rPr>
          <w:rFonts w:hint="eastAsia" w:ascii="宋体" w:hAnsi="宋体" w:eastAsia="宋体" w:cs="宋体"/>
          <w:color w:val="auto"/>
          <w:sz w:val="21"/>
          <w:szCs w:val="21"/>
          <w:highlight w:val="none"/>
          <w:u w:val="single"/>
        </w:rPr>
        <w:t xml:space="preserve">                             </w:t>
      </w:r>
    </w:p>
    <w:p w14:paraId="5E888201">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057C3B23">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电子邮箱：</w:t>
      </w:r>
      <w:r>
        <w:rPr>
          <w:rFonts w:hint="eastAsia" w:ascii="宋体" w:hAnsi="宋体" w:eastAsia="宋体" w:cs="宋体"/>
          <w:color w:val="auto"/>
          <w:sz w:val="21"/>
          <w:szCs w:val="21"/>
          <w:highlight w:val="none"/>
          <w:u w:val="single"/>
        </w:rPr>
        <w:t xml:space="preserve">                               </w:t>
      </w:r>
    </w:p>
    <w:p w14:paraId="000915EC">
      <w:pPr>
        <w:pageBreakBefore w:val="0"/>
        <w:kinsoku/>
        <w:wordWrap w:val="0"/>
        <w:overflowPunct/>
        <w:bidi w:val="0"/>
        <w:spacing w:line="300" w:lineRule="exact"/>
        <w:ind w:firstLine="3570" w:firstLineChars="1700"/>
        <w:rPr>
          <w:rFonts w:hint="eastAsia" w:ascii="宋体" w:hAnsi="宋体" w:eastAsia="宋体" w:cs="宋体"/>
          <w:color w:val="auto"/>
          <w:sz w:val="21"/>
          <w:szCs w:val="21"/>
          <w:highlight w:val="none"/>
        </w:rPr>
      </w:pPr>
    </w:p>
    <w:p w14:paraId="0F3AA478">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highlight w:val="none"/>
          <w:u w:val="single"/>
        </w:rPr>
        <w:t xml:space="preserve">                              </w:t>
      </w:r>
    </w:p>
    <w:p w14:paraId="509B5EFA">
      <w:pPr>
        <w:pageBreakBefore w:val="0"/>
        <w:kinsoku/>
        <w:wordWrap w:val="0"/>
        <w:overflowPunct/>
        <w:bidi w:val="0"/>
        <w:spacing w:line="300" w:lineRule="exact"/>
        <w:rPr>
          <w:rFonts w:hint="eastAsia" w:ascii="宋体" w:hAnsi="宋体" w:eastAsia="宋体" w:cs="宋体"/>
          <w:color w:val="auto"/>
          <w:sz w:val="21"/>
          <w:szCs w:val="21"/>
          <w:highlight w:val="none"/>
        </w:rPr>
      </w:pPr>
    </w:p>
    <w:p w14:paraId="1A0D2617">
      <w:pPr>
        <w:pageBreakBefore w:val="0"/>
        <w:kinsoku/>
        <w:wordWrap w:val="0"/>
        <w:overflowPunct/>
        <w:bidi w:val="0"/>
        <w:spacing w:line="30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36D59DE3">
      <w:pPr>
        <w:pageBreakBefore w:val="0"/>
        <w:kinsoku/>
        <w:wordWrap w:val="0"/>
        <w:overflowPunct/>
        <w:bidi w:val="0"/>
        <w:spacing w:line="400" w:lineRule="exact"/>
        <w:rPr>
          <w:rFonts w:hint="eastAsia" w:ascii="宋体" w:hAnsi="宋体" w:eastAsia="宋体" w:cs="宋体"/>
          <w:color w:val="auto"/>
          <w:sz w:val="21"/>
          <w:szCs w:val="21"/>
          <w:highlight w:val="none"/>
        </w:rPr>
      </w:pPr>
    </w:p>
    <w:p w14:paraId="5F08EB56">
      <w:pPr>
        <w:pageBreakBefore w:val="0"/>
        <w:tabs>
          <w:tab w:val="left" w:pos="720"/>
          <w:tab w:val="left" w:pos="900"/>
        </w:tabs>
        <w:kinsoku/>
        <w:wordWrap w:val="0"/>
        <w:overflowPunct/>
        <w:bidi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14:paraId="1F638125">
      <w:pPr>
        <w:pStyle w:val="4"/>
        <w:keepNext/>
        <w:keepLines/>
        <w:pageBreakBefore w:val="0"/>
        <w:widowControl w:val="0"/>
        <w:numPr>
          <w:ilvl w:val="1"/>
          <w:numId w:val="0"/>
        </w:numPr>
        <w:kinsoku/>
        <w:wordWrap w:val="0"/>
        <w:overflowPunct/>
        <w:topLinePunct w:val="0"/>
        <w:autoSpaceDE/>
        <w:autoSpaceDN/>
        <w:bidi w:val="0"/>
        <w:adjustRightInd/>
        <w:snapToGrid/>
        <w:spacing w:before="140" w:after="20" w:line="360" w:lineRule="auto"/>
        <w:jc w:val="center"/>
        <w:textAlignment w:val="auto"/>
        <w:outlineLvl w:val="2"/>
        <w:rPr>
          <w:rFonts w:hint="eastAsia" w:ascii="宋体" w:hAnsi="宋体" w:eastAsia="宋体" w:cs="宋体"/>
          <w:b/>
          <w:bCs/>
          <w:color w:val="auto"/>
          <w:kern w:val="2"/>
          <w:sz w:val="28"/>
          <w:szCs w:val="28"/>
          <w:highlight w:val="none"/>
          <w:lang w:val="en-US" w:eastAsia="zh-CN" w:bidi="ar-SA"/>
        </w:rPr>
      </w:pPr>
      <w:bookmarkStart w:id="325" w:name="_Toc1965"/>
      <w:r>
        <w:rPr>
          <w:rFonts w:hint="eastAsia" w:ascii="宋体" w:hAnsi="宋体" w:eastAsia="宋体" w:cs="宋体"/>
          <w:b/>
          <w:bCs/>
          <w:color w:val="auto"/>
          <w:kern w:val="2"/>
          <w:sz w:val="28"/>
          <w:szCs w:val="28"/>
          <w:highlight w:val="none"/>
          <w:lang w:val="en-US" w:eastAsia="zh-CN" w:bidi="ar-SA"/>
        </w:rPr>
        <w:t>三、磋商函</w:t>
      </w:r>
      <w:bookmarkEnd w:id="325"/>
    </w:p>
    <w:p w14:paraId="7B4CD5E3">
      <w:pPr>
        <w:pStyle w:val="21"/>
        <w:pageBreakBefore w:val="0"/>
        <w:kinsoku/>
        <w:wordWrap w:val="0"/>
        <w:overflowPunct/>
        <w:bidi w:val="0"/>
        <w:snapToGrid w:val="0"/>
        <w:spacing w:line="360" w:lineRule="auto"/>
        <w:rPr>
          <w:rFonts w:hint="eastAsia" w:ascii="宋体" w:hAnsi="宋体" w:eastAsia="宋体" w:cs="宋体"/>
          <w:caps/>
          <w:color w:val="auto"/>
          <w:sz w:val="21"/>
          <w:szCs w:val="21"/>
          <w:highlight w:val="none"/>
          <w:u w:val="single"/>
        </w:rPr>
      </w:pPr>
      <w:r>
        <w:rPr>
          <w:rFonts w:hint="eastAsia" w:ascii="宋体" w:hAnsi="宋体" w:eastAsia="宋体" w:cs="宋体"/>
          <w:caps/>
          <w:color w:val="auto"/>
          <w:sz w:val="21"/>
          <w:szCs w:val="21"/>
          <w:highlight w:val="none"/>
        </w:rPr>
        <w:t>致：</w:t>
      </w:r>
      <w:r>
        <w:rPr>
          <w:rFonts w:hint="eastAsia" w:ascii="宋体" w:hAnsi="宋体" w:eastAsia="宋体" w:cs="宋体"/>
          <w:caps/>
          <w:color w:val="auto"/>
          <w:sz w:val="21"/>
          <w:szCs w:val="21"/>
          <w:highlight w:val="none"/>
          <w:u w:val="single"/>
          <w:lang w:val="en-US" w:eastAsia="zh-CN"/>
        </w:rPr>
        <w:t xml:space="preserve">               （</w:t>
      </w:r>
      <w:r>
        <w:rPr>
          <w:rFonts w:hint="eastAsia" w:ascii="宋体" w:hAnsi="宋体" w:eastAsia="宋体" w:cs="宋体"/>
          <w:caps/>
          <w:color w:val="auto"/>
          <w:sz w:val="21"/>
          <w:szCs w:val="21"/>
          <w:highlight w:val="none"/>
          <w:u w:val="single"/>
          <w:lang w:eastAsia="zh-CN"/>
        </w:rPr>
        <w:t>采购人</w:t>
      </w:r>
      <w:r>
        <w:rPr>
          <w:rFonts w:hint="eastAsia" w:ascii="宋体" w:hAnsi="宋体" w:eastAsia="宋体" w:cs="宋体"/>
          <w:caps/>
          <w:color w:val="auto"/>
          <w:sz w:val="21"/>
          <w:szCs w:val="21"/>
          <w:highlight w:val="none"/>
          <w:u w:val="single"/>
          <w:lang w:val="en-US" w:eastAsia="zh-CN"/>
        </w:rPr>
        <w:t>）</w:t>
      </w:r>
      <w:r>
        <w:rPr>
          <w:rFonts w:hint="eastAsia" w:ascii="宋体" w:hAnsi="宋体" w:eastAsia="宋体" w:cs="宋体"/>
          <w:caps/>
          <w:color w:val="auto"/>
          <w:sz w:val="21"/>
          <w:szCs w:val="21"/>
          <w:highlight w:val="none"/>
          <w:u w:val="single"/>
        </w:rPr>
        <w:t xml:space="preserve"> </w:t>
      </w:r>
    </w:p>
    <w:p w14:paraId="17D3A3E7">
      <w:pPr>
        <w:pStyle w:val="21"/>
        <w:pageBreakBefore w:val="0"/>
        <w:kinsoku/>
        <w:wordWrap w:val="0"/>
        <w:overflowPunct/>
        <w:bidi w:val="0"/>
        <w:snapToGrid w:val="0"/>
        <w:spacing w:line="360" w:lineRule="auto"/>
        <w:ind w:firstLine="482"/>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根据贵方</w:t>
      </w:r>
      <w:r>
        <w:rPr>
          <w:rFonts w:hint="eastAsia" w:ascii="宋体" w:hAnsi="宋体" w:eastAsia="宋体" w:cs="宋体"/>
          <w:caps/>
          <w:color w:val="auto"/>
          <w:sz w:val="21"/>
          <w:szCs w:val="21"/>
          <w:highlight w:val="none"/>
          <w:u w:val="single"/>
        </w:rPr>
        <w:t xml:space="preserve">（项目名称）   </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lang w:eastAsia="zh-CN"/>
        </w:rPr>
        <w:t>项目编号</w:t>
      </w:r>
      <w:r>
        <w:rPr>
          <w:rFonts w:hint="eastAsia" w:ascii="宋体" w:hAnsi="宋体" w:eastAsia="宋体" w:cs="宋体"/>
          <w:caps/>
          <w:color w:val="auto"/>
          <w:sz w:val="21"/>
          <w:szCs w:val="21"/>
          <w:highlight w:val="none"/>
        </w:rPr>
        <w:t>：</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），正式授权</w:t>
      </w:r>
      <w:r>
        <w:rPr>
          <w:rFonts w:hint="eastAsia" w:ascii="宋体" w:hAnsi="宋体" w:eastAsia="宋体" w:cs="宋体"/>
          <w:caps/>
          <w:color w:val="auto"/>
          <w:sz w:val="21"/>
          <w:szCs w:val="21"/>
          <w:highlight w:val="none"/>
          <w:u w:val="single"/>
        </w:rPr>
        <w:t xml:space="preserve">   （姓名和职务）     </w:t>
      </w:r>
      <w:r>
        <w:rPr>
          <w:rFonts w:hint="eastAsia" w:ascii="宋体" w:hAnsi="宋体" w:eastAsia="宋体" w:cs="宋体"/>
          <w:caps/>
          <w:color w:val="auto"/>
          <w:sz w:val="21"/>
          <w:szCs w:val="21"/>
          <w:highlight w:val="none"/>
        </w:rPr>
        <w:t>全权代表</w:t>
      </w:r>
      <w:r>
        <w:rPr>
          <w:rFonts w:hint="eastAsia" w:ascii="宋体" w:hAnsi="宋体" w:eastAsia="宋体" w:cs="宋体"/>
          <w:caps/>
          <w:color w:val="auto"/>
          <w:sz w:val="21"/>
          <w:szCs w:val="21"/>
          <w:highlight w:val="none"/>
          <w:lang w:eastAsia="zh-CN"/>
        </w:rPr>
        <w:t>供应商</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u w:val="single"/>
          <w:lang w:eastAsia="zh-CN"/>
        </w:rPr>
        <w:t>供应商</w:t>
      </w:r>
      <w:r>
        <w:rPr>
          <w:rFonts w:hint="eastAsia" w:ascii="宋体" w:hAnsi="宋体" w:eastAsia="宋体" w:cs="宋体"/>
          <w:caps/>
          <w:color w:val="auto"/>
          <w:sz w:val="21"/>
          <w:szCs w:val="21"/>
          <w:highlight w:val="none"/>
          <w:u w:val="single"/>
        </w:rPr>
        <w:t xml:space="preserve">全称）   </w:t>
      </w:r>
      <w:r>
        <w:rPr>
          <w:rFonts w:hint="eastAsia" w:ascii="宋体" w:hAnsi="宋体" w:eastAsia="宋体" w:cs="宋体"/>
          <w:caps/>
          <w:color w:val="auto"/>
          <w:sz w:val="21"/>
          <w:szCs w:val="21"/>
          <w:highlight w:val="none"/>
        </w:rPr>
        <w:t>参加贵方组织的有关采购活动，并提交下述文件。</w:t>
      </w:r>
    </w:p>
    <w:p w14:paraId="4951A0D9">
      <w:pPr>
        <w:pStyle w:val="21"/>
        <w:pageBreakBefore w:val="0"/>
        <w:kinsoku/>
        <w:wordWrap w:val="0"/>
        <w:overflowPunct/>
        <w:bidi w:val="0"/>
        <w:snapToGrid w:val="0"/>
        <w:spacing w:line="360" w:lineRule="auto"/>
        <w:ind w:firstLine="482"/>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据此函，我方愿意交纳</w:t>
      </w:r>
      <w:r>
        <w:rPr>
          <w:rFonts w:hint="eastAsia" w:ascii="宋体" w:hAnsi="宋体" w:eastAsia="宋体" w:cs="宋体"/>
          <w:color w:val="auto"/>
          <w:sz w:val="21"/>
          <w:szCs w:val="21"/>
          <w:highlight w:val="none"/>
          <w:lang w:eastAsia="zh-CN"/>
        </w:rPr>
        <w:t>磋商保证金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作为本次投标的保证，并承诺如下</w:t>
      </w:r>
      <w:r>
        <w:rPr>
          <w:rFonts w:hint="eastAsia" w:ascii="宋体" w:hAnsi="宋体" w:eastAsia="宋体" w:cs="宋体"/>
          <w:color w:val="auto"/>
          <w:kern w:val="0"/>
          <w:sz w:val="21"/>
          <w:szCs w:val="21"/>
          <w:highlight w:val="none"/>
        </w:rPr>
        <w:t>：</w:t>
      </w:r>
    </w:p>
    <w:p w14:paraId="162ADB77">
      <w:pPr>
        <w:pageBreakBefore w:val="0"/>
        <w:kinsoku/>
        <w:wordWrap w:val="0"/>
        <w:overflowPunct/>
        <w:bidi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1.按</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的要求，我方愿意按</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的要求提供报价，并以最优惠的价格参加本次招标项目的</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 xml:space="preserve">报价一览）。   </w:t>
      </w:r>
    </w:p>
    <w:p w14:paraId="3002E558">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2.如果我方投标被接受，则至合同履行完、质保期满为止，本</w:t>
      </w:r>
      <w:r>
        <w:rPr>
          <w:rFonts w:hint="eastAsia" w:ascii="宋体" w:hAnsi="宋体" w:eastAsia="宋体" w:cs="宋体"/>
          <w:color w:val="auto"/>
          <w:kern w:val="0"/>
          <w:sz w:val="21"/>
          <w:szCs w:val="21"/>
          <w:highlight w:val="none"/>
          <w:lang w:eastAsia="zh-CN"/>
        </w:rPr>
        <w:t>磋商</w:t>
      </w:r>
      <w:r>
        <w:rPr>
          <w:rFonts w:hint="eastAsia" w:ascii="宋体" w:hAnsi="宋体" w:eastAsia="宋体" w:cs="宋体"/>
          <w:color w:val="auto"/>
          <w:sz w:val="21"/>
          <w:szCs w:val="21"/>
          <w:highlight w:val="none"/>
        </w:rPr>
        <w:t>函保持有效。</w:t>
      </w:r>
    </w:p>
    <w:p w14:paraId="1C9F51AA">
      <w:pPr>
        <w:pStyle w:val="21"/>
        <w:pageBreakBefore w:val="0"/>
        <w:kinsoku/>
        <w:wordWrap w:val="0"/>
        <w:overflowPunct/>
        <w:bidi w:val="0"/>
        <w:snapToGrid w:val="0"/>
        <w:spacing w:line="360" w:lineRule="auto"/>
        <w:ind w:firstLine="420" w:firstLineChars="200"/>
        <w:rPr>
          <w:rFonts w:hint="eastAsia" w:ascii="宋体" w:hAnsi="宋体" w:eastAsia="宋体" w:cs="宋体"/>
          <w:caps/>
          <w:color w:val="auto"/>
          <w:sz w:val="21"/>
          <w:szCs w:val="21"/>
          <w:highlight w:val="none"/>
        </w:rPr>
      </w:pPr>
      <w:r>
        <w:rPr>
          <w:rFonts w:hint="eastAsia" w:ascii="宋体" w:hAnsi="宋体" w:eastAsia="宋体" w:cs="宋体"/>
          <w:color w:val="auto"/>
          <w:sz w:val="21"/>
          <w:szCs w:val="21"/>
          <w:highlight w:val="none"/>
        </w:rPr>
        <w:t>3.我方已经详细地阅读了</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全部内容及其附件，包括澄清及参考文件(如有)。我方已完全清晰理解</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的要求，不存在任何含糊不清和误解之处，</w:t>
      </w:r>
      <w:r>
        <w:rPr>
          <w:rFonts w:hint="eastAsia" w:ascii="宋体" w:hAnsi="宋体" w:eastAsia="宋体" w:cs="宋体"/>
          <w:caps/>
          <w:color w:val="auto"/>
          <w:sz w:val="21"/>
          <w:szCs w:val="21"/>
          <w:highlight w:val="none"/>
        </w:rPr>
        <w:t>我方接受采购文件中的相关规定和条款。不再对采购文件作出任何质疑。</w:t>
      </w:r>
    </w:p>
    <w:p w14:paraId="61ED3F1D">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aps/>
          <w:color w:val="auto"/>
          <w:sz w:val="21"/>
          <w:szCs w:val="21"/>
          <w:highlight w:val="none"/>
        </w:rPr>
        <w:t>4.如果在磋商响应文件有效期内撤回投标或者有其他违约行为，我方的</w:t>
      </w:r>
      <w:r>
        <w:rPr>
          <w:rFonts w:hint="eastAsia" w:ascii="宋体" w:hAnsi="宋体" w:eastAsia="宋体" w:cs="宋体"/>
          <w:caps/>
          <w:color w:val="auto"/>
          <w:sz w:val="21"/>
          <w:szCs w:val="21"/>
          <w:highlight w:val="none"/>
          <w:lang w:eastAsia="zh-CN"/>
        </w:rPr>
        <w:t>磋商保证金</w:t>
      </w:r>
      <w:r>
        <w:rPr>
          <w:rFonts w:hint="eastAsia" w:ascii="宋体" w:hAnsi="宋体" w:eastAsia="宋体" w:cs="宋体"/>
          <w:caps/>
          <w:color w:val="auto"/>
          <w:sz w:val="21"/>
          <w:szCs w:val="21"/>
          <w:highlight w:val="none"/>
        </w:rPr>
        <w:t>可被</w:t>
      </w:r>
      <w:r>
        <w:rPr>
          <w:rFonts w:hint="eastAsia" w:ascii="宋体" w:hAnsi="宋体" w:eastAsia="宋体" w:cs="宋体"/>
          <w:color w:val="auto"/>
          <w:sz w:val="21"/>
          <w:szCs w:val="21"/>
          <w:highlight w:val="none"/>
        </w:rPr>
        <w:t>同意放弃对这些文件所提出的异议和质疑的权利。</w:t>
      </w:r>
    </w:p>
    <w:p w14:paraId="7F7EFE97">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5.如果在开标后规定的投标有效期内撤回投标，我们的</w:t>
      </w:r>
      <w:r>
        <w:rPr>
          <w:rFonts w:hint="eastAsia" w:ascii="宋体" w:hAnsi="宋体" w:eastAsia="宋体" w:cs="宋体"/>
          <w:color w:val="auto"/>
          <w:sz w:val="21"/>
          <w:szCs w:val="21"/>
          <w:highlight w:val="none"/>
          <w:lang w:eastAsia="zh-CN"/>
        </w:rPr>
        <w:t>磋商保证金</w:t>
      </w:r>
      <w:r>
        <w:rPr>
          <w:rFonts w:hint="eastAsia" w:ascii="宋体" w:hAnsi="宋体" w:eastAsia="宋体" w:cs="宋体"/>
          <w:color w:val="auto"/>
          <w:sz w:val="21"/>
          <w:szCs w:val="21"/>
          <w:highlight w:val="none"/>
        </w:rPr>
        <w:t>可被贵方没收。</w:t>
      </w:r>
    </w:p>
    <w:p w14:paraId="63F14C7F">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6.我方已毫无保留地向贵方提供一切所需的证明材料。</w:t>
      </w:r>
    </w:p>
    <w:p w14:paraId="2C9B3227">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7.我方承诺在本次磋商响应文件中提供的一切文件，无论是原件还是复印件均为真实和准确的，绝无任何虚假、伪造和夸大的成份，否则，愿承担相应的后果和法律责任。</w:t>
      </w:r>
    </w:p>
    <w:p w14:paraId="7529D075">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8.我方完全服从和尊重评委会所作的评定结果，同时清楚理解到报价最低并非意味着必定获得中标资格。</w:t>
      </w:r>
    </w:p>
    <w:p w14:paraId="29530A50">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9.一旦我方中标，我们将根据</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及其有效补充文件的规定，严格按照《</w:t>
      </w:r>
      <w:r>
        <w:rPr>
          <w:rFonts w:hint="eastAsia" w:ascii="宋体" w:hAnsi="宋体" w:eastAsia="宋体" w:cs="宋体"/>
          <w:color w:val="auto"/>
          <w:sz w:val="21"/>
          <w:szCs w:val="21"/>
          <w:highlight w:val="none"/>
          <w:lang w:val="zh-CN"/>
        </w:rPr>
        <w:t>中华人民共和国</w:t>
      </w:r>
      <w:r>
        <w:rPr>
          <w:rFonts w:hint="eastAsia" w:ascii="宋体" w:hAnsi="宋体" w:eastAsia="宋体" w:cs="宋体"/>
          <w:color w:val="auto"/>
          <w:sz w:val="21"/>
          <w:szCs w:val="21"/>
          <w:highlight w:val="none"/>
          <w:lang w:val="zh-CN" w:eastAsia="zh-CN"/>
        </w:rPr>
        <w:t>民法典</w:t>
      </w:r>
      <w:r>
        <w:rPr>
          <w:rFonts w:hint="eastAsia" w:ascii="宋体" w:hAnsi="宋体" w:eastAsia="宋体" w:cs="宋体"/>
          <w:color w:val="auto"/>
          <w:sz w:val="21"/>
          <w:szCs w:val="21"/>
          <w:highlight w:val="none"/>
        </w:rPr>
        <w:t>》履行自己的责任和义务。</w:t>
      </w:r>
    </w:p>
    <w:p w14:paraId="4CDFB426">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aps/>
          <w:color w:val="auto"/>
          <w:sz w:val="21"/>
          <w:szCs w:val="21"/>
          <w:highlight w:val="none"/>
        </w:rPr>
        <w:t>我公司承诺我们已经具备《中华人民共和国政府采购法》中“</w:t>
      </w:r>
      <w:r>
        <w:rPr>
          <w:rFonts w:hint="eastAsia" w:ascii="宋体" w:hAnsi="宋体" w:eastAsia="宋体" w:cs="宋体"/>
          <w:color w:val="auto"/>
          <w:sz w:val="21"/>
          <w:szCs w:val="21"/>
          <w:highlight w:val="none"/>
        </w:rPr>
        <w:t>第二十二条</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资格条件”</w:t>
      </w:r>
      <w:r>
        <w:rPr>
          <w:rFonts w:hint="eastAsia" w:ascii="宋体" w:hAnsi="宋体" w:eastAsia="宋体" w:cs="宋体"/>
          <w:caps/>
          <w:color w:val="auto"/>
          <w:sz w:val="21"/>
          <w:szCs w:val="21"/>
          <w:highlight w:val="none"/>
        </w:rPr>
        <w:t>规定的参加采购活动的</w:t>
      </w:r>
      <w:r>
        <w:rPr>
          <w:rFonts w:hint="eastAsia" w:ascii="宋体" w:hAnsi="宋体" w:eastAsia="宋体" w:cs="宋体"/>
          <w:caps/>
          <w:color w:val="auto"/>
          <w:sz w:val="21"/>
          <w:szCs w:val="21"/>
          <w:highlight w:val="none"/>
          <w:lang w:eastAsia="zh-CN"/>
        </w:rPr>
        <w:t>供应商</w:t>
      </w:r>
      <w:r>
        <w:rPr>
          <w:rFonts w:hint="eastAsia" w:ascii="宋体" w:hAnsi="宋体" w:eastAsia="宋体" w:cs="宋体"/>
          <w:caps/>
          <w:color w:val="auto"/>
          <w:sz w:val="21"/>
          <w:szCs w:val="21"/>
          <w:highlight w:val="none"/>
        </w:rPr>
        <w:t>应当具备的条件。</w:t>
      </w:r>
    </w:p>
    <w:p w14:paraId="78702EA9">
      <w:pPr>
        <w:pageBreakBefore w:val="0"/>
        <w:kinsoku/>
        <w:wordWrap w:val="0"/>
        <w:overflowPunct/>
        <w:bidi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11.我方保证达到</w:t>
      </w:r>
      <w:r>
        <w:rPr>
          <w:rFonts w:hint="eastAsia" w:ascii="宋体" w:hAnsi="宋体" w:eastAsia="宋体" w:cs="宋体"/>
          <w:color w:val="auto"/>
          <w:sz w:val="21"/>
          <w:szCs w:val="21"/>
          <w:highlight w:val="none"/>
          <w:lang w:eastAsia="zh-CN"/>
        </w:rPr>
        <w:t>采购文件</w:t>
      </w:r>
      <w:r>
        <w:rPr>
          <w:rFonts w:hint="eastAsia" w:ascii="宋体" w:hAnsi="宋体" w:eastAsia="宋体" w:cs="宋体"/>
          <w:color w:val="auto"/>
          <w:sz w:val="21"/>
          <w:szCs w:val="21"/>
          <w:highlight w:val="none"/>
        </w:rPr>
        <w:t>第三章的所有要求，若能有幸中标，我公司将严格遵守操作规程，安全作业，施工过程中若因我方原因导致安全事故发生，我方愿承担一切责任。</w:t>
      </w:r>
    </w:p>
    <w:p w14:paraId="55BDC7D5">
      <w:pPr>
        <w:pStyle w:val="21"/>
        <w:pageBreakBefore w:val="0"/>
        <w:kinsoku/>
        <w:wordWrap w:val="0"/>
        <w:overflowPunct/>
        <w:bidi w:val="0"/>
        <w:snapToGrid w:val="0"/>
        <w:spacing w:line="360" w:lineRule="auto"/>
        <w:ind w:firstLine="420" w:firstLineChars="200"/>
        <w:rPr>
          <w:rFonts w:hint="eastAsia" w:hAnsi="宋体" w:eastAsia="宋体" w:cs="宋体"/>
          <w:color w:val="auto"/>
          <w:sz w:val="21"/>
          <w:szCs w:val="21"/>
          <w:highlight w:val="none"/>
          <w:u w:val="single"/>
          <w:lang w:val="en-US" w:eastAsia="zh-CN"/>
        </w:rPr>
      </w:pPr>
      <w:r>
        <w:rPr>
          <w:rFonts w:hint="eastAsia" w:hAnsi="宋体" w:cs="宋体"/>
          <w:color w:val="auto"/>
          <w:sz w:val="21"/>
          <w:szCs w:val="21"/>
          <w:highlight w:val="none"/>
          <w:lang w:val="en-US" w:eastAsia="zh-CN"/>
        </w:rPr>
        <w:t>12.磋商有效期：</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none"/>
          <w:lang w:val="en-US" w:eastAsia="zh-CN"/>
        </w:rPr>
        <w:t>。</w:t>
      </w:r>
    </w:p>
    <w:p w14:paraId="2A52871E">
      <w:pPr>
        <w:pStyle w:val="21"/>
        <w:pageBreakBefore w:val="0"/>
        <w:kinsoku/>
        <w:wordWrap w:val="0"/>
        <w:overflowPunct/>
        <w:bidi w:val="0"/>
        <w:snapToGrid w:val="0"/>
        <w:spacing w:line="360" w:lineRule="auto"/>
        <w:ind w:firstLine="420" w:firstLineChars="200"/>
        <w:rPr>
          <w:rFonts w:hint="eastAsia" w:ascii="宋体" w:hAnsi="宋体" w:eastAsia="宋体" w:cs="宋体"/>
          <w:caps/>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（其他补充说明）</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14:paraId="66146729">
      <w:pPr>
        <w:pStyle w:val="21"/>
        <w:pageBreakBefore w:val="0"/>
        <w:kinsoku/>
        <w:wordWrap w:val="0"/>
        <w:overflowPunct/>
        <w:bidi w:val="0"/>
        <w:snapToGrid w:val="0"/>
        <w:spacing w:line="360" w:lineRule="auto"/>
        <w:ind w:firstLine="420"/>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与本投标有关的正式通讯地址为：</w:t>
      </w:r>
    </w:p>
    <w:p w14:paraId="277E9F16">
      <w:pPr>
        <w:pStyle w:val="21"/>
        <w:pageBreakBefore w:val="0"/>
        <w:kinsoku/>
        <w:wordWrap w:val="0"/>
        <w:overflowPunct/>
        <w:bidi w:val="0"/>
        <w:snapToGrid w:val="0"/>
        <w:spacing w:line="360" w:lineRule="auto"/>
        <w:ind w:firstLine="420"/>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地址：</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邮政编码：</w:t>
      </w:r>
      <w:r>
        <w:rPr>
          <w:rFonts w:hint="eastAsia" w:ascii="宋体" w:hAnsi="宋体" w:eastAsia="宋体" w:cs="宋体"/>
          <w:caps/>
          <w:color w:val="auto"/>
          <w:sz w:val="21"/>
          <w:szCs w:val="21"/>
          <w:highlight w:val="none"/>
          <w:u w:val="single"/>
        </w:rPr>
        <w:t xml:space="preserve">                  </w:t>
      </w:r>
    </w:p>
    <w:p w14:paraId="52D737AA">
      <w:pPr>
        <w:pStyle w:val="21"/>
        <w:pageBreakBefore w:val="0"/>
        <w:kinsoku/>
        <w:wordWrap w:val="0"/>
        <w:overflowPunct/>
        <w:bidi w:val="0"/>
        <w:snapToGrid w:val="0"/>
        <w:spacing w:line="360" w:lineRule="auto"/>
        <w:ind w:firstLine="420"/>
        <w:rPr>
          <w:rFonts w:hint="eastAsia" w:ascii="宋体" w:hAnsi="宋体" w:eastAsia="宋体" w:cs="宋体"/>
          <w:caps/>
          <w:color w:val="auto"/>
          <w:sz w:val="21"/>
          <w:szCs w:val="21"/>
          <w:highlight w:val="none"/>
        </w:rPr>
      </w:pPr>
      <w:r>
        <w:rPr>
          <w:rFonts w:hint="eastAsia" w:ascii="宋体" w:hAnsi="宋体" w:eastAsia="宋体" w:cs="宋体"/>
          <w:caps/>
          <w:color w:val="auto"/>
          <w:sz w:val="21"/>
          <w:szCs w:val="21"/>
          <w:highlight w:val="none"/>
        </w:rPr>
        <w:t>电话：</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传真：</w:t>
      </w:r>
      <w:r>
        <w:rPr>
          <w:rFonts w:hint="eastAsia" w:ascii="宋体" w:hAnsi="宋体" w:eastAsia="宋体" w:cs="宋体"/>
          <w:caps/>
          <w:color w:val="auto"/>
          <w:sz w:val="21"/>
          <w:szCs w:val="21"/>
          <w:highlight w:val="none"/>
          <w:u w:val="single"/>
        </w:rPr>
        <w:t>　　　　　　　　　  　</w:t>
      </w:r>
    </w:p>
    <w:p w14:paraId="781CB07C">
      <w:pPr>
        <w:pStyle w:val="21"/>
        <w:pageBreakBefore w:val="0"/>
        <w:kinsoku/>
        <w:wordWrap w:val="0"/>
        <w:overflowPunct/>
        <w:bidi w:val="0"/>
        <w:snapToGrid w:val="0"/>
        <w:spacing w:line="360" w:lineRule="auto"/>
        <w:ind w:firstLine="420"/>
        <w:rPr>
          <w:rFonts w:hint="eastAsia" w:ascii="宋体" w:hAnsi="宋体" w:eastAsia="宋体" w:cs="宋体"/>
          <w:caps/>
          <w:color w:val="auto"/>
          <w:sz w:val="21"/>
          <w:szCs w:val="21"/>
          <w:highlight w:val="none"/>
          <w:u w:val="single"/>
        </w:rPr>
      </w:pPr>
      <w:r>
        <w:rPr>
          <w:rFonts w:hint="eastAsia" w:ascii="宋体" w:hAnsi="宋体" w:eastAsia="宋体" w:cs="宋体"/>
          <w:caps/>
          <w:color w:val="auto"/>
          <w:sz w:val="21"/>
          <w:szCs w:val="21"/>
          <w:highlight w:val="none"/>
        </w:rPr>
        <w:t>开户银行：</w:t>
      </w:r>
      <w:r>
        <w:rPr>
          <w:rFonts w:hint="eastAsia" w:ascii="宋体" w:hAnsi="宋体" w:eastAsia="宋体" w:cs="宋体"/>
          <w:caps/>
          <w:color w:val="auto"/>
          <w:sz w:val="21"/>
          <w:szCs w:val="21"/>
          <w:highlight w:val="none"/>
          <w:u w:val="single"/>
        </w:rPr>
        <w:t xml:space="preserve">                                </w:t>
      </w:r>
      <w:r>
        <w:rPr>
          <w:rFonts w:hint="eastAsia" w:ascii="宋体" w:hAnsi="宋体" w:eastAsia="宋体" w:cs="宋体"/>
          <w:caps/>
          <w:color w:val="auto"/>
          <w:sz w:val="21"/>
          <w:szCs w:val="21"/>
          <w:highlight w:val="none"/>
        </w:rPr>
        <w:t>帐号：</w:t>
      </w:r>
      <w:r>
        <w:rPr>
          <w:rFonts w:hint="eastAsia" w:ascii="宋体" w:hAnsi="宋体" w:eastAsia="宋体" w:cs="宋体"/>
          <w:caps/>
          <w:color w:val="auto"/>
          <w:sz w:val="21"/>
          <w:szCs w:val="21"/>
          <w:highlight w:val="none"/>
          <w:u w:val="single"/>
        </w:rPr>
        <w:t xml:space="preserve">                      </w:t>
      </w:r>
    </w:p>
    <w:p w14:paraId="5984699E">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全称（</w:t>
      </w:r>
      <w:r>
        <w:rPr>
          <w:rFonts w:hint="eastAsia" w:ascii="宋体" w:hAnsi="宋体" w:cs="宋体"/>
          <w:color w:val="auto"/>
          <w:sz w:val="21"/>
          <w:szCs w:val="21"/>
          <w:highlight w:val="none"/>
          <w:lang w:eastAsia="zh-CN"/>
        </w:rPr>
        <w:t>电子公章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2F1623F2">
      <w:pPr>
        <w:keepNext w:val="0"/>
        <w:keepLines w:val="0"/>
        <w:pageBreakBefore w:val="0"/>
        <w:widowControl w:val="0"/>
        <w:kinsoku/>
        <w:wordWrap w:val="0"/>
        <w:overflowPunct/>
        <w:topLinePunct w:val="0"/>
        <w:autoSpaceDE/>
        <w:autoSpaceDN/>
        <w:bidi w:val="0"/>
        <w:adjustRightInd/>
        <w:snapToGrid/>
        <w:spacing w:line="360" w:lineRule="auto"/>
        <w:ind w:firstLine="210" w:firstLineChars="1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w:t>
      </w:r>
      <w:r>
        <w:rPr>
          <w:rFonts w:hint="eastAsia" w:ascii="宋体" w:hAnsi="宋体" w:eastAsia="宋体" w:cs="宋体"/>
          <w:color w:val="auto"/>
          <w:sz w:val="21"/>
          <w:szCs w:val="21"/>
          <w:highlight w:val="none"/>
          <w:lang w:eastAsia="zh-CN"/>
        </w:rPr>
        <w:t>其</w:t>
      </w:r>
      <w:r>
        <w:rPr>
          <w:rFonts w:hint="eastAsia" w:ascii="宋体" w:hAnsi="宋体" w:eastAsia="宋体" w:cs="宋体"/>
          <w:color w:val="auto"/>
          <w:sz w:val="21"/>
          <w:szCs w:val="21"/>
          <w:highlight w:val="none"/>
        </w:rPr>
        <w:t>委托代理人（</w:t>
      </w:r>
      <w:r>
        <w:rPr>
          <w:rFonts w:hint="eastAsia" w:ascii="宋体" w:hAnsi="宋体" w:cs="宋体"/>
          <w:color w:val="auto"/>
          <w:sz w:val="21"/>
          <w:szCs w:val="21"/>
          <w:highlight w:val="none"/>
          <w:lang w:eastAsia="zh-CN"/>
        </w:rPr>
        <w:t>电子签章</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w:t>
      </w:r>
    </w:p>
    <w:p w14:paraId="5FA81086">
      <w:pPr>
        <w:keepNext w:val="0"/>
        <w:keepLines w:val="0"/>
        <w:pageBreakBefore w:val="0"/>
        <w:widowControl w:val="0"/>
        <w:kinsoku/>
        <w:wordWrap w:val="0"/>
        <w:overflowPunct/>
        <w:topLinePunct w:val="0"/>
        <w:autoSpaceDE/>
        <w:autoSpaceDN/>
        <w:bidi w:val="0"/>
        <w:adjustRightInd/>
        <w:snapToGrid/>
        <w:spacing w:line="360" w:lineRule="auto"/>
        <w:ind w:firstLine="210" w:firstLineChars="100"/>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日</w:t>
      </w:r>
    </w:p>
    <w:p w14:paraId="51561932">
      <w:pPr>
        <w:pStyle w:val="4"/>
        <w:keepNext/>
        <w:keepLines/>
        <w:pageBreakBefore w:val="0"/>
        <w:widowControl w:val="0"/>
        <w:numPr>
          <w:ilvl w:val="1"/>
          <w:numId w:val="0"/>
        </w:numPr>
        <w:kinsoku/>
        <w:wordWrap w:val="0"/>
        <w:overflowPunct/>
        <w:topLinePunct w:val="0"/>
        <w:autoSpaceDE/>
        <w:autoSpaceDN/>
        <w:bidi w:val="0"/>
        <w:adjustRightInd/>
        <w:snapToGrid/>
        <w:spacing w:before="140" w:after="20" w:line="360" w:lineRule="auto"/>
        <w:jc w:val="center"/>
        <w:textAlignment w:val="auto"/>
        <w:outlineLvl w:val="2"/>
        <w:rPr>
          <w:rFonts w:hint="eastAsia" w:ascii="宋体" w:hAnsi="宋体" w:eastAsia="宋体" w:cs="宋体"/>
          <w:b/>
          <w:bCs/>
          <w:color w:val="auto"/>
          <w:kern w:val="2"/>
          <w:sz w:val="28"/>
          <w:szCs w:val="28"/>
          <w:highlight w:val="none"/>
          <w:lang w:val="en-US" w:eastAsia="zh-CN" w:bidi="ar-SA"/>
        </w:rPr>
      </w:pPr>
      <w:bookmarkStart w:id="326" w:name="_Toc14539"/>
      <w:r>
        <w:rPr>
          <w:rFonts w:hint="eastAsia" w:ascii="宋体" w:hAnsi="宋体" w:eastAsia="宋体" w:cs="宋体"/>
          <w:b/>
          <w:bCs/>
          <w:color w:val="auto"/>
          <w:kern w:val="2"/>
          <w:sz w:val="28"/>
          <w:szCs w:val="28"/>
          <w:highlight w:val="none"/>
          <w:lang w:val="en-US" w:eastAsia="zh-CN" w:bidi="ar-SA"/>
        </w:rPr>
        <w:t>四、项目负责人（项目经理）简历表</w:t>
      </w:r>
      <w:bookmarkEnd w:id="326"/>
    </w:p>
    <w:tbl>
      <w:tblPr>
        <w:tblStyle w:val="39"/>
        <w:tblW w:w="4997" w:type="pct"/>
        <w:jc w:val="center"/>
        <w:tblLayout w:type="autofit"/>
        <w:tblCellMar>
          <w:top w:w="0" w:type="dxa"/>
          <w:left w:w="0" w:type="dxa"/>
          <w:bottom w:w="0" w:type="dxa"/>
          <w:right w:w="0" w:type="dxa"/>
        </w:tblCellMar>
      </w:tblPr>
      <w:tblGrid>
        <w:gridCol w:w="1399"/>
        <w:gridCol w:w="1146"/>
        <w:gridCol w:w="1160"/>
        <w:gridCol w:w="1152"/>
        <w:gridCol w:w="2107"/>
        <w:gridCol w:w="2402"/>
      </w:tblGrid>
      <w:tr w14:paraId="7F0DFA9B">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941889">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姓名</w:t>
            </w:r>
          </w:p>
        </w:tc>
        <w:tc>
          <w:tcPr>
            <w:tcW w:w="612"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7AC20F">
            <w:pPr>
              <w:pageBreakBefore w:val="0"/>
              <w:kinsoku/>
              <w:wordWrap w:val="0"/>
              <w:overflowPunct/>
              <w:topLinePunct w:val="0"/>
              <w:bidi w:val="0"/>
              <w:jc w:val="center"/>
              <w:rPr>
                <w:rFonts w:ascii="宋体" w:hAnsi="宋体" w:cs="宋体"/>
                <w:color w:val="auto"/>
                <w:sz w:val="21"/>
                <w:szCs w:val="21"/>
                <w:highlight w:val="none"/>
              </w:rPr>
            </w:pPr>
          </w:p>
        </w:tc>
        <w:tc>
          <w:tcPr>
            <w:tcW w:w="61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BE8FE">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年龄</w:t>
            </w:r>
          </w:p>
        </w:tc>
        <w:tc>
          <w:tcPr>
            <w:tcW w:w="6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9471BD">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FCE439">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身份证号码</w:t>
            </w: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3B409">
            <w:pPr>
              <w:pageBreakBefore w:val="0"/>
              <w:kinsoku/>
              <w:wordWrap w:val="0"/>
              <w:overflowPunct/>
              <w:topLinePunct w:val="0"/>
              <w:bidi w:val="0"/>
              <w:jc w:val="center"/>
              <w:rPr>
                <w:rFonts w:ascii="宋体" w:hAnsi="宋体" w:cs="宋体"/>
                <w:color w:val="auto"/>
                <w:sz w:val="21"/>
                <w:szCs w:val="21"/>
                <w:highlight w:val="none"/>
              </w:rPr>
            </w:pPr>
          </w:p>
        </w:tc>
      </w:tr>
      <w:tr w14:paraId="25CED63D">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DF2427">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学历</w:t>
            </w:r>
          </w:p>
        </w:tc>
        <w:tc>
          <w:tcPr>
            <w:tcW w:w="612" w:type="pct"/>
            <w:tcBorders>
              <w:top w:val="nil"/>
              <w:left w:val="nil"/>
              <w:bottom w:val="nil"/>
              <w:right w:val="nil"/>
            </w:tcBorders>
            <w:noWrap w:val="0"/>
            <w:tcMar>
              <w:top w:w="15" w:type="dxa"/>
              <w:left w:w="15" w:type="dxa"/>
              <w:right w:w="15" w:type="dxa"/>
            </w:tcMar>
            <w:vAlign w:val="center"/>
          </w:tcPr>
          <w:p w14:paraId="657FF940">
            <w:pPr>
              <w:pageBreakBefore w:val="0"/>
              <w:kinsoku/>
              <w:wordWrap w:val="0"/>
              <w:overflowPunct/>
              <w:topLinePunct w:val="0"/>
              <w:bidi w:val="0"/>
              <w:jc w:val="center"/>
              <w:rPr>
                <w:rFonts w:ascii="宋体" w:hAnsi="宋体" w:cs="宋体"/>
                <w:color w:val="auto"/>
                <w:sz w:val="21"/>
                <w:szCs w:val="21"/>
                <w:highlight w:val="none"/>
              </w:rPr>
            </w:pPr>
          </w:p>
        </w:tc>
        <w:tc>
          <w:tcPr>
            <w:tcW w:w="61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FD96EB">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职称</w:t>
            </w:r>
          </w:p>
        </w:tc>
        <w:tc>
          <w:tcPr>
            <w:tcW w:w="615" w:type="pct"/>
            <w:tcBorders>
              <w:top w:val="nil"/>
              <w:left w:val="nil"/>
              <w:bottom w:val="nil"/>
              <w:right w:val="nil"/>
            </w:tcBorders>
            <w:noWrap w:val="0"/>
            <w:tcMar>
              <w:top w:w="15" w:type="dxa"/>
              <w:left w:w="15" w:type="dxa"/>
              <w:right w:w="15" w:type="dxa"/>
            </w:tcMar>
            <w:vAlign w:val="center"/>
          </w:tcPr>
          <w:p w14:paraId="070B287E">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5C963E">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拟在本项目担任职务</w:t>
            </w: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EC1341">
            <w:pPr>
              <w:pageBreakBefore w:val="0"/>
              <w:kinsoku/>
              <w:wordWrap w:val="0"/>
              <w:overflowPunct/>
              <w:topLinePunct w:val="0"/>
              <w:bidi w:val="0"/>
              <w:jc w:val="center"/>
              <w:rPr>
                <w:rFonts w:ascii="宋体" w:hAnsi="宋体" w:cs="宋体"/>
                <w:color w:val="auto"/>
                <w:sz w:val="21"/>
                <w:szCs w:val="21"/>
                <w:highlight w:val="none"/>
              </w:rPr>
            </w:pPr>
          </w:p>
        </w:tc>
      </w:tr>
      <w:tr w14:paraId="7C7AE8A9">
        <w:tblPrEx>
          <w:tblCellMar>
            <w:top w:w="0" w:type="dxa"/>
            <w:left w:w="0" w:type="dxa"/>
            <w:bottom w:w="0" w:type="dxa"/>
            <w:right w:w="0" w:type="dxa"/>
          </w:tblCellMar>
        </w:tblPrEx>
        <w:trPr>
          <w:trHeight w:val="539" w:hRule="atLeast"/>
          <w:jc w:val="center"/>
        </w:trPr>
        <w:tc>
          <w:tcPr>
            <w:tcW w:w="1978"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FD59E1">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注册建造师执业资格等级</w:t>
            </w:r>
          </w:p>
        </w:tc>
        <w:tc>
          <w:tcPr>
            <w:tcW w:w="61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C20E13">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22CA0C">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建造师专业</w:t>
            </w: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7CFAFF">
            <w:pPr>
              <w:pageBreakBefore w:val="0"/>
              <w:kinsoku/>
              <w:wordWrap w:val="0"/>
              <w:overflowPunct/>
              <w:topLinePunct w:val="0"/>
              <w:bidi w:val="0"/>
              <w:jc w:val="center"/>
              <w:rPr>
                <w:rFonts w:ascii="宋体" w:hAnsi="宋体" w:cs="宋体"/>
                <w:color w:val="auto"/>
                <w:sz w:val="21"/>
                <w:szCs w:val="21"/>
                <w:highlight w:val="none"/>
              </w:rPr>
            </w:pPr>
          </w:p>
        </w:tc>
      </w:tr>
      <w:tr w14:paraId="43F07C94">
        <w:tblPrEx>
          <w:tblCellMar>
            <w:top w:w="0" w:type="dxa"/>
            <w:left w:w="0" w:type="dxa"/>
            <w:bottom w:w="0" w:type="dxa"/>
            <w:right w:w="0" w:type="dxa"/>
          </w:tblCellMar>
        </w:tblPrEx>
        <w:trPr>
          <w:trHeight w:val="539" w:hRule="atLeast"/>
          <w:jc w:val="center"/>
        </w:trPr>
        <w:tc>
          <w:tcPr>
            <w:tcW w:w="1978"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8D7E7A">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注册建造师证书编号</w:t>
            </w:r>
          </w:p>
        </w:tc>
        <w:tc>
          <w:tcPr>
            <w:tcW w:w="3021"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A2CCB8">
            <w:pPr>
              <w:pageBreakBefore w:val="0"/>
              <w:kinsoku/>
              <w:wordWrap w:val="0"/>
              <w:overflowPunct/>
              <w:topLinePunct w:val="0"/>
              <w:bidi w:val="0"/>
              <w:jc w:val="center"/>
              <w:rPr>
                <w:rFonts w:ascii="宋体" w:hAnsi="宋体" w:cs="宋体"/>
                <w:color w:val="auto"/>
                <w:sz w:val="21"/>
                <w:szCs w:val="21"/>
                <w:highlight w:val="none"/>
              </w:rPr>
            </w:pPr>
          </w:p>
        </w:tc>
      </w:tr>
      <w:tr w14:paraId="69EAE20B">
        <w:tblPrEx>
          <w:tblCellMar>
            <w:top w:w="0" w:type="dxa"/>
            <w:left w:w="0" w:type="dxa"/>
            <w:bottom w:w="0" w:type="dxa"/>
            <w:right w:w="0" w:type="dxa"/>
          </w:tblCellMar>
        </w:tblPrEx>
        <w:trPr>
          <w:trHeight w:val="539" w:hRule="atLeast"/>
          <w:jc w:val="center"/>
        </w:trPr>
        <w:tc>
          <w:tcPr>
            <w:tcW w:w="1978"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EBDB03">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安全生产考核合格证书编号</w:t>
            </w:r>
          </w:p>
        </w:tc>
        <w:tc>
          <w:tcPr>
            <w:tcW w:w="3021" w:type="pct"/>
            <w:gridSpan w:val="3"/>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14:paraId="18936839">
            <w:pPr>
              <w:pageBreakBefore w:val="0"/>
              <w:kinsoku/>
              <w:wordWrap w:val="0"/>
              <w:overflowPunct/>
              <w:topLinePunct w:val="0"/>
              <w:bidi w:val="0"/>
              <w:jc w:val="center"/>
              <w:rPr>
                <w:rFonts w:ascii="宋体" w:hAnsi="宋体" w:cs="宋体"/>
                <w:color w:val="auto"/>
                <w:sz w:val="21"/>
                <w:szCs w:val="21"/>
                <w:highlight w:val="none"/>
              </w:rPr>
            </w:pPr>
          </w:p>
        </w:tc>
      </w:tr>
      <w:tr w14:paraId="2CC682EC">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87BC6D">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毕业学校</w:t>
            </w:r>
          </w:p>
        </w:tc>
        <w:tc>
          <w:tcPr>
            <w:tcW w:w="4252"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1605C2">
            <w:pPr>
              <w:pageBreakBefore w:val="0"/>
              <w:kinsoku/>
              <w:wordWrap w:val="0"/>
              <w:overflowPunct/>
              <w:topLinePunct w:val="0"/>
              <w:bidi w:val="0"/>
              <w:rPr>
                <w:rFonts w:ascii="宋体" w:hAnsi="宋体" w:cs="宋体"/>
                <w:color w:val="auto"/>
                <w:sz w:val="21"/>
                <w:szCs w:val="21"/>
                <w:highlight w:val="none"/>
              </w:rPr>
            </w:pPr>
            <w:r>
              <w:rPr>
                <w:rFonts w:hint="eastAsia" w:ascii="宋体" w:hAnsi="宋体" w:cs="宋体"/>
                <w:color w:val="auto"/>
                <w:sz w:val="21"/>
                <w:szCs w:val="21"/>
                <w:highlight w:val="none"/>
              </w:rPr>
              <w:t xml:space="preserve">      年毕业于                  学校            专业</w:t>
            </w:r>
          </w:p>
        </w:tc>
      </w:tr>
      <w:tr w14:paraId="307A9CE2">
        <w:tblPrEx>
          <w:tblCellMar>
            <w:top w:w="0" w:type="dxa"/>
            <w:left w:w="0" w:type="dxa"/>
            <w:bottom w:w="0" w:type="dxa"/>
            <w:right w:w="0" w:type="dxa"/>
          </w:tblCellMar>
        </w:tblPrEx>
        <w:trPr>
          <w:trHeight w:val="539"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BEF107">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主要工作业绩</w:t>
            </w:r>
          </w:p>
        </w:tc>
      </w:tr>
      <w:tr w14:paraId="47FBB911">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A23E57">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时间</w:t>
            </w: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ADE1B3">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参加过的类似工程名称</w:t>
            </w: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6FB4E6">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担任职务</w:t>
            </w: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5EBA9E">
            <w:pPr>
              <w:pageBreakBefore w:val="0"/>
              <w:widowControl/>
              <w:kinsoku/>
              <w:wordWrap w:val="0"/>
              <w:overflowPunct/>
              <w:topLinePunct w:val="0"/>
              <w:bidi w:val="0"/>
              <w:jc w:val="center"/>
              <w:textAlignment w:val="center"/>
              <w:rPr>
                <w:rFonts w:ascii="宋体" w:hAnsi="宋体" w:cs="宋体"/>
                <w:color w:val="auto"/>
                <w:sz w:val="21"/>
                <w:szCs w:val="21"/>
                <w:highlight w:val="none"/>
              </w:rPr>
            </w:pPr>
            <w:r>
              <w:rPr>
                <w:rFonts w:hint="eastAsia" w:ascii="宋体" w:hAnsi="宋体" w:cs="宋体"/>
                <w:color w:val="auto"/>
                <w:sz w:val="21"/>
                <w:szCs w:val="21"/>
                <w:highlight w:val="none"/>
              </w:rPr>
              <w:t>发包人及联系电话</w:t>
            </w:r>
          </w:p>
        </w:tc>
      </w:tr>
      <w:tr w14:paraId="6EE1C646">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D7A5D8">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B2883A">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8B275">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A0C847">
            <w:pPr>
              <w:pageBreakBefore w:val="0"/>
              <w:kinsoku/>
              <w:wordWrap w:val="0"/>
              <w:overflowPunct/>
              <w:topLinePunct w:val="0"/>
              <w:bidi w:val="0"/>
              <w:jc w:val="center"/>
              <w:rPr>
                <w:rFonts w:ascii="宋体" w:hAnsi="宋体" w:cs="宋体"/>
                <w:color w:val="auto"/>
                <w:sz w:val="21"/>
                <w:szCs w:val="21"/>
                <w:highlight w:val="none"/>
              </w:rPr>
            </w:pPr>
          </w:p>
        </w:tc>
      </w:tr>
      <w:tr w14:paraId="599EC511">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5FBD95">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5BBA34">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4E6D4">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F49CCF">
            <w:pPr>
              <w:pageBreakBefore w:val="0"/>
              <w:kinsoku/>
              <w:wordWrap w:val="0"/>
              <w:overflowPunct/>
              <w:topLinePunct w:val="0"/>
              <w:bidi w:val="0"/>
              <w:jc w:val="center"/>
              <w:rPr>
                <w:rFonts w:ascii="宋体" w:hAnsi="宋体" w:cs="宋体"/>
                <w:color w:val="auto"/>
                <w:sz w:val="21"/>
                <w:szCs w:val="21"/>
                <w:highlight w:val="none"/>
              </w:rPr>
            </w:pPr>
          </w:p>
        </w:tc>
      </w:tr>
      <w:tr w14:paraId="4A986F7A">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3B95AE">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F143A0">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49ED41">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A8B3E2">
            <w:pPr>
              <w:pageBreakBefore w:val="0"/>
              <w:kinsoku/>
              <w:wordWrap w:val="0"/>
              <w:overflowPunct/>
              <w:topLinePunct w:val="0"/>
              <w:bidi w:val="0"/>
              <w:jc w:val="center"/>
              <w:rPr>
                <w:rFonts w:ascii="宋体" w:hAnsi="宋体" w:cs="宋体"/>
                <w:color w:val="auto"/>
                <w:sz w:val="21"/>
                <w:szCs w:val="21"/>
                <w:highlight w:val="none"/>
              </w:rPr>
            </w:pPr>
          </w:p>
        </w:tc>
      </w:tr>
      <w:tr w14:paraId="676BC7C9">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BABD20">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FF009C">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202795">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859761">
            <w:pPr>
              <w:pageBreakBefore w:val="0"/>
              <w:kinsoku/>
              <w:wordWrap w:val="0"/>
              <w:overflowPunct/>
              <w:topLinePunct w:val="0"/>
              <w:bidi w:val="0"/>
              <w:jc w:val="center"/>
              <w:rPr>
                <w:rFonts w:ascii="宋体" w:hAnsi="宋体" w:cs="宋体"/>
                <w:color w:val="auto"/>
                <w:sz w:val="21"/>
                <w:szCs w:val="21"/>
                <w:highlight w:val="none"/>
              </w:rPr>
            </w:pPr>
          </w:p>
        </w:tc>
      </w:tr>
      <w:tr w14:paraId="4B5CD024">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FCC6A2">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B0CBC">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1BB74D">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7E0226">
            <w:pPr>
              <w:pageBreakBefore w:val="0"/>
              <w:kinsoku/>
              <w:wordWrap w:val="0"/>
              <w:overflowPunct/>
              <w:topLinePunct w:val="0"/>
              <w:bidi w:val="0"/>
              <w:jc w:val="center"/>
              <w:rPr>
                <w:rFonts w:ascii="宋体" w:hAnsi="宋体" w:cs="宋体"/>
                <w:color w:val="auto"/>
                <w:sz w:val="21"/>
                <w:szCs w:val="21"/>
                <w:highlight w:val="none"/>
              </w:rPr>
            </w:pPr>
          </w:p>
        </w:tc>
      </w:tr>
      <w:tr w14:paraId="3D72126A">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CE8D64">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EEE7B9">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501F01">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514E3F">
            <w:pPr>
              <w:pageBreakBefore w:val="0"/>
              <w:kinsoku/>
              <w:wordWrap w:val="0"/>
              <w:overflowPunct/>
              <w:topLinePunct w:val="0"/>
              <w:bidi w:val="0"/>
              <w:jc w:val="center"/>
              <w:rPr>
                <w:rFonts w:ascii="宋体" w:hAnsi="宋体" w:cs="宋体"/>
                <w:color w:val="auto"/>
                <w:sz w:val="21"/>
                <w:szCs w:val="21"/>
                <w:highlight w:val="none"/>
              </w:rPr>
            </w:pPr>
          </w:p>
        </w:tc>
      </w:tr>
      <w:tr w14:paraId="3BD8BC42">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D0B666">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EC4223">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802630">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3FEA6E">
            <w:pPr>
              <w:pageBreakBefore w:val="0"/>
              <w:kinsoku/>
              <w:wordWrap w:val="0"/>
              <w:overflowPunct/>
              <w:topLinePunct w:val="0"/>
              <w:bidi w:val="0"/>
              <w:jc w:val="center"/>
              <w:rPr>
                <w:rFonts w:ascii="宋体" w:hAnsi="宋体" w:cs="宋体"/>
                <w:color w:val="auto"/>
                <w:sz w:val="21"/>
                <w:szCs w:val="21"/>
                <w:highlight w:val="none"/>
              </w:rPr>
            </w:pPr>
          </w:p>
        </w:tc>
      </w:tr>
      <w:tr w14:paraId="32A696C1">
        <w:tblPrEx>
          <w:tblCellMar>
            <w:top w:w="0" w:type="dxa"/>
            <w:left w:w="0" w:type="dxa"/>
            <w:bottom w:w="0" w:type="dxa"/>
            <w:right w:w="0" w:type="dxa"/>
          </w:tblCellMar>
        </w:tblPrEx>
        <w:trPr>
          <w:trHeight w:val="539" w:hRule="atLeast"/>
          <w:jc w:val="center"/>
        </w:trPr>
        <w:tc>
          <w:tcPr>
            <w:tcW w:w="747"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CB1AEF">
            <w:pPr>
              <w:pageBreakBefore w:val="0"/>
              <w:kinsoku/>
              <w:wordWrap w:val="0"/>
              <w:overflowPunct/>
              <w:topLinePunct w:val="0"/>
              <w:bidi w:val="0"/>
              <w:jc w:val="center"/>
              <w:rPr>
                <w:rFonts w:ascii="宋体" w:hAnsi="宋体" w:cs="宋体"/>
                <w:color w:val="auto"/>
                <w:sz w:val="21"/>
                <w:szCs w:val="21"/>
                <w:highlight w:val="none"/>
              </w:rPr>
            </w:pPr>
          </w:p>
        </w:tc>
        <w:tc>
          <w:tcPr>
            <w:tcW w:w="1845" w:type="pct"/>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83AC95">
            <w:pPr>
              <w:pageBreakBefore w:val="0"/>
              <w:kinsoku/>
              <w:wordWrap w:val="0"/>
              <w:overflowPunct/>
              <w:topLinePunct w:val="0"/>
              <w:bidi w:val="0"/>
              <w:jc w:val="center"/>
              <w:rPr>
                <w:rFonts w:ascii="宋体" w:hAnsi="宋体" w:cs="宋体"/>
                <w:color w:val="auto"/>
                <w:sz w:val="21"/>
                <w:szCs w:val="21"/>
                <w:highlight w:val="none"/>
              </w:rPr>
            </w:pPr>
          </w:p>
        </w:tc>
        <w:tc>
          <w:tcPr>
            <w:tcW w:w="112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1A87A">
            <w:pPr>
              <w:pageBreakBefore w:val="0"/>
              <w:kinsoku/>
              <w:wordWrap w:val="0"/>
              <w:overflowPunct/>
              <w:topLinePunct w:val="0"/>
              <w:bidi w:val="0"/>
              <w:jc w:val="center"/>
              <w:rPr>
                <w:rFonts w:ascii="宋体" w:hAnsi="宋体" w:cs="宋体"/>
                <w:color w:val="auto"/>
                <w:sz w:val="21"/>
                <w:szCs w:val="21"/>
                <w:highlight w:val="none"/>
              </w:rPr>
            </w:pPr>
          </w:p>
        </w:tc>
        <w:tc>
          <w:tcPr>
            <w:tcW w:w="128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135675">
            <w:pPr>
              <w:pageBreakBefore w:val="0"/>
              <w:kinsoku/>
              <w:wordWrap w:val="0"/>
              <w:overflowPunct/>
              <w:topLinePunct w:val="0"/>
              <w:bidi w:val="0"/>
              <w:jc w:val="center"/>
              <w:rPr>
                <w:rFonts w:ascii="宋体" w:hAnsi="宋体" w:cs="宋体"/>
                <w:color w:val="auto"/>
                <w:sz w:val="21"/>
                <w:szCs w:val="21"/>
                <w:highlight w:val="none"/>
              </w:rPr>
            </w:pPr>
          </w:p>
        </w:tc>
      </w:tr>
    </w:tbl>
    <w:p w14:paraId="66A43AB8">
      <w:pPr>
        <w:pageBreakBefore w:val="0"/>
        <w:kinsoku/>
        <w:wordWrap w:val="0"/>
        <w:overflowPunct/>
        <w:topLinePunct w:val="0"/>
        <w:bidi w:val="0"/>
        <w:spacing w:line="420" w:lineRule="exact"/>
        <w:ind w:firstLine="420"/>
        <w:jc w:val="left"/>
        <w:rPr>
          <w:rFonts w:hint="eastAsia" w:ascii="宋体" w:hAnsi="宋体" w:eastAsia="宋体" w:cs="宋体"/>
          <w:b/>
          <w:bCs/>
          <w:color w:val="auto"/>
          <w:sz w:val="24"/>
          <w:szCs w:val="24"/>
          <w:highlight w:val="none"/>
          <w:lang w:eastAsia="zh-CN"/>
        </w:rPr>
      </w:pPr>
      <w:r>
        <w:rPr>
          <w:rFonts w:hint="eastAsia" w:ascii="宋体" w:hAnsi="宋体" w:cs="宋体"/>
          <w:b/>
          <w:bCs/>
          <w:color w:val="auto"/>
          <w:sz w:val="21"/>
          <w:szCs w:val="21"/>
          <w:highlight w:val="none"/>
        </w:rPr>
        <w:t>附拟派项目负责人</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rPr>
        <w:t>项目经理</w:t>
      </w:r>
      <w:r>
        <w:rPr>
          <w:rFonts w:hint="eastAsia" w:ascii="宋体" w:hAnsi="宋体" w:cs="宋体"/>
          <w:b/>
          <w:bCs/>
          <w:color w:val="auto"/>
          <w:sz w:val="21"/>
          <w:szCs w:val="21"/>
          <w:highlight w:val="none"/>
          <w:lang w:eastAsia="zh-CN"/>
        </w:rPr>
        <w:t>）的</w:t>
      </w:r>
      <w:r>
        <w:rPr>
          <w:rFonts w:hint="eastAsia" w:ascii="宋体" w:hAnsi="宋体" w:cs="宋体"/>
          <w:b/>
          <w:bCs/>
          <w:color w:val="auto"/>
          <w:sz w:val="21"/>
          <w:szCs w:val="21"/>
          <w:highlight w:val="none"/>
        </w:rPr>
        <w:t>建造师注册证书、安全生产考核合格证书、身份证，</w:t>
      </w:r>
      <w:r>
        <w:rPr>
          <w:rFonts w:hint="eastAsia" w:ascii="宋体" w:hAnsi="宋体" w:cs="宋体"/>
          <w:b/>
          <w:bCs/>
          <w:color w:val="auto"/>
          <w:sz w:val="21"/>
          <w:szCs w:val="21"/>
          <w:highlight w:val="none"/>
          <w:lang w:eastAsia="zh-CN"/>
        </w:rPr>
        <w:t>类似业绩证明材料（如有），劳动合同或社保证明</w:t>
      </w:r>
      <w:r>
        <w:rPr>
          <w:rFonts w:hint="eastAsia" w:ascii="宋体" w:hAnsi="宋体" w:cs="宋体"/>
          <w:b/>
          <w:bCs/>
          <w:color w:val="auto"/>
          <w:sz w:val="21"/>
          <w:szCs w:val="21"/>
          <w:highlight w:val="none"/>
        </w:rPr>
        <w:t>等材料扫描件</w:t>
      </w:r>
      <w:r>
        <w:rPr>
          <w:rFonts w:hint="eastAsia" w:ascii="宋体" w:hAnsi="宋体" w:cs="宋体"/>
          <w:b/>
          <w:bCs/>
          <w:color w:val="auto"/>
          <w:sz w:val="21"/>
          <w:szCs w:val="21"/>
          <w:highlight w:val="none"/>
          <w:lang w:eastAsia="zh-CN"/>
        </w:rPr>
        <w:t>。</w:t>
      </w:r>
    </w:p>
    <w:p w14:paraId="4E40E5AF">
      <w:pPr>
        <w:pageBreakBefore w:val="0"/>
        <w:kinsoku/>
        <w:wordWrap w:val="0"/>
        <w:overflowPunct/>
        <w:topLinePunct w:val="0"/>
        <w:bidi w:val="0"/>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color w:val="auto"/>
          <w:szCs w:val="24"/>
          <w:highlight w:val="none"/>
          <w:lang w:val="en-US" w:eastAsia="zh-CN" w:bidi="en-US"/>
        </w:rPr>
        <w:br w:type="page"/>
      </w:r>
      <w:bookmarkStart w:id="327" w:name="_Toc10988"/>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、项目管理机构组成表</w:t>
      </w:r>
      <w:bookmarkEnd w:id="327"/>
    </w:p>
    <w:tbl>
      <w:tblPr>
        <w:tblStyle w:val="3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4"/>
        <w:gridCol w:w="1032"/>
        <w:gridCol w:w="1020"/>
        <w:gridCol w:w="1257"/>
        <w:gridCol w:w="969"/>
        <w:gridCol w:w="1267"/>
        <w:gridCol w:w="1347"/>
        <w:gridCol w:w="1368"/>
      </w:tblGrid>
      <w:tr w14:paraId="72E4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vMerge w:val="restart"/>
            <w:noWrap w:val="0"/>
            <w:vAlign w:val="center"/>
          </w:tcPr>
          <w:p w14:paraId="6EF1EB50">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职务</w:t>
            </w:r>
          </w:p>
        </w:tc>
        <w:tc>
          <w:tcPr>
            <w:tcW w:w="540" w:type="pct"/>
            <w:vMerge w:val="restart"/>
            <w:noWrap w:val="0"/>
            <w:vAlign w:val="center"/>
          </w:tcPr>
          <w:p w14:paraId="014A67F2">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姓名</w:t>
            </w:r>
          </w:p>
        </w:tc>
        <w:tc>
          <w:tcPr>
            <w:tcW w:w="534" w:type="pct"/>
            <w:vMerge w:val="restart"/>
            <w:noWrap w:val="0"/>
            <w:vAlign w:val="center"/>
          </w:tcPr>
          <w:p w14:paraId="778F6E45">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职称</w:t>
            </w:r>
          </w:p>
        </w:tc>
        <w:tc>
          <w:tcPr>
            <w:tcW w:w="3247" w:type="pct"/>
            <w:gridSpan w:val="5"/>
            <w:noWrap w:val="0"/>
            <w:vAlign w:val="center"/>
          </w:tcPr>
          <w:p w14:paraId="3DB6927B">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执业或职业资格证明</w:t>
            </w:r>
          </w:p>
        </w:tc>
      </w:tr>
      <w:tr w14:paraId="0749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vMerge w:val="continue"/>
            <w:noWrap w:val="0"/>
            <w:vAlign w:val="center"/>
          </w:tcPr>
          <w:p w14:paraId="1E6C18AF">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p>
        </w:tc>
        <w:tc>
          <w:tcPr>
            <w:tcW w:w="540" w:type="pct"/>
            <w:vMerge w:val="continue"/>
            <w:noWrap w:val="0"/>
            <w:vAlign w:val="center"/>
          </w:tcPr>
          <w:p w14:paraId="26C45414">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p>
        </w:tc>
        <w:tc>
          <w:tcPr>
            <w:tcW w:w="534" w:type="pct"/>
            <w:vMerge w:val="continue"/>
            <w:noWrap w:val="0"/>
            <w:vAlign w:val="center"/>
          </w:tcPr>
          <w:p w14:paraId="09211DE6">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p>
        </w:tc>
        <w:tc>
          <w:tcPr>
            <w:tcW w:w="658" w:type="pct"/>
            <w:noWrap w:val="0"/>
            <w:vAlign w:val="center"/>
          </w:tcPr>
          <w:p w14:paraId="5AC145CA">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证书名称</w:t>
            </w:r>
          </w:p>
        </w:tc>
        <w:tc>
          <w:tcPr>
            <w:tcW w:w="507" w:type="pct"/>
            <w:noWrap w:val="0"/>
            <w:vAlign w:val="center"/>
          </w:tcPr>
          <w:p w14:paraId="78D50767">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级别</w:t>
            </w:r>
          </w:p>
        </w:tc>
        <w:tc>
          <w:tcPr>
            <w:tcW w:w="663" w:type="pct"/>
            <w:noWrap w:val="0"/>
            <w:vAlign w:val="center"/>
          </w:tcPr>
          <w:p w14:paraId="36F797C9">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证号</w:t>
            </w:r>
          </w:p>
        </w:tc>
        <w:tc>
          <w:tcPr>
            <w:tcW w:w="705" w:type="pct"/>
            <w:noWrap w:val="0"/>
            <w:vAlign w:val="center"/>
          </w:tcPr>
          <w:p w14:paraId="28748637">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专业</w:t>
            </w:r>
          </w:p>
        </w:tc>
        <w:tc>
          <w:tcPr>
            <w:tcW w:w="713" w:type="pct"/>
            <w:noWrap w:val="0"/>
            <w:vAlign w:val="center"/>
          </w:tcPr>
          <w:p w14:paraId="1B1349E7">
            <w:pPr>
              <w:pageBreakBefore w:val="0"/>
              <w:widowControl/>
              <w:kinsoku/>
              <w:wordWrap w:val="0"/>
              <w:overflowPunct/>
              <w:topLinePunct w:val="0"/>
              <w:bidi w:val="0"/>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文化程度</w:t>
            </w:r>
          </w:p>
        </w:tc>
      </w:tr>
      <w:tr w14:paraId="39DB0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0FDD7ACC">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7E2A4092">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2B4583C6">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4AD13C6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44E2395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0C29B801">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53D84143">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251D1B4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7DD4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251517CD">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2E87762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6AFBBEFC">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340EC6D4">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1FCF2E85">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415B72A1">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08152C4F">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1D8B1377">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7E887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0E75DC89">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37828A7D">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0DFC3F92">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1930CE06">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7D160ABD">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761D5541">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324BBDA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4F39C424">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73AE9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7473233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024CC11E">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0DD7B35C">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2C5016D0">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28ADF939">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222C36D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2E574C2E">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7CF71BF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06B3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58FC3A0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2E9F7CEA">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0F344C96">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3A1821AF">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59E4112C">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0F45F7F2">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07EF21C7">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5FC5E93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5E800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77" w:type="pct"/>
            <w:noWrap w:val="0"/>
            <w:vAlign w:val="center"/>
          </w:tcPr>
          <w:p w14:paraId="4F0B20AB">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40" w:type="pct"/>
            <w:noWrap w:val="0"/>
            <w:vAlign w:val="center"/>
          </w:tcPr>
          <w:p w14:paraId="346E7276">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34" w:type="pct"/>
            <w:noWrap w:val="0"/>
            <w:vAlign w:val="center"/>
          </w:tcPr>
          <w:p w14:paraId="09D1FBB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58" w:type="pct"/>
            <w:noWrap w:val="0"/>
            <w:vAlign w:val="center"/>
          </w:tcPr>
          <w:p w14:paraId="386002A6">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507" w:type="pct"/>
            <w:noWrap w:val="0"/>
            <w:vAlign w:val="center"/>
          </w:tcPr>
          <w:p w14:paraId="0F5B02FA">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663" w:type="pct"/>
            <w:noWrap w:val="0"/>
            <w:vAlign w:val="center"/>
          </w:tcPr>
          <w:p w14:paraId="17F29D97">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05" w:type="pct"/>
            <w:noWrap w:val="0"/>
            <w:vAlign w:val="center"/>
          </w:tcPr>
          <w:p w14:paraId="7051CD38">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c>
          <w:tcPr>
            <w:tcW w:w="713" w:type="pct"/>
            <w:noWrap w:val="0"/>
            <w:vAlign w:val="center"/>
          </w:tcPr>
          <w:p w14:paraId="2E9649AF">
            <w:pPr>
              <w:pageBreakBefore w:val="0"/>
              <w:widowControl/>
              <w:kinsoku/>
              <w:wordWrap w:val="0"/>
              <w:overflowPunct/>
              <w:topLinePunct w:val="0"/>
              <w:bidi w:val="0"/>
              <w:jc w:val="center"/>
              <w:rPr>
                <w:rFonts w:hint="eastAsia" w:ascii="宋体" w:hAnsi="宋体" w:eastAsia="宋体" w:cs="宋体"/>
                <w:color w:val="auto"/>
                <w:kern w:val="0"/>
                <w:sz w:val="21"/>
                <w:szCs w:val="21"/>
                <w:highlight w:val="none"/>
              </w:rPr>
            </w:pPr>
          </w:p>
        </w:tc>
      </w:tr>
      <w:tr w14:paraId="0A09D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5000" w:type="pct"/>
            <w:gridSpan w:val="8"/>
            <w:noWrap w:val="0"/>
            <w:vAlign w:val="center"/>
          </w:tcPr>
          <w:p w14:paraId="128BAEE2">
            <w:pPr>
              <w:pageBreakBefore w:val="0"/>
              <w:widowControl/>
              <w:kinsoku/>
              <w:wordWrap w:val="0"/>
              <w:overflowPunct/>
              <w:topLinePunct w:val="0"/>
              <w:bidi w:val="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一旦我单位成交，将实行项目经理负责制，我方保证并配备上述项目管理机构。上述填报内容真实，若不真实，愿按有关规定接受处理。</w:t>
            </w:r>
          </w:p>
        </w:tc>
      </w:tr>
    </w:tbl>
    <w:p w14:paraId="4DB2D0B3">
      <w:pPr>
        <w:keepNext w:val="0"/>
        <w:keepLines w:val="0"/>
        <w:pageBreakBefore w:val="0"/>
        <w:widowControl w:val="0"/>
        <w:kinsoku/>
        <w:wordWrap w:val="0"/>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1"/>
          <w:szCs w:val="21"/>
          <w:highlight w:val="none"/>
        </w:rPr>
        <w:t>注：人员应附身份证、毕业证、相应岗位资格证书，</w:t>
      </w:r>
      <w:r>
        <w:rPr>
          <w:rFonts w:hint="eastAsia" w:ascii="宋体" w:hAnsi="宋体" w:cs="宋体"/>
          <w:b/>
          <w:bCs/>
          <w:color w:val="auto"/>
          <w:sz w:val="21"/>
          <w:szCs w:val="21"/>
          <w:highlight w:val="none"/>
          <w:lang w:eastAsia="zh-CN"/>
        </w:rPr>
        <w:t>劳动合同或社保证明</w:t>
      </w:r>
      <w:r>
        <w:rPr>
          <w:rFonts w:hint="eastAsia" w:ascii="宋体" w:hAnsi="宋体" w:eastAsia="宋体" w:cs="宋体"/>
          <w:b/>
          <w:bCs/>
          <w:color w:val="auto"/>
          <w:sz w:val="21"/>
          <w:szCs w:val="21"/>
          <w:highlight w:val="none"/>
        </w:rPr>
        <w:t>等材料扫描件。</w:t>
      </w:r>
    </w:p>
    <w:p w14:paraId="67D72BCD">
      <w:pPr>
        <w:pageBreakBefore w:val="0"/>
        <w:kinsoku/>
        <w:wordWrap w:val="0"/>
        <w:overflowPunct/>
        <w:topLinePunct w:val="0"/>
        <w:bidi w:val="0"/>
        <w:spacing w:line="360" w:lineRule="auto"/>
        <w:jc w:val="center"/>
        <w:rPr>
          <w:rFonts w:hint="eastAsia" w:ascii="宋体" w:hAnsi="宋体" w:eastAsia="宋体" w:cs="宋体"/>
          <w:color w:val="auto"/>
          <w:szCs w:val="21"/>
          <w:highlight w:val="none"/>
        </w:rPr>
      </w:pPr>
    </w:p>
    <w:p w14:paraId="36FF91F1">
      <w:pPr>
        <w:pStyle w:val="5"/>
        <w:keepLines w:val="0"/>
        <w:pageBreakBefore w:val="0"/>
        <w:widowControl/>
        <w:kinsoku/>
        <w:wordWrap w:val="0"/>
        <w:overflowPunct/>
        <w:topLinePunct w:val="0"/>
        <w:bidi w:val="0"/>
        <w:jc w:val="center"/>
        <w:rPr>
          <w:rFonts w:hint="eastAsia" w:ascii="宋体" w:hAnsi="宋体" w:eastAsia="宋体" w:cs="宋体"/>
          <w:color w:val="auto"/>
          <w:szCs w:val="24"/>
          <w:highlight w:val="none"/>
          <w:lang w:val="en-US" w:eastAsia="zh-CN" w:bidi="en-US"/>
        </w:rPr>
      </w:pPr>
    </w:p>
    <w:p w14:paraId="0DB496B6">
      <w:pPr>
        <w:pStyle w:val="5"/>
        <w:keepNext/>
        <w:keepLines w:val="0"/>
        <w:pageBreakBefore w:val="0"/>
        <w:widowControl/>
        <w:kinsoku/>
        <w:wordWrap w:val="0"/>
        <w:overflowPunct/>
        <w:topLinePunct w:val="0"/>
        <w:autoSpaceDE/>
        <w:autoSpaceDN/>
        <w:bidi w:val="0"/>
        <w:adjustRightInd/>
        <w:snapToGrid/>
        <w:spacing w:before="140" w:after="20" w:line="360" w:lineRule="auto"/>
        <w:jc w:val="center"/>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val="0"/>
          <w:color w:val="auto"/>
          <w:spacing w:val="0"/>
          <w:kern w:val="2"/>
          <w:sz w:val="28"/>
          <w:szCs w:val="28"/>
          <w:highlight w:val="none"/>
          <w:lang w:val="en-US" w:eastAsia="zh-CN" w:bidi="en-US"/>
        </w:rPr>
        <w:br w:type="page"/>
      </w:r>
      <w:bookmarkStart w:id="328" w:name="_Toc5961"/>
      <w:r>
        <w:rPr>
          <w:rFonts w:hint="eastAsia" w:ascii="宋体" w:hAnsi="宋体" w:cs="宋体"/>
          <w:b/>
          <w:bCs/>
          <w:color w:val="auto"/>
          <w:kern w:val="2"/>
          <w:sz w:val="28"/>
          <w:szCs w:val="28"/>
          <w:highlight w:val="none"/>
          <w:lang w:val="en-US" w:eastAsia="zh-CN" w:bidi="ar-SA"/>
        </w:rPr>
        <w:t>六</w:t>
      </w:r>
      <w:r>
        <w:rPr>
          <w:rFonts w:hint="eastAsia" w:ascii="宋体" w:hAnsi="宋体" w:eastAsia="宋体" w:cs="宋体"/>
          <w:b/>
          <w:bCs/>
          <w:color w:val="auto"/>
          <w:kern w:val="2"/>
          <w:sz w:val="28"/>
          <w:szCs w:val="28"/>
          <w:highlight w:val="none"/>
          <w:lang w:val="en-US" w:eastAsia="zh-CN" w:bidi="ar-SA"/>
        </w:rPr>
        <w:t>、施工组织设计</w:t>
      </w:r>
      <w:bookmarkEnd w:id="328"/>
    </w:p>
    <w:p w14:paraId="03DD77E5">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应根据</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文件和对现场的勘察情况，采用文字并结合图表形式，参考以下要点编制本工程的施工组织设计：</w:t>
      </w:r>
    </w:p>
    <w:p w14:paraId="7F3DE01C">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（1）施工技术方案；</w:t>
      </w:r>
    </w:p>
    <w:p w14:paraId="25E764FE">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）施工主要工序；</w:t>
      </w:r>
    </w:p>
    <w:p w14:paraId="1C5C9797">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）质量承诺及保证措施；</w:t>
      </w:r>
    </w:p>
    <w:p w14:paraId="19655020">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）安全文明施工保证措施；</w:t>
      </w:r>
    </w:p>
    <w:p w14:paraId="15866403">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）工期承诺及保证措施；</w:t>
      </w:r>
    </w:p>
    <w:p w14:paraId="15B91B9C">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（6）资源配备计划</w:t>
      </w:r>
    </w:p>
    <w:p w14:paraId="2BFD2FDF">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其他</w:t>
      </w:r>
    </w:p>
    <w:p w14:paraId="5576AE71">
      <w:pPr>
        <w:pageBreakBefore w:val="0"/>
        <w:tabs>
          <w:tab w:val="left" w:pos="720"/>
        </w:tabs>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2、施工组织设计除采用文字表述外可参考附下列图表，图表及格式，投标人根据其施工组织设计的要求可自行把下列图表添加到相应的项目中。</w:t>
      </w:r>
    </w:p>
    <w:p w14:paraId="52358869">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附表一 拟投入本标段的主要施工设备表</w:t>
      </w:r>
    </w:p>
    <w:p w14:paraId="26534199">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附表二 拟配备本标段的试验和检测仪器设备表</w:t>
      </w:r>
    </w:p>
    <w:p w14:paraId="55FCDC9D">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附表三 劳动力计划表</w:t>
      </w:r>
    </w:p>
    <w:p w14:paraId="7D2099FA">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附表四 计划开、竣工日期和施工进度网络图</w:t>
      </w:r>
    </w:p>
    <w:p w14:paraId="7AC25295">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附表五 施工总平面图</w:t>
      </w:r>
    </w:p>
    <w:p w14:paraId="0C45BEE3">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附表六 临时用地表</w:t>
      </w:r>
    </w:p>
    <w:p w14:paraId="7C9CE65F">
      <w:pPr>
        <w:adjustRightInd w:val="0"/>
        <w:snapToGrid w:val="0"/>
        <w:jc w:val="left"/>
        <w:rPr>
          <w:color w:val="auto"/>
          <w:highlight w:val="none"/>
        </w:rPr>
      </w:pPr>
      <w:r>
        <w:rPr>
          <w:color w:val="auto"/>
          <w:highlight w:val="none"/>
        </w:rPr>
        <w:br w:type="page"/>
      </w:r>
    </w:p>
    <w:p w14:paraId="3014023E">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附表一：拟投入本标段的主要施工设备表</w:t>
      </w:r>
    </w:p>
    <w:p w14:paraId="20BDC08B">
      <w:pPr>
        <w:adjustRightInd w:val="0"/>
        <w:snapToGrid w:val="0"/>
        <w:spacing w:line="360" w:lineRule="auto"/>
        <w:jc w:val="left"/>
        <w:rPr>
          <w:rFonts w:ascii="宋体" w:hAnsi="宋体"/>
          <w:color w:val="auto"/>
          <w:kern w:val="0"/>
          <w:szCs w:val="21"/>
          <w:highlight w:val="none"/>
        </w:rPr>
      </w:pPr>
    </w:p>
    <w:tbl>
      <w:tblPr>
        <w:tblStyle w:val="3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8"/>
        <w:gridCol w:w="1431"/>
        <w:gridCol w:w="838"/>
        <w:gridCol w:w="1230"/>
        <w:gridCol w:w="795"/>
        <w:gridCol w:w="843"/>
        <w:gridCol w:w="955"/>
        <w:gridCol w:w="955"/>
        <w:gridCol w:w="957"/>
        <w:gridCol w:w="806"/>
      </w:tblGrid>
      <w:tr w14:paraId="5C14A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131E5662">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431" w:type="dxa"/>
            <w:shd w:val="clear" w:color="auto" w:fill="auto"/>
            <w:vAlign w:val="center"/>
          </w:tcPr>
          <w:p w14:paraId="57507445">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设备名称</w:t>
            </w:r>
          </w:p>
        </w:tc>
        <w:tc>
          <w:tcPr>
            <w:tcW w:w="838" w:type="dxa"/>
            <w:shd w:val="clear" w:color="auto" w:fill="auto"/>
            <w:vAlign w:val="center"/>
          </w:tcPr>
          <w:p w14:paraId="26C48705">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型号规格</w:t>
            </w:r>
          </w:p>
        </w:tc>
        <w:tc>
          <w:tcPr>
            <w:tcW w:w="1230" w:type="dxa"/>
            <w:shd w:val="clear" w:color="auto" w:fill="auto"/>
            <w:vAlign w:val="center"/>
          </w:tcPr>
          <w:p w14:paraId="0DFAAC4B">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数量</w:t>
            </w:r>
          </w:p>
        </w:tc>
        <w:tc>
          <w:tcPr>
            <w:tcW w:w="795" w:type="dxa"/>
            <w:shd w:val="clear" w:color="auto" w:fill="auto"/>
            <w:vAlign w:val="center"/>
          </w:tcPr>
          <w:p w14:paraId="3583D9D4">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国别产地</w:t>
            </w:r>
          </w:p>
        </w:tc>
        <w:tc>
          <w:tcPr>
            <w:tcW w:w="843" w:type="dxa"/>
            <w:shd w:val="clear" w:color="auto" w:fill="auto"/>
            <w:vAlign w:val="center"/>
          </w:tcPr>
          <w:p w14:paraId="79641010">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制造年份</w:t>
            </w:r>
          </w:p>
        </w:tc>
        <w:tc>
          <w:tcPr>
            <w:tcW w:w="955" w:type="dxa"/>
            <w:shd w:val="clear" w:color="auto" w:fill="auto"/>
            <w:vAlign w:val="center"/>
          </w:tcPr>
          <w:p w14:paraId="6FD57029">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额定功率（KW）</w:t>
            </w:r>
          </w:p>
        </w:tc>
        <w:tc>
          <w:tcPr>
            <w:tcW w:w="955" w:type="dxa"/>
            <w:shd w:val="clear" w:color="auto" w:fill="auto"/>
            <w:vAlign w:val="center"/>
          </w:tcPr>
          <w:p w14:paraId="0A10D4B7">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生产能力</w:t>
            </w:r>
          </w:p>
        </w:tc>
        <w:tc>
          <w:tcPr>
            <w:tcW w:w="957" w:type="dxa"/>
            <w:shd w:val="clear" w:color="auto" w:fill="auto"/>
            <w:vAlign w:val="center"/>
          </w:tcPr>
          <w:p w14:paraId="3954D86E">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用于施工部位</w:t>
            </w:r>
          </w:p>
        </w:tc>
        <w:tc>
          <w:tcPr>
            <w:tcW w:w="806" w:type="dxa"/>
            <w:shd w:val="clear" w:color="auto" w:fill="auto"/>
            <w:vAlign w:val="center"/>
          </w:tcPr>
          <w:p w14:paraId="4284451D">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备注</w:t>
            </w:r>
          </w:p>
        </w:tc>
      </w:tr>
      <w:tr w14:paraId="7DCFC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4B78C127">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6A5790E8">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05976AA4">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614999EA">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6799D36">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137AE15B">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3A778A41">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1D0A6544">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31DA95BB">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488DAA60">
            <w:pPr>
              <w:adjustRightInd w:val="0"/>
              <w:snapToGrid w:val="0"/>
              <w:spacing w:line="360" w:lineRule="auto"/>
              <w:jc w:val="center"/>
              <w:rPr>
                <w:rFonts w:ascii="宋体" w:hAnsi="宋体"/>
                <w:color w:val="auto"/>
                <w:kern w:val="0"/>
                <w:szCs w:val="21"/>
                <w:highlight w:val="none"/>
              </w:rPr>
            </w:pPr>
          </w:p>
        </w:tc>
      </w:tr>
      <w:tr w14:paraId="7192A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26476BB4">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6BE333B">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2C9B52C3">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8D36DF0">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58C6FBD0">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6AB4AA7D">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3DC7C3C">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66BE707">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42E87971">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5485BA66">
            <w:pPr>
              <w:adjustRightInd w:val="0"/>
              <w:snapToGrid w:val="0"/>
              <w:spacing w:line="360" w:lineRule="auto"/>
              <w:jc w:val="center"/>
              <w:rPr>
                <w:rFonts w:ascii="宋体" w:hAnsi="宋体"/>
                <w:color w:val="auto"/>
                <w:kern w:val="0"/>
                <w:szCs w:val="21"/>
                <w:highlight w:val="none"/>
              </w:rPr>
            </w:pPr>
          </w:p>
        </w:tc>
      </w:tr>
      <w:tr w14:paraId="5B9E7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2511091C">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63C9AAAF">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5B4B63A8">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598D8886">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6B38F59">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6180F80A">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26AADAA">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69E872C6">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1CCC8D1E">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46DBA757">
            <w:pPr>
              <w:adjustRightInd w:val="0"/>
              <w:snapToGrid w:val="0"/>
              <w:spacing w:line="360" w:lineRule="auto"/>
              <w:jc w:val="center"/>
              <w:rPr>
                <w:rFonts w:ascii="宋体" w:hAnsi="宋体"/>
                <w:color w:val="auto"/>
                <w:kern w:val="0"/>
                <w:szCs w:val="21"/>
                <w:highlight w:val="none"/>
              </w:rPr>
            </w:pPr>
          </w:p>
        </w:tc>
      </w:tr>
      <w:tr w14:paraId="751F7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13BB1DC0">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5E99CA61">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1BF4573">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638ED120">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ECE6D76">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596694A0">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58C5F29B">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506B99DC">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548E8541">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3A97B6CF">
            <w:pPr>
              <w:adjustRightInd w:val="0"/>
              <w:snapToGrid w:val="0"/>
              <w:spacing w:line="360" w:lineRule="auto"/>
              <w:jc w:val="center"/>
              <w:rPr>
                <w:rFonts w:ascii="宋体" w:hAnsi="宋体"/>
                <w:color w:val="auto"/>
                <w:kern w:val="0"/>
                <w:szCs w:val="21"/>
                <w:highlight w:val="none"/>
              </w:rPr>
            </w:pPr>
          </w:p>
        </w:tc>
      </w:tr>
      <w:tr w14:paraId="7DA22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5CC1E2FA">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7AAEC5A">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40136B6D">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0DE2FA7">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2B04D57C">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1BDE54FD">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60B46278">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59017ED">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042F35AA">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3C4E7881">
            <w:pPr>
              <w:adjustRightInd w:val="0"/>
              <w:snapToGrid w:val="0"/>
              <w:spacing w:line="360" w:lineRule="auto"/>
              <w:jc w:val="center"/>
              <w:rPr>
                <w:rFonts w:ascii="宋体" w:hAnsi="宋体"/>
                <w:color w:val="auto"/>
                <w:kern w:val="0"/>
                <w:szCs w:val="21"/>
                <w:highlight w:val="none"/>
              </w:rPr>
            </w:pPr>
          </w:p>
        </w:tc>
      </w:tr>
      <w:tr w14:paraId="26409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75BC0C9D">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1CE3DEA">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3BDB9A60">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21B7511">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0558CACC">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7342C9FF">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2FA6C41">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0052FCC6">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1629AB7B">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00DC6C34">
            <w:pPr>
              <w:adjustRightInd w:val="0"/>
              <w:snapToGrid w:val="0"/>
              <w:spacing w:line="360" w:lineRule="auto"/>
              <w:jc w:val="center"/>
              <w:rPr>
                <w:rFonts w:ascii="宋体" w:hAnsi="宋体"/>
                <w:color w:val="auto"/>
                <w:kern w:val="0"/>
                <w:szCs w:val="21"/>
                <w:highlight w:val="none"/>
              </w:rPr>
            </w:pPr>
          </w:p>
        </w:tc>
      </w:tr>
      <w:tr w14:paraId="25E0D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61398094">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3C3E5E61">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48ED10A">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73A4FF53">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2E7795F2">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50849BC4">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4B9C0078">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CE57519">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62BC56E3">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57421EC1">
            <w:pPr>
              <w:adjustRightInd w:val="0"/>
              <w:snapToGrid w:val="0"/>
              <w:spacing w:line="360" w:lineRule="auto"/>
              <w:jc w:val="center"/>
              <w:rPr>
                <w:rFonts w:ascii="宋体" w:hAnsi="宋体"/>
                <w:color w:val="auto"/>
                <w:kern w:val="0"/>
                <w:szCs w:val="21"/>
                <w:highlight w:val="none"/>
              </w:rPr>
            </w:pPr>
          </w:p>
        </w:tc>
      </w:tr>
      <w:tr w14:paraId="21836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523D11B3">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0BA65B07">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FE2E1CD">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17972C7C">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54CA619C">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3C5665DA">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18848714">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46DF626F">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5DD5B8AE">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1FD55D93">
            <w:pPr>
              <w:adjustRightInd w:val="0"/>
              <w:snapToGrid w:val="0"/>
              <w:spacing w:line="360" w:lineRule="auto"/>
              <w:jc w:val="center"/>
              <w:rPr>
                <w:rFonts w:ascii="宋体" w:hAnsi="宋体"/>
                <w:color w:val="auto"/>
                <w:kern w:val="0"/>
                <w:szCs w:val="21"/>
                <w:highlight w:val="none"/>
              </w:rPr>
            </w:pPr>
          </w:p>
        </w:tc>
      </w:tr>
      <w:tr w14:paraId="192AAE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64E2719E">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65A2EF93">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48C9E1BA">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7C20EB87">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2813CB3E">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293DE659">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4CAF57C3">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A574DD5">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0F1B94DB">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575157CF">
            <w:pPr>
              <w:adjustRightInd w:val="0"/>
              <w:snapToGrid w:val="0"/>
              <w:spacing w:line="360" w:lineRule="auto"/>
              <w:jc w:val="center"/>
              <w:rPr>
                <w:rFonts w:ascii="宋体" w:hAnsi="宋体"/>
                <w:color w:val="auto"/>
                <w:kern w:val="0"/>
                <w:szCs w:val="21"/>
                <w:highlight w:val="none"/>
              </w:rPr>
            </w:pPr>
          </w:p>
        </w:tc>
      </w:tr>
      <w:tr w14:paraId="19BD3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06820E49">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27C0447C">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2D7D910C">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2B9797DB">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2D025BAD">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153D008E">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657045A5">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39FF8EEF">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3B785852">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72C51309">
            <w:pPr>
              <w:adjustRightInd w:val="0"/>
              <w:snapToGrid w:val="0"/>
              <w:spacing w:line="360" w:lineRule="auto"/>
              <w:jc w:val="center"/>
              <w:rPr>
                <w:rFonts w:ascii="宋体" w:hAnsi="宋体"/>
                <w:color w:val="auto"/>
                <w:kern w:val="0"/>
                <w:szCs w:val="21"/>
                <w:highlight w:val="none"/>
              </w:rPr>
            </w:pPr>
          </w:p>
        </w:tc>
      </w:tr>
      <w:tr w14:paraId="3C74E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7FADDA1F">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8E37CA7">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7D7D9ED2">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81D46FD">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183A7B62">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1E47775D">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11E84CDC">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3F504075">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4D068F22">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466CFAA5">
            <w:pPr>
              <w:adjustRightInd w:val="0"/>
              <w:snapToGrid w:val="0"/>
              <w:spacing w:line="360" w:lineRule="auto"/>
              <w:jc w:val="center"/>
              <w:rPr>
                <w:rFonts w:ascii="宋体" w:hAnsi="宋体"/>
                <w:color w:val="auto"/>
                <w:kern w:val="0"/>
                <w:szCs w:val="21"/>
                <w:highlight w:val="none"/>
              </w:rPr>
            </w:pPr>
          </w:p>
        </w:tc>
      </w:tr>
      <w:tr w14:paraId="03C9F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3958817B">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260A70F2">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35B5788A">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02A6279">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619FB9C5">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25954793">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CF52D77">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18C81E2C">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1E6FE718">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4DB53C61">
            <w:pPr>
              <w:adjustRightInd w:val="0"/>
              <w:snapToGrid w:val="0"/>
              <w:spacing w:line="360" w:lineRule="auto"/>
              <w:jc w:val="center"/>
              <w:rPr>
                <w:rFonts w:ascii="宋体" w:hAnsi="宋体"/>
                <w:color w:val="auto"/>
                <w:kern w:val="0"/>
                <w:szCs w:val="21"/>
                <w:highlight w:val="none"/>
              </w:rPr>
            </w:pPr>
          </w:p>
        </w:tc>
      </w:tr>
      <w:tr w14:paraId="1877C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03232D64">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35AE12DA">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10D67359">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1B8A220A">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CCA839E">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5AD7F13E">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5AF42FE">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8F230EE">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5FEACA74">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32858D3C">
            <w:pPr>
              <w:adjustRightInd w:val="0"/>
              <w:snapToGrid w:val="0"/>
              <w:spacing w:line="360" w:lineRule="auto"/>
              <w:jc w:val="center"/>
              <w:rPr>
                <w:rFonts w:ascii="宋体" w:hAnsi="宋体"/>
                <w:color w:val="auto"/>
                <w:kern w:val="0"/>
                <w:szCs w:val="21"/>
                <w:highlight w:val="none"/>
              </w:rPr>
            </w:pPr>
          </w:p>
        </w:tc>
      </w:tr>
      <w:tr w14:paraId="726EE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0883C970">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06D0A60D">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26375CAD">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7AA36A3">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AE136EE">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3A89A38D">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00A1CC7">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609613A0">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10DEB6F9">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385F3334">
            <w:pPr>
              <w:adjustRightInd w:val="0"/>
              <w:snapToGrid w:val="0"/>
              <w:spacing w:line="360" w:lineRule="auto"/>
              <w:jc w:val="center"/>
              <w:rPr>
                <w:rFonts w:ascii="宋体" w:hAnsi="宋体"/>
                <w:color w:val="auto"/>
                <w:kern w:val="0"/>
                <w:szCs w:val="21"/>
                <w:highlight w:val="none"/>
              </w:rPr>
            </w:pPr>
          </w:p>
        </w:tc>
      </w:tr>
      <w:tr w14:paraId="6293A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09A07E85">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5809F91">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C3F3DD1">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5BBFAA8A">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4C4FD907">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7CCFD284">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EA9DAEC">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429BD415">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7CEF4703">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05EABA47">
            <w:pPr>
              <w:adjustRightInd w:val="0"/>
              <w:snapToGrid w:val="0"/>
              <w:spacing w:line="360" w:lineRule="auto"/>
              <w:jc w:val="center"/>
              <w:rPr>
                <w:rFonts w:ascii="宋体" w:hAnsi="宋体"/>
                <w:color w:val="auto"/>
                <w:kern w:val="0"/>
                <w:szCs w:val="21"/>
                <w:highlight w:val="none"/>
              </w:rPr>
            </w:pPr>
          </w:p>
        </w:tc>
      </w:tr>
      <w:tr w14:paraId="0D187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4B8D8E85">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0AF6DC8">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2D9F46C9">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3B42E5CE">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7664F264">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04FBA293">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09B4367F">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F37CE9F">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23D464F4">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79E9807D">
            <w:pPr>
              <w:adjustRightInd w:val="0"/>
              <w:snapToGrid w:val="0"/>
              <w:spacing w:line="360" w:lineRule="auto"/>
              <w:jc w:val="center"/>
              <w:rPr>
                <w:rFonts w:ascii="宋体" w:hAnsi="宋体"/>
                <w:color w:val="auto"/>
                <w:kern w:val="0"/>
                <w:szCs w:val="21"/>
                <w:highlight w:val="none"/>
              </w:rPr>
            </w:pPr>
          </w:p>
        </w:tc>
      </w:tr>
      <w:tr w14:paraId="20938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506036E9">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71CA3B6F">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4BB07AC2">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8EA1710">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6FFED41C">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721B39C5">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0F761F60">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3C6FD2EC">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7578D22F">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0AE00B66">
            <w:pPr>
              <w:adjustRightInd w:val="0"/>
              <w:snapToGrid w:val="0"/>
              <w:spacing w:line="360" w:lineRule="auto"/>
              <w:jc w:val="center"/>
              <w:rPr>
                <w:rFonts w:ascii="宋体" w:hAnsi="宋体"/>
                <w:color w:val="auto"/>
                <w:kern w:val="0"/>
                <w:szCs w:val="21"/>
                <w:highlight w:val="none"/>
              </w:rPr>
            </w:pPr>
          </w:p>
        </w:tc>
      </w:tr>
      <w:tr w14:paraId="4E4AC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7CE00B9D">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3ED8F048">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B48EF39">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80FDD48">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18364629">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6F17F310">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E39F491">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194870B7">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6D1BC660">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22F6837A">
            <w:pPr>
              <w:adjustRightInd w:val="0"/>
              <w:snapToGrid w:val="0"/>
              <w:spacing w:line="360" w:lineRule="auto"/>
              <w:jc w:val="center"/>
              <w:rPr>
                <w:rFonts w:ascii="宋体" w:hAnsi="宋体"/>
                <w:color w:val="auto"/>
                <w:kern w:val="0"/>
                <w:szCs w:val="21"/>
                <w:highlight w:val="none"/>
              </w:rPr>
            </w:pPr>
          </w:p>
        </w:tc>
      </w:tr>
      <w:tr w14:paraId="74891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1F12D983">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2D3796FF">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0DAB32CE">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529E58E4">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5EAE55DD">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4ECD7BF6">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756C77E3">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4A6DE9C3">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1E27B25C">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2A21178B">
            <w:pPr>
              <w:adjustRightInd w:val="0"/>
              <w:snapToGrid w:val="0"/>
              <w:spacing w:line="360" w:lineRule="auto"/>
              <w:jc w:val="center"/>
              <w:rPr>
                <w:rFonts w:ascii="宋体" w:hAnsi="宋体"/>
                <w:color w:val="auto"/>
                <w:kern w:val="0"/>
                <w:szCs w:val="21"/>
                <w:highlight w:val="none"/>
              </w:rPr>
            </w:pPr>
          </w:p>
        </w:tc>
      </w:tr>
      <w:tr w14:paraId="0DF98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78" w:type="dxa"/>
            <w:shd w:val="clear" w:color="auto" w:fill="auto"/>
            <w:vAlign w:val="center"/>
          </w:tcPr>
          <w:p w14:paraId="0B5C1E34">
            <w:pPr>
              <w:adjustRightInd w:val="0"/>
              <w:snapToGrid w:val="0"/>
              <w:spacing w:line="360" w:lineRule="auto"/>
              <w:jc w:val="center"/>
              <w:rPr>
                <w:rFonts w:ascii="宋体" w:hAnsi="宋体"/>
                <w:color w:val="auto"/>
                <w:kern w:val="0"/>
                <w:szCs w:val="21"/>
                <w:highlight w:val="none"/>
              </w:rPr>
            </w:pPr>
          </w:p>
        </w:tc>
        <w:tc>
          <w:tcPr>
            <w:tcW w:w="1431" w:type="dxa"/>
            <w:shd w:val="clear" w:color="auto" w:fill="auto"/>
            <w:vAlign w:val="center"/>
          </w:tcPr>
          <w:p w14:paraId="2E62BC9C">
            <w:pPr>
              <w:adjustRightInd w:val="0"/>
              <w:snapToGrid w:val="0"/>
              <w:spacing w:line="360" w:lineRule="auto"/>
              <w:jc w:val="center"/>
              <w:rPr>
                <w:rFonts w:ascii="宋体" w:hAnsi="宋体"/>
                <w:color w:val="auto"/>
                <w:kern w:val="0"/>
                <w:szCs w:val="21"/>
                <w:highlight w:val="none"/>
              </w:rPr>
            </w:pPr>
          </w:p>
        </w:tc>
        <w:tc>
          <w:tcPr>
            <w:tcW w:w="838" w:type="dxa"/>
            <w:shd w:val="clear" w:color="auto" w:fill="auto"/>
            <w:vAlign w:val="center"/>
          </w:tcPr>
          <w:p w14:paraId="6A1CE6F6">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324A1084">
            <w:pPr>
              <w:adjustRightInd w:val="0"/>
              <w:snapToGrid w:val="0"/>
              <w:spacing w:line="360" w:lineRule="auto"/>
              <w:jc w:val="center"/>
              <w:rPr>
                <w:rFonts w:ascii="宋体" w:hAnsi="宋体"/>
                <w:color w:val="auto"/>
                <w:kern w:val="0"/>
                <w:szCs w:val="21"/>
                <w:highlight w:val="none"/>
              </w:rPr>
            </w:pPr>
          </w:p>
        </w:tc>
        <w:tc>
          <w:tcPr>
            <w:tcW w:w="795" w:type="dxa"/>
            <w:shd w:val="clear" w:color="auto" w:fill="auto"/>
            <w:vAlign w:val="center"/>
          </w:tcPr>
          <w:p w14:paraId="209189E0">
            <w:pPr>
              <w:adjustRightInd w:val="0"/>
              <w:snapToGrid w:val="0"/>
              <w:spacing w:line="360" w:lineRule="auto"/>
              <w:jc w:val="center"/>
              <w:rPr>
                <w:rFonts w:ascii="宋体" w:hAnsi="宋体"/>
                <w:color w:val="auto"/>
                <w:kern w:val="0"/>
                <w:szCs w:val="21"/>
                <w:highlight w:val="none"/>
              </w:rPr>
            </w:pPr>
          </w:p>
        </w:tc>
        <w:tc>
          <w:tcPr>
            <w:tcW w:w="843" w:type="dxa"/>
            <w:shd w:val="clear" w:color="auto" w:fill="auto"/>
            <w:vAlign w:val="center"/>
          </w:tcPr>
          <w:p w14:paraId="7F943124">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2AD24222">
            <w:pPr>
              <w:adjustRightInd w:val="0"/>
              <w:snapToGrid w:val="0"/>
              <w:spacing w:line="360" w:lineRule="auto"/>
              <w:jc w:val="center"/>
              <w:rPr>
                <w:rFonts w:ascii="宋体" w:hAnsi="宋体"/>
                <w:color w:val="auto"/>
                <w:kern w:val="0"/>
                <w:szCs w:val="21"/>
                <w:highlight w:val="none"/>
              </w:rPr>
            </w:pPr>
          </w:p>
        </w:tc>
        <w:tc>
          <w:tcPr>
            <w:tcW w:w="955" w:type="dxa"/>
            <w:shd w:val="clear" w:color="auto" w:fill="auto"/>
            <w:vAlign w:val="center"/>
          </w:tcPr>
          <w:p w14:paraId="02AE9CD6">
            <w:pPr>
              <w:adjustRightInd w:val="0"/>
              <w:snapToGrid w:val="0"/>
              <w:spacing w:line="360" w:lineRule="auto"/>
              <w:jc w:val="center"/>
              <w:rPr>
                <w:rFonts w:ascii="宋体" w:hAnsi="宋体"/>
                <w:color w:val="auto"/>
                <w:kern w:val="0"/>
                <w:szCs w:val="21"/>
                <w:highlight w:val="none"/>
              </w:rPr>
            </w:pPr>
          </w:p>
        </w:tc>
        <w:tc>
          <w:tcPr>
            <w:tcW w:w="957" w:type="dxa"/>
            <w:shd w:val="clear" w:color="auto" w:fill="auto"/>
            <w:vAlign w:val="center"/>
          </w:tcPr>
          <w:p w14:paraId="2845F828">
            <w:pPr>
              <w:adjustRightInd w:val="0"/>
              <w:snapToGrid w:val="0"/>
              <w:spacing w:line="360" w:lineRule="auto"/>
              <w:jc w:val="center"/>
              <w:rPr>
                <w:rFonts w:ascii="宋体" w:hAnsi="宋体"/>
                <w:color w:val="auto"/>
                <w:kern w:val="0"/>
                <w:szCs w:val="21"/>
                <w:highlight w:val="none"/>
              </w:rPr>
            </w:pPr>
          </w:p>
        </w:tc>
        <w:tc>
          <w:tcPr>
            <w:tcW w:w="806" w:type="dxa"/>
            <w:shd w:val="clear" w:color="auto" w:fill="auto"/>
            <w:vAlign w:val="center"/>
          </w:tcPr>
          <w:p w14:paraId="38F4D889">
            <w:pPr>
              <w:adjustRightInd w:val="0"/>
              <w:snapToGrid w:val="0"/>
              <w:spacing w:line="360" w:lineRule="auto"/>
              <w:jc w:val="center"/>
              <w:rPr>
                <w:rFonts w:ascii="宋体" w:hAnsi="宋体"/>
                <w:color w:val="auto"/>
                <w:kern w:val="0"/>
                <w:szCs w:val="21"/>
                <w:highlight w:val="none"/>
              </w:rPr>
            </w:pPr>
          </w:p>
        </w:tc>
      </w:tr>
    </w:tbl>
    <w:p w14:paraId="037C3051">
      <w:pPr>
        <w:adjustRightInd w:val="0"/>
        <w:snapToGrid w:val="0"/>
        <w:jc w:val="left"/>
        <w:rPr>
          <w:color w:val="auto"/>
          <w:highlight w:val="none"/>
        </w:rPr>
      </w:pPr>
      <w:r>
        <w:rPr>
          <w:color w:val="auto"/>
          <w:highlight w:val="none"/>
        </w:rPr>
        <w:br w:type="page"/>
      </w:r>
    </w:p>
    <w:p w14:paraId="5E28B4D9">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附表二：拟配备本标段的试验和检测仪器设备表</w:t>
      </w:r>
    </w:p>
    <w:p w14:paraId="1528DCD0">
      <w:pPr>
        <w:adjustRightInd w:val="0"/>
        <w:snapToGrid w:val="0"/>
        <w:spacing w:line="360" w:lineRule="auto"/>
        <w:jc w:val="left"/>
        <w:rPr>
          <w:rFonts w:ascii="宋体" w:hAnsi="宋体"/>
          <w:color w:val="auto"/>
          <w:kern w:val="0"/>
          <w:szCs w:val="21"/>
          <w:highlight w:val="none"/>
        </w:rPr>
      </w:pPr>
    </w:p>
    <w:tbl>
      <w:tblPr>
        <w:tblStyle w:val="3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1051"/>
        <w:gridCol w:w="1219"/>
        <w:gridCol w:w="886"/>
        <w:gridCol w:w="1230"/>
        <w:gridCol w:w="873"/>
        <w:gridCol w:w="1051"/>
        <w:gridCol w:w="1053"/>
        <w:gridCol w:w="1053"/>
      </w:tblGrid>
      <w:tr w14:paraId="5C471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53628B72">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序号</w:t>
            </w:r>
          </w:p>
        </w:tc>
        <w:tc>
          <w:tcPr>
            <w:tcW w:w="1051" w:type="dxa"/>
            <w:shd w:val="clear" w:color="auto" w:fill="auto"/>
            <w:vAlign w:val="center"/>
          </w:tcPr>
          <w:p w14:paraId="72067D0C">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仪器设备名称</w:t>
            </w:r>
          </w:p>
        </w:tc>
        <w:tc>
          <w:tcPr>
            <w:tcW w:w="1219" w:type="dxa"/>
            <w:shd w:val="clear" w:color="auto" w:fill="auto"/>
            <w:vAlign w:val="center"/>
          </w:tcPr>
          <w:p w14:paraId="35817C6A">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型号规格</w:t>
            </w:r>
          </w:p>
        </w:tc>
        <w:tc>
          <w:tcPr>
            <w:tcW w:w="886" w:type="dxa"/>
            <w:shd w:val="clear" w:color="auto" w:fill="auto"/>
            <w:vAlign w:val="center"/>
          </w:tcPr>
          <w:p w14:paraId="4C56DCF2">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数量</w:t>
            </w:r>
          </w:p>
        </w:tc>
        <w:tc>
          <w:tcPr>
            <w:tcW w:w="1230" w:type="dxa"/>
            <w:shd w:val="clear" w:color="auto" w:fill="auto"/>
            <w:vAlign w:val="center"/>
          </w:tcPr>
          <w:p w14:paraId="2FA7BF35">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国别产地</w:t>
            </w:r>
          </w:p>
        </w:tc>
        <w:tc>
          <w:tcPr>
            <w:tcW w:w="873" w:type="dxa"/>
            <w:shd w:val="clear" w:color="auto" w:fill="auto"/>
            <w:vAlign w:val="center"/>
          </w:tcPr>
          <w:p w14:paraId="03D3440D">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制造年份</w:t>
            </w:r>
          </w:p>
        </w:tc>
        <w:tc>
          <w:tcPr>
            <w:tcW w:w="1051" w:type="dxa"/>
            <w:shd w:val="clear" w:color="auto" w:fill="auto"/>
            <w:vAlign w:val="center"/>
          </w:tcPr>
          <w:p w14:paraId="00019A0F">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已使用台数</w:t>
            </w:r>
          </w:p>
        </w:tc>
        <w:tc>
          <w:tcPr>
            <w:tcW w:w="1053" w:type="dxa"/>
            <w:shd w:val="clear" w:color="auto" w:fill="auto"/>
            <w:vAlign w:val="center"/>
          </w:tcPr>
          <w:p w14:paraId="5C1BD453">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用途</w:t>
            </w:r>
          </w:p>
        </w:tc>
        <w:tc>
          <w:tcPr>
            <w:tcW w:w="1053" w:type="dxa"/>
            <w:shd w:val="clear" w:color="auto" w:fill="auto"/>
            <w:vAlign w:val="center"/>
          </w:tcPr>
          <w:p w14:paraId="400DA0F9">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备注</w:t>
            </w:r>
          </w:p>
        </w:tc>
      </w:tr>
      <w:tr w14:paraId="4A5BF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28464C73">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78CA60EA">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401B76E4">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0ABF1345">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7F937BDF">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3394768E">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7678A99F">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34D03A0">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70D91155">
            <w:pPr>
              <w:adjustRightInd w:val="0"/>
              <w:snapToGrid w:val="0"/>
              <w:spacing w:line="360" w:lineRule="auto"/>
              <w:jc w:val="center"/>
              <w:rPr>
                <w:rFonts w:ascii="宋体" w:hAnsi="宋体"/>
                <w:color w:val="auto"/>
                <w:kern w:val="0"/>
                <w:szCs w:val="21"/>
                <w:highlight w:val="none"/>
              </w:rPr>
            </w:pPr>
          </w:p>
        </w:tc>
      </w:tr>
      <w:tr w14:paraId="7126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4A63C47C">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2ADA1FAD">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643BF902">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48449A1">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2EDF378E">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3A6A8213">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34A82BCE">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651B404">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00A3C00">
            <w:pPr>
              <w:adjustRightInd w:val="0"/>
              <w:snapToGrid w:val="0"/>
              <w:spacing w:line="360" w:lineRule="auto"/>
              <w:jc w:val="center"/>
              <w:rPr>
                <w:rFonts w:ascii="宋体" w:hAnsi="宋体"/>
                <w:color w:val="auto"/>
                <w:kern w:val="0"/>
                <w:szCs w:val="21"/>
                <w:highlight w:val="none"/>
              </w:rPr>
            </w:pPr>
          </w:p>
        </w:tc>
      </w:tr>
      <w:tr w14:paraId="7B89A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71695483">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4004A88">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586D43A1">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535CE28">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26A36A3E">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279F87F7">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731B3667">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AAFDC09">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4E325AFD">
            <w:pPr>
              <w:adjustRightInd w:val="0"/>
              <w:snapToGrid w:val="0"/>
              <w:spacing w:line="360" w:lineRule="auto"/>
              <w:jc w:val="center"/>
              <w:rPr>
                <w:rFonts w:ascii="宋体" w:hAnsi="宋体"/>
                <w:color w:val="auto"/>
                <w:kern w:val="0"/>
                <w:szCs w:val="21"/>
                <w:highlight w:val="none"/>
              </w:rPr>
            </w:pPr>
          </w:p>
        </w:tc>
      </w:tr>
      <w:tr w14:paraId="6DA00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60791E86">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1CA5845">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5BDA2536">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DB37AFD">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61C04159">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0CA2FFFD">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007C878">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E8E4AA4">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0FC2E7FC">
            <w:pPr>
              <w:adjustRightInd w:val="0"/>
              <w:snapToGrid w:val="0"/>
              <w:spacing w:line="360" w:lineRule="auto"/>
              <w:jc w:val="center"/>
              <w:rPr>
                <w:rFonts w:ascii="宋体" w:hAnsi="宋体"/>
                <w:color w:val="auto"/>
                <w:kern w:val="0"/>
                <w:szCs w:val="21"/>
                <w:highlight w:val="none"/>
              </w:rPr>
            </w:pPr>
          </w:p>
        </w:tc>
      </w:tr>
      <w:tr w14:paraId="1FBE3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64474FF4">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51260BB">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3C458307">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2FA90306">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76EFC495">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220C6394">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36F2A8A0">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7A1BA5AA">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E90D12F">
            <w:pPr>
              <w:adjustRightInd w:val="0"/>
              <w:snapToGrid w:val="0"/>
              <w:spacing w:line="360" w:lineRule="auto"/>
              <w:jc w:val="center"/>
              <w:rPr>
                <w:rFonts w:ascii="宋体" w:hAnsi="宋体"/>
                <w:color w:val="auto"/>
                <w:kern w:val="0"/>
                <w:szCs w:val="21"/>
                <w:highlight w:val="none"/>
              </w:rPr>
            </w:pPr>
          </w:p>
        </w:tc>
      </w:tr>
      <w:tr w14:paraId="1EEE8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0A57800A">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5BCB1BFE">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186FA0F0">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0E82D0A4">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673ED011">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16940CCC">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164849F5">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2D30A3C1">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C1B487F">
            <w:pPr>
              <w:adjustRightInd w:val="0"/>
              <w:snapToGrid w:val="0"/>
              <w:spacing w:line="360" w:lineRule="auto"/>
              <w:jc w:val="center"/>
              <w:rPr>
                <w:rFonts w:ascii="宋体" w:hAnsi="宋体"/>
                <w:color w:val="auto"/>
                <w:kern w:val="0"/>
                <w:szCs w:val="21"/>
                <w:highlight w:val="none"/>
              </w:rPr>
            </w:pPr>
          </w:p>
        </w:tc>
      </w:tr>
      <w:tr w14:paraId="2615F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3B77EAE6">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7246949A">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305EDE0E">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47A47424">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39EDF893">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57B1E71D">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1170BC66">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5BC3D0FB">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009A5783">
            <w:pPr>
              <w:adjustRightInd w:val="0"/>
              <w:snapToGrid w:val="0"/>
              <w:spacing w:line="360" w:lineRule="auto"/>
              <w:jc w:val="center"/>
              <w:rPr>
                <w:rFonts w:ascii="宋体" w:hAnsi="宋体"/>
                <w:color w:val="auto"/>
                <w:kern w:val="0"/>
                <w:szCs w:val="21"/>
                <w:highlight w:val="none"/>
              </w:rPr>
            </w:pPr>
          </w:p>
        </w:tc>
      </w:tr>
      <w:tr w14:paraId="2C63F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3CFE2648">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39416EE">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6775B53E">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7AC9417">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25C3510C">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6FC67C1C">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E599B50">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7D62ECB">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4D371FCA">
            <w:pPr>
              <w:adjustRightInd w:val="0"/>
              <w:snapToGrid w:val="0"/>
              <w:spacing w:line="360" w:lineRule="auto"/>
              <w:jc w:val="center"/>
              <w:rPr>
                <w:rFonts w:ascii="宋体" w:hAnsi="宋体"/>
                <w:color w:val="auto"/>
                <w:kern w:val="0"/>
                <w:szCs w:val="21"/>
                <w:highlight w:val="none"/>
              </w:rPr>
            </w:pPr>
          </w:p>
        </w:tc>
      </w:tr>
      <w:tr w14:paraId="61D0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094474FA">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59BA2EE">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4932399A">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4ABF8C98">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3578BCAD">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130F133B">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F26041D">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0048FBF8">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97E81EE">
            <w:pPr>
              <w:adjustRightInd w:val="0"/>
              <w:snapToGrid w:val="0"/>
              <w:spacing w:line="360" w:lineRule="auto"/>
              <w:jc w:val="center"/>
              <w:rPr>
                <w:rFonts w:ascii="宋体" w:hAnsi="宋体"/>
                <w:color w:val="auto"/>
                <w:kern w:val="0"/>
                <w:szCs w:val="21"/>
                <w:highlight w:val="none"/>
              </w:rPr>
            </w:pPr>
          </w:p>
        </w:tc>
      </w:tr>
      <w:tr w14:paraId="4E7AB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1A79364D">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BC7013B">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699FCC73">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157E315E">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0569267">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609D31BE">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283252A5">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FC9DF5A">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0BDF23E6">
            <w:pPr>
              <w:adjustRightInd w:val="0"/>
              <w:snapToGrid w:val="0"/>
              <w:spacing w:line="360" w:lineRule="auto"/>
              <w:jc w:val="center"/>
              <w:rPr>
                <w:rFonts w:ascii="宋体" w:hAnsi="宋体"/>
                <w:color w:val="auto"/>
                <w:kern w:val="0"/>
                <w:szCs w:val="21"/>
                <w:highlight w:val="none"/>
              </w:rPr>
            </w:pPr>
          </w:p>
        </w:tc>
      </w:tr>
      <w:tr w14:paraId="66CB1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50215526">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52AA8AD4">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0C682488">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4A320207">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37EF1286">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606CBCCD">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AB296A4">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2B37F6BC">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ED0DB51">
            <w:pPr>
              <w:adjustRightInd w:val="0"/>
              <w:snapToGrid w:val="0"/>
              <w:spacing w:line="360" w:lineRule="auto"/>
              <w:jc w:val="center"/>
              <w:rPr>
                <w:rFonts w:ascii="宋体" w:hAnsi="宋体"/>
                <w:color w:val="auto"/>
                <w:kern w:val="0"/>
                <w:szCs w:val="21"/>
                <w:highlight w:val="none"/>
              </w:rPr>
            </w:pPr>
          </w:p>
        </w:tc>
      </w:tr>
      <w:tr w14:paraId="6AB42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61A7B7CE">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EEF5FF5">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0FEC8928">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1ABDC69A">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36DA341">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6AC70FE2">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BFBDBD7">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7A3DBDE">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03EDC426">
            <w:pPr>
              <w:adjustRightInd w:val="0"/>
              <w:snapToGrid w:val="0"/>
              <w:spacing w:line="360" w:lineRule="auto"/>
              <w:jc w:val="center"/>
              <w:rPr>
                <w:rFonts w:ascii="宋体" w:hAnsi="宋体"/>
                <w:color w:val="auto"/>
                <w:kern w:val="0"/>
                <w:szCs w:val="21"/>
                <w:highlight w:val="none"/>
              </w:rPr>
            </w:pPr>
          </w:p>
        </w:tc>
      </w:tr>
      <w:tr w14:paraId="76DB2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74A875F6">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3111710A">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28094B43">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0C90E75F">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5C187434">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56A1DDEC">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5F7CC717">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F741501">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70B5245">
            <w:pPr>
              <w:adjustRightInd w:val="0"/>
              <w:snapToGrid w:val="0"/>
              <w:spacing w:line="360" w:lineRule="auto"/>
              <w:jc w:val="center"/>
              <w:rPr>
                <w:rFonts w:ascii="宋体" w:hAnsi="宋体"/>
                <w:color w:val="auto"/>
                <w:kern w:val="0"/>
                <w:szCs w:val="21"/>
                <w:highlight w:val="none"/>
              </w:rPr>
            </w:pPr>
          </w:p>
        </w:tc>
      </w:tr>
      <w:tr w14:paraId="4AB91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7B04C5CE">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D62F621">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4532A7D4">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316C6379">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2684C6CE">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00ABE89F">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8E3D9BA">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4262927D">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03A20C0">
            <w:pPr>
              <w:adjustRightInd w:val="0"/>
              <w:snapToGrid w:val="0"/>
              <w:spacing w:line="360" w:lineRule="auto"/>
              <w:jc w:val="center"/>
              <w:rPr>
                <w:rFonts w:ascii="宋体" w:hAnsi="宋体"/>
                <w:color w:val="auto"/>
                <w:kern w:val="0"/>
                <w:szCs w:val="21"/>
                <w:highlight w:val="none"/>
              </w:rPr>
            </w:pPr>
          </w:p>
        </w:tc>
      </w:tr>
      <w:tr w14:paraId="67DEA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1EB906C8">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29324527">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3B6B1B93">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2E6C31CF">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1E8E19FF">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14CF4FF6">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DB684F0">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531FEE8">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74075643">
            <w:pPr>
              <w:adjustRightInd w:val="0"/>
              <w:snapToGrid w:val="0"/>
              <w:spacing w:line="360" w:lineRule="auto"/>
              <w:jc w:val="center"/>
              <w:rPr>
                <w:rFonts w:ascii="宋体" w:hAnsi="宋体"/>
                <w:color w:val="auto"/>
                <w:kern w:val="0"/>
                <w:szCs w:val="21"/>
                <w:highlight w:val="none"/>
              </w:rPr>
            </w:pPr>
          </w:p>
        </w:tc>
      </w:tr>
      <w:tr w14:paraId="06505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72F2933F">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807EA83">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74B89133">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84909F3">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57F653D1">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064CAC92">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6572B2B">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7E3FEB45">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5F851C21">
            <w:pPr>
              <w:adjustRightInd w:val="0"/>
              <w:snapToGrid w:val="0"/>
              <w:spacing w:line="360" w:lineRule="auto"/>
              <w:jc w:val="center"/>
              <w:rPr>
                <w:rFonts w:ascii="宋体" w:hAnsi="宋体"/>
                <w:color w:val="auto"/>
                <w:kern w:val="0"/>
                <w:szCs w:val="21"/>
                <w:highlight w:val="none"/>
              </w:rPr>
            </w:pPr>
          </w:p>
        </w:tc>
      </w:tr>
      <w:tr w14:paraId="57DBF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3FCF931A">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53EAB7BD">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18CB3EE0">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5C3DD9F9">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7F909F81">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228E07CF">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0529251">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642AB63">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3D380C3B">
            <w:pPr>
              <w:adjustRightInd w:val="0"/>
              <w:snapToGrid w:val="0"/>
              <w:spacing w:line="360" w:lineRule="auto"/>
              <w:jc w:val="center"/>
              <w:rPr>
                <w:rFonts w:ascii="宋体" w:hAnsi="宋体"/>
                <w:color w:val="auto"/>
                <w:kern w:val="0"/>
                <w:szCs w:val="21"/>
                <w:highlight w:val="none"/>
              </w:rPr>
            </w:pPr>
          </w:p>
        </w:tc>
      </w:tr>
      <w:tr w14:paraId="6E738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73D019F7">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652A5E31">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17E21160">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720ED6D7">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05ECAEAB">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6B633AEF">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46832B3C">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A35D3F1">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45F91A3A">
            <w:pPr>
              <w:adjustRightInd w:val="0"/>
              <w:snapToGrid w:val="0"/>
              <w:spacing w:line="360" w:lineRule="auto"/>
              <w:jc w:val="center"/>
              <w:rPr>
                <w:rFonts w:ascii="宋体" w:hAnsi="宋体"/>
                <w:color w:val="auto"/>
                <w:kern w:val="0"/>
                <w:szCs w:val="21"/>
                <w:highlight w:val="none"/>
              </w:rPr>
            </w:pPr>
          </w:p>
        </w:tc>
      </w:tr>
      <w:tr w14:paraId="58A48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6EE7B333">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74A9DD4">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16F8394C">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03B38C4B">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16832ABA">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3988DD97">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22A75965">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14C42082">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5347B018">
            <w:pPr>
              <w:adjustRightInd w:val="0"/>
              <w:snapToGrid w:val="0"/>
              <w:spacing w:line="360" w:lineRule="auto"/>
              <w:jc w:val="center"/>
              <w:rPr>
                <w:rFonts w:ascii="宋体" w:hAnsi="宋体"/>
                <w:color w:val="auto"/>
                <w:kern w:val="0"/>
                <w:szCs w:val="21"/>
                <w:highlight w:val="none"/>
              </w:rPr>
            </w:pPr>
          </w:p>
        </w:tc>
      </w:tr>
      <w:tr w14:paraId="0A3C3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872" w:type="dxa"/>
            <w:shd w:val="clear" w:color="auto" w:fill="auto"/>
            <w:vAlign w:val="center"/>
          </w:tcPr>
          <w:p w14:paraId="47098CA0">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1626C56B">
            <w:pPr>
              <w:adjustRightInd w:val="0"/>
              <w:snapToGrid w:val="0"/>
              <w:spacing w:line="360" w:lineRule="auto"/>
              <w:jc w:val="center"/>
              <w:rPr>
                <w:rFonts w:ascii="宋体" w:hAnsi="宋体"/>
                <w:color w:val="auto"/>
                <w:kern w:val="0"/>
                <w:szCs w:val="21"/>
                <w:highlight w:val="none"/>
              </w:rPr>
            </w:pPr>
          </w:p>
        </w:tc>
        <w:tc>
          <w:tcPr>
            <w:tcW w:w="1219" w:type="dxa"/>
            <w:shd w:val="clear" w:color="auto" w:fill="auto"/>
            <w:vAlign w:val="center"/>
          </w:tcPr>
          <w:p w14:paraId="4F035893">
            <w:pPr>
              <w:adjustRightInd w:val="0"/>
              <w:snapToGrid w:val="0"/>
              <w:spacing w:line="360" w:lineRule="auto"/>
              <w:jc w:val="center"/>
              <w:rPr>
                <w:rFonts w:ascii="宋体" w:hAnsi="宋体"/>
                <w:color w:val="auto"/>
                <w:kern w:val="0"/>
                <w:szCs w:val="21"/>
                <w:highlight w:val="none"/>
              </w:rPr>
            </w:pPr>
          </w:p>
        </w:tc>
        <w:tc>
          <w:tcPr>
            <w:tcW w:w="886" w:type="dxa"/>
            <w:shd w:val="clear" w:color="auto" w:fill="auto"/>
            <w:vAlign w:val="center"/>
          </w:tcPr>
          <w:p w14:paraId="694F4912">
            <w:pPr>
              <w:adjustRightInd w:val="0"/>
              <w:snapToGrid w:val="0"/>
              <w:spacing w:line="360" w:lineRule="auto"/>
              <w:jc w:val="center"/>
              <w:rPr>
                <w:rFonts w:ascii="宋体" w:hAnsi="宋体"/>
                <w:color w:val="auto"/>
                <w:kern w:val="0"/>
                <w:szCs w:val="21"/>
                <w:highlight w:val="none"/>
              </w:rPr>
            </w:pPr>
          </w:p>
        </w:tc>
        <w:tc>
          <w:tcPr>
            <w:tcW w:w="1230" w:type="dxa"/>
            <w:shd w:val="clear" w:color="auto" w:fill="auto"/>
            <w:vAlign w:val="center"/>
          </w:tcPr>
          <w:p w14:paraId="4F7454A7">
            <w:pPr>
              <w:adjustRightInd w:val="0"/>
              <w:snapToGrid w:val="0"/>
              <w:spacing w:line="360" w:lineRule="auto"/>
              <w:jc w:val="center"/>
              <w:rPr>
                <w:rFonts w:ascii="宋体" w:hAnsi="宋体"/>
                <w:color w:val="auto"/>
                <w:kern w:val="0"/>
                <w:szCs w:val="21"/>
                <w:highlight w:val="none"/>
              </w:rPr>
            </w:pPr>
          </w:p>
        </w:tc>
        <w:tc>
          <w:tcPr>
            <w:tcW w:w="873" w:type="dxa"/>
            <w:shd w:val="clear" w:color="auto" w:fill="auto"/>
            <w:vAlign w:val="center"/>
          </w:tcPr>
          <w:p w14:paraId="33224F1D">
            <w:pPr>
              <w:adjustRightInd w:val="0"/>
              <w:snapToGrid w:val="0"/>
              <w:spacing w:line="360" w:lineRule="auto"/>
              <w:jc w:val="center"/>
              <w:rPr>
                <w:rFonts w:ascii="宋体" w:hAnsi="宋体"/>
                <w:color w:val="auto"/>
                <w:kern w:val="0"/>
                <w:szCs w:val="21"/>
                <w:highlight w:val="none"/>
              </w:rPr>
            </w:pPr>
          </w:p>
        </w:tc>
        <w:tc>
          <w:tcPr>
            <w:tcW w:w="1051" w:type="dxa"/>
            <w:shd w:val="clear" w:color="auto" w:fill="auto"/>
            <w:vAlign w:val="center"/>
          </w:tcPr>
          <w:p w14:paraId="0A6EBF36">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6C806680">
            <w:pPr>
              <w:adjustRightInd w:val="0"/>
              <w:snapToGrid w:val="0"/>
              <w:spacing w:line="360" w:lineRule="auto"/>
              <w:jc w:val="center"/>
              <w:rPr>
                <w:rFonts w:ascii="宋体" w:hAnsi="宋体"/>
                <w:color w:val="auto"/>
                <w:kern w:val="0"/>
                <w:szCs w:val="21"/>
                <w:highlight w:val="none"/>
              </w:rPr>
            </w:pPr>
          </w:p>
        </w:tc>
        <w:tc>
          <w:tcPr>
            <w:tcW w:w="1053" w:type="dxa"/>
            <w:shd w:val="clear" w:color="auto" w:fill="auto"/>
            <w:vAlign w:val="center"/>
          </w:tcPr>
          <w:p w14:paraId="27043E10">
            <w:pPr>
              <w:adjustRightInd w:val="0"/>
              <w:snapToGrid w:val="0"/>
              <w:spacing w:line="360" w:lineRule="auto"/>
              <w:jc w:val="center"/>
              <w:rPr>
                <w:rFonts w:ascii="宋体" w:hAnsi="宋体"/>
                <w:color w:val="auto"/>
                <w:kern w:val="0"/>
                <w:szCs w:val="21"/>
                <w:highlight w:val="none"/>
              </w:rPr>
            </w:pPr>
          </w:p>
        </w:tc>
      </w:tr>
    </w:tbl>
    <w:p w14:paraId="38E5145A">
      <w:pPr>
        <w:adjustRightInd w:val="0"/>
        <w:snapToGrid w:val="0"/>
        <w:jc w:val="left"/>
        <w:rPr>
          <w:color w:val="auto"/>
          <w:highlight w:val="none"/>
        </w:rPr>
      </w:pPr>
      <w:r>
        <w:rPr>
          <w:color w:val="auto"/>
          <w:highlight w:val="none"/>
        </w:rPr>
        <w:br w:type="page"/>
      </w:r>
    </w:p>
    <w:p w14:paraId="64F3B2C7">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附表三：劳动力计划表</w:t>
      </w:r>
    </w:p>
    <w:p w14:paraId="4302F0BC">
      <w:pPr>
        <w:adjustRightInd w:val="0"/>
        <w:snapToGrid w:val="0"/>
        <w:spacing w:line="360" w:lineRule="auto"/>
        <w:ind w:firstLine="5250" w:firstLineChars="2500"/>
        <w:jc w:val="left"/>
        <w:rPr>
          <w:rFonts w:ascii="宋体" w:hAnsi="宋体"/>
          <w:color w:val="auto"/>
          <w:kern w:val="0"/>
          <w:szCs w:val="21"/>
          <w:highlight w:val="none"/>
        </w:rPr>
      </w:pPr>
      <w:r>
        <w:rPr>
          <w:rFonts w:hint="eastAsia" w:ascii="宋体" w:hAnsi="宋体"/>
          <w:color w:val="auto"/>
          <w:kern w:val="0"/>
          <w:szCs w:val="21"/>
          <w:highlight w:val="none"/>
        </w:rPr>
        <w:t>单位：人</w:t>
      </w:r>
    </w:p>
    <w:tbl>
      <w:tblPr>
        <w:tblStyle w:val="3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8"/>
        <w:gridCol w:w="1195"/>
        <w:gridCol w:w="1195"/>
        <w:gridCol w:w="1194"/>
        <w:gridCol w:w="1194"/>
        <w:gridCol w:w="1194"/>
        <w:gridCol w:w="1196"/>
        <w:gridCol w:w="1042"/>
      </w:tblGrid>
      <w:tr w14:paraId="70BAF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58C4610C">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工种</w:t>
            </w:r>
          </w:p>
        </w:tc>
        <w:tc>
          <w:tcPr>
            <w:tcW w:w="8210" w:type="dxa"/>
            <w:gridSpan w:val="7"/>
            <w:shd w:val="clear" w:color="auto" w:fill="auto"/>
            <w:vAlign w:val="center"/>
          </w:tcPr>
          <w:p w14:paraId="75C9A4F1">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按工程施工阶段投入劳动力情况</w:t>
            </w:r>
          </w:p>
        </w:tc>
      </w:tr>
      <w:tr w14:paraId="22761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1EC70E37">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749695D0">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92C02FB">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76E29AD">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E1D0713">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C00DC53">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59E125C6">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570AEC0">
            <w:pPr>
              <w:adjustRightInd w:val="0"/>
              <w:snapToGrid w:val="0"/>
              <w:spacing w:line="360" w:lineRule="auto"/>
              <w:jc w:val="center"/>
              <w:rPr>
                <w:rFonts w:ascii="宋体" w:hAnsi="宋体"/>
                <w:color w:val="auto"/>
                <w:kern w:val="0"/>
                <w:szCs w:val="21"/>
                <w:highlight w:val="none"/>
              </w:rPr>
            </w:pPr>
          </w:p>
        </w:tc>
      </w:tr>
      <w:tr w14:paraId="6CEDB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522D1B74">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B9C3490">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32883D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F126DDC">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C27C461">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B307243">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6ED09AF0">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480F2E1E">
            <w:pPr>
              <w:adjustRightInd w:val="0"/>
              <w:snapToGrid w:val="0"/>
              <w:spacing w:line="360" w:lineRule="auto"/>
              <w:jc w:val="center"/>
              <w:rPr>
                <w:rFonts w:ascii="宋体" w:hAnsi="宋体"/>
                <w:color w:val="auto"/>
                <w:kern w:val="0"/>
                <w:szCs w:val="21"/>
                <w:highlight w:val="none"/>
              </w:rPr>
            </w:pPr>
          </w:p>
        </w:tc>
      </w:tr>
      <w:tr w14:paraId="06A6C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33EF33AD">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945687A">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6F6C75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32E5F11">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018BDC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83C898B">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3620CBA1">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525D5217">
            <w:pPr>
              <w:adjustRightInd w:val="0"/>
              <w:snapToGrid w:val="0"/>
              <w:spacing w:line="360" w:lineRule="auto"/>
              <w:jc w:val="center"/>
              <w:rPr>
                <w:rFonts w:ascii="宋体" w:hAnsi="宋体"/>
                <w:color w:val="auto"/>
                <w:kern w:val="0"/>
                <w:szCs w:val="21"/>
                <w:highlight w:val="none"/>
              </w:rPr>
            </w:pPr>
          </w:p>
        </w:tc>
      </w:tr>
      <w:tr w14:paraId="2C0FB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4671CFFD">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A4C2297">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3E06E218">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30426C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F2E3FA2">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E134D7F">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1773512C">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348FEA6F">
            <w:pPr>
              <w:adjustRightInd w:val="0"/>
              <w:snapToGrid w:val="0"/>
              <w:spacing w:line="360" w:lineRule="auto"/>
              <w:jc w:val="center"/>
              <w:rPr>
                <w:rFonts w:ascii="宋体" w:hAnsi="宋体"/>
                <w:color w:val="auto"/>
                <w:kern w:val="0"/>
                <w:szCs w:val="21"/>
                <w:highlight w:val="none"/>
              </w:rPr>
            </w:pPr>
          </w:p>
        </w:tc>
      </w:tr>
      <w:tr w14:paraId="1BA46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3538E67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089397D">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8975FA9">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F6534A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2ED6AEE">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21B0730">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0CF249F4">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38FF49E0">
            <w:pPr>
              <w:adjustRightInd w:val="0"/>
              <w:snapToGrid w:val="0"/>
              <w:spacing w:line="360" w:lineRule="auto"/>
              <w:jc w:val="center"/>
              <w:rPr>
                <w:rFonts w:ascii="宋体" w:hAnsi="宋体"/>
                <w:color w:val="auto"/>
                <w:kern w:val="0"/>
                <w:szCs w:val="21"/>
                <w:highlight w:val="none"/>
              </w:rPr>
            </w:pPr>
          </w:p>
        </w:tc>
      </w:tr>
      <w:tr w14:paraId="4388C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3D26E948">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187AFF4E">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E49BD8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9DD205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B01A43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326A2FF">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5434C979">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6B178583">
            <w:pPr>
              <w:adjustRightInd w:val="0"/>
              <w:snapToGrid w:val="0"/>
              <w:spacing w:line="360" w:lineRule="auto"/>
              <w:jc w:val="center"/>
              <w:rPr>
                <w:rFonts w:ascii="宋体" w:hAnsi="宋体"/>
                <w:color w:val="auto"/>
                <w:kern w:val="0"/>
                <w:szCs w:val="21"/>
                <w:highlight w:val="none"/>
              </w:rPr>
            </w:pPr>
          </w:p>
        </w:tc>
      </w:tr>
      <w:tr w14:paraId="4E423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13352057">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360FFBD">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9CA98F7">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B709614">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51779FB">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A7868C1">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06A9AA7A">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5D08DB17">
            <w:pPr>
              <w:adjustRightInd w:val="0"/>
              <w:snapToGrid w:val="0"/>
              <w:spacing w:line="360" w:lineRule="auto"/>
              <w:jc w:val="center"/>
              <w:rPr>
                <w:rFonts w:ascii="宋体" w:hAnsi="宋体"/>
                <w:color w:val="auto"/>
                <w:kern w:val="0"/>
                <w:szCs w:val="21"/>
                <w:highlight w:val="none"/>
              </w:rPr>
            </w:pPr>
          </w:p>
        </w:tc>
      </w:tr>
      <w:tr w14:paraId="40486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1E4F77A2">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3DB4B01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37FAF6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113E900">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7CFE1F3">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2EF15B6">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3CE9CE49">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D3507B6">
            <w:pPr>
              <w:adjustRightInd w:val="0"/>
              <w:snapToGrid w:val="0"/>
              <w:spacing w:line="360" w:lineRule="auto"/>
              <w:jc w:val="center"/>
              <w:rPr>
                <w:rFonts w:ascii="宋体" w:hAnsi="宋体"/>
                <w:color w:val="auto"/>
                <w:kern w:val="0"/>
                <w:szCs w:val="21"/>
                <w:highlight w:val="none"/>
              </w:rPr>
            </w:pPr>
          </w:p>
        </w:tc>
      </w:tr>
      <w:tr w14:paraId="5C5F6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681249DC">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47F57DB">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E1982D5">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BA7C9A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9A4AD2B">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BDB5863">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36B77607">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7488F276">
            <w:pPr>
              <w:adjustRightInd w:val="0"/>
              <w:snapToGrid w:val="0"/>
              <w:spacing w:line="360" w:lineRule="auto"/>
              <w:jc w:val="center"/>
              <w:rPr>
                <w:rFonts w:ascii="宋体" w:hAnsi="宋体"/>
                <w:color w:val="auto"/>
                <w:kern w:val="0"/>
                <w:szCs w:val="21"/>
                <w:highlight w:val="none"/>
              </w:rPr>
            </w:pPr>
          </w:p>
        </w:tc>
      </w:tr>
      <w:tr w14:paraId="51923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7D1E3E76">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B7BAD22">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3F24A9B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5558218">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F90FFF4">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C8F97A7">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495BE6BA">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4053DC2D">
            <w:pPr>
              <w:adjustRightInd w:val="0"/>
              <w:snapToGrid w:val="0"/>
              <w:spacing w:line="360" w:lineRule="auto"/>
              <w:jc w:val="center"/>
              <w:rPr>
                <w:rFonts w:ascii="宋体" w:hAnsi="宋体"/>
                <w:color w:val="auto"/>
                <w:kern w:val="0"/>
                <w:szCs w:val="21"/>
                <w:highlight w:val="none"/>
              </w:rPr>
            </w:pPr>
          </w:p>
        </w:tc>
      </w:tr>
      <w:tr w14:paraId="0DA4E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72EC497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54D72D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7A23774">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1441DB9">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D450490">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3E89FDE">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229FCAB0">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1539C4DD">
            <w:pPr>
              <w:adjustRightInd w:val="0"/>
              <w:snapToGrid w:val="0"/>
              <w:spacing w:line="360" w:lineRule="auto"/>
              <w:jc w:val="center"/>
              <w:rPr>
                <w:rFonts w:ascii="宋体" w:hAnsi="宋体"/>
                <w:color w:val="auto"/>
                <w:kern w:val="0"/>
                <w:szCs w:val="21"/>
                <w:highlight w:val="none"/>
              </w:rPr>
            </w:pPr>
          </w:p>
        </w:tc>
      </w:tr>
      <w:tr w14:paraId="3D426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023891B5">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716FAE98">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532C7E0">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0A47208">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3014295">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8141E63">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03582247">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1240D5E0">
            <w:pPr>
              <w:adjustRightInd w:val="0"/>
              <w:snapToGrid w:val="0"/>
              <w:spacing w:line="360" w:lineRule="auto"/>
              <w:jc w:val="center"/>
              <w:rPr>
                <w:rFonts w:ascii="宋体" w:hAnsi="宋体"/>
                <w:color w:val="auto"/>
                <w:kern w:val="0"/>
                <w:szCs w:val="21"/>
                <w:highlight w:val="none"/>
              </w:rPr>
            </w:pPr>
          </w:p>
        </w:tc>
      </w:tr>
      <w:tr w14:paraId="4AE18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51E9E38A">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22AF8B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659279E">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25A064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F489305">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F0C0B92">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3F4F22FD">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6AFED80">
            <w:pPr>
              <w:adjustRightInd w:val="0"/>
              <w:snapToGrid w:val="0"/>
              <w:spacing w:line="360" w:lineRule="auto"/>
              <w:jc w:val="center"/>
              <w:rPr>
                <w:rFonts w:ascii="宋体" w:hAnsi="宋体"/>
                <w:color w:val="auto"/>
                <w:kern w:val="0"/>
                <w:szCs w:val="21"/>
                <w:highlight w:val="none"/>
              </w:rPr>
            </w:pPr>
          </w:p>
        </w:tc>
      </w:tr>
      <w:tr w14:paraId="10CFF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0B9DBF52">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205F71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18EE4A2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11BAB4B">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5F8E117">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9CF18E2">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66CC2F49">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1E3C783">
            <w:pPr>
              <w:adjustRightInd w:val="0"/>
              <w:snapToGrid w:val="0"/>
              <w:spacing w:line="360" w:lineRule="auto"/>
              <w:jc w:val="center"/>
              <w:rPr>
                <w:rFonts w:ascii="宋体" w:hAnsi="宋体"/>
                <w:color w:val="auto"/>
                <w:kern w:val="0"/>
                <w:szCs w:val="21"/>
                <w:highlight w:val="none"/>
              </w:rPr>
            </w:pPr>
          </w:p>
        </w:tc>
      </w:tr>
      <w:tr w14:paraId="3C490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341B465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1670C27">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1923AA5D">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9DCE8B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AA70B51">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7F6E61A">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7EFA869C">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16C1BCE7">
            <w:pPr>
              <w:adjustRightInd w:val="0"/>
              <w:snapToGrid w:val="0"/>
              <w:spacing w:line="360" w:lineRule="auto"/>
              <w:jc w:val="center"/>
              <w:rPr>
                <w:rFonts w:ascii="宋体" w:hAnsi="宋体"/>
                <w:color w:val="auto"/>
                <w:kern w:val="0"/>
                <w:szCs w:val="21"/>
                <w:highlight w:val="none"/>
              </w:rPr>
            </w:pPr>
          </w:p>
        </w:tc>
      </w:tr>
      <w:tr w14:paraId="164BC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100B652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89F8F6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FC2984A">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630EF11D">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57810F5">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F2108A6">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6CCF2AB6">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0A041F3A">
            <w:pPr>
              <w:adjustRightInd w:val="0"/>
              <w:snapToGrid w:val="0"/>
              <w:spacing w:line="360" w:lineRule="auto"/>
              <w:jc w:val="center"/>
              <w:rPr>
                <w:rFonts w:ascii="宋体" w:hAnsi="宋体"/>
                <w:color w:val="auto"/>
                <w:kern w:val="0"/>
                <w:szCs w:val="21"/>
                <w:highlight w:val="none"/>
              </w:rPr>
            </w:pPr>
          </w:p>
        </w:tc>
      </w:tr>
      <w:tr w14:paraId="76E36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23D4AD98">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509F893B">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77DCE5B0">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2980702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13A6C2F">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3F640FA">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693B4D09">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6846E913">
            <w:pPr>
              <w:adjustRightInd w:val="0"/>
              <w:snapToGrid w:val="0"/>
              <w:spacing w:line="360" w:lineRule="auto"/>
              <w:jc w:val="center"/>
              <w:rPr>
                <w:rFonts w:ascii="宋体" w:hAnsi="宋体"/>
                <w:color w:val="auto"/>
                <w:kern w:val="0"/>
                <w:szCs w:val="21"/>
                <w:highlight w:val="none"/>
              </w:rPr>
            </w:pPr>
          </w:p>
        </w:tc>
      </w:tr>
      <w:tr w14:paraId="228D8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5929E645">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80C180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338B6B2">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ACC1D8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E60625E">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D84DC88">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78CF30F7">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4EA4BA04">
            <w:pPr>
              <w:adjustRightInd w:val="0"/>
              <w:snapToGrid w:val="0"/>
              <w:spacing w:line="360" w:lineRule="auto"/>
              <w:jc w:val="center"/>
              <w:rPr>
                <w:rFonts w:ascii="宋体" w:hAnsi="宋体"/>
                <w:color w:val="auto"/>
                <w:kern w:val="0"/>
                <w:szCs w:val="21"/>
                <w:highlight w:val="none"/>
              </w:rPr>
            </w:pPr>
          </w:p>
        </w:tc>
      </w:tr>
      <w:tr w14:paraId="3782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441CAB4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3A587231">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4F84592">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E8C2A14">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CD26647">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46415DF5">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44739BFE">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5F9D8D4A">
            <w:pPr>
              <w:adjustRightInd w:val="0"/>
              <w:snapToGrid w:val="0"/>
              <w:spacing w:line="360" w:lineRule="auto"/>
              <w:jc w:val="center"/>
              <w:rPr>
                <w:rFonts w:ascii="宋体" w:hAnsi="宋体"/>
                <w:color w:val="auto"/>
                <w:kern w:val="0"/>
                <w:szCs w:val="21"/>
                <w:highlight w:val="none"/>
              </w:rPr>
            </w:pPr>
          </w:p>
        </w:tc>
      </w:tr>
      <w:tr w14:paraId="6E1AB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1BD36650">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4770CBDE">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604B2029">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BBC081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7F21528">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A53CEE6">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2CCADF9F">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E26B6A1">
            <w:pPr>
              <w:adjustRightInd w:val="0"/>
              <w:snapToGrid w:val="0"/>
              <w:spacing w:line="360" w:lineRule="auto"/>
              <w:jc w:val="center"/>
              <w:rPr>
                <w:rFonts w:ascii="宋体" w:hAnsi="宋体"/>
                <w:color w:val="auto"/>
                <w:kern w:val="0"/>
                <w:szCs w:val="21"/>
                <w:highlight w:val="none"/>
              </w:rPr>
            </w:pPr>
          </w:p>
        </w:tc>
      </w:tr>
      <w:tr w14:paraId="379D1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61CADD60">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23E41443">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351EA974">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1E964A7">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5CA12DB9">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01549C31">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1DDE05C4">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28F05769">
            <w:pPr>
              <w:adjustRightInd w:val="0"/>
              <w:snapToGrid w:val="0"/>
              <w:spacing w:line="360" w:lineRule="auto"/>
              <w:jc w:val="center"/>
              <w:rPr>
                <w:rFonts w:ascii="宋体" w:hAnsi="宋体"/>
                <w:color w:val="auto"/>
                <w:kern w:val="0"/>
                <w:szCs w:val="21"/>
                <w:highlight w:val="none"/>
              </w:rPr>
            </w:pPr>
          </w:p>
        </w:tc>
      </w:tr>
      <w:tr w14:paraId="6C47C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78" w:type="dxa"/>
            <w:shd w:val="clear" w:color="auto" w:fill="auto"/>
            <w:vAlign w:val="center"/>
          </w:tcPr>
          <w:p w14:paraId="370ADA6E">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00077BB0">
            <w:pPr>
              <w:adjustRightInd w:val="0"/>
              <w:snapToGrid w:val="0"/>
              <w:spacing w:line="360" w:lineRule="auto"/>
              <w:jc w:val="center"/>
              <w:rPr>
                <w:rFonts w:ascii="宋体" w:hAnsi="宋体"/>
                <w:color w:val="auto"/>
                <w:kern w:val="0"/>
                <w:szCs w:val="21"/>
                <w:highlight w:val="none"/>
              </w:rPr>
            </w:pPr>
          </w:p>
        </w:tc>
        <w:tc>
          <w:tcPr>
            <w:tcW w:w="1195" w:type="dxa"/>
            <w:shd w:val="clear" w:color="auto" w:fill="auto"/>
            <w:vAlign w:val="center"/>
          </w:tcPr>
          <w:p w14:paraId="711FDD39">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784BF2D1">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311B3AA6">
            <w:pPr>
              <w:adjustRightInd w:val="0"/>
              <w:snapToGrid w:val="0"/>
              <w:spacing w:line="360" w:lineRule="auto"/>
              <w:jc w:val="center"/>
              <w:rPr>
                <w:rFonts w:ascii="宋体" w:hAnsi="宋体"/>
                <w:color w:val="auto"/>
                <w:kern w:val="0"/>
                <w:szCs w:val="21"/>
                <w:highlight w:val="none"/>
              </w:rPr>
            </w:pPr>
          </w:p>
        </w:tc>
        <w:tc>
          <w:tcPr>
            <w:tcW w:w="1194" w:type="dxa"/>
            <w:shd w:val="clear" w:color="auto" w:fill="auto"/>
            <w:vAlign w:val="center"/>
          </w:tcPr>
          <w:p w14:paraId="1C5287BF">
            <w:pPr>
              <w:adjustRightInd w:val="0"/>
              <w:snapToGrid w:val="0"/>
              <w:spacing w:line="360" w:lineRule="auto"/>
              <w:jc w:val="center"/>
              <w:rPr>
                <w:rFonts w:ascii="宋体" w:hAnsi="宋体"/>
                <w:color w:val="auto"/>
                <w:kern w:val="0"/>
                <w:szCs w:val="21"/>
                <w:highlight w:val="none"/>
              </w:rPr>
            </w:pPr>
          </w:p>
        </w:tc>
        <w:tc>
          <w:tcPr>
            <w:tcW w:w="1196" w:type="dxa"/>
            <w:shd w:val="clear" w:color="auto" w:fill="auto"/>
            <w:vAlign w:val="center"/>
          </w:tcPr>
          <w:p w14:paraId="4EE99279">
            <w:pPr>
              <w:adjustRightInd w:val="0"/>
              <w:snapToGrid w:val="0"/>
              <w:spacing w:line="360" w:lineRule="auto"/>
              <w:jc w:val="center"/>
              <w:rPr>
                <w:rFonts w:ascii="宋体" w:hAnsi="宋体"/>
                <w:color w:val="auto"/>
                <w:kern w:val="0"/>
                <w:szCs w:val="21"/>
                <w:highlight w:val="none"/>
              </w:rPr>
            </w:pPr>
          </w:p>
        </w:tc>
        <w:tc>
          <w:tcPr>
            <w:tcW w:w="1042" w:type="dxa"/>
            <w:shd w:val="clear" w:color="auto" w:fill="auto"/>
            <w:vAlign w:val="center"/>
          </w:tcPr>
          <w:p w14:paraId="416BD8B5">
            <w:pPr>
              <w:adjustRightInd w:val="0"/>
              <w:snapToGrid w:val="0"/>
              <w:spacing w:line="360" w:lineRule="auto"/>
              <w:jc w:val="center"/>
              <w:rPr>
                <w:rFonts w:ascii="宋体" w:hAnsi="宋体"/>
                <w:color w:val="auto"/>
                <w:kern w:val="0"/>
                <w:szCs w:val="21"/>
                <w:highlight w:val="none"/>
              </w:rPr>
            </w:pPr>
          </w:p>
        </w:tc>
      </w:tr>
    </w:tbl>
    <w:p w14:paraId="4AEC0397">
      <w:pPr>
        <w:adjustRightInd w:val="0"/>
        <w:snapToGrid w:val="0"/>
        <w:jc w:val="left"/>
        <w:rPr>
          <w:color w:val="auto"/>
          <w:highlight w:val="none"/>
        </w:rPr>
      </w:pPr>
      <w:r>
        <w:rPr>
          <w:color w:val="auto"/>
          <w:highlight w:val="none"/>
        </w:rPr>
        <w:br w:type="page"/>
      </w:r>
    </w:p>
    <w:p w14:paraId="53EEB9F6">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附表四：计划开、竣工日期和施工进度网络图</w:t>
      </w:r>
    </w:p>
    <w:p w14:paraId="3CC55AB4">
      <w:pPr>
        <w:adjustRightInd w:val="0"/>
        <w:snapToGrid w:val="0"/>
        <w:spacing w:line="360" w:lineRule="auto"/>
        <w:jc w:val="left"/>
        <w:rPr>
          <w:rFonts w:ascii="宋体" w:hAnsi="宋体"/>
          <w:color w:val="auto"/>
          <w:kern w:val="0"/>
          <w:szCs w:val="21"/>
          <w:highlight w:val="none"/>
        </w:rPr>
      </w:pPr>
    </w:p>
    <w:p w14:paraId="52E19D7A">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1.投标人应递交施工进度网络图或施工进度表，说明按招标文件要求的计划工期进行施工的各个关键日期。</w:t>
      </w:r>
    </w:p>
    <w:p w14:paraId="2F6FF12D">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2.施工进度表可采用网络图（或横道图）表示。</w:t>
      </w:r>
    </w:p>
    <w:p w14:paraId="4E4B1D17">
      <w:pPr>
        <w:adjustRightInd w:val="0"/>
        <w:snapToGrid w:val="0"/>
        <w:jc w:val="left"/>
        <w:rPr>
          <w:color w:val="auto"/>
          <w:highlight w:val="none"/>
        </w:rPr>
      </w:pPr>
      <w:r>
        <w:rPr>
          <w:color w:val="auto"/>
          <w:highlight w:val="none"/>
        </w:rPr>
        <w:br w:type="page"/>
      </w:r>
    </w:p>
    <w:p w14:paraId="7902A8B1">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附表五：施工总平面图</w:t>
      </w:r>
    </w:p>
    <w:p w14:paraId="388DDF84">
      <w:pPr>
        <w:adjustRightInd w:val="0"/>
        <w:snapToGrid w:val="0"/>
        <w:spacing w:line="360" w:lineRule="auto"/>
        <w:jc w:val="left"/>
        <w:rPr>
          <w:rFonts w:ascii="宋体" w:hAnsi="宋体"/>
          <w:color w:val="auto"/>
          <w:kern w:val="0"/>
          <w:szCs w:val="21"/>
          <w:highlight w:val="none"/>
        </w:rPr>
      </w:pPr>
    </w:p>
    <w:p w14:paraId="2726A7A2">
      <w:pPr>
        <w:adjustRightInd w:val="0"/>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投标人应递交一份施工总平面图，绘出现场临时设施布置图表并附文字说明，说明临时设施、加工车间、现场办公、设备及仓储、供电、供水、卫生、生活、道路、消防等设施的情况和布置。</w:t>
      </w:r>
    </w:p>
    <w:p w14:paraId="3D983BE4">
      <w:pPr>
        <w:adjustRightInd w:val="0"/>
        <w:snapToGrid w:val="0"/>
        <w:jc w:val="left"/>
        <w:rPr>
          <w:color w:val="auto"/>
          <w:highlight w:val="none"/>
        </w:rPr>
      </w:pPr>
      <w:r>
        <w:rPr>
          <w:color w:val="auto"/>
          <w:highlight w:val="none"/>
        </w:rPr>
        <w:br w:type="page"/>
      </w:r>
    </w:p>
    <w:p w14:paraId="6B45CF8C">
      <w:pPr>
        <w:adjustRightInd w:val="0"/>
        <w:snapToGrid w:val="0"/>
        <w:spacing w:line="360" w:lineRule="auto"/>
        <w:jc w:val="left"/>
        <w:rPr>
          <w:rFonts w:ascii="黑体" w:hAnsi="宋体" w:eastAsia="黑体"/>
          <w:color w:val="auto"/>
          <w:kern w:val="0"/>
          <w:sz w:val="28"/>
          <w:szCs w:val="28"/>
          <w:highlight w:val="none"/>
        </w:rPr>
      </w:pPr>
      <w:r>
        <w:rPr>
          <w:rFonts w:hint="eastAsia" w:ascii="黑体" w:hAnsi="宋体" w:eastAsia="黑体"/>
          <w:color w:val="auto"/>
          <w:kern w:val="0"/>
          <w:sz w:val="28"/>
          <w:szCs w:val="28"/>
          <w:highlight w:val="none"/>
        </w:rPr>
        <w:t>附表六：临时用地表</w:t>
      </w:r>
    </w:p>
    <w:p w14:paraId="33C9A674">
      <w:pPr>
        <w:adjustRightInd w:val="0"/>
        <w:snapToGrid w:val="0"/>
        <w:spacing w:line="360" w:lineRule="auto"/>
        <w:jc w:val="left"/>
        <w:rPr>
          <w:rFonts w:ascii="宋体" w:hAnsi="宋体"/>
          <w:color w:val="auto"/>
          <w:kern w:val="0"/>
          <w:szCs w:val="21"/>
          <w:highlight w:val="none"/>
        </w:rPr>
      </w:pPr>
    </w:p>
    <w:tbl>
      <w:tblPr>
        <w:tblStyle w:val="39"/>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2"/>
        <w:gridCol w:w="2443"/>
        <w:gridCol w:w="2443"/>
        <w:gridCol w:w="2290"/>
      </w:tblGrid>
      <w:tr w14:paraId="74E99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7BCDA645">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用途</w:t>
            </w:r>
          </w:p>
        </w:tc>
        <w:tc>
          <w:tcPr>
            <w:tcW w:w="2443" w:type="dxa"/>
            <w:shd w:val="clear" w:color="auto" w:fill="auto"/>
            <w:vAlign w:val="center"/>
          </w:tcPr>
          <w:p w14:paraId="6F21DC6E">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面积（平方米）</w:t>
            </w:r>
          </w:p>
        </w:tc>
        <w:tc>
          <w:tcPr>
            <w:tcW w:w="2443" w:type="dxa"/>
            <w:shd w:val="clear" w:color="auto" w:fill="auto"/>
            <w:vAlign w:val="center"/>
          </w:tcPr>
          <w:p w14:paraId="46B04B41">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位置</w:t>
            </w:r>
          </w:p>
        </w:tc>
        <w:tc>
          <w:tcPr>
            <w:tcW w:w="2290" w:type="dxa"/>
            <w:shd w:val="clear" w:color="auto" w:fill="auto"/>
            <w:vAlign w:val="center"/>
          </w:tcPr>
          <w:p w14:paraId="3956F163">
            <w:pPr>
              <w:adjustRightInd w:val="0"/>
              <w:snapToGrid w:val="0"/>
              <w:spacing w:line="360" w:lineRule="auto"/>
              <w:jc w:val="center"/>
              <w:rPr>
                <w:rFonts w:ascii="宋体" w:hAnsi="宋体"/>
                <w:color w:val="auto"/>
                <w:kern w:val="0"/>
                <w:szCs w:val="21"/>
                <w:highlight w:val="none"/>
              </w:rPr>
            </w:pPr>
            <w:r>
              <w:rPr>
                <w:rFonts w:hint="eastAsia" w:ascii="宋体" w:hAnsi="宋体"/>
                <w:color w:val="auto"/>
                <w:kern w:val="0"/>
                <w:szCs w:val="21"/>
                <w:highlight w:val="none"/>
              </w:rPr>
              <w:t>需用时间</w:t>
            </w:r>
          </w:p>
        </w:tc>
      </w:tr>
      <w:tr w14:paraId="32694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193732F2">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5AB380E">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4D33A5AA">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308F18D9">
            <w:pPr>
              <w:adjustRightInd w:val="0"/>
              <w:snapToGrid w:val="0"/>
              <w:spacing w:line="360" w:lineRule="auto"/>
              <w:jc w:val="center"/>
              <w:rPr>
                <w:rFonts w:ascii="宋体" w:hAnsi="宋体"/>
                <w:color w:val="auto"/>
                <w:kern w:val="0"/>
                <w:szCs w:val="21"/>
                <w:highlight w:val="none"/>
              </w:rPr>
            </w:pPr>
          </w:p>
        </w:tc>
      </w:tr>
      <w:tr w14:paraId="0A0E0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09575944">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2F7E059B">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01E6B0ED">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2ECC3F7">
            <w:pPr>
              <w:adjustRightInd w:val="0"/>
              <w:snapToGrid w:val="0"/>
              <w:spacing w:line="360" w:lineRule="auto"/>
              <w:jc w:val="center"/>
              <w:rPr>
                <w:rFonts w:ascii="宋体" w:hAnsi="宋体"/>
                <w:color w:val="auto"/>
                <w:kern w:val="0"/>
                <w:szCs w:val="21"/>
                <w:highlight w:val="none"/>
              </w:rPr>
            </w:pPr>
          </w:p>
        </w:tc>
      </w:tr>
      <w:tr w14:paraId="6E46A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10E0B98B">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0AA8C498">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09556E2">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6F142761">
            <w:pPr>
              <w:adjustRightInd w:val="0"/>
              <w:snapToGrid w:val="0"/>
              <w:spacing w:line="360" w:lineRule="auto"/>
              <w:jc w:val="center"/>
              <w:rPr>
                <w:rFonts w:ascii="宋体" w:hAnsi="宋体"/>
                <w:color w:val="auto"/>
                <w:kern w:val="0"/>
                <w:szCs w:val="21"/>
                <w:highlight w:val="none"/>
              </w:rPr>
            </w:pPr>
          </w:p>
        </w:tc>
      </w:tr>
      <w:tr w14:paraId="6E5CE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67CEEC27">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4B627B56">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02698D88">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BD58199">
            <w:pPr>
              <w:adjustRightInd w:val="0"/>
              <w:snapToGrid w:val="0"/>
              <w:spacing w:line="360" w:lineRule="auto"/>
              <w:jc w:val="center"/>
              <w:rPr>
                <w:rFonts w:ascii="宋体" w:hAnsi="宋体"/>
                <w:color w:val="auto"/>
                <w:kern w:val="0"/>
                <w:szCs w:val="21"/>
                <w:highlight w:val="none"/>
              </w:rPr>
            </w:pPr>
          </w:p>
        </w:tc>
      </w:tr>
      <w:tr w14:paraId="4E09E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1070A431">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7F2D876">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808116F">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1075C287">
            <w:pPr>
              <w:adjustRightInd w:val="0"/>
              <w:snapToGrid w:val="0"/>
              <w:spacing w:line="360" w:lineRule="auto"/>
              <w:jc w:val="center"/>
              <w:rPr>
                <w:rFonts w:ascii="宋体" w:hAnsi="宋体"/>
                <w:color w:val="auto"/>
                <w:kern w:val="0"/>
                <w:szCs w:val="21"/>
                <w:highlight w:val="none"/>
              </w:rPr>
            </w:pPr>
          </w:p>
        </w:tc>
      </w:tr>
      <w:tr w14:paraId="134FF2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7BF09A17">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96D9E49">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0DBFC22D">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54315CC3">
            <w:pPr>
              <w:adjustRightInd w:val="0"/>
              <w:snapToGrid w:val="0"/>
              <w:spacing w:line="360" w:lineRule="auto"/>
              <w:jc w:val="center"/>
              <w:rPr>
                <w:rFonts w:ascii="宋体" w:hAnsi="宋体"/>
                <w:color w:val="auto"/>
                <w:kern w:val="0"/>
                <w:szCs w:val="21"/>
                <w:highlight w:val="none"/>
              </w:rPr>
            </w:pPr>
          </w:p>
        </w:tc>
      </w:tr>
      <w:tr w14:paraId="7805F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632E37DB">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6935BF3">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AEA7F53">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160759B">
            <w:pPr>
              <w:adjustRightInd w:val="0"/>
              <w:snapToGrid w:val="0"/>
              <w:spacing w:line="360" w:lineRule="auto"/>
              <w:jc w:val="center"/>
              <w:rPr>
                <w:rFonts w:ascii="宋体" w:hAnsi="宋体"/>
                <w:color w:val="auto"/>
                <w:kern w:val="0"/>
                <w:szCs w:val="21"/>
                <w:highlight w:val="none"/>
              </w:rPr>
            </w:pPr>
          </w:p>
        </w:tc>
      </w:tr>
      <w:tr w14:paraId="39EE9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6380A170">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397048D">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1A76F76">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7626BE05">
            <w:pPr>
              <w:adjustRightInd w:val="0"/>
              <w:snapToGrid w:val="0"/>
              <w:spacing w:line="360" w:lineRule="auto"/>
              <w:jc w:val="center"/>
              <w:rPr>
                <w:rFonts w:ascii="宋体" w:hAnsi="宋体"/>
                <w:color w:val="auto"/>
                <w:kern w:val="0"/>
                <w:szCs w:val="21"/>
                <w:highlight w:val="none"/>
              </w:rPr>
            </w:pPr>
          </w:p>
        </w:tc>
      </w:tr>
      <w:tr w14:paraId="5E0F4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793506BD">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980447E">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85CC9AF">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7D4D32D">
            <w:pPr>
              <w:adjustRightInd w:val="0"/>
              <w:snapToGrid w:val="0"/>
              <w:spacing w:line="360" w:lineRule="auto"/>
              <w:jc w:val="center"/>
              <w:rPr>
                <w:rFonts w:ascii="宋体" w:hAnsi="宋体"/>
                <w:color w:val="auto"/>
                <w:kern w:val="0"/>
                <w:szCs w:val="21"/>
                <w:highlight w:val="none"/>
              </w:rPr>
            </w:pPr>
          </w:p>
        </w:tc>
      </w:tr>
      <w:tr w14:paraId="67870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453032A4">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71282F60">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8E13056">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CAFE68B">
            <w:pPr>
              <w:adjustRightInd w:val="0"/>
              <w:snapToGrid w:val="0"/>
              <w:spacing w:line="360" w:lineRule="auto"/>
              <w:jc w:val="center"/>
              <w:rPr>
                <w:rFonts w:ascii="宋体" w:hAnsi="宋体"/>
                <w:color w:val="auto"/>
                <w:kern w:val="0"/>
                <w:szCs w:val="21"/>
                <w:highlight w:val="none"/>
              </w:rPr>
            </w:pPr>
          </w:p>
        </w:tc>
      </w:tr>
      <w:tr w14:paraId="3EFA4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4186AD5D">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E670BF8">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462876BE">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63EB755A">
            <w:pPr>
              <w:adjustRightInd w:val="0"/>
              <w:snapToGrid w:val="0"/>
              <w:spacing w:line="360" w:lineRule="auto"/>
              <w:jc w:val="center"/>
              <w:rPr>
                <w:rFonts w:ascii="宋体" w:hAnsi="宋体"/>
                <w:color w:val="auto"/>
                <w:kern w:val="0"/>
                <w:szCs w:val="21"/>
                <w:highlight w:val="none"/>
              </w:rPr>
            </w:pPr>
          </w:p>
        </w:tc>
      </w:tr>
      <w:tr w14:paraId="76B10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5A835D6C">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26D3554">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A6DD6E8">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192EE1F7">
            <w:pPr>
              <w:adjustRightInd w:val="0"/>
              <w:snapToGrid w:val="0"/>
              <w:spacing w:line="360" w:lineRule="auto"/>
              <w:jc w:val="center"/>
              <w:rPr>
                <w:rFonts w:ascii="宋体" w:hAnsi="宋体"/>
                <w:color w:val="auto"/>
                <w:kern w:val="0"/>
                <w:szCs w:val="21"/>
                <w:highlight w:val="none"/>
              </w:rPr>
            </w:pPr>
          </w:p>
        </w:tc>
      </w:tr>
      <w:tr w14:paraId="68EEE0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6F3345FD">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D9DA03D">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BA54483">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5A5F1795">
            <w:pPr>
              <w:adjustRightInd w:val="0"/>
              <w:snapToGrid w:val="0"/>
              <w:spacing w:line="360" w:lineRule="auto"/>
              <w:jc w:val="center"/>
              <w:rPr>
                <w:rFonts w:ascii="宋体" w:hAnsi="宋体"/>
                <w:color w:val="auto"/>
                <w:kern w:val="0"/>
                <w:szCs w:val="21"/>
                <w:highlight w:val="none"/>
              </w:rPr>
            </w:pPr>
          </w:p>
        </w:tc>
      </w:tr>
      <w:tr w14:paraId="45D17E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64E85556">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D0B3768">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A664F26">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676B3F60">
            <w:pPr>
              <w:adjustRightInd w:val="0"/>
              <w:snapToGrid w:val="0"/>
              <w:spacing w:line="360" w:lineRule="auto"/>
              <w:jc w:val="center"/>
              <w:rPr>
                <w:rFonts w:ascii="宋体" w:hAnsi="宋体"/>
                <w:color w:val="auto"/>
                <w:kern w:val="0"/>
                <w:szCs w:val="21"/>
                <w:highlight w:val="none"/>
              </w:rPr>
            </w:pPr>
          </w:p>
        </w:tc>
      </w:tr>
      <w:tr w14:paraId="6639CA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500E4389">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DB0E5AA">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52847606">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0AAEECF1">
            <w:pPr>
              <w:adjustRightInd w:val="0"/>
              <w:snapToGrid w:val="0"/>
              <w:spacing w:line="360" w:lineRule="auto"/>
              <w:jc w:val="center"/>
              <w:rPr>
                <w:rFonts w:ascii="宋体" w:hAnsi="宋体"/>
                <w:color w:val="auto"/>
                <w:kern w:val="0"/>
                <w:szCs w:val="21"/>
                <w:highlight w:val="none"/>
              </w:rPr>
            </w:pPr>
          </w:p>
        </w:tc>
      </w:tr>
      <w:tr w14:paraId="32DA1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5691EE30">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5A12FC44">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3C95EE78">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300F0D80">
            <w:pPr>
              <w:adjustRightInd w:val="0"/>
              <w:snapToGrid w:val="0"/>
              <w:spacing w:line="360" w:lineRule="auto"/>
              <w:jc w:val="center"/>
              <w:rPr>
                <w:rFonts w:ascii="宋体" w:hAnsi="宋体"/>
                <w:color w:val="auto"/>
                <w:kern w:val="0"/>
                <w:szCs w:val="21"/>
                <w:highlight w:val="none"/>
              </w:rPr>
            </w:pPr>
          </w:p>
        </w:tc>
      </w:tr>
      <w:tr w14:paraId="14EB8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2101DC40">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5D84AFC4">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5E05C62B">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6CC38DEE">
            <w:pPr>
              <w:adjustRightInd w:val="0"/>
              <w:snapToGrid w:val="0"/>
              <w:spacing w:line="360" w:lineRule="auto"/>
              <w:jc w:val="center"/>
              <w:rPr>
                <w:rFonts w:ascii="宋体" w:hAnsi="宋体"/>
                <w:color w:val="auto"/>
                <w:kern w:val="0"/>
                <w:szCs w:val="21"/>
                <w:highlight w:val="none"/>
              </w:rPr>
            </w:pPr>
          </w:p>
        </w:tc>
      </w:tr>
      <w:tr w14:paraId="0E5B5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0EACDDDA">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07DE853A">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7FA8375">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2313A160">
            <w:pPr>
              <w:adjustRightInd w:val="0"/>
              <w:snapToGrid w:val="0"/>
              <w:spacing w:line="360" w:lineRule="auto"/>
              <w:jc w:val="center"/>
              <w:rPr>
                <w:rFonts w:ascii="宋体" w:hAnsi="宋体"/>
                <w:color w:val="auto"/>
                <w:kern w:val="0"/>
                <w:szCs w:val="21"/>
                <w:highlight w:val="none"/>
              </w:rPr>
            </w:pPr>
          </w:p>
        </w:tc>
      </w:tr>
      <w:tr w14:paraId="6302A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5EA5545C">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22724F35">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6132AB91">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0D2D8900">
            <w:pPr>
              <w:adjustRightInd w:val="0"/>
              <w:snapToGrid w:val="0"/>
              <w:spacing w:line="360" w:lineRule="auto"/>
              <w:jc w:val="center"/>
              <w:rPr>
                <w:rFonts w:ascii="宋体" w:hAnsi="宋体"/>
                <w:color w:val="auto"/>
                <w:kern w:val="0"/>
                <w:szCs w:val="21"/>
                <w:highlight w:val="none"/>
              </w:rPr>
            </w:pPr>
          </w:p>
        </w:tc>
      </w:tr>
      <w:tr w14:paraId="431FF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3C53E5C0">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2EDB3525">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4540B809">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45A4F707">
            <w:pPr>
              <w:adjustRightInd w:val="0"/>
              <w:snapToGrid w:val="0"/>
              <w:spacing w:line="360" w:lineRule="auto"/>
              <w:jc w:val="center"/>
              <w:rPr>
                <w:rFonts w:ascii="宋体" w:hAnsi="宋体"/>
                <w:color w:val="auto"/>
                <w:kern w:val="0"/>
                <w:szCs w:val="21"/>
                <w:highlight w:val="none"/>
              </w:rPr>
            </w:pPr>
          </w:p>
        </w:tc>
      </w:tr>
      <w:tr w14:paraId="149F6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112" w:type="dxa"/>
            <w:shd w:val="clear" w:color="auto" w:fill="auto"/>
            <w:vAlign w:val="center"/>
          </w:tcPr>
          <w:p w14:paraId="1DC58082">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711A4678">
            <w:pPr>
              <w:adjustRightInd w:val="0"/>
              <w:snapToGrid w:val="0"/>
              <w:spacing w:line="360" w:lineRule="auto"/>
              <w:jc w:val="center"/>
              <w:rPr>
                <w:rFonts w:ascii="宋体" w:hAnsi="宋体"/>
                <w:color w:val="auto"/>
                <w:kern w:val="0"/>
                <w:szCs w:val="21"/>
                <w:highlight w:val="none"/>
              </w:rPr>
            </w:pPr>
          </w:p>
        </w:tc>
        <w:tc>
          <w:tcPr>
            <w:tcW w:w="2443" w:type="dxa"/>
            <w:shd w:val="clear" w:color="auto" w:fill="auto"/>
            <w:vAlign w:val="center"/>
          </w:tcPr>
          <w:p w14:paraId="12FA163F">
            <w:pPr>
              <w:adjustRightInd w:val="0"/>
              <w:snapToGrid w:val="0"/>
              <w:spacing w:line="360" w:lineRule="auto"/>
              <w:jc w:val="center"/>
              <w:rPr>
                <w:rFonts w:ascii="宋体" w:hAnsi="宋体"/>
                <w:color w:val="auto"/>
                <w:kern w:val="0"/>
                <w:szCs w:val="21"/>
                <w:highlight w:val="none"/>
              </w:rPr>
            </w:pPr>
          </w:p>
        </w:tc>
        <w:tc>
          <w:tcPr>
            <w:tcW w:w="2290" w:type="dxa"/>
            <w:shd w:val="clear" w:color="auto" w:fill="auto"/>
            <w:vAlign w:val="center"/>
          </w:tcPr>
          <w:p w14:paraId="62F82B92">
            <w:pPr>
              <w:adjustRightInd w:val="0"/>
              <w:snapToGrid w:val="0"/>
              <w:spacing w:line="360" w:lineRule="auto"/>
              <w:jc w:val="center"/>
              <w:rPr>
                <w:rFonts w:ascii="宋体" w:hAnsi="宋体"/>
                <w:color w:val="auto"/>
                <w:kern w:val="0"/>
                <w:szCs w:val="21"/>
                <w:highlight w:val="none"/>
              </w:rPr>
            </w:pPr>
          </w:p>
        </w:tc>
      </w:tr>
    </w:tbl>
    <w:p w14:paraId="7DCFD1FF">
      <w:pPr>
        <w:adjustRightInd w:val="0"/>
        <w:snapToGrid w:val="0"/>
        <w:jc w:val="left"/>
        <w:rPr>
          <w:color w:val="auto"/>
          <w:highlight w:val="none"/>
        </w:rPr>
      </w:pPr>
      <w:r>
        <w:rPr>
          <w:color w:val="auto"/>
          <w:highlight w:val="none"/>
        </w:rPr>
        <w:br w:type="page"/>
      </w:r>
    </w:p>
    <w:p w14:paraId="5B0813B7">
      <w:pPr>
        <w:pStyle w:val="5"/>
        <w:keepNext/>
        <w:keepLines/>
        <w:pageBreakBefore w:val="0"/>
        <w:widowControl w:val="0"/>
        <w:kinsoku/>
        <w:wordWrap w:val="0"/>
        <w:overflowPunct/>
        <w:topLinePunct w:val="0"/>
        <w:autoSpaceDE/>
        <w:autoSpaceDN/>
        <w:bidi w:val="0"/>
        <w:adjustRightInd/>
        <w:snapToGrid/>
        <w:spacing w:before="140" w:after="20" w:line="360" w:lineRule="auto"/>
        <w:ind w:firstLine="0" w:firstLineChars="0"/>
        <w:jc w:val="center"/>
        <w:textAlignment w:val="auto"/>
        <w:rPr>
          <w:rFonts w:hint="eastAsia" w:ascii="宋体" w:hAnsi="宋体" w:eastAsia="宋体" w:cs="宋体"/>
          <w:b/>
          <w:bCs/>
          <w:color w:val="auto"/>
          <w:kern w:val="2"/>
          <w:sz w:val="28"/>
          <w:szCs w:val="28"/>
          <w:highlight w:val="none"/>
          <w:lang w:val="en-US" w:eastAsia="zh-CN" w:bidi="ar-SA"/>
        </w:rPr>
      </w:pPr>
      <w:bookmarkStart w:id="329" w:name="_Toc20581"/>
      <w:r>
        <w:rPr>
          <w:rFonts w:hint="eastAsia" w:ascii="宋体" w:hAnsi="宋体" w:cs="宋体"/>
          <w:b/>
          <w:bCs/>
          <w:color w:val="auto"/>
          <w:kern w:val="2"/>
          <w:sz w:val="28"/>
          <w:szCs w:val="28"/>
          <w:highlight w:val="none"/>
          <w:lang w:val="en-US" w:eastAsia="zh-CN" w:bidi="ar-SA"/>
        </w:rPr>
        <w:t>七</w:t>
      </w:r>
      <w:r>
        <w:rPr>
          <w:rFonts w:hint="eastAsia" w:ascii="宋体" w:hAnsi="宋体" w:eastAsia="宋体" w:cs="宋体"/>
          <w:b/>
          <w:bCs/>
          <w:color w:val="auto"/>
          <w:kern w:val="2"/>
          <w:sz w:val="28"/>
          <w:szCs w:val="28"/>
          <w:highlight w:val="none"/>
          <w:lang w:val="en-US" w:eastAsia="zh-CN" w:bidi="ar-SA"/>
        </w:rPr>
        <w:t>、其他要求</w:t>
      </w:r>
      <w:bookmarkEnd w:id="329"/>
    </w:p>
    <w:p w14:paraId="0C00F464">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宋体"/>
          <w:color w:val="auto"/>
          <w:sz w:val="24"/>
          <w:szCs w:val="24"/>
          <w:highlight w:val="none"/>
        </w:rPr>
      </w:pPr>
      <w:bookmarkStart w:id="330" w:name="_Toc7867"/>
      <w:bookmarkStart w:id="331" w:name="_Toc1677"/>
      <w:bookmarkStart w:id="332" w:name="_Toc9434"/>
      <w:r>
        <w:rPr>
          <w:rFonts w:hint="eastAsia" w:ascii="宋体" w:hAnsi="宋体" w:eastAsia="宋体" w:cs="宋体"/>
          <w:color w:val="auto"/>
          <w:sz w:val="24"/>
          <w:szCs w:val="24"/>
          <w:highlight w:val="none"/>
        </w:rPr>
        <w:t>投标人认为有必要提供的其他资料。</w:t>
      </w:r>
      <w:bookmarkEnd w:id="330"/>
      <w:bookmarkEnd w:id="331"/>
      <w:bookmarkEnd w:id="332"/>
    </w:p>
    <w:p w14:paraId="0D820C96">
      <w:pPr>
        <w:pageBreakBefore w:val="0"/>
        <w:kinsoku/>
        <w:wordWrap w:val="0"/>
        <w:overflowPunct/>
        <w:bidi w:val="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00E1081E">
      <w:pPr>
        <w:pageBreakBefore w:val="0"/>
        <w:tabs>
          <w:tab w:val="left" w:pos="726"/>
          <w:tab w:val="center" w:pos="4932"/>
        </w:tabs>
        <w:kinsoku/>
        <w:wordWrap w:val="0"/>
        <w:overflowPunct/>
        <w:topLinePunct w:val="0"/>
        <w:bidi w:val="0"/>
        <w:jc w:val="center"/>
        <w:outlineLvl w:val="1"/>
        <w:rPr>
          <w:rFonts w:hint="eastAsia" w:ascii="宋体" w:hAnsi="宋体" w:eastAsia="宋体" w:cs="宋体"/>
          <w:b/>
          <w:bCs/>
          <w:color w:val="auto"/>
          <w:sz w:val="40"/>
          <w:szCs w:val="40"/>
          <w:highlight w:val="none"/>
        </w:rPr>
      </w:pPr>
      <w:bookmarkStart w:id="333" w:name="_Toc5928"/>
      <w:r>
        <w:rPr>
          <w:rFonts w:hint="eastAsia" w:ascii="宋体" w:hAnsi="宋体" w:eastAsia="宋体" w:cs="宋体"/>
          <w:b/>
          <w:bCs/>
          <w:color w:val="auto"/>
          <w:sz w:val="40"/>
          <w:szCs w:val="40"/>
          <w:highlight w:val="none"/>
        </w:rPr>
        <w:t>最终报价及承诺表</w:t>
      </w:r>
      <w:bookmarkEnd w:id="333"/>
    </w:p>
    <w:p w14:paraId="457F8D68">
      <w:pPr>
        <w:pageBreakBefore w:val="0"/>
        <w:kinsoku/>
        <w:wordWrap w:val="0"/>
        <w:overflowPunct/>
        <w:topLinePunct w:val="0"/>
        <w:bidi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p>
    <w:p w14:paraId="5ACC9F9F">
      <w:pPr>
        <w:pageBreakBefore w:val="0"/>
        <w:kinsoku/>
        <w:wordWrap w:val="0"/>
        <w:overflowPunct/>
        <w:topLinePunct w:val="0"/>
        <w:bidi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w:t>
      </w:r>
    </w:p>
    <w:tbl>
      <w:tblPr>
        <w:tblStyle w:val="39"/>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20"/>
        <w:gridCol w:w="3210"/>
        <w:gridCol w:w="3777"/>
      </w:tblGrid>
      <w:tr w14:paraId="6E840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3" w:type="dxa"/>
            <w:noWrap w:val="0"/>
            <w:vAlign w:val="center"/>
          </w:tcPr>
          <w:p w14:paraId="78F05B23">
            <w:pPr>
              <w:pStyle w:val="144"/>
              <w:pageBreakBefore w:val="0"/>
              <w:kinsoku/>
              <w:wordWrap w:val="0"/>
              <w:overflowPunct/>
              <w:topLinePunct w:val="0"/>
              <w:bidi w:val="0"/>
              <w:spacing w:before="78" w:beforeLines="25"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920" w:type="dxa"/>
            <w:noWrap w:val="0"/>
            <w:vAlign w:val="center"/>
          </w:tcPr>
          <w:p w14:paraId="32AA0251">
            <w:pPr>
              <w:pStyle w:val="144"/>
              <w:pageBreakBefore w:val="0"/>
              <w:kinsoku/>
              <w:wordWrap w:val="0"/>
              <w:overflowPunct/>
              <w:topLinePunct w:val="0"/>
              <w:bidi w:val="0"/>
              <w:spacing w:before="78" w:beforeLines="25"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内容</w:t>
            </w:r>
          </w:p>
        </w:tc>
        <w:tc>
          <w:tcPr>
            <w:tcW w:w="3210" w:type="dxa"/>
            <w:noWrap w:val="0"/>
            <w:vAlign w:val="center"/>
          </w:tcPr>
          <w:p w14:paraId="12CA0B2D">
            <w:pPr>
              <w:pStyle w:val="144"/>
              <w:pageBreakBefore w:val="0"/>
              <w:kinsoku/>
              <w:wordWrap w:val="0"/>
              <w:overflowPunct/>
              <w:topLinePunct w:val="0"/>
              <w:bidi w:val="0"/>
              <w:spacing w:before="78" w:beforeLines="25"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报价及承诺</w:t>
            </w:r>
          </w:p>
        </w:tc>
        <w:tc>
          <w:tcPr>
            <w:tcW w:w="3777" w:type="dxa"/>
            <w:noWrap w:val="0"/>
            <w:vAlign w:val="center"/>
          </w:tcPr>
          <w:p w14:paraId="20D01D89">
            <w:pPr>
              <w:pStyle w:val="144"/>
              <w:pageBreakBefore w:val="0"/>
              <w:kinsoku/>
              <w:wordWrap w:val="0"/>
              <w:overflowPunct/>
              <w:topLinePunct w:val="0"/>
              <w:bidi w:val="0"/>
              <w:spacing w:before="78" w:beforeLines="25" w:line="24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14:paraId="17F6A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743" w:type="dxa"/>
            <w:noWrap w:val="0"/>
            <w:vAlign w:val="center"/>
          </w:tcPr>
          <w:p w14:paraId="2B2BDE37">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20" w:type="dxa"/>
            <w:noWrap w:val="0"/>
            <w:vAlign w:val="center"/>
          </w:tcPr>
          <w:p w14:paraId="11F0CC5E">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综合单价下浮率报价</w:t>
            </w:r>
          </w:p>
        </w:tc>
        <w:tc>
          <w:tcPr>
            <w:tcW w:w="3210" w:type="dxa"/>
            <w:noWrap w:val="0"/>
            <w:vAlign w:val="center"/>
          </w:tcPr>
          <w:p w14:paraId="51AD930F">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我方愿在初次报价的基础上下浮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c>
          <w:tcPr>
            <w:tcW w:w="3777" w:type="dxa"/>
            <w:noWrap w:val="0"/>
            <w:vAlign w:val="center"/>
          </w:tcPr>
          <w:p w14:paraId="7F69257B">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下浮比例＝（初次报价-</w:t>
            </w:r>
            <w:r>
              <w:rPr>
                <w:rFonts w:hint="eastAsia" w:cs="宋体"/>
                <w:b w:val="0"/>
                <w:bCs w:val="0"/>
                <w:color w:val="auto"/>
                <w:sz w:val="24"/>
                <w:szCs w:val="24"/>
                <w:highlight w:val="none"/>
                <w:lang w:eastAsia="zh-CN"/>
              </w:rPr>
              <w:t>最终</w:t>
            </w:r>
            <w:r>
              <w:rPr>
                <w:rFonts w:hint="eastAsia" w:ascii="宋体" w:hAnsi="宋体" w:eastAsia="宋体" w:cs="宋体"/>
                <w:b w:val="0"/>
                <w:bCs w:val="0"/>
                <w:color w:val="auto"/>
                <w:sz w:val="24"/>
                <w:szCs w:val="24"/>
                <w:highlight w:val="none"/>
                <w:lang w:eastAsia="zh-CN"/>
              </w:rPr>
              <w:t>报价）</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初次报价</w:t>
            </w:r>
            <w:r>
              <w:rPr>
                <w:rFonts w:hint="default" w:ascii="Arial" w:hAnsi="Arial" w:eastAsia="宋体" w:cs="Arial"/>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eastAsia="zh-CN"/>
              </w:rPr>
              <w:t>100%。</w:t>
            </w:r>
          </w:p>
          <w:p w14:paraId="53DC6997">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结算时用中标所报综合单价价格乘以（1-下浮比例）进行结算）。</w:t>
            </w:r>
            <w:bookmarkStart w:id="334" w:name="_Hlk77148479"/>
            <w:r>
              <w:rPr>
                <w:rFonts w:hint="eastAsia" w:ascii="宋体" w:hAnsi="宋体" w:eastAsia="宋体" w:cs="宋体"/>
                <w:b w:val="0"/>
                <w:bCs w:val="0"/>
                <w:color w:val="auto"/>
                <w:sz w:val="24"/>
                <w:szCs w:val="24"/>
                <w:highlight w:val="none"/>
                <w:lang w:eastAsia="zh-CN"/>
              </w:rPr>
              <w:t>规费税金不参与下浮</w:t>
            </w:r>
            <w:bookmarkEnd w:id="334"/>
            <w:r>
              <w:rPr>
                <w:rFonts w:hint="eastAsia" w:ascii="宋体" w:hAnsi="宋体" w:eastAsia="宋体" w:cs="宋体"/>
                <w:b w:val="0"/>
                <w:bCs w:val="0"/>
                <w:color w:val="auto"/>
                <w:sz w:val="24"/>
                <w:szCs w:val="24"/>
                <w:highlight w:val="none"/>
                <w:lang w:eastAsia="zh-CN"/>
              </w:rPr>
              <w:t>。</w:t>
            </w:r>
          </w:p>
        </w:tc>
      </w:tr>
      <w:tr w14:paraId="7DEED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jc w:val="center"/>
        </w:trPr>
        <w:tc>
          <w:tcPr>
            <w:tcW w:w="743" w:type="dxa"/>
            <w:noWrap w:val="0"/>
            <w:vAlign w:val="center"/>
          </w:tcPr>
          <w:p w14:paraId="1FAC6E81">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20" w:type="dxa"/>
            <w:noWrap w:val="0"/>
            <w:vAlign w:val="center"/>
          </w:tcPr>
          <w:p w14:paraId="3576D5F9">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总报价（元）</w:t>
            </w:r>
          </w:p>
        </w:tc>
        <w:tc>
          <w:tcPr>
            <w:tcW w:w="3210" w:type="dxa"/>
            <w:noWrap w:val="0"/>
            <w:vAlign w:val="center"/>
          </w:tcPr>
          <w:p w14:paraId="76BFEEAB">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p>
          <w:p w14:paraId="4C49DBAF">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w:t>
            </w:r>
          </w:p>
        </w:tc>
        <w:tc>
          <w:tcPr>
            <w:tcW w:w="3777" w:type="dxa"/>
            <w:noWrap w:val="0"/>
            <w:vAlign w:val="center"/>
          </w:tcPr>
          <w:p w14:paraId="464483CB">
            <w:pPr>
              <w:pStyle w:val="144"/>
              <w:keepNext w:val="0"/>
              <w:keepLines w:val="0"/>
              <w:pageBreakBefore w:val="0"/>
              <w:widowControl w:val="0"/>
              <w:kinsoku/>
              <w:wordWrap w:val="0"/>
              <w:overflowPunct/>
              <w:topLinePunct w:val="0"/>
              <w:autoSpaceDE/>
              <w:autoSpaceDN/>
              <w:bidi w:val="0"/>
              <w:adjustRightInd/>
              <w:snapToGrid/>
              <w:spacing w:before="78" w:beforeLines="25" w:line="400" w:lineRule="exac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总报价为一次</w:t>
            </w:r>
            <w:r>
              <w:rPr>
                <w:rFonts w:hint="eastAsia" w:ascii="宋体" w:hAnsi="宋体" w:eastAsia="宋体" w:cs="宋体"/>
                <w:b w:val="0"/>
                <w:bCs w:val="0"/>
                <w:color w:val="auto"/>
                <w:sz w:val="24"/>
                <w:szCs w:val="24"/>
                <w:highlight w:val="none"/>
                <w:lang w:eastAsia="zh-CN"/>
              </w:rPr>
              <w:t>磋商</w:t>
            </w:r>
            <w:r>
              <w:rPr>
                <w:rFonts w:hint="eastAsia" w:ascii="宋体" w:hAnsi="宋体" w:eastAsia="宋体" w:cs="宋体"/>
                <w:b w:val="0"/>
                <w:bCs w:val="0"/>
                <w:color w:val="auto"/>
                <w:sz w:val="24"/>
                <w:szCs w:val="24"/>
                <w:highlight w:val="none"/>
              </w:rPr>
              <w:t>总报价乘以（1-下浮比例）进行计算，仅作为评审指标价，不作为结算依据。</w:t>
            </w:r>
          </w:p>
        </w:tc>
      </w:tr>
      <w:tr w14:paraId="3065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7" w:hRule="atLeast"/>
          <w:jc w:val="center"/>
        </w:trPr>
        <w:tc>
          <w:tcPr>
            <w:tcW w:w="743" w:type="dxa"/>
            <w:noWrap w:val="0"/>
            <w:vAlign w:val="center"/>
          </w:tcPr>
          <w:p w14:paraId="1EBA19FE">
            <w:pPr>
              <w:pStyle w:val="144"/>
              <w:pageBreakBefore w:val="0"/>
              <w:kinsoku/>
              <w:wordWrap w:val="0"/>
              <w:overflowPunct/>
              <w:topLinePunct w:val="0"/>
              <w:bidi w:val="0"/>
              <w:spacing w:before="78" w:beforeLines="25"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920" w:type="dxa"/>
            <w:noWrap w:val="0"/>
            <w:vAlign w:val="center"/>
          </w:tcPr>
          <w:p w14:paraId="0C502A31">
            <w:pPr>
              <w:pStyle w:val="144"/>
              <w:pageBreakBefore w:val="0"/>
              <w:kinsoku/>
              <w:wordWrap w:val="0"/>
              <w:overflowPunct/>
              <w:topLinePunct w:val="0"/>
              <w:bidi w:val="0"/>
              <w:spacing w:before="78" w:beforeLines="25"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其他承诺及保证</w:t>
            </w:r>
          </w:p>
        </w:tc>
        <w:tc>
          <w:tcPr>
            <w:tcW w:w="6987" w:type="dxa"/>
            <w:gridSpan w:val="2"/>
            <w:noWrap w:val="0"/>
            <w:vAlign w:val="center"/>
          </w:tcPr>
          <w:p w14:paraId="5B9FE4CC">
            <w:pPr>
              <w:pStyle w:val="144"/>
              <w:pageBreakBefore w:val="0"/>
              <w:kinsoku/>
              <w:wordWrap w:val="0"/>
              <w:overflowPunct/>
              <w:topLinePunct w:val="0"/>
              <w:bidi w:val="0"/>
              <w:spacing w:before="78" w:beforeLines="25" w:line="360" w:lineRule="auto"/>
              <w:rPr>
                <w:rFonts w:hint="eastAsia" w:ascii="宋体" w:hAnsi="宋体" w:eastAsia="宋体" w:cs="宋体"/>
                <w:color w:val="auto"/>
                <w:sz w:val="24"/>
                <w:szCs w:val="24"/>
                <w:highlight w:val="none"/>
              </w:rPr>
            </w:pPr>
          </w:p>
        </w:tc>
      </w:tr>
    </w:tbl>
    <w:p w14:paraId="267CED1C">
      <w:pPr>
        <w:keepNext w:val="0"/>
        <w:keepLines w:val="0"/>
        <w:pageBreakBefore w:val="0"/>
        <w:widowControl w:val="0"/>
        <w:kinsoku/>
        <w:wordWrap w:val="0"/>
        <w:overflowPunct/>
        <w:topLinePunct w:val="0"/>
        <w:autoSpaceDE/>
        <w:autoSpaceDN/>
        <w:bidi w:val="0"/>
        <w:adjustRightInd/>
        <w:snapToGrid/>
        <w:spacing w:before="313" w:beforeLines="100" w:line="360" w:lineRule="auto"/>
        <w:textAlignment w:val="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备注：</w:t>
      </w:r>
    </w:p>
    <w:p w14:paraId="5FD7887F">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《最终报价及承诺表》不作为首次响应文件的组成部分。供应商在磋商结束后，根据磋商小组要求，在规定时间内通过政采云平台在线填报最终报价。此附件无需放入响应文件。</w:t>
      </w:r>
    </w:p>
    <w:p w14:paraId="057382D8">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供应商应提前填写本表并签字盖章备用，待政采云平台发起二次报价时，可作为附件上传（具体以平台要求为准）。</w:t>
      </w:r>
    </w:p>
    <w:p w14:paraId="7D55DCDA">
      <w:pPr>
        <w:keepNext w:val="0"/>
        <w:keepLines w:val="0"/>
        <w:pageBreakBefore w:val="0"/>
        <w:widowControl w:val="0"/>
        <w:kinsoku/>
        <w:wordWrap w:val="0"/>
        <w:overflowPunct/>
        <w:topLinePunct w:val="0"/>
        <w:autoSpaceDE/>
        <w:autoSpaceDN/>
        <w:bidi w:val="0"/>
        <w:adjustRightInd/>
        <w:snapToGrid/>
        <w:spacing w:line="360" w:lineRule="auto"/>
        <w:ind w:firstLine="482" w:firstLineChars="200"/>
        <w:textAlignment w:val="auto"/>
        <w:rPr>
          <w:rFonts w:hint="eastAsia" w:ascii="黑体" w:hAnsi="黑体" w:eastAsia="黑体" w:cs="黑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最终报价不得高于采购预算价（最高限价），报价金额及下浮比例保留小数点后两位。</w:t>
      </w:r>
    </w:p>
    <w:p w14:paraId="12F9C139">
      <w:pPr>
        <w:pageBreakBefore w:val="0"/>
        <w:kinsoku/>
        <w:wordWrap w:val="0"/>
        <w:overflowPunct/>
        <w:topLinePunct w:val="0"/>
        <w:bidi w:val="0"/>
        <w:rPr>
          <w:rFonts w:hint="eastAsia" w:ascii="宋体" w:hAnsi="宋体" w:eastAsia="宋体" w:cs="宋体"/>
          <w:color w:val="auto"/>
          <w:sz w:val="24"/>
          <w:szCs w:val="24"/>
          <w:highlight w:val="none"/>
        </w:rPr>
      </w:pPr>
    </w:p>
    <w:p w14:paraId="09C5C27D">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全称（</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3A0FA8CC">
      <w:pPr>
        <w:keepNext w:val="0"/>
        <w:keepLines w:val="0"/>
        <w:pageBreakBefore w:val="0"/>
        <w:widowControl w:val="0"/>
        <w:kinsoku/>
        <w:wordWrap w:val="0"/>
        <w:overflowPunct/>
        <w:topLinePunct w:val="0"/>
        <w:autoSpaceDE/>
        <w:autoSpaceDN/>
        <w:bidi w:val="0"/>
        <w:adjustRightInd/>
        <w:snapToGrid/>
        <w:spacing w:line="48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其</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9FD5BD6">
      <w:pPr>
        <w:keepNext w:val="0"/>
        <w:keepLines w:val="0"/>
        <w:pageBreakBefore w:val="0"/>
        <w:widowControl w:val="0"/>
        <w:kinsoku/>
        <w:wordWrap w:val="0"/>
        <w:overflowPunct/>
        <w:topLinePunct w:val="0"/>
        <w:autoSpaceDE/>
        <w:autoSpaceDN/>
        <w:bidi w:val="0"/>
        <w:adjustRightInd/>
        <w:snapToGrid/>
        <w:spacing w:line="480" w:lineRule="auto"/>
        <w:jc w:val="left"/>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p>
    <w:p w14:paraId="270F28A8">
      <w:pPr>
        <w:pageBreakBefore w:val="0"/>
        <w:kinsoku/>
        <w:wordWrap w:val="0"/>
        <w:overflowPunct/>
        <w:bidi w:val="0"/>
        <w:rPr>
          <w:rFonts w:hint="eastAsia"/>
          <w:color w:val="auto"/>
          <w:sz w:val="24"/>
          <w:szCs w:val="24"/>
          <w:highlight w:val="none"/>
          <w:lang w:eastAsia="zh-CN"/>
        </w:rPr>
      </w:pPr>
    </w:p>
    <w:sectPr>
      <w:headerReference r:id="rId6" w:type="default"/>
      <w:footerReference r:id="rId7" w:type="default"/>
      <w:pgSz w:w="11905" w:h="16838"/>
      <w:pgMar w:top="1440" w:right="1253" w:bottom="1440" w:left="1310" w:header="720" w:footer="850" w:gutter="0"/>
      <w:pgBorders>
        <w:top w:val="none" w:sz="0" w:space="0"/>
        <w:left w:val="none" w:sz="0" w:space="0"/>
        <w:bottom w:val="none" w:sz="0" w:space="0"/>
        <w:right w:val="none" w:sz="0" w:space="0"/>
      </w:pgBorders>
      <w:pgNumType w:fmt="numberInDash"/>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Sans Serif">
    <w:altName w:val="微软雅黑"/>
    <w:panose1 w:val="020B05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10002FF" w:usb1="4000FCFF" w:usb2="00000009" w:usb3="00000000" w:csb0="6000019F" w:csb1="DFD70000"/>
  </w:font>
  <w:font w:name="华文仿宋">
    <w:panose1 w:val="02010600040101010101"/>
    <w:charset w:val="86"/>
    <w:family w:val="auto"/>
    <w:pitch w:val="default"/>
    <w:sig w:usb0="00000287" w:usb1="080F0000" w:usb2="00000000" w:usb3="00000000" w:csb0="0004009F" w:csb1="DFD70000"/>
  </w:font>
  <w:font w:name="Arial Narrow">
    <w:panose1 w:val="020B0606020202030204"/>
    <w:charset w:val="00"/>
    <w:family w:val="swiss"/>
    <w:pitch w:val="default"/>
    <w:sig w:usb0="00000287" w:usb1="00000800" w:usb2="00000000" w:usb3="00000000" w:csb0="2000009F" w:csb1="DFD7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等线 Light">
    <w:altName w:val="宋体"/>
    <w:panose1 w:val="02010600030101010101"/>
    <w:charset w:val="86"/>
    <w:family w:val="auto"/>
    <w:pitch w:val="default"/>
    <w:sig w:usb0="00000000" w:usb1="00000000" w:usb2="00000016" w:usb3="00000000" w:csb0="0004000F" w:csb1="00000000"/>
  </w:font>
  <w:font w:name="e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HiddenHorzOCR">
    <w:altName w:val="仓耳渔阳体 W05"/>
    <w:panose1 w:val="00000000000000000000"/>
    <w:charset w:val="80"/>
    <w:family w:val="auto"/>
    <w:pitch w:val="default"/>
    <w:sig w:usb0="00000000" w:usb1="00000000" w:usb2="00000010" w:usb3="00000000" w:csb0="00020000" w:csb1="00000000"/>
  </w:font>
  <w:font w:name="仓耳渔阳体 W05">
    <w:panose1 w:val="02020400000000000000"/>
    <w:charset w:val="80"/>
    <w:family w:val="auto"/>
    <w:pitch w:val="default"/>
    <w:sig w:usb0="80000023" w:usb1="08C10458" w:usb2="00000012" w:usb3="00000000" w:csb0="0002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C2EBF">
    <w:pPr>
      <w:pStyle w:val="25"/>
      <w:tabs>
        <w:tab w:val="clear" w:pos="4153"/>
      </w:tabs>
      <w:jc w:val="center"/>
      <w:rPr>
        <w:rFonts w:hint="eastAsia" w:ascii="仿宋" w:hAnsi="仿宋" w:eastAsia="仿宋" w:cs="仿宋"/>
        <w:lang w:eastAsia="zh-CN"/>
      </w:rPr>
    </w:pPr>
    <w:r>
      <w:rPr>
        <w:sz w:val="21"/>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85639FB">
                          <w:pPr>
                            <w:pStyle w:val="2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XW5UtAAAAAFAQAADwAAAAAAAAABACAAAAAiAAAAZHJz&#10;L2Rvd25yZXYueG1sUEsBAhQAFAAAAAgAh07iQFasDMHTAQAAngMAAA4AAAAAAAAAAQAgAAAAHwEA&#10;AGRycy9lMm9Eb2MueG1sUEsFBgAAAAAGAAYAWQEAAGQFAAAAAA==&#10;">
              <v:fill on="f" focussize="0,0"/>
              <v:stroke on="f"/>
              <v:imagedata o:title=""/>
              <o:lock v:ext="edit" aspectratio="f"/>
              <v:textbox inset="0mm,0mm,0mm,0mm" style="mso-fit-shape-to-text:t;">
                <w:txbxContent>
                  <w:p w14:paraId="685639FB">
                    <w:pPr>
                      <w:pStyle w:val="25"/>
                    </w:pPr>
                    <w:r>
                      <w:fldChar w:fldCharType="begin"/>
                    </w:r>
                    <w:r>
                      <w:instrText xml:space="preserve"> PAGE  \* MERGEFORMAT </w:instrText>
                    </w:r>
                    <w:r>
                      <w:fldChar w:fldCharType="separate"/>
                    </w:r>
                    <w:r>
                      <w:t>1</w:t>
                    </w:r>
                    <w:r>
                      <w:fldChar w:fldCharType="end"/>
                    </w:r>
                  </w:p>
                </w:txbxContent>
              </v:textbox>
            </v:rect>
          </w:pict>
        </mc:Fallback>
      </mc:AlternateContent>
    </w:r>
    <w:r>
      <w:rPr>
        <w:rFonts w:hint="eastAsia" w:ascii="仿宋" w:hAnsi="仿宋" w:eastAsia="仿宋" w:cs="仿宋"/>
        <w:sz w:val="21"/>
        <w:szCs w:val="21"/>
      </w:rPr>
      <w:t xml:space="preserve">                                                           </w:t>
    </w:r>
    <w:r>
      <w:rPr>
        <w:rFonts w:hint="eastAsia" w:ascii="仿宋" w:hAnsi="仿宋" w:eastAsia="仿宋" w:cs="仿宋"/>
        <w:sz w:val="21"/>
        <w:szCs w:val="21"/>
        <w:lang w:eastAsia="zh-CN"/>
      </w:rPr>
      <w:t>云南鼎邦招标代理有限公司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69F76">
    <w:pPr>
      <w:pStyle w:val="25"/>
      <w:jc w:val="right"/>
      <w:rPr>
        <w:rFonts w:ascii="仿宋" w:hAnsi="仿宋" w:eastAsia="仿宋" w:cs="仿宋"/>
        <w:sz w:val="21"/>
        <w:szCs w:val="21"/>
      </w:rPr>
    </w:pPr>
    <w:r>
      <w:rPr>
        <w:sz w:val="21"/>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B21FF9">
                          <w:pPr>
                            <w:pStyle w:val="25"/>
                          </w:pPr>
                          <w:r>
                            <w:fldChar w:fldCharType="begin"/>
                          </w:r>
                          <w:r>
                            <w:instrText xml:space="preserve"> PAGE  \* MERGEFORMAT </w:instrText>
                          </w:r>
                          <w:r>
                            <w:fldChar w:fldCharType="separate"/>
                          </w:r>
                          <w:r>
                            <w:t>1</w:t>
                          </w:r>
                          <w:r>
                            <w:fldChar w:fldCharType="end"/>
                          </w:r>
                        </w:p>
                      </w:txbxContent>
                    </wps:txbx>
                    <wps:bodyPr vert="horz" wrap="none" lIns="0" tIns="0" rIns="0" bIns="0" anchor="t" upright="0">
                      <a:spAutoFit/>
                    </wps:bodyPr>
                  </wps:wsp>
                </a:graphicData>
              </a:graphic>
            </wp:anchor>
          </w:drawing>
        </mc:Choice>
        <mc:Fallback>
          <w:pict>
            <v:rect id="文本框 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l1uVLQAAAABQEAAA8AAAAAAAAAAQAgAAAAIgAAAGRycy9k&#10;b3ducmV2LnhtbFBLAQIUABQAAAAIAIdO4kAqI2Sb0QEAAJ4DAAAOAAAAAAAAAAEAIAAAAB8BAABk&#10;cnMvZTJvRG9jLnhtbFBLBQYAAAAABgAGAFkBAABiBQAAAAA=&#10;">
              <v:fill on="f" focussize="0,0"/>
              <v:stroke on="f"/>
              <v:imagedata o:title=""/>
              <o:lock v:ext="edit" aspectratio="f"/>
              <v:textbox inset="0mm,0mm,0mm,0mm" style="mso-fit-shape-to-text:t;">
                <w:txbxContent>
                  <w:p w14:paraId="7DB21FF9">
                    <w:pPr>
                      <w:pStyle w:val="25"/>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D9F81">
    <w:pPr>
      <w:pStyle w:val="25"/>
      <w:jc w:val="right"/>
      <w:rPr>
        <w:rFonts w:hint="eastAsia" w:eastAsia="宋体"/>
        <w:lang w:eastAsia="zh-CN"/>
      </w:rPr>
    </w:pPr>
    <w:r>
      <w:rPr>
        <w:sz w:val="21"/>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84B1051">
                          <w:pPr>
                            <w:pStyle w:val="25"/>
                          </w:pPr>
                          <w:r>
                            <w:fldChar w:fldCharType="begin"/>
                          </w:r>
                          <w:r>
                            <w:instrText xml:space="preserve"> PAGE  \* MERGEFORMAT </w:instrText>
                          </w:r>
                          <w:r>
                            <w:fldChar w:fldCharType="separate"/>
                          </w:r>
                          <w:r>
                            <w:t>35</w:t>
                          </w:r>
                          <w:r>
                            <w:fldChar w:fldCharType="end"/>
                          </w:r>
                        </w:p>
                      </w:txbxContent>
                    </wps:txbx>
                    <wps:bodyPr vert="horz" wrap="none" lIns="0" tIns="0" rIns="0" bIns="0" anchor="t" upright="0">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5dblS0AAAAAUBAAAPAAAAAAAAAAEAIAAAACIAAABkcnMvZG93&#10;bnJldi54bWxQSwECFAAUAAAACACHTuJAxNaBE88BAACbAwAADgAAAAAAAAABACAAAAAfAQAAZHJz&#10;L2Uyb0RvYy54bWxQSwUGAAAAAAYABgBZAQAAYAUAAAAA&#10;">
              <v:fill on="f" focussize="0,0"/>
              <v:stroke on="f"/>
              <v:imagedata o:title=""/>
              <o:lock v:ext="edit" aspectratio="f"/>
              <v:textbox inset="0mm,0mm,0mm,0mm" style="mso-fit-shape-to-text:t;">
                <w:txbxContent>
                  <w:p w14:paraId="684B1051">
                    <w:pPr>
                      <w:pStyle w:val="25"/>
                    </w:pPr>
                    <w:r>
                      <w:fldChar w:fldCharType="begin"/>
                    </w:r>
                    <w:r>
                      <w:instrText xml:space="preserve"> PAGE  \* MERGEFORMAT </w:instrText>
                    </w:r>
                    <w:r>
                      <w:fldChar w:fldCharType="separate"/>
                    </w:r>
                    <w:r>
                      <w:t>35</w:t>
                    </w:r>
                    <w:r>
                      <w:fldChar w:fldCharType="end"/>
                    </w:r>
                  </w:p>
                </w:txbxContent>
              </v:textbox>
            </v:rect>
          </w:pict>
        </mc:Fallback>
      </mc:AlternateContent>
    </w:r>
    <w:r>
      <w:rPr>
        <w:rFonts w:hint="eastAsia" w:ascii="仿宋" w:hAnsi="仿宋" w:eastAsia="仿宋" w:cs="仿宋"/>
        <w:sz w:val="21"/>
        <w:szCs w:val="21"/>
        <w:lang w:eastAsia="zh-CN"/>
      </w:rPr>
      <w:t>云南鼎邦招标代理有限公司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931E1">
    <w:pPr>
      <w:pStyle w:val="10"/>
      <w:ind w:firstLine="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F1F0D">
    <w:pPr>
      <w:pStyle w:val="26"/>
      <w:pBdr>
        <w:bottom w:val="none" w:color="auto" w:sz="0" w:space="1"/>
      </w:pBdr>
      <w:ind w:right="-4"/>
      <w:jc w:val="left"/>
      <w:rPr>
        <w:rFonts w:ascii="隶书" w:hAnsi="宋体" w:eastAsia="隶书"/>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ind w:left="425" w:hanging="425"/>
      </w:pPr>
      <w:rPr>
        <w:rFonts w:cs="Times New Roman"/>
      </w:rPr>
    </w:lvl>
    <w:lvl w:ilvl="1" w:tentative="0">
      <w:start w:val="1"/>
      <w:numFmt w:val="decimal"/>
      <w:lvlText w:val="%1.%2."/>
      <w:lvlJc w:val="left"/>
      <w:pPr>
        <w:ind w:left="850" w:hanging="425"/>
      </w:pPr>
      <w:rPr>
        <w:rFonts w:cs="Times New Roman"/>
      </w:rPr>
    </w:lvl>
    <w:lvl w:ilvl="2" w:tentative="0">
      <w:start w:val="1"/>
      <w:numFmt w:val="decimal"/>
      <w:lvlText w:val="%1.%2.%3."/>
      <w:lvlJc w:val="left"/>
      <w:pPr>
        <w:ind w:left="1275" w:hanging="425"/>
      </w:pPr>
      <w:rPr>
        <w:rFonts w:cs="Times New Roman"/>
      </w:rPr>
    </w:lvl>
    <w:lvl w:ilvl="3" w:tentative="0">
      <w:start w:val="1"/>
      <w:numFmt w:val="decimal"/>
      <w:lvlText w:val="%1.%2.%3.%4."/>
      <w:lvlJc w:val="left"/>
      <w:pPr>
        <w:ind w:left="1700" w:hanging="425"/>
      </w:pPr>
      <w:rPr>
        <w:rFonts w:cs="Times New Roman"/>
      </w:rPr>
    </w:lvl>
    <w:lvl w:ilvl="4" w:tentative="0">
      <w:start w:val="1"/>
      <w:numFmt w:val="decimal"/>
      <w:pStyle w:val="7"/>
      <w:lvlText w:val="%1.%2.%3.%4.%5."/>
      <w:lvlJc w:val="left"/>
      <w:pPr>
        <w:ind w:left="2125" w:hanging="425"/>
      </w:pPr>
      <w:rPr>
        <w:rFonts w:cs="Times New Roman"/>
      </w:rPr>
    </w:lvl>
    <w:lvl w:ilvl="5" w:tentative="0">
      <w:start w:val="1"/>
      <w:numFmt w:val="decimal"/>
      <w:lvlText w:val="%1.%2.%3.%4.%5.%6."/>
      <w:lvlJc w:val="left"/>
      <w:pPr>
        <w:ind w:left="2550" w:hanging="425"/>
      </w:pPr>
      <w:rPr>
        <w:rFonts w:cs="Times New Roman"/>
      </w:rPr>
    </w:lvl>
    <w:lvl w:ilvl="6" w:tentative="0">
      <w:start w:val="1"/>
      <w:numFmt w:val="decimal"/>
      <w:lvlText w:val="%1.%2.%3.%4.%5.%6.%7."/>
      <w:lvlJc w:val="left"/>
      <w:pPr>
        <w:ind w:left="2975" w:hanging="425"/>
      </w:pPr>
      <w:rPr>
        <w:rFonts w:cs="Times New Roman"/>
      </w:rPr>
    </w:lvl>
    <w:lvl w:ilvl="7" w:tentative="0">
      <w:start w:val="1"/>
      <w:numFmt w:val="decimal"/>
      <w:lvlText w:val="%1.%2.%3.%4.%5.%6.%7.%8."/>
      <w:lvlJc w:val="left"/>
      <w:pPr>
        <w:ind w:left="3400" w:hanging="425"/>
      </w:pPr>
      <w:rPr>
        <w:rFonts w:cs="Times New Roman"/>
      </w:rPr>
    </w:lvl>
    <w:lvl w:ilvl="8" w:tentative="0">
      <w:start w:val="1"/>
      <w:numFmt w:val="decimal"/>
      <w:lvlText w:val="%1.%2.%3.%4.%5.%6.%7.%8.%9."/>
      <w:lvlJc w:val="left"/>
      <w:pPr>
        <w:ind w:left="3825" w:hanging="425"/>
      </w:pPr>
      <w:rPr>
        <w:rFonts w:cs="Times New Roman"/>
      </w:rPr>
    </w:lvl>
  </w:abstractNum>
  <w:abstractNum w:abstractNumId="1">
    <w:nsid w:val="00000005"/>
    <w:multiLevelType w:val="multilevel"/>
    <w:tmpl w:val="00000005"/>
    <w:lvl w:ilvl="0" w:tentative="0">
      <w:start w:val="1"/>
      <w:numFmt w:val="decimal"/>
      <w:lvlText w:val="%1"/>
      <w:lvlJc w:val="left"/>
      <w:pPr>
        <w:tabs>
          <w:tab w:val="left" w:pos="360"/>
        </w:tabs>
        <w:ind w:left="284" w:hanging="284"/>
      </w:pPr>
      <w:rPr>
        <w:rFonts w:hint="default" w:ascii="Times New Roman" w:hAnsi="Times New Roman" w:cs="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cs="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cs="Times New Roman"/>
        <w:b/>
        <w:i w:val="0"/>
        <w:sz w:val="24"/>
      </w:rPr>
    </w:lvl>
    <w:lvl w:ilvl="3" w:tentative="0">
      <w:start w:val="1"/>
      <w:numFmt w:val="decimal"/>
      <w:pStyle w:val="6"/>
      <w:lvlText w:val="%1.%2.%3.%4"/>
      <w:lvlJc w:val="left"/>
      <w:pPr>
        <w:tabs>
          <w:tab w:val="left" w:pos="2155"/>
        </w:tabs>
        <w:ind w:left="2155" w:hanging="1078"/>
      </w:pPr>
      <w:rPr>
        <w:rFonts w:hint="default" w:ascii="Arial" w:hAnsi="Arial" w:cs="Times New Roman"/>
        <w:b w:val="0"/>
        <w:i w:val="0"/>
        <w:sz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2">
    <w:nsid w:val="00000006"/>
    <w:multiLevelType w:val="multilevel"/>
    <w:tmpl w:val="00000006"/>
    <w:lvl w:ilvl="0" w:tentative="0">
      <w:start w:val="1"/>
      <w:numFmt w:val="bullet"/>
      <w:lvlText w:val=""/>
      <w:lvlJc w:val="left"/>
      <w:pPr>
        <w:ind w:left="420" w:hanging="420"/>
      </w:pPr>
      <w:rPr>
        <w:rFonts w:hint="default" w:ascii="Wingdings" w:hAnsi="Wingdings"/>
      </w:rPr>
    </w:lvl>
    <w:lvl w:ilvl="1" w:tentative="0">
      <w:start w:val="1"/>
      <w:numFmt w:val="bullet"/>
      <w:pStyle w:val="74"/>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3">
    <w:nsid w:val="00000018"/>
    <w:multiLevelType w:val="multilevel"/>
    <w:tmpl w:val="00000018"/>
    <w:lvl w:ilvl="0" w:tentative="0">
      <w:start w:val="16"/>
      <w:numFmt w:val="bullet"/>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4">
    <w:nsid w:val="3446BA3B"/>
    <w:multiLevelType w:val="singleLevel"/>
    <w:tmpl w:val="3446BA3B"/>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iOGVmZDUyMzY1YmI5YTI3NTVmM2ZlNjE3NWFkMzAifQ=="/>
  </w:docVars>
  <w:rsids>
    <w:rsidRoot w:val="00000000"/>
    <w:rsid w:val="000749E3"/>
    <w:rsid w:val="00495996"/>
    <w:rsid w:val="008D4A14"/>
    <w:rsid w:val="00A3295D"/>
    <w:rsid w:val="00BE7797"/>
    <w:rsid w:val="00D40D69"/>
    <w:rsid w:val="00E96170"/>
    <w:rsid w:val="00F8365B"/>
    <w:rsid w:val="01172A03"/>
    <w:rsid w:val="013B0DE8"/>
    <w:rsid w:val="01C20542"/>
    <w:rsid w:val="01C20BC1"/>
    <w:rsid w:val="01CA1B45"/>
    <w:rsid w:val="022E6257"/>
    <w:rsid w:val="02507352"/>
    <w:rsid w:val="025657AD"/>
    <w:rsid w:val="02A842AD"/>
    <w:rsid w:val="0332621A"/>
    <w:rsid w:val="03525F75"/>
    <w:rsid w:val="036839EA"/>
    <w:rsid w:val="037E4FBC"/>
    <w:rsid w:val="03A03184"/>
    <w:rsid w:val="03A964DC"/>
    <w:rsid w:val="03DB1A01"/>
    <w:rsid w:val="03F31506"/>
    <w:rsid w:val="03F37758"/>
    <w:rsid w:val="043B2EAD"/>
    <w:rsid w:val="0451447E"/>
    <w:rsid w:val="04575F38"/>
    <w:rsid w:val="04635B4A"/>
    <w:rsid w:val="04806B11"/>
    <w:rsid w:val="0486237A"/>
    <w:rsid w:val="048D2C93"/>
    <w:rsid w:val="049F168E"/>
    <w:rsid w:val="04D255BF"/>
    <w:rsid w:val="05061ADF"/>
    <w:rsid w:val="051F4905"/>
    <w:rsid w:val="052B515C"/>
    <w:rsid w:val="05656433"/>
    <w:rsid w:val="05704DD8"/>
    <w:rsid w:val="05740424"/>
    <w:rsid w:val="059B1E55"/>
    <w:rsid w:val="059F180A"/>
    <w:rsid w:val="06357F93"/>
    <w:rsid w:val="06426774"/>
    <w:rsid w:val="064A387B"/>
    <w:rsid w:val="064D4061"/>
    <w:rsid w:val="0716659E"/>
    <w:rsid w:val="07707311"/>
    <w:rsid w:val="07AD40C1"/>
    <w:rsid w:val="07E55609"/>
    <w:rsid w:val="07F97BC5"/>
    <w:rsid w:val="08405E05"/>
    <w:rsid w:val="085F64AC"/>
    <w:rsid w:val="08687FE8"/>
    <w:rsid w:val="086C1F56"/>
    <w:rsid w:val="08936980"/>
    <w:rsid w:val="08C23B9D"/>
    <w:rsid w:val="08D062B9"/>
    <w:rsid w:val="08D538D0"/>
    <w:rsid w:val="08F13AAD"/>
    <w:rsid w:val="08F724AF"/>
    <w:rsid w:val="09376339"/>
    <w:rsid w:val="094B1DE4"/>
    <w:rsid w:val="09547920"/>
    <w:rsid w:val="09573488"/>
    <w:rsid w:val="09644C54"/>
    <w:rsid w:val="097363A4"/>
    <w:rsid w:val="097E1852"/>
    <w:rsid w:val="099F7A3A"/>
    <w:rsid w:val="09B434E5"/>
    <w:rsid w:val="09CA0BB9"/>
    <w:rsid w:val="09CA2D09"/>
    <w:rsid w:val="09D26061"/>
    <w:rsid w:val="0A073F5D"/>
    <w:rsid w:val="0A1E3055"/>
    <w:rsid w:val="0A222B45"/>
    <w:rsid w:val="0A466107"/>
    <w:rsid w:val="0A522CFE"/>
    <w:rsid w:val="0A854E82"/>
    <w:rsid w:val="0A952536"/>
    <w:rsid w:val="0ACE05D7"/>
    <w:rsid w:val="0ADF4592"/>
    <w:rsid w:val="0B1307D3"/>
    <w:rsid w:val="0B1B06F2"/>
    <w:rsid w:val="0B237943"/>
    <w:rsid w:val="0B2835F3"/>
    <w:rsid w:val="0B4E03D9"/>
    <w:rsid w:val="0B510694"/>
    <w:rsid w:val="0B633415"/>
    <w:rsid w:val="0BE91440"/>
    <w:rsid w:val="0BED2CDE"/>
    <w:rsid w:val="0BFA514F"/>
    <w:rsid w:val="0C261603"/>
    <w:rsid w:val="0C404E07"/>
    <w:rsid w:val="0C5A60ED"/>
    <w:rsid w:val="0C831B32"/>
    <w:rsid w:val="0C851169"/>
    <w:rsid w:val="0C8D680D"/>
    <w:rsid w:val="0CC823EF"/>
    <w:rsid w:val="0D001305"/>
    <w:rsid w:val="0D002EE5"/>
    <w:rsid w:val="0D0C188A"/>
    <w:rsid w:val="0D112F1B"/>
    <w:rsid w:val="0D1A5D55"/>
    <w:rsid w:val="0D221464"/>
    <w:rsid w:val="0D244E26"/>
    <w:rsid w:val="0D707E4E"/>
    <w:rsid w:val="0D7A1990"/>
    <w:rsid w:val="0DC3019B"/>
    <w:rsid w:val="0DCB5AFA"/>
    <w:rsid w:val="0E455054"/>
    <w:rsid w:val="0E484B44"/>
    <w:rsid w:val="0E795E73"/>
    <w:rsid w:val="0EA55AF2"/>
    <w:rsid w:val="0EC248F6"/>
    <w:rsid w:val="0ED812F4"/>
    <w:rsid w:val="0F1A028E"/>
    <w:rsid w:val="0F2A4A63"/>
    <w:rsid w:val="0F331350"/>
    <w:rsid w:val="0F365AF8"/>
    <w:rsid w:val="0F492922"/>
    <w:rsid w:val="0F9F2542"/>
    <w:rsid w:val="0FDA17CC"/>
    <w:rsid w:val="100F6540"/>
    <w:rsid w:val="10283879"/>
    <w:rsid w:val="10411774"/>
    <w:rsid w:val="105F0026"/>
    <w:rsid w:val="107125F7"/>
    <w:rsid w:val="107953CF"/>
    <w:rsid w:val="10833C11"/>
    <w:rsid w:val="10853E01"/>
    <w:rsid w:val="108A6AFD"/>
    <w:rsid w:val="10C34C46"/>
    <w:rsid w:val="10D300E5"/>
    <w:rsid w:val="10D97CD5"/>
    <w:rsid w:val="10DB3A4D"/>
    <w:rsid w:val="111E393A"/>
    <w:rsid w:val="1134315E"/>
    <w:rsid w:val="11437F75"/>
    <w:rsid w:val="11AA5EC1"/>
    <w:rsid w:val="11C24C0D"/>
    <w:rsid w:val="11C67D04"/>
    <w:rsid w:val="11DB42CD"/>
    <w:rsid w:val="12086AC4"/>
    <w:rsid w:val="12260CF8"/>
    <w:rsid w:val="123C3D46"/>
    <w:rsid w:val="12575356"/>
    <w:rsid w:val="12633CFA"/>
    <w:rsid w:val="128864D7"/>
    <w:rsid w:val="12A83E03"/>
    <w:rsid w:val="12CA1FCB"/>
    <w:rsid w:val="12CC5D44"/>
    <w:rsid w:val="12D469A6"/>
    <w:rsid w:val="133149E8"/>
    <w:rsid w:val="133B4C77"/>
    <w:rsid w:val="133E6296"/>
    <w:rsid w:val="133F0D07"/>
    <w:rsid w:val="137F398C"/>
    <w:rsid w:val="137F5A88"/>
    <w:rsid w:val="13A91BE1"/>
    <w:rsid w:val="13AE71F7"/>
    <w:rsid w:val="13F37300"/>
    <w:rsid w:val="13FB39E8"/>
    <w:rsid w:val="140275FA"/>
    <w:rsid w:val="140C47CA"/>
    <w:rsid w:val="14497940"/>
    <w:rsid w:val="145F50DF"/>
    <w:rsid w:val="14620F73"/>
    <w:rsid w:val="14D013EF"/>
    <w:rsid w:val="14D073AA"/>
    <w:rsid w:val="155E69FB"/>
    <w:rsid w:val="15622E07"/>
    <w:rsid w:val="156263CF"/>
    <w:rsid w:val="15A76E73"/>
    <w:rsid w:val="15CC0A63"/>
    <w:rsid w:val="15CF16A7"/>
    <w:rsid w:val="15E50ECA"/>
    <w:rsid w:val="15EE5FD1"/>
    <w:rsid w:val="16105F47"/>
    <w:rsid w:val="161E73D5"/>
    <w:rsid w:val="164A3AD6"/>
    <w:rsid w:val="16976FEE"/>
    <w:rsid w:val="16FC296F"/>
    <w:rsid w:val="171B2DF6"/>
    <w:rsid w:val="173D7210"/>
    <w:rsid w:val="173F151F"/>
    <w:rsid w:val="1752433D"/>
    <w:rsid w:val="17544DF1"/>
    <w:rsid w:val="17693F59"/>
    <w:rsid w:val="177C13BA"/>
    <w:rsid w:val="17A51566"/>
    <w:rsid w:val="17A54E09"/>
    <w:rsid w:val="17A738AA"/>
    <w:rsid w:val="17D37B29"/>
    <w:rsid w:val="17DD454F"/>
    <w:rsid w:val="18273A1C"/>
    <w:rsid w:val="182C519A"/>
    <w:rsid w:val="184A7EF1"/>
    <w:rsid w:val="18702CCD"/>
    <w:rsid w:val="188D7712"/>
    <w:rsid w:val="18AB1F57"/>
    <w:rsid w:val="18D0512A"/>
    <w:rsid w:val="18E216F1"/>
    <w:rsid w:val="18EE5EEE"/>
    <w:rsid w:val="19153DD8"/>
    <w:rsid w:val="192C1D90"/>
    <w:rsid w:val="194D5A68"/>
    <w:rsid w:val="199E1ABC"/>
    <w:rsid w:val="19BD6BA1"/>
    <w:rsid w:val="19D71D79"/>
    <w:rsid w:val="19EE6C36"/>
    <w:rsid w:val="1A442663"/>
    <w:rsid w:val="1A4B1C44"/>
    <w:rsid w:val="1A64069B"/>
    <w:rsid w:val="1AB01AA7"/>
    <w:rsid w:val="1AE64EFC"/>
    <w:rsid w:val="1B210BF7"/>
    <w:rsid w:val="1B293607"/>
    <w:rsid w:val="1B375D24"/>
    <w:rsid w:val="1B742F4D"/>
    <w:rsid w:val="1B767689"/>
    <w:rsid w:val="1B872DC3"/>
    <w:rsid w:val="1B99078D"/>
    <w:rsid w:val="1BA3156C"/>
    <w:rsid w:val="1BCB3413"/>
    <w:rsid w:val="1BD16179"/>
    <w:rsid w:val="1C0D3E62"/>
    <w:rsid w:val="1C3D4299"/>
    <w:rsid w:val="1C7D00AF"/>
    <w:rsid w:val="1C8431EB"/>
    <w:rsid w:val="1C865ACB"/>
    <w:rsid w:val="1C9E2C70"/>
    <w:rsid w:val="1CBD686F"/>
    <w:rsid w:val="1D0E51AB"/>
    <w:rsid w:val="1D322C47"/>
    <w:rsid w:val="1D340484"/>
    <w:rsid w:val="1D41732E"/>
    <w:rsid w:val="1D4F1A4B"/>
    <w:rsid w:val="1D5E3A3C"/>
    <w:rsid w:val="1D783852"/>
    <w:rsid w:val="1D8A57DA"/>
    <w:rsid w:val="1DAD49C3"/>
    <w:rsid w:val="1DDE692B"/>
    <w:rsid w:val="1DEF6D8A"/>
    <w:rsid w:val="1DF12B02"/>
    <w:rsid w:val="1DF61EC7"/>
    <w:rsid w:val="1E122A78"/>
    <w:rsid w:val="1E1660C5"/>
    <w:rsid w:val="1E1E2570"/>
    <w:rsid w:val="1E3D119E"/>
    <w:rsid w:val="1E77734D"/>
    <w:rsid w:val="1EA4118E"/>
    <w:rsid w:val="1EA76765"/>
    <w:rsid w:val="1ED96703"/>
    <w:rsid w:val="1F10520A"/>
    <w:rsid w:val="1F2228CF"/>
    <w:rsid w:val="1F29007A"/>
    <w:rsid w:val="1F5A1927"/>
    <w:rsid w:val="1F5E5F75"/>
    <w:rsid w:val="1F63358C"/>
    <w:rsid w:val="1F860D37"/>
    <w:rsid w:val="1FEF4E1F"/>
    <w:rsid w:val="1FFD764F"/>
    <w:rsid w:val="203647FC"/>
    <w:rsid w:val="203D202F"/>
    <w:rsid w:val="20474C5B"/>
    <w:rsid w:val="20531852"/>
    <w:rsid w:val="207672EF"/>
    <w:rsid w:val="20831A0C"/>
    <w:rsid w:val="20BE320C"/>
    <w:rsid w:val="20CC5161"/>
    <w:rsid w:val="213351E0"/>
    <w:rsid w:val="215374D0"/>
    <w:rsid w:val="2158623E"/>
    <w:rsid w:val="217A696B"/>
    <w:rsid w:val="2183579A"/>
    <w:rsid w:val="21A11D6B"/>
    <w:rsid w:val="22074AF8"/>
    <w:rsid w:val="225D0766"/>
    <w:rsid w:val="22B33754"/>
    <w:rsid w:val="22D73720"/>
    <w:rsid w:val="22EF3388"/>
    <w:rsid w:val="230A263B"/>
    <w:rsid w:val="23510BC5"/>
    <w:rsid w:val="23675615"/>
    <w:rsid w:val="23782FDD"/>
    <w:rsid w:val="239366DB"/>
    <w:rsid w:val="23FC17AA"/>
    <w:rsid w:val="241428E6"/>
    <w:rsid w:val="2421612D"/>
    <w:rsid w:val="24315161"/>
    <w:rsid w:val="247955FF"/>
    <w:rsid w:val="24AF1515"/>
    <w:rsid w:val="24C20D54"/>
    <w:rsid w:val="25063B65"/>
    <w:rsid w:val="250B6186"/>
    <w:rsid w:val="251C4B72"/>
    <w:rsid w:val="255B4D05"/>
    <w:rsid w:val="255C4625"/>
    <w:rsid w:val="25617593"/>
    <w:rsid w:val="257162C9"/>
    <w:rsid w:val="25B20DC9"/>
    <w:rsid w:val="25BC1C48"/>
    <w:rsid w:val="25CD79B1"/>
    <w:rsid w:val="260F7DE5"/>
    <w:rsid w:val="26633E71"/>
    <w:rsid w:val="267918E7"/>
    <w:rsid w:val="269009DE"/>
    <w:rsid w:val="26986131"/>
    <w:rsid w:val="26A81F62"/>
    <w:rsid w:val="26AD77E2"/>
    <w:rsid w:val="26FD42C6"/>
    <w:rsid w:val="27075144"/>
    <w:rsid w:val="27084A19"/>
    <w:rsid w:val="27A359B8"/>
    <w:rsid w:val="27BF157B"/>
    <w:rsid w:val="27C748D4"/>
    <w:rsid w:val="27F51A4F"/>
    <w:rsid w:val="28310F5C"/>
    <w:rsid w:val="284E0B51"/>
    <w:rsid w:val="287A1946"/>
    <w:rsid w:val="287F0D0A"/>
    <w:rsid w:val="28BE7A85"/>
    <w:rsid w:val="28C249FB"/>
    <w:rsid w:val="28CF62FC"/>
    <w:rsid w:val="28EF5E90"/>
    <w:rsid w:val="290A5E25"/>
    <w:rsid w:val="293810CF"/>
    <w:rsid w:val="294F4B81"/>
    <w:rsid w:val="29564528"/>
    <w:rsid w:val="296726F0"/>
    <w:rsid w:val="297D349C"/>
    <w:rsid w:val="29890373"/>
    <w:rsid w:val="29A65E37"/>
    <w:rsid w:val="29DF7CB3"/>
    <w:rsid w:val="29EF471D"/>
    <w:rsid w:val="29F0536A"/>
    <w:rsid w:val="2A092F82"/>
    <w:rsid w:val="2A127F21"/>
    <w:rsid w:val="2A1A0CEB"/>
    <w:rsid w:val="2A2652BB"/>
    <w:rsid w:val="2A587A65"/>
    <w:rsid w:val="2A677CA8"/>
    <w:rsid w:val="2A81520E"/>
    <w:rsid w:val="2A8A2314"/>
    <w:rsid w:val="2AD16582"/>
    <w:rsid w:val="2B57190D"/>
    <w:rsid w:val="2B6761B2"/>
    <w:rsid w:val="2BC37404"/>
    <w:rsid w:val="2BEE0FF1"/>
    <w:rsid w:val="2C1F77DA"/>
    <w:rsid w:val="2C435B60"/>
    <w:rsid w:val="2C5002AE"/>
    <w:rsid w:val="2C536736"/>
    <w:rsid w:val="2C6D70B4"/>
    <w:rsid w:val="2C741D0E"/>
    <w:rsid w:val="2C9034E6"/>
    <w:rsid w:val="2CB01C1E"/>
    <w:rsid w:val="2CCF4BC2"/>
    <w:rsid w:val="2CE15F1D"/>
    <w:rsid w:val="2CEC7570"/>
    <w:rsid w:val="2CFB12A7"/>
    <w:rsid w:val="2D0937D9"/>
    <w:rsid w:val="2D10523A"/>
    <w:rsid w:val="2D2B320F"/>
    <w:rsid w:val="2D8F379E"/>
    <w:rsid w:val="2DA1451F"/>
    <w:rsid w:val="2DA76D39"/>
    <w:rsid w:val="2DEB20A3"/>
    <w:rsid w:val="2DF5105A"/>
    <w:rsid w:val="2DFB52D7"/>
    <w:rsid w:val="2DFD2DFD"/>
    <w:rsid w:val="2E1A575D"/>
    <w:rsid w:val="2E1D524D"/>
    <w:rsid w:val="2E2272E9"/>
    <w:rsid w:val="2E422F06"/>
    <w:rsid w:val="2E57163E"/>
    <w:rsid w:val="2E9F2106"/>
    <w:rsid w:val="2EA36B31"/>
    <w:rsid w:val="2EC41B6D"/>
    <w:rsid w:val="2ED26038"/>
    <w:rsid w:val="2EED6B95"/>
    <w:rsid w:val="2F6F3887"/>
    <w:rsid w:val="2F713AA3"/>
    <w:rsid w:val="2F9C03F4"/>
    <w:rsid w:val="30662EDC"/>
    <w:rsid w:val="3083092C"/>
    <w:rsid w:val="308A46D6"/>
    <w:rsid w:val="30C16364"/>
    <w:rsid w:val="30C56173"/>
    <w:rsid w:val="3106021B"/>
    <w:rsid w:val="31311495"/>
    <w:rsid w:val="313A7EC4"/>
    <w:rsid w:val="31490108"/>
    <w:rsid w:val="31815AF3"/>
    <w:rsid w:val="31980B93"/>
    <w:rsid w:val="31D60C88"/>
    <w:rsid w:val="322A7FEA"/>
    <w:rsid w:val="323808A8"/>
    <w:rsid w:val="324059AE"/>
    <w:rsid w:val="32560D2E"/>
    <w:rsid w:val="3259617A"/>
    <w:rsid w:val="32867865"/>
    <w:rsid w:val="32877139"/>
    <w:rsid w:val="32A45F3D"/>
    <w:rsid w:val="32AF1F3F"/>
    <w:rsid w:val="32B6089D"/>
    <w:rsid w:val="32C0264B"/>
    <w:rsid w:val="333C7F24"/>
    <w:rsid w:val="33492641"/>
    <w:rsid w:val="336456CD"/>
    <w:rsid w:val="3369683F"/>
    <w:rsid w:val="33DC1707"/>
    <w:rsid w:val="33DF62FF"/>
    <w:rsid w:val="33E04D53"/>
    <w:rsid w:val="33E81E5A"/>
    <w:rsid w:val="3443482E"/>
    <w:rsid w:val="34516DC3"/>
    <w:rsid w:val="34700396"/>
    <w:rsid w:val="34815AEF"/>
    <w:rsid w:val="349528FF"/>
    <w:rsid w:val="34A42225"/>
    <w:rsid w:val="34AD7EA2"/>
    <w:rsid w:val="34AE061D"/>
    <w:rsid w:val="34B93D65"/>
    <w:rsid w:val="34D7245C"/>
    <w:rsid w:val="34F07218"/>
    <w:rsid w:val="34F52A80"/>
    <w:rsid w:val="351139AD"/>
    <w:rsid w:val="3538296D"/>
    <w:rsid w:val="35417A73"/>
    <w:rsid w:val="356A2173"/>
    <w:rsid w:val="3575596F"/>
    <w:rsid w:val="3575771D"/>
    <w:rsid w:val="359E6C74"/>
    <w:rsid w:val="35AC7E1B"/>
    <w:rsid w:val="35BC25AE"/>
    <w:rsid w:val="35EB506E"/>
    <w:rsid w:val="360D6F80"/>
    <w:rsid w:val="363E3FB3"/>
    <w:rsid w:val="36575075"/>
    <w:rsid w:val="366D4898"/>
    <w:rsid w:val="36A735DC"/>
    <w:rsid w:val="36B424C7"/>
    <w:rsid w:val="36BC40FA"/>
    <w:rsid w:val="36C070BE"/>
    <w:rsid w:val="36C827FB"/>
    <w:rsid w:val="36CC7811"/>
    <w:rsid w:val="3756001E"/>
    <w:rsid w:val="37575D81"/>
    <w:rsid w:val="37C87FD8"/>
    <w:rsid w:val="37CC3702"/>
    <w:rsid w:val="38163439"/>
    <w:rsid w:val="38172D0E"/>
    <w:rsid w:val="385B52F0"/>
    <w:rsid w:val="385C2E16"/>
    <w:rsid w:val="387243E8"/>
    <w:rsid w:val="38C70CD4"/>
    <w:rsid w:val="38C809AB"/>
    <w:rsid w:val="38DD2451"/>
    <w:rsid w:val="38E30E42"/>
    <w:rsid w:val="38EA6FCF"/>
    <w:rsid w:val="39124D4B"/>
    <w:rsid w:val="392C40FA"/>
    <w:rsid w:val="394E6C03"/>
    <w:rsid w:val="39526AF8"/>
    <w:rsid w:val="39567866"/>
    <w:rsid w:val="398D79F5"/>
    <w:rsid w:val="39900FC9"/>
    <w:rsid w:val="39D9630B"/>
    <w:rsid w:val="39EF0B23"/>
    <w:rsid w:val="39FF1EC0"/>
    <w:rsid w:val="3A1E5D77"/>
    <w:rsid w:val="3A361B71"/>
    <w:rsid w:val="3A4C202B"/>
    <w:rsid w:val="3A6164C2"/>
    <w:rsid w:val="3A772C2C"/>
    <w:rsid w:val="3AAF39D1"/>
    <w:rsid w:val="3AB42A96"/>
    <w:rsid w:val="3ADC3D9A"/>
    <w:rsid w:val="3B1F2193"/>
    <w:rsid w:val="3B7F01E6"/>
    <w:rsid w:val="3B9D352A"/>
    <w:rsid w:val="3C131A3E"/>
    <w:rsid w:val="3C1B642E"/>
    <w:rsid w:val="3C3814A4"/>
    <w:rsid w:val="3C4E2A76"/>
    <w:rsid w:val="3C564325"/>
    <w:rsid w:val="3C9012E0"/>
    <w:rsid w:val="3CC530F8"/>
    <w:rsid w:val="3CE8715E"/>
    <w:rsid w:val="3CEA20BC"/>
    <w:rsid w:val="3CFA4163"/>
    <w:rsid w:val="3CFB4E28"/>
    <w:rsid w:val="3D0F00F4"/>
    <w:rsid w:val="3D0F2AA3"/>
    <w:rsid w:val="3D69400B"/>
    <w:rsid w:val="3D7B2612"/>
    <w:rsid w:val="3DC01751"/>
    <w:rsid w:val="3DC4602E"/>
    <w:rsid w:val="3E03620E"/>
    <w:rsid w:val="3E274FD0"/>
    <w:rsid w:val="3E2978BE"/>
    <w:rsid w:val="3E4405D4"/>
    <w:rsid w:val="3E7A2248"/>
    <w:rsid w:val="3E846C23"/>
    <w:rsid w:val="3ECD2378"/>
    <w:rsid w:val="3EDA6843"/>
    <w:rsid w:val="3F1C50AD"/>
    <w:rsid w:val="3F1F5CAE"/>
    <w:rsid w:val="3F43088C"/>
    <w:rsid w:val="3F593C0C"/>
    <w:rsid w:val="3F6525B0"/>
    <w:rsid w:val="3F732378"/>
    <w:rsid w:val="3F946154"/>
    <w:rsid w:val="3FAE4B15"/>
    <w:rsid w:val="403D54A6"/>
    <w:rsid w:val="40512D68"/>
    <w:rsid w:val="405519A8"/>
    <w:rsid w:val="40624D42"/>
    <w:rsid w:val="407741F5"/>
    <w:rsid w:val="409E3FCC"/>
    <w:rsid w:val="40A35A86"/>
    <w:rsid w:val="40A46432"/>
    <w:rsid w:val="40BB7697"/>
    <w:rsid w:val="40C31C84"/>
    <w:rsid w:val="411A73CB"/>
    <w:rsid w:val="416A65A4"/>
    <w:rsid w:val="41742367"/>
    <w:rsid w:val="417F6C7B"/>
    <w:rsid w:val="41D57EC1"/>
    <w:rsid w:val="4206127E"/>
    <w:rsid w:val="422A188F"/>
    <w:rsid w:val="426B1AFB"/>
    <w:rsid w:val="427174BE"/>
    <w:rsid w:val="42976E80"/>
    <w:rsid w:val="42AB6E74"/>
    <w:rsid w:val="42FE624D"/>
    <w:rsid w:val="434A162C"/>
    <w:rsid w:val="43657023"/>
    <w:rsid w:val="439C056B"/>
    <w:rsid w:val="43BB30E7"/>
    <w:rsid w:val="43E16A67"/>
    <w:rsid w:val="43F3552A"/>
    <w:rsid w:val="443C4228"/>
    <w:rsid w:val="44586B88"/>
    <w:rsid w:val="44C00EF0"/>
    <w:rsid w:val="44D04970"/>
    <w:rsid w:val="44DE5E0D"/>
    <w:rsid w:val="451F4B04"/>
    <w:rsid w:val="4548631D"/>
    <w:rsid w:val="45736708"/>
    <w:rsid w:val="45834E4C"/>
    <w:rsid w:val="45892E96"/>
    <w:rsid w:val="459E05CA"/>
    <w:rsid w:val="45A83C60"/>
    <w:rsid w:val="45C4637F"/>
    <w:rsid w:val="45F4643C"/>
    <w:rsid w:val="45FE72BB"/>
    <w:rsid w:val="466A06F7"/>
    <w:rsid w:val="467858A0"/>
    <w:rsid w:val="46796BF4"/>
    <w:rsid w:val="468E6891"/>
    <w:rsid w:val="46A06372"/>
    <w:rsid w:val="46AE701E"/>
    <w:rsid w:val="46BD0F24"/>
    <w:rsid w:val="46D23512"/>
    <w:rsid w:val="470C0D2A"/>
    <w:rsid w:val="471547BC"/>
    <w:rsid w:val="474408FF"/>
    <w:rsid w:val="476A2E5A"/>
    <w:rsid w:val="477D7D08"/>
    <w:rsid w:val="47A67C0A"/>
    <w:rsid w:val="47AD2D46"/>
    <w:rsid w:val="47BE6D02"/>
    <w:rsid w:val="48250BCB"/>
    <w:rsid w:val="48272AF9"/>
    <w:rsid w:val="483B59A8"/>
    <w:rsid w:val="4841067C"/>
    <w:rsid w:val="48742B93"/>
    <w:rsid w:val="487A531F"/>
    <w:rsid w:val="489F2FD7"/>
    <w:rsid w:val="48A95C04"/>
    <w:rsid w:val="48BD520B"/>
    <w:rsid w:val="48F644C0"/>
    <w:rsid w:val="492D5AB3"/>
    <w:rsid w:val="49303C2F"/>
    <w:rsid w:val="493F20C4"/>
    <w:rsid w:val="49812106"/>
    <w:rsid w:val="49824179"/>
    <w:rsid w:val="498B6E58"/>
    <w:rsid w:val="498D1081"/>
    <w:rsid w:val="49900B72"/>
    <w:rsid w:val="49C03205"/>
    <w:rsid w:val="49DB003F"/>
    <w:rsid w:val="4A0A26D2"/>
    <w:rsid w:val="4A235D72"/>
    <w:rsid w:val="4A2A2824"/>
    <w:rsid w:val="4A3E56FF"/>
    <w:rsid w:val="4A804742"/>
    <w:rsid w:val="4ABB70FA"/>
    <w:rsid w:val="4ADC40E1"/>
    <w:rsid w:val="4AE96E06"/>
    <w:rsid w:val="4AF339B0"/>
    <w:rsid w:val="4B4C2876"/>
    <w:rsid w:val="4B616322"/>
    <w:rsid w:val="4B8A34DB"/>
    <w:rsid w:val="4BB9615E"/>
    <w:rsid w:val="4BF44EFB"/>
    <w:rsid w:val="4BF47196"/>
    <w:rsid w:val="4BF947AC"/>
    <w:rsid w:val="4C545E87"/>
    <w:rsid w:val="4C910E89"/>
    <w:rsid w:val="4CB1043B"/>
    <w:rsid w:val="4CC823D1"/>
    <w:rsid w:val="4CF20A05"/>
    <w:rsid w:val="4CF51FF4"/>
    <w:rsid w:val="4D043409"/>
    <w:rsid w:val="4D387556"/>
    <w:rsid w:val="4D4660D3"/>
    <w:rsid w:val="4D7F02A5"/>
    <w:rsid w:val="4DC62DB4"/>
    <w:rsid w:val="4DE33966"/>
    <w:rsid w:val="4DF648D3"/>
    <w:rsid w:val="4E191136"/>
    <w:rsid w:val="4E353158"/>
    <w:rsid w:val="4E5E123E"/>
    <w:rsid w:val="4E816CDB"/>
    <w:rsid w:val="4ECC61A8"/>
    <w:rsid w:val="4F196F13"/>
    <w:rsid w:val="4F2460A7"/>
    <w:rsid w:val="4F2C107D"/>
    <w:rsid w:val="4F2E0C11"/>
    <w:rsid w:val="4F3D575E"/>
    <w:rsid w:val="4F405AE9"/>
    <w:rsid w:val="4F6C1739"/>
    <w:rsid w:val="4F813D40"/>
    <w:rsid w:val="4F824AB9"/>
    <w:rsid w:val="4FA2439C"/>
    <w:rsid w:val="4FBA06F6"/>
    <w:rsid w:val="4FDA6E22"/>
    <w:rsid w:val="4FE86745"/>
    <w:rsid w:val="4FEE03A0"/>
    <w:rsid w:val="500120B7"/>
    <w:rsid w:val="50311BC0"/>
    <w:rsid w:val="504F0E3F"/>
    <w:rsid w:val="5099655E"/>
    <w:rsid w:val="50F96FFC"/>
    <w:rsid w:val="50FD4A23"/>
    <w:rsid w:val="512E164E"/>
    <w:rsid w:val="516C66C5"/>
    <w:rsid w:val="517B2D0A"/>
    <w:rsid w:val="519B2098"/>
    <w:rsid w:val="51A11B6E"/>
    <w:rsid w:val="51FB4B39"/>
    <w:rsid w:val="52255243"/>
    <w:rsid w:val="523227C6"/>
    <w:rsid w:val="525E7A5F"/>
    <w:rsid w:val="52691005"/>
    <w:rsid w:val="52862B12"/>
    <w:rsid w:val="532145E9"/>
    <w:rsid w:val="532207FA"/>
    <w:rsid w:val="532A7B39"/>
    <w:rsid w:val="53530C46"/>
    <w:rsid w:val="537F5EDF"/>
    <w:rsid w:val="538D671C"/>
    <w:rsid w:val="539B25ED"/>
    <w:rsid w:val="53CB1124"/>
    <w:rsid w:val="53EE64BF"/>
    <w:rsid w:val="540B693C"/>
    <w:rsid w:val="542C6B71"/>
    <w:rsid w:val="544E765F"/>
    <w:rsid w:val="547849B9"/>
    <w:rsid w:val="548A4B3B"/>
    <w:rsid w:val="54A138E6"/>
    <w:rsid w:val="54B27BEE"/>
    <w:rsid w:val="54CA318A"/>
    <w:rsid w:val="54E06E55"/>
    <w:rsid w:val="54EF7BA9"/>
    <w:rsid w:val="552C3059"/>
    <w:rsid w:val="552F7491"/>
    <w:rsid w:val="556D1D67"/>
    <w:rsid w:val="55A03EEB"/>
    <w:rsid w:val="55C510F6"/>
    <w:rsid w:val="55C85325"/>
    <w:rsid w:val="56494582"/>
    <w:rsid w:val="56596943"/>
    <w:rsid w:val="567D7990"/>
    <w:rsid w:val="568B4B9B"/>
    <w:rsid w:val="56A63783"/>
    <w:rsid w:val="56BE6D1E"/>
    <w:rsid w:val="56D36709"/>
    <w:rsid w:val="570263F2"/>
    <w:rsid w:val="5748141E"/>
    <w:rsid w:val="57710893"/>
    <w:rsid w:val="577E2BC0"/>
    <w:rsid w:val="57926A99"/>
    <w:rsid w:val="57B1418D"/>
    <w:rsid w:val="57EB6DC4"/>
    <w:rsid w:val="57FF75EE"/>
    <w:rsid w:val="58226E39"/>
    <w:rsid w:val="582F1556"/>
    <w:rsid w:val="582F274C"/>
    <w:rsid w:val="58670CF0"/>
    <w:rsid w:val="588A218D"/>
    <w:rsid w:val="58BB5C84"/>
    <w:rsid w:val="58FF53CC"/>
    <w:rsid w:val="59205A6E"/>
    <w:rsid w:val="592B03F8"/>
    <w:rsid w:val="59345076"/>
    <w:rsid w:val="597C07CB"/>
    <w:rsid w:val="59CC3500"/>
    <w:rsid w:val="59E42AFD"/>
    <w:rsid w:val="5A0F7891"/>
    <w:rsid w:val="5A461504"/>
    <w:rsid w:val="5A643739"/>
    <w:rsid w:val="5A9B1124"/>
    <w:rsid w:val="5AA96654"/>
    <w:rsid w:val="5AB90363"/>
    <w:rsid w:val="5AC21440"/>
    <w:rsid w:val="5AC832A1"/>
    <w:rsid w:val="5AE72210"/>
    <w:rsid w:val="5B1C04B7"/>
    <w:rsid w:val="5B39116D"/>
    <w:rsid w:val="5B5F2152"/>
    <w:rsid w:val="5B7B51DE"/>
    <w:rsid w:val="5B8147BE"/>
    <w:rsid w:val="5BB64468"/>
    <w:rsid w:val="5BFA7708"/>
    <w:rsid w:val="5C036F81"/>
    <w:rsid w:val="5C0827EA"/>
    <w:rsid w:val="5C2D7D76"/>
    <w:rsid w:val="5C33766B"/>
    <w:rsid w:val="5C830F15"/>
    <w:rsid w:val="5C863432"/>
    <w:rsid w:val="5C910581"/>
    <w:rsid w:val="5CC2508E"/>
    <w:rsid w:val="5CCE6D02"/>
    <w:rsid w:val="5CE4429C"/>
    <w:rsid w:val="5CE861EA"/>
    <w:rsid w:val="5CEE378D"/>
    <w:rsid w:val="5D1F603D"/>
    <w:rsid w:val="5D3C7138"/>
    <w:rsid w:val="5D4A130C"/>
    <w:rsid w:val="5D77652A"/>
    <w:rsid w:val="5D8E1198"/>
    <w:rsid w:val="5DA31058"/>
    <w:rsid w:val="5DAA1994"/>
    <w:rsid w:val="5DDC2B39"/>
    <w:rsid w:val="5E18250E"/>
    <w:rsid w:val="5E284449"/>
    <w:rsid w:val="5E4A533B"/>
    <w:rsid w:val="5E5F0DE7"/>
    <w:rsid w:val="5E8343A9"/>
    <w:rsid w:val="5E8C5954"/>
    <w:rsid w:val="5EAA353D"/>
    <w:rsid w:val="5EAC56AE"/>
    <w:rsid w:val="5EC94A7D"/>
    <w:rsid w:val="5EF81210"/>
    <w:rsid w:val="5F1F5117"/>
    <w:rsid w:val="5F33784A"/>
    <w:rsid w:val="5F614678"/>
    <w:rsid w:val="5F6474EC"/>
    <w:rsid w:val="5F7408C2"/>
    <w:rsid w:val="5F7F1ADC"/>
    <w:rsid w:val="5FB76A00"/>
    <w:rsid w:val="6008100A"/>
    <w:rsid w:val="6008725C"/>
    <w:rsid w:val="600B3A96"/>
    <w:rsid w:val="602D281F"/>
    <w:rsid w:val="602D6CC3"/>
    <w:rsid w:val="604206A4"/>
    <w:rsid w:val="60793CB6"/>
    <w:rsid w:val="60985381"/>
    <w:rsid w:val="60A800F7"/>
    <w:rsid w:val="60BA26F7"/>
    <w:rsid w:val="60D32D95"/>
    <w:rsid w:val="60E71CA1"/>
    <w:rsid w:val="61150F0D"/>
    <w:rsid w:val="61167757"/>
    <w:rsid w:val="613876CD"/>
    <w:rsid w:val="61741593"/>
    <w:rsid w:val="618467A1"/>
    <w:rsid w:val="61C3168D"/>
    <w:rsid w:val="61C350EF"/>
    <w:rsid w:val="61E168C7"/>
    <w:rsid w:val="61E37889"/>
    <w:rsid w:val="620B6B90"/>
    <w:rsid w:val="621041A6"/>
    <w:rsid w:val="62481B92"/>
    <w:rsid w:val="624B009E"/>
    <w:rsid w:val="62922E0D"/>
    <w:rsid w:val="62DE1A71"/>
    <w:rsid w:val="62E51CB5"/>
    <w:rsid w:val="63514A76"/>
    <w:rsid w:val="63857EEF"/>
    <w:rsid w:val="639C03E7"/>
    <w:rsid w:val="63AD1F7A"/>
    <w:rsid w:val="63C33BC6"/>
    <w:rsid w:val="63D41C2B"/>
    <w:rsid w:val="63D85E5A"/>
    <w:rsid w:val="64485E79"/>
    <w:rsid w:val="64505292"/>
    <w:rsid w:val="647A561F"/>
    <w:rsid w:val="649C1F62"/>
    <w:rsid w:val="64A03421"/>
    <w:rsid w:val="64CF3D12"/>
    <w:rsid w:val="6518584B"/>
    <w:rsid w:val="65870C23"/>
    <w:rsid w:val="65BD1F06"/>
    <w:rsid w:val="65C6212E"/>
    <w:rsid w:val="65CE23AE"/>
    <w:rsid w:val="65F04A1A"/>
    <w:rsid w:val="66061B48"/>
    <w:rsid w:val="6618187B"/>
    <w:rsid w:val="666B22F3"/>
    <w:rsid w:val="667016B7"/>
    <w:rsid w:val="667C526B"/>
    <w:rsid w:val="668409A3"/>
    <w:rsid w:val="668A503F"/>
    <w:rsid w:val="66AF3FED"/>
    <w:rsid w:val="66D05B80"/>
    <w:rsid w:val="66DB2FD4"/>
    <w:rsid w:val="670A7696"/>
    <w:rsid w:val="6711556D"/>
    <w:rsid w:val="67204E8B"/>
    <w:rsid w:val="672C46A8"/>
    <w:rsid w:val="67785D16"/>
    <w:rsid w:val="677B7BE9"/>
    <w:rsid w:val="67A1421E"/>
    <w:rsid w:val="67BA0E3C"/>
    <w:rsid w:val="67E265E5"/>
    <w:rsid w:val="682328F8"/>
    <w:rsid w:val="68352E87"/>
    <w:rsid w:val="68460921"/>
    <w:rsid w:val="684B23DC"/>
    <w:rsid w:val="68661537"/>
    <w:rsid w:val="687646E6"/>
    <w:rsid w:val="689241C0"/>
    <w:rsid w:val="68F42A0B"/>
    <w:rsid w:val="692B02A6"/>
    <w:rsid w:val="693D1D24"/>
    <w:rsid w:val="69635D65"/>
    <w:rsid w:val="696B4E0E"/>
    <w:rsid w:val="69862BE9"/>
    <w:rsid w:val="69913E1E"/>
    <w:rsid w:val="69B239D8"/>
    <w:rsid w:val="69B47B0D"/>
    <w:rsid w:val="69C70B01"/>
    <w:rsid w:val="69EB1C71"/>
    <w:rsid w:val="69F95306"/>
    <w:rsid w:val="6A1707C7"/>
    <w:rsid w:val="6A3F387A"/>
    <w:rsid w:val="6A717FF5"/>
    <w:rsid w:val="6B0A127C"/>
    <w:rsid w:val="6B39476E"/>
    <w:rsid w:val="6B7E6624"/>
    <w:rsid w:val="6BAA7419"/>
    <w:rsid w:val="6BCE4EB6"/>
    <w:rsid w:val="6BDC5218"/>
    <w:rsid w:val="6C044D7B"/>
    <w:rsid w:val="6C692E30"/>
    <w:rsid w:val="6C856852"/>
    <w:rsid w:val="6C995996"/>
    <w:rsid w:val="6CB35689"/>
    <w:rsid w:val="6CE60925"/>
    <w:rsid w:val="6D247D13"/>
    <w:rsid w:val="6D567859"/>
    <w:rsid w:val="6D710454"/>
    <w:rsid w:val="6DFA4688"/>
    <w:rsid w:val="6E0B0643"/>
    <w:rsid w:val="6E250FD9"/>
    <w:rsid w:val="6E3F02ED"/>
    <w:rsid w:val="6E6E7DC5"/>
    <w:rsid w:val="6E7C68E8"/>
    <w:rsid w:val="6E907DAB"/>
    <w:rsid w:val="6EAB7730"/>
    <w:rsid w:val="6F96218E"/>
    <w:rsid w:val="6FA901D8"/>
    <w:rsid w:val="6FC759D3"/>
    <w:rsid w:val="6FD74555"/>
    <w:rsid w:val="6FDA1B63"/>
    <w:rsid w:val="6FF7275E"/>
    <w:rsid w:val="704B11CB"/>
    <w:rsid w:val="704E0CBB"/>
    <w:rsid w:val="708C39D4"/>
    <w:rsid w:val="70B05AAD"/>
    <w:rsid w:val="70CB1567"/>
    <w:rsid w:val="70D016D0"/>
    <w:rsid w:val="70F62A2B"/>
    <w:rsid w:val="71003DE3"/>
    <w:rsid w:val="710C5724"/>
    <w:rsid w:val="716167CC"/>
    <w:rsid w:val="71704AAF"/>
    <w:rsid w:val="717C72F0"/>
    <w:rsid w:val="718B1E1B"/>
    <w:rsid w:val="719379C3"/>
    <w:rsid w:val="71B714C2"/>
    <w:rsid w:val="71DE1BCB"/>
    <w:rsid w:val="71ED4998"/>
    <w:rsid w:val="71F96A05"/>
    <w:rsid w:val="72023B0B"/>
    <w:rsid w:val="72062ED0"/>
    <w:rsid w:val="72165809"/>
    <w:rsid w:val="72312813"/>
    <w:rsid w:val="72580A84"/>
    <w:rsid w:val="72B362E0"/>
    <w:rsid w:val="72F03B17"/>
    <w:rsid w:val="730F451A"/>
    <w:rsid w:val="73D547B7"/>
    <w:rsid w:val="73F73418"/>
    <w:rsid w:val="74820424"/>
    <w:rsid w:val="74976624"/>
    <w:rsid w:val="749A26CC"/>
    <w:rsid w:val="74B03CF2"/>
    <w:rsid w:val="74C257D9"/>
    <w:rsid w:val="74D55507"/>
    <w:rsid w:val="75143CB6"/>
    <w:rsid w:val="751C3136"/>
    <w:rsid w:val="7521074C"/>
    <w:rsid w:val="754F71E0"/>
    <w:rsid w:val="75C630A2"/>
    <w:rsid w:val="76045978"/>
    <w:rsid w:val="761473C8"/>
    <w:rsid w:val="762A039E"/>
    <w:rsid w:val="763C15B6"/>
    <w:rsid w:val="764B00D8"/>
    <w:rsid w:val="76550602"/>
    <w:rsid w:val="76975EA8"/>
    <w:rsid w:val="76B455F0"/>
    <w:rsid w:val="76B9646C"/>
    <w:rsid w:val="76E01F41"/>
    <w:rsid w:val="76EB7264"/>
    <w:rsid w:val="76FD33E8"/>
    <w:rsid w:val="772171BE"/>
    <w:rsid w:val="7784625E"/>
    <w:rsid w:val="779D3ACF"/>
    <w:rsid w:val="77A967D7"/>
    <w:rsid w:val="77C80D66"/>
    <w:rsid w:val="77E13575"/>
    <w:rsid w:val="7803401D"/>
    <w:rsid w:val="780C1C44"/>
    <w:rsid w:val="78177BE5"/>
    <w:rsid w:val="78371F36"/>
    <w:rsid w:val="783C764B"/>
    <w:rsid w:val="78626C73"/>
    <w:rsid w:val="78656BA2"/>
    <w:rsid w:val="78886D34"/>
    <w:rsid w:val="78B95140"/>
    <w:rsid w:val="78CA0330"/>
    <w:rsid w:val="78CB70BB"/>
    <w:rsid w:val="78CD4747"/>
    <w:rsid w:val="78E207A6"/>
    <w:rsid w:val="79254583"/>
    <w:rsid w:val="79544993"/>
    <w:rsid w:val="796C0DB6"/>
    <w:rsid w:val="797C6B77"/>
    <w:rsid w:val="797F13F5"/>
    <w:rsid w:val="79C67B14"/>
    <w:rsid w:val="79D02741"/>
    <w:rsid w:val="79F04B91"/>
    <w:rsid w:val="7A4775A8"/>
    <w:rsid w:val="7A5032E4"/>
    <w:rsid w:val="7A6467D3"/>
    <w:rsid w:val="7A8B6668"/>
    <w:rsid w:val="7AE72634"/>
    <w:rsid w:val="7B2E5971"/>
    <w:rsid w:val="7B6E1657"/>
    <w:rsid w:val="7BDB744B"/>
    <w:rsid w:val="7BDF6750"/>
    <w:rsid w:val="7BE60B36"/>
    <w:rsid w:val="7C1E42AD"/>
    <w:rsid w:val="7C3B2987"/>
    <w:rsid w:val="7C6D2F45"/>
    <w:rsid w:val="7C8021FC"/>
    <w:rsid w:val="7CD47E94"/>
    <w:rsid w:val="7CDB7433"/>
    <w:rsid w:val="7CEE547A"/>
    <w:rsid w:val="7D180687"/>
    <w:rsid w:val="7D6F3CF1"/>
    <w:rsid w:val="7D7B6519"/>
    <w:rsid w:val="7D853013"/>
    <w:rsid w:val="7D9B3066"/>
    <w:rsid w:val="7DB008BF"/>
    <w:rsid w:val="7E044196"/>
    <w:rsid w:val="7E1626EC"/>
    <w:rsid w:val="7EC4197A"/>
    <w:rsid w:val="7ED625A7"/>
    <w:rsid w:val="7F280929"/>
    <w:rsid w:val="7F482940"/>
    <w:rsid w:val="7F695CCD"/>
    <w:rsid w:val="7F743A1E"/>
    <w:rsid w:val="7F8206A0"/>
    <w:rsid w:val="7FA73EAD"/>
    <w:rsid w:val="7FA97CBC"/>
    <w:rsid w:val="7FAA7BAB"/>
    <w:rsid w:val="7FB31034"/>
    <w:rsid w:val="7FC45FDB"/>
    <w:rsid w:val="7FD85EAB"/>
    <w:rsid w:val="7FD904F5"/>
    <w:rsid w:val="7FE9206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nhideWhenUsed="0" w:uiPriority="99"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qFormat="1" w:unhideWhenUsed="0" w:uiPriority="99"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autoRedefine/>
    <w:qFormat/>
    <w:uiPriority w:val="0"/>
    <w:pPr>
      <w:keepNext/>
      <w:keepLines/>
      <w:adjustRightInd w:val="0"/>
      <w:spacing w:before="120" w:line="360" w:lineRule="auto"/>
      <w:outlineLvl w:val="0"/>
    </w:pPr>
    <w:rPr>
      <w:rFonts w:eastAsia="黑体"/>
      <w:b/>
      <w:kern w:val="44"/>
      <w:sz w:val="28"/>
    </w:rPr>
  </w:style>
  <w:style w:type="paragraph" w:styleId="4">
    <w:name w:val="heading 2"/>
    <w:basedOn w:val="1"/>
    <w:next w:val="1"/>
    <w:autoRedefine/>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autoRedefine/>
    <w:qFormat/>
    <w:uiPriority w:val="0"/>
    <w:pPr>
      <w:keepNext/>
      <w:keepLines/>
      <w:spacing w:before="260" w:after="260" w:line="413" w:lineRule="auto"/>
      <w:outlineLvl w:val="2"/>
    </w:pPr>
    <w:rPr>
      <w:b/>
      <w:sz w:val="32"/>
    </w:rPr>
  </w:style>
  <w:style w:type="paragraph" w:styleId="6">
    <w:name w:val="heading 4"/>
    <w:basedOn w:val="1"/>
    <w:next w:val="1"/>
    <w:autoRedefine/>
    <w:qFormat/>
    <w:uiPriority w:val="99"/>
    <w:pPr>
      <w:numPr>
        <w:ilvl w:val="3"/>
        <w:numId w:val="1"/>
      </w:numPr>
      <w:adjustRightInd w:val="0"/>
      <w:spacing w:before="120" w:line="360" w:lineRule="auto"/>
      <w:textAlignment w:val="baseline"/>
      <w:outlineLvl w:val="3"/>
    </w:pPr>
    <w:rPr>
      <w:rFonts w:ascii="Arial" w:hAnsi="Arial" w:eastAsia="黑体"/>
      <w:sz w:val="28"/>
    </w:rPr>
  </w:style>
  <w:style w:type="paragraph" w:styleId="7">
    <w:name w:val="heading 5"/>
    <w:basedOn w:val="1"/>
    <w:next w:val="1"/>
    <w:autoRedefine/>
    <w:qFormat/>
    <w:uiPriority w:val="99"/>
    <w:pPr>
      <w:keepNext/>
      <w:keepLines/>
      <w:numPr>
        <w:ilvl w:val="4"/>
        <w:numId w:val="2"/>
      </w:numPr>
      <w:adjustRightInd w:val="0"/>
      <w:spacing w:before="280" w:after="290" w:line="376" w:lineRule="atLeast"/>
      <w:textAlignment w:val="baseline"/>
      <w:outlineLvl w:val="4"/>
    </w:pPr>
    <w:rPr>
      <w:b/>
      <w:sz w:val="28"/>
    </w:rPr>
  </w:style>
  <w:style w:type="paragraph" w:styleId="8">
    <w:name w:val="heading 6"/>
    <w:basedOn w:val="1"/>
    <w:next w:val="1"/>
    <w:autoRedefine/>
    <w:qFormat/>
    <w:uiPriority w:val="0"/>
    <w:pPr>
      <w:spacing w:line="17" w:lineRule="atLeast"/>
      <w:jc w:val="left"/>
      <w:outlineLvl w:val="5"/>
    </w:pPr>
    <w:rPr>
      <w:rFonts w:hint="eastAsia" w:ascii="宋体" w:hAnsi="宋体"/>
      <w:b/>
      <w:color w:val="333333"/>
      <w:kern w:val="0"/>
      <w:sz w:val="18"/>
      <w:szCs w:val="18"/>
    </w:rPr>
  </w:style>
  <w:style w:type="character" w:default="1" w:styleId="41">
    <w:name w:val="Default Paragraph Font"/>
    <w:autoRedefine/>
    <w:qFormat/>
    <w:uiPriority w:val="1"/>
  </w:style>
  <w:style w:type="table" w:default="1" w:styleId="39">
    <w:name w:val="Normal Table"/>
    <w:autoRedefine/>
    <w:qFormat/>
    <w:uiPriority w:val="99"/>
    <w:tblPr>
      <w:tblCellMar>
        <w:top w:w="0" w:type="dxa"/>
        <w:left w:w="108" w:type="dxa"/>
        <w:bottom w:w="0" w:type="dxa"/>
        <w:right w:w="108" w:type="dxa"/>
      </w:tblCellMar>
    </w:tblPr>
  </w:style>
  <w:style w:type="paragraph" w:customStyle="1" w:styleId="2">
    <w:name w:val="正文（标准）"/>
    <w:basedOn w:val="1"/>
    <w:next w:val="1"/>
    <w:semiHidden/>
    <w:qFormat/>
    <w:uiPriority w:val="0"/>
    <w:pPr>
      <w:ind w:firstLine="525"/>
    </w:pPr>
    <w:rPr>
      <w:rFonts w:ascii="宋体" w:hAnsi="宋体"/>
      <w:kern w:val="0"/>
      <w:sz w:val="20"/>
    </w:rPr>
  </w:style>
  <w:style w:type="paragraph" w:styleId="9">
    <w:name w:val="index 8"/>
    <w:basedOn w:val="1"/>
    <w:next w:val="1"/>
    <w:autoRedefine/>
    <w:qFormat/>
    <w:uiPriority w:val="0"/>
    <w:pPr>
      <w:ind w:left="1400" w:leftChars="1400"/>
    </w:pPr>
  </w:style>
  <w:style w:type="paragraph" w:styleId="10">
    <w:name w:val="Normal Indent"/>
    <w:basedOn w:val="1"/>
    <w:autoRedefine/>
    <w:qFormat/>
    <w:uiPriority w:val="0"/>
    <w:pPr>
      <w:ind w:firstLine="420"/>
    </w:pPr>
  </w:style>
  <w:style w:type="paragraph" w:styleId="11">
    <w:name w:val="Document Map"/>
    <w:basedOn w:val="1"/>
    <w:link w:val="115"/>
    <w:autoRedefine/>
    <w:qFormat/>
    <w:uiPriority w:val="0"/>
    <w:rPr>
      <w:rFonts w:ascii="宋体"/>
      <w:sz w:val="16"/>
      <w:szCs w:val="16"/>
    </w:rPr>
  </w:style>
  <w:style w:type="paragraph" w:styleId="12">
    <w:name w:val="toa heading"/>
    <w:basedOn w:val="1"/>
    <w:next w:val="1"/>
    <w:autoRedefine/>
    <w:qFormat/>
    <w:uiPriority w:val="0"/>
    <w:pPr>
      <w:spacing w:before="120"/>
    </w:pPr>
    <w:rPr>
      <w:rFonts w:ascii="Arial" w:hAnsi="Arial" w:cs="Arial"/>
      <w:sz w:val="24"/>
      <w:szCs w:val="24"/>
    </w:rPr>
  </w:style>
  <w:style w:type="paragraph" w:styleId="13">
    <w:name w:val="annotation text"/>
    <w:basedOn w:val="1"/>
    <w:link w:val="113"/>
    <w:autoRedefine/>
    <w:qFormat/>
    <w:uiPriority w:val="0"/>
    <w:pPr>
      <w:jc w:val="left"/>
    </w:pPr>
  </w:style>
  <w:style w:type="paragraph" w:styleId="14">
    <w:name w:val="Body Text 3"/>
    <w:basedOn w:val="1"/>
    <w:autoRedefine/>
    <w:qFormat/>
    <w:uiPriority w:val="99"/>
    <w:rPr>
      <w:rFonts w:ascii="宋体"/>
      <w:sz w:val="24"/>
      <w:szCs w:val="24"/>
    </w:rPr>
  </w:style>
  <w:style w:type="paragraph" w:styleId="15">
    <w:name w:val="Body Text"/>
    <w:basedOn w:val="1"/>
    <w:autoRedefine/>
    <w:qFormat/>
    <w:uiPriority w:val="0"/>
    <w:pPr>
      <w:spacing w:after="120"/>
    </w:pPr>
    <w:rPr>
      <w:sz w:val="36"/>
    </w:rPr>
  </w:style>
  <w:style w:type="paragraph" w:styleId="16">
    <w:name w:val="Body Text Indent"/>
    <w:basedOn w:val="1"/>
    <w:next w:val="17"/>
    <w:autoRedefine/>
    <w:qFormat/>
    <w:uiPriority w:val="0"/>
    <w:pPr>
      <w:spacing w:after="120"/>
      <w:ind w:left="420" w:leftChars="200"/>
    </w:pPr>
    <w:rPr>
      <w:rFonts w:ascii="宋体"/>
      <w:szCs w:val="21"/>
    </w:rPr>
  </w:style>
  <w:style w:type="paragraph" w:styleId="17">
    <w:name w:val="Body Text First Indent 2"/>
    <w:basedOn w:val="16"/>
    <w:autoRedefine/>
    <w:qFormat/>
    <w:uiPriority w:val="0"/>
    <w:pPr>
      <w:ind w:firstLine="420" w:firstLineChars="200"/>
    </w:pPr>
    <w:rPr>
      <w:rFonts w:ascii="Times New Roman"/>
    </w:rPr>
  </w:style>
  <w:style w:type="paragraph" w:styleId="18">
    <w:name w:val="Block Text"/>
    <w:basedOn w:val="1"/>
    <w:next w:val="1"/>
    <w:autoRedefine/>
    <w:qFormat/>
    <w:uiPriority w:val="99"/>
    <w:pPr>
      <w:overflowPunct w:val="0"/>
      <w:autoSpaceDE w:val="0"/>
      <w:autoSpaceDN w:val="0"/>
      <w:adjustRightInd w:val="0"/>
      <w:spacing w:before="60" w:after="60" w:line="440" w:lineRule="exact"/>
      <w:ind w:left="420" w:leftChars="150" w:right="1"/>
      <w:textAlignment w:val="baseline"/>
    </w:pPr>
    <w:rPr>
      <w:rFonts w:ascii="宋体" w:hAnsi="Times New Roman"/>
      <w:sz w:val="24"/>
      <w:szCs w:val="20"/>
    </w:rPr>
  </w:style>
  <w:style w:type="paragraph" w:styleId="19">
    <w:name w:val="toc 5"/>
    <w:basedOn w:val="1"/>
    <w:next w:val="1"/>
    <w:autoRedefine/>
    <w:qFormat/>
    <w:uiPriority w:val="0"/>
    <w:pPr>
      <w:ind w:left="840"/>
      <w:jc w:val="left"/>
    </w:pPr>
    <w:rPr>
      <w:sz w:val="18"/>
      <w:szCs w:val="18"/>
    </w:rPr>
  </w:style>
  <w:style w:type="paragraph" w:styleId="20">
    <w:name w:val="toc 3"/>
    <w:basedOn w:val="1"/>
    <w:next w:val="1"/>
    <w:autoRedefine/>
    <w:qFormat/>
    <w:uiPriority w:val="39"/>
    <w:pPr>
      <w:ind w:left="840" w:leftChars="400"/>
    </w:pPr>
  </w:style>
  <w:style w:type="paragraph" w:styleId="21">
    <w:name w:val="Plain Text"/>
    <w:basedOn w:val="1"/>
    <w:next w:val="1"/>
    <w:link w:val="98"/>
    <w:autoRedefine/>
    <w:qFormat/>
    <w:uiPriority w:val="0"/>
    <w:rPr>
      <w:rFonts w:ascii="宋体" w:hAnsi="Courier New"/>
    </w:rPr>
  </w:style>
  <w:style w:type="paragraph" w:styleId="22">
    <w:name w:val="Date"/>
    <w:basedOn w:val="1"/>
    <w:next w:val="1"/>
    <w:autoRedefine/>
    <w:qFormat/>
    <w:uiPriority w:val="0"/>
    <w:pPr>
      <w:ind w:left="100" w:leftChars="2500"/>
    </w:pPr>
  </w:style>
  <w:style w:type="paragraph" w:styleId="23">
    <w:name w:val="Body Text Indent 2"/>
    <w:basedOn w:val="1"/>
    <w:autoRedefine/>
    <w:qFormat/>
    <w:uiPriority w:val="0"/>
    <w:pPr>
      <w:spacing w:after="120" w:line="480" w:lineRule="auto"/>
      <w:ind w:left="420" w:leftChars="200"/>
    </w:pPr>
  </w:style>
  <w:style w:type="paragraph" w:styleId="24">
    <w:name w:val="Balloon Text"/>
    <w:basedOn w:val="1"/>
    <w:link w:val="93"/>
    <w:autoRedefine/>
    <w:qFormat/>
    <w:uiPriority w:val="0"/>
    <w:rPr>
      <w:sz w:val="18"/>
      <w:szCs w:val="18"/>
    </w:rPr>
  </w:style>
  <w:style w:type="paragraph" w:styleId="25">
    <w:name w:val="footer"/>
    <w:basedOn w:val="1"/>
    <w:link w:val="91"/>
    <w:autoRedefine/>
    <w:qFormat/>
    <w:uiPriority w:val="99"/>
    <w:pPr>
      <w:tabs>
        <w:tab w:val="center" w:pos="4153"/>
        <w:tab w:val="right" w:pos="8306"/>
      </w:tabs>
      <w:snapToGrid w:val="0"/>
      <w:jc w:val="left"/>
    </w:pPr>
    <w:rPr>
      <w:sz w:val="18"/>
    </w:rPr>
  </w:style>
  <w:style w:type="paragraph" w:styleId="26">
    <w:name w:val="header"/>
    <w:basedOn w:val="1"/>
    <w:link w:val="104"/>
    <w:autoRedefine/>
    <w:qFormat/>
    <w:uiPriority w:val="99"/>
    <w:pPr>
      <w:pBdr>
        <w:bottom w:val="single" w:color="auto" w:sz="6" w:space="1"/>
      </w:pBdr>
      <w:tabs>
        <w:tab w:val="center" w:pos="4153"/>
        <w:tab w:val="right" w:pos="8306"/>
      </w:tabs>
      <w:snapToGrid w:val="0"/>
      <w:jc w:val="center"/>
    </w:pPr>
    <w:rPr>
      <w:sz w:val="18"/>
    </w:rPr>
  </w:style>
  <w:style w:type="paragraph" w:styleId="27">
    <w:name w:val="toc 1"/>
    <w:basedOn w:val="1"/>
    <w:next w:val="1"/>
    <w:autoRedefine/>
    <w:qFormat/>
    <w:uiPriority w:val="39"/>
    <w:pPr>
      <w:tabs>
        <w:tab w:val="right" w:leader="dot" w:pos="8280"/>
      </w:tabs>
      <w:spacing w:before="120" w:after="120"/>
      <w:jc w:val="left"/>
    </w:pPr>
    <w:rPr>
      <w:b/>
      <w:caps/>
      <w:sz w:val="20"/>
    </w:rPr>
  </w:style>
  <w:style w:type="paragraph" w:styleId="28">
    <w:name w:val="toc 4"/>
    <w:basedOn w:val="1"/>
    <w:next w:val="1"/>
    <w:qFormat/>
    <w:uiPriority w:val="0"/>
    <w:pPr>
      <w:tabs>
        <w:tab w:val="left" w:pos="1890"/>
        <w:tab w:val="right" w:leader="dot" w:pos="8296"/>
      </w:tabs>
      <w:ind w:left="630" w:leftChars="300"/>
    </w:pPr>
  </w:style>
  <w:style w:type="paragraph" w:styleId="29">
    <w:name w:val="List 5"/>
    <w:basedOn w:val="1"/>
    <w:next w:val="30"/>
    <w:autoRedefine/>
    <w:qFormat/>
    <w:uiPriority w:val="99"/>
    <w:pPr>
      <w:widowControl w:val="0"/>
      <w:ind w:left="2100" w:hanging="420"/>
      <w:jc w:val="both"/>
    </w:pPr>
    <w:rPr>
      <w:kern w:val="2"/>
      <w:sz w:val="21"/>
    </w:rPr>
  </w:style>
  <w:style w:type="paragraph" w:customStyle="1" w:styleId="30">
    <w:name w:val="目录 51"/>
    <w:basedOn w:val="1"/>
    <w:next w:val="1"/>
    <w:autoRedefine/>
    <w:qFormat/>
    <w:uiPriority w:val="0"/>
    <w:pPr>
      <w:ind w:left="630"/>
    </w:pPr>
  </w:style>
  <w:style w:type="paragraph" w:styleId="31">
    <w:name w:val="Body Text Indent 3"/>
    <w:basedOn w:val="1"/>
    <w:autoRedefine/>
    <w:qFormat/>
    <w:uiPriority w:val="99"/>
    <w:pPr>
      <w:widowControl/>
      <w:overflowPunct w:val="0"/>
      <w:autoSpaceDE w:val="0"/>
      <w:autoSpaceDN w:val="0"/>
      <w:adjustRightInd w:val="0"/>
      <w:spacing w:line="360" w:lineRule="auto"/>
      <w:ind w:firstLine="540"/>
      <w:textAlignment w:val="baseline"/>
    </w:pPr>
    <w:rPr>
      <w:rFonts w:ascii="宋体" w:hAnsi="MS Sans Serif"/>
      <w:color w:val="000000"/>
      <w:kern w:val="0"/>
      <w:sz w:val="24"/>
      <w:szCs w:val="24"/>
    </w:rPr>
  </w:style>
  <w:style w:type="paragraph" w:styleId="32">
    <w:name w:val="table of figures"/>
    <w:basedOn w:val="1"/>
    <w:next w:val="1"/>
    <w:autoRedefine/>
    <w:qFormat/>
    <w:uiPriority w:val="0"/>
    <w:pPr>
      <w:ind w:left="200" w:leftChars="200" w:hanging="200" w:hangingChars="200"/>
      <w:jc w:val="center"/>
    </w:pPr>
  </w:style>
  <w:style w:type="paragraph" w:styleId="33">
    <w:name w:val="toc 2"/>
    <w:basedOn w:val="1"/>
    <w:next w:val="1"/>
    <w:autoRedefine/>
    <w:qFormat/>
    <w:uiPriority w:val="39"/>
    <w:pPr>
      <w:ind w:left="210"/>
      <w:jc w:val="left"/>
    </w:pPr>
    <w:rPr>
      <w:smallCaps/>
      <w:sz w:val="20"/>
    </w:rPr>
  </w:style>
  <w:style w:type="paragraph" w:styleId="34">
    <w:name w:val="Message Header"/>
    <w:basedOn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35">
    <w:name w:val="HTML Preformatted"/>
    <w:basedOn w:val="1"/>
    <w:link w:val="10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6">
    <w:name w:val="Normal (Web)"/>
    <w:basedOn w:val="1"/>
    <w:link w:val="110"/>
    <w:autoRedefine/>
    <w:qFormat/>
    <w:uiPriority w:val="0"/>
    <w:pPr>
      <w:widowControl/>
      <w:spacing w:before="100" w:beforeAutospacing="1" w:after="100" w:afterAutospacing="1"/>
      <w:jc w:val="left"/>
    </w:pPr>
    <w:rPr>
      <w:rFonts w:ascii="宋体" w:hAnsi="宋体"/>
      <w:color w:val="000000"/>
      <w:kern w:val="0"/>
      <w:sz w:val="18"/>
    </w:rPr>
  </w:style>
  <w:style w:type="paragraph" w:styleId="37">
    <w:name w:val="annotation subject"/>
    <w:basedOn w:val="13"/>
    <w:next w:val="13"/>
    <w:link w:val="107"/>
    <w:autoRedefine/>
    <w:qFormat/>
    <w:uiPriority w:val="0"/>
    <w:rPr>
      <w:b/>
      <w:bCs/>
    </w:rPr>
  </w:style>
  <w:style w:type="paragraph" w:styleId="38">
    <w:name w:val="Body Text First Indent"/>
    <w:basedOn w:val="15"/>
    <w:next w:val="1"/>
    <w:autoRedefine/>
    <w:qFormat/>
    <w:uiPriority w:val="0"/>
    <w:pPr>
      <w:ind w:firstLine="420" w:firstLineChars="100"/>
    </w:pPr>
    <w:rPr>
      <w:rFonts w:eastAsia="仿宋_GB2312"/>
      <w:sz w:val="30"/>
      <w:szCs w:val="24"/>
    </w:rPr>
  </w:style>
  <w:style w:type="table" w:styleId="40">
    <w:name w:val="Table Grid"/>
    <w:basedOn w:val="3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basedOn w:val="41"/>
    <w:autoRedefine/>
    <w:qFormat/>
    <w:uiPriority w:val="0"/>
    <w:rPr>
      <w:b/>
      <w:bCs/>
    </w:rPr>
  </w:style>
  <w:style w:type="character" w:styleId="43">
    <w:name w:val="page number"/>
    <w:basedOn w:val="41"/>
    <w:autoRedefine/>
    <w:qFormat/>
    <w:uiPriority w:val="0"/>
  </w:style>
  <w:style w:type="character" w:styleId="44">
    <w:name w:val="FollowedHyperlink"/>
    <w:basedOn w:val="41"/>
    <w:autoRedefine/>
    <w:qFormat/>
    <w:uiPriority w:val="0"/>
    <w:rPr>
      <w:color w:val="333333"/>
      <w:u w:val="none"/>
    </w:rPr>
  </w:style>
  <w:style w:type="character" w:styleId="45">
    <w:name w:val="Emphasis"/>
    <w:basedOn w:val="41"/>
    <w:autoRedefine/>
    <w:qFormat/>
    <w:uiPriority w:val="0"/>
  </w:style>
  <w:style w:type="character" w:styleId="46">
    <w:name w:val="HTML Definition"/>
    <w:basedOn w:val="41"/>
    <w:autoRedefine/>
    <w:qFormat/>
    <w:uiPriority w:val="0"/>
    <w:rPr>
      <w:i/>
      <w:iCs/>
    </w:rPr>
  </w:style>
  <w:style w:type="character" w:styleId="47">
    <w:name w:val="Hyperlink"/>
    <w:autoRedefine/>
    <w:qFormat/>
    <w:uiPriority w:val="99"/>
    <w:rPr>
      <w:color w:val="0000FF"/>
      <w:u w:val="single"/>
    </w:rPr>
  </w:style>
  <w:style w:type="character" w:styleId="48">
    <w:name w:val="HTML Code"/>
    <w:basedOn w:val="41"/>
    <w:autoRedefine/>
    <w:qFormat/>
    <w:uiPriority w:val="0"/>
    <w:rPr>
      <w:rFonts w:hint="default" w:ascii="Consolas" w:hAnsi="Consolas" w:eastAsia="Consolas" w:cs="Consolas"/>
      <w:color w:val="C7254E"/>
      <w:sz w:val="21"/>
      <w:szCs w:val="21"/>
      <w:shd w:val="clear" w:color="auto" w:fill="F9F2F4"/>
    </w:rPr>
  </w:style>
  <w:style w:type="character" w:styleId="49">
    <w:name w:val="annotation reference"/>
    <w:autoRedefine/>
    <w:qFormat/>
    <w:uiPriority w:val="0"/>
    <w:rPr>
      <w:sz w:val="21"/>
      <w:szCs w:val="21"/>
    </w:rPr>
  </w:style>
  <w:style w:type="character" w:styleId="50">
    <w:name w:val="HTML Keyboard"/>
    <w:basedOn w:val="41"/>
    <w:autoRedefine/>
    <w:qFormat/>
    <w:uiPriority w:val="0"/>
    <w:rPr>
      <w:rFonts w:ascii="Consolas" w:hAnsi="Consolas" w:eastAsia="Consolas" w:cs="Consolas"/>
      <w:color w:val="FFFFFF"/>
      <w:sz w:val="21"/>
      <w:szCs w:val="21"/>
      <w:shd w:val="clear" w:color="auto" w:fill="333333"/>
    </w:rPr>
  </w:style>
  <w:style w:type="character" w:styleId="51">
    <w:name w:val="HTML Sample"/>
    <w:basedOn w:val="41"/>
    <w:autoRedefine/>
    <w:qFormat/>
    <w:uiPriority w:val="0"/>
    <w:rPr>
      <w:rFonts w:hint="default" w:ascii="Consolas" w:hAnsi="Consolas" w:eastAsia="Consolas" w:cs="Consolas"/>
      <w:sz w:val="21"/>
      <w:szCs w:val="21"/>
    </w:rPr>
  </w:style>
  <w:style w:type="paragraph" w:customStyle="1" w:styleId="52">
    <w:name w:val="BodyText1I2"/>
    <w:basedOn w:val="53"/>
    <w:autoRedefine/>
    <w:qFormat/>
    <w:uiPriority w:val="0"/>
    <w:pPr>
      <w:spacing w:after="0" w:line="540" w:lineRule="exact"/>
      <w:ind w:left="0" w:leftChars="0" w:firstLine="420" w:firstLineChars="200"/>
      <w:jc w:val="both"/>
      <w:textAlignment w:val="baseline"/>
    </w:pPr>
    <w:rPr>
      <w:rFonts w:ascii="Times New Roman" w:hAnsi="Calibri" w:eastAsia="仿宋_GB2312"/>
      <w:kern w:val="2"/>
      <w:sz w:val="24"/>
      <w:szCs w:val="20"/>
      <w:lang w:val="en-US" w:eastAsia="zh-CN" w:bidi="ar-SA"/>
    </w:rPr>
  </w:style>
  <w:style w:type="paragraph" w:customStyle="1" w:styleId="53">
    <w:name w:val="BodyTextIndent"/>
    <w:basedOn w:val="1"/>
    <w:autoRedefine/>
    <w:qFormat/>
    <w:uiPriority w:val="0"/>
    <w:pPr>
      <w:spacing w:line="360" w:lineRule="auto"/>
      <w:ind w:firstLine="461" w:firstLineChars="192"/>
      <w:jc w:val="both"/>
      <w:textAlignment w:val="baseline"/>
    </w:pPr>
    <w:rPr>
      <w:rFonts w:ascii="仿宋_GB2312" w:hAnsi="华文仿宋" w:eastAsia="仿宋_GB2312"/>
      <w:kern w:val="2"/>
      <w:sz w:val="24"/>
      <w:szCs w:val="20"/>
      <w:lang w:val="en-US" w:eastAsia="zh-CN" w:bidi="ar-SA"/>
    </w:rPr>
  </w:style>
  <w:style w:type="paragraph" w:customStyle="1" w:styleId="54">
    <w:name w:val="style4"/>
    <w:basedOn w:val="55"/>
    <w:next w:val="56"/>
    <w:autoRedefine/>
    <w:qFormat/>
    <w:uiPriority w:val="0"/>
    <w:pPr>
      <w:spacing w:before="100" w:beforeAutospacing="1" w:after="100" w:afterAutospacing="1"/>
      <w:jc w:val="left"/>
    </w:pPr>
    <w:rPr>
      <w:rFonts w:ascii="宋体" w:hAnsi="宋体" w:cs="宋体"/>
      <w:kern w:val="0"/>
      <w:sz w:val="18"/>
      <w:szCs w:val="18"/>
    </w:rPr>
  </w:style>
  <w:style w:type="paragraph" w:customStyle="1" w:styleId="55">
    <w:name w:val="正文1"/>
    <w:next w:val="38"/>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56">
    <w:name w:val="2"/>
    <w:basedOn w:val="1"/>
    <w:next w:val="1"/>
    <w:autoRedefine/>
    <w:qFormat/>
    <w:uiPriority w:val="0"/>
    <w:pPr>
      <w:spacing w:line="360" w:lineRule="auto"/>
    </w:pPr>
    <w:rPr>
      <w:rFonts w:ascii="Times New Roman" w:hAnsi="Times New Roman" w:eastAsia="仿宋_GB2312"/>
      <w:sz w:val="28"/>
      <w:szCs w:val="28"/>
    </w:rPr>
  </w:style>
  <w:style w:type="paragraph" w:customStyle="1" w:styleId="57">
    <w:name w:val="Default"/>
    <w:autoRedefine/>
    <w:qFormat/>
    <w:uiPriority w:val="0"/>
    <w:pPr>
      <w:widowControl w:val="0"/>
      <w:autoSpaceDE w:val="0"/>
      <w:autoSpaceDN w:val="0"/>
      <w:adjustRightInd w:val="0"/>
    </w:pPr>
    <w:rPr>
      <w:rFonts w:ascii="宋体" w:hAnsi="宋体" w:eastAsia="宋体" w:cs="Times New Roman"/>
      <w:color w:val="000000"/>
      <w:sz w:val="24"/>
      <w:lang w:val="en-US" w:eastAsia="zh-CN" w:bidi="ar-SA"/>
    </w:rPr>
  </w:style>
  <w:style w:type="paragraph" w:customStyle="1" w:styleId="58">
    <w:name w:val="正文首行缩进 21"/>
    <w:basedOn w:val="59"/>
    <w:autoRedefine/>
    <w:qFormat/>
    <w:uiPriority w:val="0"/>
    <w:pPr>
      <w:overflowPunct w:val="0"/>
      <w:autoSpaceDE w:val="0"/>
      <w:autoSpaceDN w:val="0"/>
      <w:adjustRightInd w:val="0"/>
      <w:spacing w:after="120" w:line="360" w:lineRule="auto"/>
      <w:ind w:firstLine="420" w:firstLineChars="200"/>
      <w:textAlignment w:val="baseline"/>
    </w:pPr>
    <w:rPr>
      <w:rFonts w:ascii="宋体" w:hAnsi="MS Sans Serif"/>
      <w:spacing w:val="12"/>
      <w:sz w:val="24"/>
    </w:rPr>
  </w:style>
  <w:style w:type="paragraph" w:customStyle="1" w:styleId="59">
    <w:name w:val="正文文本缩进1"/>
    <w:basedOn w:val="1"/>
    <w:autoRedefine/>
    <w:qFormat/>
    <w:uiPriority w:val="0"/>
    <w:pPr>
      <w:ind w:left="420" w:leftChars="200"/>
    </w:pPr>
  </w:style>
  <w:style w:type="paragraph" w:customStyle="1" w:styleId="60">
    <w:name w:val="段落正文"/>
    <w:basedOn w:val="1"/>
    <w:autoRedefine/>
    <w:qFormat/>
    <w:uiPriority w:val="0"/>
    <w:pPr>
      <w:spacing w:line="360" w:lineRule="auto"/>
      <w:ind w:firstLine="480" w:firstLineChars="200"/>
    </w:pPr>
    <w:rPr>
      <w:rFonts w:ascii="微软雅黑" w:hAnsi="微软雅黑"/>
      <w:kern w:val="0"/>
      <w:sz w:val="24"/>
      <w:szCs w:val="20"/>
    </w:rPr>
  </w:style>
  <w:style w:type="paragraph" w:customStyle="1" w:styleId="61">
    <w:name w:val="一级条标题"/>
    <w:basedOn w:val="62"/>
    <w:next w:val="63"/>
    <w:autoRedefine/>
    <w:qFormat/>
    <w:uiPriority w:val="0"/>
    <w:pPr>
      <w:spacing w:line="240" w:lineRule="auto"/>
      <w:ind w:left="420"/>
      <w:outlineLvl w:val="2"/>
    </w:pPr>
    <w:rPr>
      <w:rFonts w:ascii="Times New Roman" w:hAnsi="Times New Roman" w:eastAsia="宋体" w:cs="Times New Roman"/>
    </w:rPr>
  </w:style>
  <w:style w:type="paragraph" w:customStyle="1" w:styleId="62">
    <w:name w:val="章标题"/>
    <w:next w:val="1"/>
    <w:autoRedefine/>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63">
    <w:name w:val="段"/>
    <w:next w:val="1"/>
    <w:autoRedefine/>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64">
    <w:name w:val="Normal_2"/>
    <w:next w:val="17"/>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5">
    <w:name w:val="列出段落1"/>
    <w:basedOn w:val="1"/>
    <w:autoRedefine/>
    <w:qFormat/>
    <w:uiPriority w:val="0"/>
    <w:pPr>
      <w:ind w:firstLine="420" w:firstLineChars="200"/>
    </w:pPr>
    <w:rPr>
      <w:rFonts w:ascii="Calibri" w:hAnsi="Calibri"/>
    </w:rPr>
  </w:style>
  <w:style w:type="paragraph" w:customStyle="1" w:styleId="66">
    <w:name w:val="GP正文(无首行缩进)"/>
    <w:basedOn w:val="1"/>
    <w:autoRedefine/>
    <w:qFormat/>
    <w:uiPriority w:val="0"/>
    <w:pPr>
      <w:spacing w:line="360" w:lineRule="auto"/>
      <w:ind w:firstLine="480" w:firstLineChars="200"/>
    </w:pPr>
    <w:rPr>
      <w:rFonts w:hAnsi="宋体"/>
      <w:sz w:val="24"/>
      <w:szCs w:val="24"/>
    </w:rPr>
  </w:style>
  <w:style w:type="paragraph" w:customStyle="1" w:styleId="67">
    <w:name w:val="表格"/>
    <w:basedOn w:val="1"/>
    <w:autoRedefine/>
    <w:qFormat/>
    <w:uiPriority w:val="0"/>
    <w:pPr>
      <w:tabs>
        <w:tab w:val="left" w:pos="1200"/>
      </w:tabs>
      <w:spacing w:line="500" w:lineRule="exact"/>
      <w:jc w:val="center"/>
    </w:pPr>
    <w:rPr>
      <w:rFonts w:ascii="宋体" w:hAnsi="Arial Narrow"/>
      <w:sz w:val="24"/>
    </w:rPr>
  </w:style>
  <w:style w:type="paragraph" w:customStyle="1" w:styleId="68">
    <w:name w:val="Char Char Char Char Char Char Char"/>
    <w:basedOn w:val="1"/>
    <w:autoRedefine/>
    <w:qFormat/>
    <w:uiPriority w:val="0"/>
  </w:style>
  <w:style w:type="paragraph" w:customStyle="1" w:styleId="69">
    <w:name w:val="样式 微软雅黑 小四 行距: 1.5 倍行距 首行缩进:  2 字符"/>
    <w:basedOn w:val="1"/>
    <w:autoRedefine/>
    <w:qFormat/>
    <w:uiPriority w:val="0"/>
    <w:pPr>
      <w:ind w:firstLine="480"/>
    </w:pPr>
    <w:rPr>
      <w:rFonts w:ascii="微软雅黑" w:hAnsi="微软雅黑" w:eastAsia="微软雅黑" w:cs="宋体"/>
    </w:rPr>
  </w:style>
  <w:style w:type="paragraph" w:customStyle="1" w:styleId="70">
    <w:name w:val="CM91"/>
    <w:basedOn w:val="57"/>
    <w:next w:val="57"/>
    <w:autoRedefine/>
    <w:qFormat/>
    <w:uiPriority w:val="0"/>
    <w:pPr>
      <w:spacing w:after="160"/>
    </w:pPr>
    <w:rPr>
      <w:color w:val="auto"/>
    </w:rPr>
  </w:style>
  <w:style w:type="paragraph" w:customStyle="1" w:styleId="71">
    <w:name w:val="_Style 46"/>
    <w:basedOn w:val="1"/>
    <w:autoRedefine/>
    <w:qFormat/>
    <w:uiPriority w:val="34"/>
    <w:pPr>
      <w:ind w:firstLine="420"/>
    </w:pPr>
  </w:style>
  <w:style w:type="paragraph" w:customStyle="1" w:styleId="72">
    <w:name w:val="Inside Address"/>
    <w:basedOn w:val="15"/>
    <w:autoRedefine/>
    <w:qFormat/>
    <w:uiPriority w:val="0"/>
    <w:pPr>
      <w:widowControl/>
      <w:overflowPunct w:val="0"/>
      <w:autoSpaceDE w:val="0"/>
      <w:autoSpaceDN w:val="0"/>
      <w:adjustRightInd w:val="0"/>
      <w:spacing w:after="0" w:line="220" w:lineRule="atLeast"/>
      <w:ind w:left="840" w:right="-360"/>
      <w:jc w:val="left"/>
      <w:textAlignment w:val="baseline"/>
    </w:pPr>
    <w:rPr>
      <w:kern w:val="0"/>
      <w:sz w:val="20"/>
    </w:rPr>
  </w:style>
  <w:style w:type="paragraph" w:customStyle="1" w:styleId="73">
    <w:name w:val="Char2"/>
    <w:basedOn w:val="1"/>
    <w:autoRedefine/>
    <w:qFormat/>
    <w:uiPriority w:val="0"/>
    <w:pPr>
      <w:ind w:left="432" w:hanging="432"/>
    </w:pPr>
    <w:rPr>
      <w:rFonts w:ascii="Calibri" w:hAnsi="Calibri"/>
      <w:szCs w:val="24"/>
    </w:rPr>
  </w:style>
  <w:style w:type="paragraph" w:customStyle="1" w:styleId="74">
    <w:name w:val="（符号）三标题1.1"/>
    <w:basedOn w:val="1"/>
    <w:autoRedefine/>
    <w:qFormat/>
    <w:uiPriority w:val="0"/>
    <w:pPr>
      <w:numPr>
        <w:ilvl w:val="1"/>
        <w:numId w:val="3"/>
      </w:numPr>
      <w:tabs>
        <w:tab w:val="left" w:pos="700"/>
      </w:tabs>
      <w:spacing w:line="500" w:lineRule="exact"/>
    </w:pPr>
    <w:rPr>
      <w:rFonts w:ascii="宋体" w:hAnsi="宋体"/>
      <w:sz w:val="24"/>
      <w:szCs w:val="24"/>
    </w:rPr>
  </w:style>
  <w:style w:type="paragraph" w:customStyle="1" w:styleId="75">
    <w:name w:val="Z正文"/>
    <w:autoRedefine/>
    <w:qFormat/>
    <w:uiPriority w:val="0"/>
    <w:pPr>
      <w:spacing w:line="360" w:lineRule="auto"/>
      <w:ind w:firstLine="480" w:firstLineChars="200"/>
      <w:jc w:val="both"/>
    </w:pPr>
    <w:rPr>
      <w:rFonts w:ascii="宋体" w:hAnsi="宋体" w:eastAsia="宋体" w:cs="Calibri"/>
      <w:sz w:val="24"/>
      <w:lang w:val="en-US" w:eastAsia="zh-CN" w:bidi="ar-SA"/>
    </w:rPr>
  </w:style>
  <w:style w:type="paragraph" w:customStyle="1" w:styleId="76">
    <w:name w:val="修订1"/>
    <w:autoRedefine/>
    <w:qFormat/>
    <w:uiPriority w:val="99"/>
    <w:rPr>
      <w:rFonts w:ascii="Times New Roman" w:hAnsi="Times New Roman" w:eastAsia="宋体" w:cs="Times New Roman"/>
      <w:kern w:val="2"/>
      <w:sz w:val="21"/>
      <w:lang w:val="en-US" w:eastAsia="zh-CN" w:bidi="ar-SA"/>
    </w:rPr>
  </w:style>
  <w:style w:type="paragraph" w:customStyle="1" w:styleId="77">
    <w:name w:val="Char"/>
    <w:basedOn w:val="1"/>
    <w:autoRedefine/>
    <w:qFormat/>
    <w:uiPriority w:val="0"/>
    <w:pPr>
      <w:widowControl/>
      <w:spacing w:after="160" w:line="240" w:lineRule="exact"/>
      <w:jc w:val="left"/>
    </w:pPr>
    <w:rPr>
      <w:rFonts w:ascii="Calibri" w:hAnsi="Calibri"/>
    </w:rPr>
  </w:style>
  <w:style w:type="paragraph" w:customStyle="1" w:styleId="78">
    <w:name w:val="编号"/>
    <w:basedOn w:val="1"/>
    <w:next w:val="1"/>
    <w:autoRedefine/>
    <w:qFormat/>
    <w:uiPriority w:val="0"/>
    <w:pPr>
      <w:tabs>
        <w:tab w:val="left" w:pos="480"/>
      </w:tabs>
      <w:spacing w:line="360" w:lineRule="auto"/>
      <w:ind w:left="200" w:hanging="200" w:hangingChars="200"/>
    </w:pPr>
    <w:rPr>
      <w:rFonts w:ascii="宋体"/>
      <w:sz w:val="24"/>
    </w:rPr>
  </w:style>
  <w:style w:type="paragraph" w:customStyle="1" w:styleId="79">
    <w:name w:val="*正文"/>
    <w:basedOn w:val="66"/>
    <w:link w:val="96"/>
    <w:autoRedefine/>
    <w:qFormat/>
    <w:uiPriority w:val="0"/>
    <w:pPr>
      <w:ind w:firstLine="200"/>
    </w:pPr>
    <w:rPr>
      <w:rFonts w:ascii="Calibri" w:hAnsi="Calibri"/>
    </w:rPr>
  </w:style>
  <w:style w:type="paragraph" w:customStyle="1" w:styleId="80">
    <w:name w:val="Content"/>
    <w:basedOn w:val="15"/>
    <w:autoRedefine/>
    <w:qFormat/>
    <w:uiPriority w:val="0"/>
    <w:pPr>
      <w:spacing w:after="0" w:line="360" w:lineRule="auto"/>
      <w:ind w:firstLine="480"/>
    </w:pPr>
    <w:rPr>
      <w:rFonts w:eastAsia="全真簡粗明"/>
      <w:snapToGrid w:val="0"/>
      <w:kern w:val="0"/>
      <w:sz w:val="24"/>
      <w:lang w:eastAsia="zh-TW"/>
    </w:rPr>
  </w:style>
  <w:style w:type="paragraph" w:customStyle="1" w:styleId="81">
    <w:name w:val="抬头"/>
    <w:basedOn w:val="1"/>
    <w:autoRedefine/>
    <w:qFormat/>
    <w:uiPriority w:val="0"/>
    <w:pPr>
      <w:spacing w:before="156" w:line="360" w:lineRule="auto"/>
    </w:pPr>
    <w:rPr>
      <w:rFonts w:ascii="宋体"/>
      <w:sz w:val="24"/>
    </w:rPr>
  </w:style>
  <w:style w:type="paragraph" w:customStyle="1" w:styleId="82">
    <w:name w:val="Company Name"/>
    <w:basedOn w:val="1"/>
    <w:next w:val="1"/>
    <w:autoRedefine/>
    <w:qFormat/>
    <w:uiPriority w:val="0"/>
    <w:pPr>
      <w:widowControl/>
      <w:overflowPunct w:val="0"/>
      <w:autoSpaceDE w:val="0"/>
      <w:autoSpaceDN w:val="0"/>
      <w:adjustRightInd w:val="0"/>
      <w:spacing w:before="100" w:after="600" w:line="600" w:lineRule="atLeast"/>
      <w:ind w:left="840" w:right="-360"/>
      <w:jc w:val="left"/>
      <w:textAlignment w:val="baseline"/>
    </w:pPr>
    <w:rPr>
      <w:spacing w:val="-34"/>
      <w:kern w:val="0"/>
      <w:sz w:val="60"/>
    </w:rPr>
  </w:style>
  <w:style w:type="paragraph" w:customStyle="1" w:styleId="83">
    <w:name w:val="(符号)标书正文"/>
    <w:basedOn w:val="1"/>
    <w:autoRedefine/>
    <w:qFormat/>
    <w:uiPriority w:val="0"/>
    <w:pPr>
      <w:spacing w:line="420" w:lineRule="exact"/>
      <w:ind w:firstLine="480" w:firstLineChars="200"/>
      <w:jc w:val="left"/>
    </w:pPr>
    <w:rPr>
      <w:rFonts w:ascii="宋体" w:hAnsi="宋体" w:cs="宋体"/>
      <w:color w:val="000000"/>
      <w:sz w:val="24"/>
      <w:szCs w:val="24"/>
    </w:rPr>
  </w:style>
  <w:style w:type="paragraph" w:customStyle="1" w:styleId="84">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85">
    <w:name w:val="列出段落2"/>
    <w:basedOn w:val="1"/>
    <w:autoRedefine/>
    <w:qFormat/>
    <w:uiPriority w:val="0"/>
    <w:pPr>
      <w:ind w:firstLine="420" w:firstLineChars="200"/>
    </w:pPr>
    <w:rPr>
      <w:rFonts w:ascii="Calibri" w:hAnsi="Calibri"/>
      <w:szCs w:val="22"/>
    </w:rPr>
  </w:style>
  <w:style w:type="paragraph" w:customStyle="1" w:styleId="86">
    <w:name w:val="Char1"/>
    <w:basedOn w:val="1"/>
    <w:autoRedefine/>
    <w:qFormat/>
    <w:uiPriority w:val="0"/>
    <w:pPr>
      <w:widowControl/>
      <w:spacing w:after="160" w:line="240" w:lineRule="exact"/>
      <w:jc w:val="left"/>
    </w:pPr>
    <w:rPr>
      <w:szCs w:val="24"/>
    </w:rPr>
  </w:style>
  <w:style w:type="paragraph" w:customStyle="1" w:styleId="87">
    <w:name w:val="横表格"/>
    <w:basedOn w:val="1"/>
    <w:autoRedefine/>
    <w:qFormat/>
    <w:uiPriority w:val="0"/>
    <w:pPr>
      <w:tabs>
        <w:tab w:val="left" w:pos="1200"/>
      </w:tabs>
      <w:spacing w:line="360" w:lineRule="exact"/>
      <w:ind w:right="-98"/>
      <w:jc w:val="center"/>
    </w:pPr>
    <w:rPr>
      <w:rFonts w:ascii="宋体" w:hAnsi="宋体"/>
      <w:sz w:val="24"/>
    </w:rPr>
  </w:style>
  <w:style w:type="paragraph" w:customStyle="1" w:styleId="88">
    <w:name w:val="TOC 标题1"/>
    <w:basedOn w:val="3"/>
    <w:next w:val="1"/>
    <w:autoRedefine/>
    <w:qFormat/>
    <w:uiPriority w:val="39"/>
    <w:pPr>
      <w:widowControl/>
      <w:adjustRightInd/>
      <w:spacing w:before="240" w:line="259" w:lineRule="auto"/>
      <w:jc w:val="left"/>
      <w:outlineLvl w:val="9"/>
    </w:pPr>
    <w:rPr>
      <w:rFonts w:ascii="等线 Light" w:hAnsi="等线 Light" w:eastAsia="等线 Light"/>
      <w:b w:val="0"/>
      <w:color w:val="2E74B5"/>
      <w:kern w:val="0"/>
      <w:sz w:val="32"/>
      <w:szCs w:val="32"/>
    </w:rPr>
  </w:style>
  <w:style w:type="character" w:customStyle="1" w:styleId="89">
    <w:name w:val="font71"/>
    <w:autoRedefine/>
    <w:qFormat/>
    <w:uiPriority w:val="0"/>
    <w:rPr>
      <w:rFonts w:hint="eastAsia" w:ascii="宋体" w:hAnsi="宋体" w:eastAsia="宋体" w:cs="宋体"/>
      <w:color w:val="000000"/>
      <w:sz w:val="22"/>
      <w:szCs w:val="22"/>
      <w:u w:val="none"/>
    </w:rPr>
  </w:style>
  <w:style w:type="character" w:customStyle="1" w:styleId="90">
    <w:name w:val="文档结构图 字符"/>
    <w:autoRedefine/>
    <w:qFormat/>
    <w:uiPriority w:val="0"/>
    <w:rPr>
      <w:rFonts w:ascii="宋体"/>
      <w:kern w:val="2"/>
      <w:sz w:val="16"/>
      <w:szCs w:val="16"/>
    </w:rPr>
  </w:style>
  <w:style w:type="character" w:customStyle="1" w:styleId="91">
    <w:name w:val="页脚 Char"/>
    <w:basedOn w:val="41"/>
    <w:link w:val="25"/>
    <w:autoRedefine/>
    <w:qFormat/>
    <w:uiPriority w:val="99"/>
    <w:rPr>
      <w:kern w:val="2"/>
      <w:sz w:val="18"/>
    </w:rPr>
  </w:style>
  <w:style w:type="character" w:customStyle="1" w:styleId="92">
    <w:name w:val="批注框文本 字符"/>
    <w:autoRedefine/>
    <w:qFormat/>
    <w:uiPriority w:val="0"/>
    <w:rPr>
      <w:kern w:val="2"/>
      <w:sz w:val="18"/>
      <w:szCs w:val="18"/>
    </w:rPr>
  </w:style>
  <w:style w:type="character" w:customStyle="1" w:styleId="93">
    <w:name w:val="批注框文本 Char"/>
    <w:link w:val="24"/>
    <w:autoRedefine/>
    <w:qFormat/>
    <w:uiPriority w:val="0"/>
    <w:rPr>
      <w:kern w:val="2"/>
      <w:sz w:val="18"/>
      <w:szCs w:val="18"/>
    </w:rPr>
  </w:style>
  <w:style w:type="character" w:customStyle="1" w:styleId="94">
    <w:name w:val="页眉[858D7CFB-ED40-4347-BF05-701D383B685F]"/>
    <w:autoRedefine/>
    <w:qFormat/>
    <w:uiPriority w:val="0"/>
    <w:rPr>
      <w:rFonts w:eastAsia="宋体"/>
      <w:kern w:val="2"/>
      <w:sz w:val="18"/>
      <w:lang w:val="en-US" w:eastAsia="zh-CN"/>
    </w:rPr>
  </w:style>
  <w:style w:type="character" w:customStyle="1" w:styleId="95">
    <w:name w:val="Char Char2"/>
    <w:basedOn w:val="41"/>
    <w:autoRedefine/>
    <w:qFormat/>
    <w:uiPriority w:val="0"/>
    <w:rPr>
      <w:rFonts w:ascii="宋体" w:hAnsi="宋体" w:cs="宋体"/>
      <w:sz w:val="24"/>
      <w:szCs w:val="24"/>
    </w:rPr>
  </w:style>
  <w:style w:type="character" w:customStyle="1" w:styleId="96">
    <w:name w:val="*正文 Char"/>
    <w:link w:val="79"/>
    <w:autoRedefine/>
    <w:qFormat/>
    <w:uiPriority w:val="0"/>
    <w:rPr>
      <w:rFonts w:ascii="Calibri" w:hAnsi="Calibri"/>
      <w:kern w:val="2"/>
      <w:sz w:val="24"/>
      <w:szCs w:val="24"/>
    </w:rPr>
  </w:style>
  <w:style w:type="character" w:customStyle="1" w:styleId="97">
    <w:name w:val="标题 3 Char"/>
    <w:autoRedefine/>
    <w:qFormat/>
    <w:uiPriority w:val="0"/>
    <w:rPr>
      <w:rFonts w:ascii="Arial" w:hAnsi="Arial" w:eastAsia="黑体"/>
      <w:b/>
      <w:sz w:val="28"/>
      <w:lang w:val="en-US" w:eastAsia="zh-CN"/>
    </w:rPr>
  </w:style>
  <w:style w:type="character" w:customStyle="1" w:styleId="98">
    <w:name w:val="纯文本 Char"/>
    <w:link w:val="21"/>
    <w:autoRedefine/>
    <w:qFormat/>
    <w:uiPriority w:val="0"/>
    <w:rPr>
      <w:rFonts w:ascii="宋体" w:hAnsi="Courier New"/>
      <w:kern w:val="2"/>
      <w:sz w:val="21"/>
    </w:rPr>
  </w:style>
  <w:style w:type="character" w:customStyle="1" w:styleId="99">
    <w:name w:val="font11"/>
    <w:autoRedefine/>
    <w:qFormat/>
    <w:uiPriority w:val="0"/>
    <w:rPr>
      <w:rFonts w:hint="eastAsia" w:ascii="宋体" w:hAnsi="宋体" w:eastAsia="宋体"/>
      <w:color w:val="000000"/>
      <w:sz w:val="18"/>
      <w:u w:val="none"/>
    </w:rPr>
  </w:style>
  <w:style w:type="character" w:customStyle="1" w:styleId="100">
    <w:name w:val="批注主题 字符"/>
    <w:autoRedefine/>
    <w:qFormat/>
    <w:uiPriority w:val="0"/>
    <w:rPr>
      <w:b/>
      <w:bCs/>
      <w:kern w:val="2"/>
      <w:sz w:val="21"/>
    </w:rPr>
  </w:style>
  <w:style w:type="character" w:customStyle="1" w:styleId="101">
    <w:name w:val="font51"/>
    <w:autoRedefine/>
    <w:qFormat/>
    <w:uiPriority w:val="0"/>
    <w:rPr>
      <w:rFonts w:hint="default" w:ascii="Times New Roman" w:hAnsi="Times New Roman" w:cs="Times New Roman"/>
      <w:color w:val="000000"/>
      <w:sz w:val="22"/>
      <w:szCs w:val="22"/>
      <w:u w:val="none"/>
    </w:rPr>
  </w:style>
  <w:style w:type="character" w:customStyle="1" w:styleId="102">
    <w:name w:val="font41"/>
    <w:autoRedefine/>
    <w:qFormat/>
    <w:uiPriority w:val="0"/>
    <w:rPr>
      <w:rFonts w:hint="eastAsia" w:ascii="宋体" w:hAnsi="宋体" w:eastAsia="宋体" w:cs="宋体"/>
      <w:color w:val="000000"/>
      <w:sz w:val="22"/>
      <w:szCs w:val="22"/>
      <w:u w:val="none"/>
    </w:rPr>
  </w:style>
  <w:style w:type="character" w:customStyle="1" w:styleId="103">
    <w:name w:val="font61"/>
    <w:autoRedefine/>
    <w:qFormat/>
    <w:uiPriority w:val="0"/>
    <w:rPr>
      <w:rFonts w:hint="eastAsia" w:ascii="宋体" w:hAnsi="宋体" w:eastAsia="宋体" w:cs="宋体"/>
      <w:b/>
      <w:color w:val="000000"/>
      <w:sz w:val="22"/>
      <w:szCs w:val="22"/>
      <w:u w:val="none"/>
    </w:rPr>
  </w:style>
  <w:style w:type="character" w:customStyle="1" w:styleId="104">
    <w:name w:val="页眉 Char"/>
    <w:basedOn w:val="41"/>
    <w:link w:val="26"/>
    <w:autoRedefine/>
    <w:qFormat/>
    <w:uiPriority w:val="99"/>
    <w:rPr>
      <w:kern w:val="2"/>
      <w:sz w:val="18"/>
    </w:rPr>
  </w:style>
  <w:style w:type="character" w:customStyle="1" w:styleId="105">
    <w:name w:val="font31"/>
    <w:autoRedefine/>
    <w:qFormat/>
    <w:uiPriority w:val="0"/>
    <w:rPr>
      <w:rFonts w:hint="eastAsia" w:ascii="宋体" w:hAnsi="宋体" w:eastAsia="宋体" w:cs="宋体"/>
      <w:color w:val="000000"/>
      <w:sz w:val="22"/>
      <w:szCs w:val="22"/>
    </w:rPr>
  </w:style>
  <w:style w:type="character" w:customStyle="1" w:styleId="106">
    <w:name w:val="HTML 预设格式 Char"/>
    <w:basedOn w:val="41"/>
    <w:link w:val="35"/>
    <w:autoRedefine/>
    <w:qFormat/>
    <w:uiPriority w:val="0"/>
    <w:rPr>
      <w:rFonts w:ascii="Courier New" w:hAnsi="Courier New" w:cs="Courier New"/>
      <w:kern w:val="2"/>
    </w:rPr>
  </w:style>
  <w:style w:type="character" w:customStyle="1" w:styleId="107">
    <w:name w:val="批注主题 Char"/>
    <w:link w:val="37"/>
    <w:autoRedefine/>
    <w:qFormat/>
    <w:uiPriority w:val="0"/>
    <w:rPr>
      <w:b/>
      <w:bCs/>
      <w:kern w:val="2"/>
      <w:sz w:val="21"/>
    </w:rPr>
  </w:style>
  <w:style w:type="character" w:customStyle="1" w:styleId="108">
    <w:name w:val="font21"/>
    <w:autoRedefine/>
    <w:qFormat/>
    <w:uiPriority w:val="0"/>
    <w:rPr>
      <w:rFonts w:hint="eastAsia" w:ascii="宋体" w:hAnsi="宋体" w:eastAsia="宋体"/>
      <w:color w:val="000000"/>
      <w:sz w:val="18"/>
      <w:u w:val="none"/>
    </w:rPr>
  </w:style>
  <w:style w:type="character" w:customStyle="1" w:styleId="109">
    <w:name w:val="font01"/>
    <w:autoRedefine/>
    <w:qFormat/>
    <w:uiPriority w:val="0"/>
    <w:rPr>
      <w:rFonts w:ascii="Calibri" w:hAnsi="Calibri" w:cs="Calibri"/>
      <w:b/>
      <w:color w:val="000000"/>
      <w:sz w:val="22"/>
      <w:szCs w:val="22"/>
      <w:u w:val="none"/>
    </w:rPr>
  </w:style>
  <w:style w:type="character" w:customStyle="1" w:styleId="110">
    <w:name w:val="普通(网站) Char"/>
    <w:link w:val="36"/>
    <w:autoRedefine/>
    <w:qFormat/>
    <w:uiPriority w:val="0"/>
    <w:rPr>
      <w:rFonts w:ascii="宋体" w:hAnsi="宋体"/>
      <w:color w:val="000000"/>
      <w:sz w:val="18"/>
    </w:rPr>
  </w:style>
  <w:style w:type="character" w:customStyle="1" w:styleId="111">
    <w:name w:val="标题 1 Char Char"/>
    <w:autoRedefine/>
    <w:qFormat/>
    <w:uiPriority w:val="0"/>
    <w:rPr>
      <w:rFonts w:eastAsia="黑体"/>
      <w:b/>
      <w:kern w:val="44"/>
      <w:sz w:val="28"/>
      <w:lang w:val="en-US" w:eastAsia="zh-CN"/>
    </w:rPr>
  </w:style>
  <w:style w:type="character" w:customStyle="1" w:styleId="112">
    <w:name w:val="页脚[858D7CFB-ED40-4347-BF05-701D383B685F]"/>
    <w:autoRedefine/>
    <w:qFormat/>
    <w:uiPriority w:val="0"/>
    <w:rPr>
      <w:rFonts w:eastAsia="宋体"/>
      <w:kern w:val="2"/>
      <w:sz w:val="18"/>
      <w:lang w:val="en-US" w:eastAsia="zh-CN"/>
    </w:rPr>
  </w:style>
  <w:style w:type="character" w:customStyle="1" w:styleId="113">
    <w:name w:val="批注文字 Char"/>
    <w:link w:val="13"/>
    <w:autoRedefine/>
    <w:qFormat/>
    <w:uiPriority w:val="0"/>
    <w:rPr>
      <w:kern w:val="2"/>
      <w:sz w:val="21"/>
    </w:rPr>
  </w:style>
  <w:style w:type="character" w:customStyle="1" w:styleId="114">
    <w:name w:val="Default Char Char"/>
    <w:autoRedefine/>
    <w:qFormat/>
    <w:uiPriority w:val="0"/>
    <w:rPr>
      <w:rFonts w:ascii="宋体" w:hAnsi="宋体" w:eastAsia="宋体"/>
      <w:color w:val="000000"/>
      <w:sz w:val="24"/>
      <w:lang w:val="en-US" w:eastAsia="zh-CN"/>
    </w:rPr>
  </w:style>
  <w:style w:type="character" w:customStyle="1" w:styleId="115">
    <w:name w:val="文档结构图 Char"/>
    <w:link w:val="11"/>
    <w:autoRedefine/>
    <w:qFormat/>
    <w:uiPriority w:val="0"/>
    <w:rPr>
      <w:rFonts w:ascii="宋体"/>
      <w:kern w:val="2"/>
      <w:sz w:val="16"/>
      <w:szCs w:val="16"/>
    </w:rPr>
  </w:style>
  <w:style w:type="character" w:customStyle="1" w:styleId="116">
    <w:name w:val="批注文字 字符"/>
    <w:autoRedefine/>
    <w:qFormat/>
    <w:uiPriority w:val="0"/>
    <w:rPr>
      <w:kern w:val="2"/>
      <w:sz w:val="21"/>
    </w:rPr>
  </w:style>
  <w:style w:type="character" w:customStyle="1" w:styleId="117">
    <w:name w:val="纯文本 字符"/>
    <w:autoRedefine/>
    <w:qFormat/>
    <w:uiPriority w:val="0"/>
    <w:rPr>
      <w:rFonts w:ascii="宋体" w:hAnsi="Courier New"/>
      <w:kern w:val="2"/>
      <w:sz w:val="21"/>
    </w:rPr>
  </w:style>
  <w:style w:type="character" w:customStyle="1" w:styleId="118">
    <w:name w:val="Plain Text Char"/>
    <w:autoRedefine/>
    <w:qFormat/>
    <w:uiPriority w:val="0"/>
    <w:rPr>
      <w:rFonts w:ascii="宋体" w:hAnsi="Courier New" w:eastAsia="宋体"/>
      <w:kern w:val="2"/>
      <w:sz w:val="21"/>
      <w:lang w:val="en-US" w:eastAsia="zh-CN"/>
    </w:rPr>
  </w:style>
  <w:style w:type="paragraph" w:customStyle="1" w:styleId="119">
    <w:name w:val="Blockquote"/>
    <w:basedOn w:val="1"/>
    <w:autoRedefine/>
    <w:qFormat/>
    <w:uiPriority w:val="99"/>
    <w:pPr>
      <w:autoSpaceDE w:val="0"/>
      <w:autoSpaceDN w:val="0"/>
      <w:adjustRightInd w:val="0"/>
      <w:ind w:left="360" w:right="360"/>
    </w:pPr>
  </w:style>
  <w:style w:type="paragraph" w:customStyle="1" w:styleId="120">
    <w:name w:val="_Style 2"/>
    <w:basedOn w:val="1"/>
    <w:autoRedefine/>
    <w:qFormat/>
    <w:uiPriority w:val="0"/>
  </w:style>
  <w:style w:type="paragraph" w:customStyle="1" w:styleId="121">
    <w:name w:val="Table Paragraph"/>
    <w:basedOn w:val="1"/>
    <w:autoRedefine/>
    <w:qFormat/>
    <w:uiPriority w:val="99"/>
    <w:rPr>
      <w:rFonts w:ascii="宋体" w:hAnsi="宋体" w:cs="宋体"/>
      <w:sz w:val="22"/>
      <w:szCs w:val="22"/>
      <w:lang w:eastAsia="en-US"/>
    </w:rPr>
  </w:style>
  <w:style w:type="character" w:customStyle="1" w:styleId="122">
    <w:name w:val="hover4"/>
    <w:basedOn w:val="41"/>
    <w:autoRedefine/>
    <w:qFormat/>
    <w:uiPriority w:val="0"/>
    <w:rPr>
      <w:color w:val="999999"/>
    </w:rPr>
  </w:style>
  <w:style w:type="paragraph" w:customStyle="1" w:styleId="123">
    <w:name w:val="1报告正文"/>
    <w:basedOn w:val="1"/>
    <w:autoRedefine/>
    <w:qFormat/>
    <w:uiPriority w:val="0"/>
    <w:pPr>
      <w:spacing w:line="360" w:lineRule="auto"/>
      <w:ind w:firstLine="200" w:firstLineChars="200"/>
    </w:pPr>
    <w:rPr>
      <w:rFonts w:ascii="宋体"/>
      <w:kern w:val="24"/>
      <w:sz w:val="24"/>
    </w:rPr>
  </w:style>
  <w:style w:type="paragraph" w:customStyle="1" w:styleId="124">
    <w:name w:val="正文缩进1"/>
    <w:basedOn w:val="1"/>
    <w:autoRedefine/>
    <w:qFormat/>
    <w:uiPriority w:val="0"/>
    <w:pPr>
      <w:ind w:firstLine="420"/>
    </w:pPr>
  </w:style>
  <w:style w:type="character" w:customStyle="1" w:styleId="125">
    <w:name w:val="NormalCharacter"/>
    <w:autoRedefine/>
    <w:qFormat/>
    <w:uiPriority w:val="0"/>
    <w:rPr>
      <w:rFonts w:ascii="宋体" w:hAnsi="宋体"/>
      <w:sz w:val="24"/>
      <w:szCs w:val="24"/>
    </w:rPr>
  </w:style>
  <w:style w:type="paragraph" w:customStyle="1" w:styleId="126">
    <w:name w:val="UserStyle_49"/>
    <w:basedOn w:val="1"/>
    <w:autoRedefine/>
    <w:qFormat/>
    <w:uiPriority w:val="0"/>
    <w:pPr>
      <w:pageBreakBefore/>
      <w:spacing w:line="360" w:lineRule="auto"/>
      <w:textAlignment w:val="baseline"/>
    </w:pPr>
    <w:rPr>
      <w:sz w:val="28"/>
      <w:szCs w:val="24"/>
    </w:rPr>
  </w:style>
  <w:style w:type="character" w:customStyle="1" w:styleId="127">
    <w:name w:val="hover2"/>
    <w:basedOn w:val="41"/>
    <w:autoRedefine/>
    <w:qFormat/>
    <w:uiPriority w:val="0"/>
    <w:rPr>
      <w:color w:val="999999"/>
    </w:rPr>
  </w:style>
  <w:style w:type="paragraph" w:customStyle="1" w:styleId="128">
    <w:name w:val="secretfontt"/>
    <w:basedOn w:val="1"/>
    <w:autoRedefine/>
    <w:qFormat/>
    <w:uiPriority w:val="0"/>
    <w:pPr>
      <w:jc w:val="left"/>
    </w:pPr>
    <w:rPr>
      <w:rFonts w:ascii="efont" w:hAnsi="efont" w:eastAsia="efont"/>
      <w:kern w:val="0"/>
      <w:sz w:val="30"/>
      <w:szCs w:val="30"/>
    </w:rPr>
  </w:style>
  <w:style w:type="character" w:customStyle="1" w:styleId="129">
    <w:name w:val="htd0"/>
    <w:basedOn w:val="41"/>
    <w:autoRedefine/>
    <w:qFormat/>
    <w:uiPriority w:val="0"/>
  </w:style>
  <w:style w:type="paragraph" w:customStyle="1" w:styleId="130">
    <w:name w:val="表格文字"/>
    <w:basedOn w:val="1"/>
    <w:autoRedefine/>
    <w:qFormat/>
    <w:uiPriority w:val="0"/>
    <w:pPr>
      <w:spacing w:before="25" w:after="25"/>
      <w:jc w:val="left"/>
    </w:pPr>
    <w:rPr>
      <w:bCs/>
      <w:spacing w:val="10"/>
      <w:kern w:val="0"/>
      <w:sz w:val="24"/>
    </w:rPr>
  </w:style>
  <w:style w:type="paragraph" w:customStyle="1" w:styleId="131">
    <w:name w:val="txt"/>
    <w:basedOn w:val="1"/>
    <w:autoRedefine/>
    <w:qFormat/>
    <w:uiPriority w:val="0"/>
    <w:pPr>
      <w:widowControl/>
      <w:spacing w:beforeAutospacing="1" w:afterAutospacing="1"/>
      <w:jc w:val="left"/>
    </w:pPr>
    <w:rPr>
      <w:rFonts w:ascii="宋体" w:hAnsi="宋体" w:cs="宋体"/>
      <w:kern w:val="0"/>
      <w:sz w:val="24"/>
      <w:szCs w:val="21"/>
    </w:rPr>
  </w:style>
  <w:style w:type="paragraph" w:customStyle="1" w:styleId="132">
    <w:name w:val="BlockQuote"/>
    <w:basedOn w:val="1"/>
    <w:autoRedefine/>
    <w:qFormat/>
    <w:uiPriority w:val="0"/>
    <w:pPr>
      <w:ind w:left="1440" w:leftChars="700" w:right="700" w:rightChars="700"/>
      <w:jc w:val="both"/>
      <w:textAlignment w:val="baseline"/>
    </w:pPr>
  </w:style>
  <w:style w:type="paragraph" w:styleId="133">
    <w:name w:val="List Paragraph"/>
    <w:basedOn w:val="1"/>
    <w:autoRedefine/>
    <w:qFormat/>
    <w:uiPriority w:val="0"/>
    <w:pPr>
      <w:ind w:firstLine="420" w:firstLineChars="200"/>
    </w:pPr>
  </w:style>
  <w:style w:type="paragraph" w:customStyle="1" w:styleId="134">
    <w:name w:val="图表目录1"/>
    <w:basedOn w:val="135"/>
    <w:next w:val="1"/>
    <w:autoRedefine/>
    <w:qFormat/>
    <w:uiPriority w:val="0"/>
    <w:pPr>
      <w:spacing w:before="100" w:beforeAutospacing="1" w:after="100" w:afterAutospacing="1"/>
      <w:ind w:left="200" w:leftChars="200" w:hanging="200" w:hangingChars="200"/>
    </w:pPr>
    <w:rPr>
      <w:rFonts w:ascii="Calibri" w:hAnsi="Calibri"/>
      <w:szCs w:val="21"/>
    </w:rPr>
  </w:style>
  <w:style w:type="paragraph" w:customStyle="1" w:styleId="135">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4"/>
    <w:autoRedefine/>
    <w:qFormat/>
    <w:uiPriority w:val="0"/>
    <w:pPr>
      <w:widowControl w:val="0"/>
      <w:jc w:val="both"/>
    </w:pPr>
    <w:rPr>
      <w:rFonts w:ascii="Calibri" w:hAnsi="Calibri" w:eastAsia="宋体" w:cs="黑体"/>
      <w:kern w:val="2"/>
      <w:sz w:val="21"/>
      <w:szCs w:val="24"/>
      <w:lang w:val="en-US" w:eastAsia="zh-CN" w:bidi="ar-SA"/>
    </w:rPr>
  </w:style>
  <w:style w:type="paragraph" w:customStyle="1" w:styleId="136">
    <w:name w:val="标题 31"/>
    <w:next w:val="55"/>
    <w:autoRedefine/>
    <w:qFormat/>
    <w:uiPriority w:val="0"/>
    <w:pPr>
      <w:keepNext/>
      <w:keepLines/>
      <w:widowControl w:val="0"/>
      <w:spacing w:line="360" w:lineRule="auto"/>
      <w:jc w:val="both"/>
      <w:outlineLvl w:val="2"/>
    </w:pPr>
    <w:rPr>
      <w:rFonts w:ascii="Calibri" w:hAnsi="Calibri" w:eastAsia="宋体" w:cs="Times New Roman"/>
      <w:b/>
      <w:bCs/>
      <w:kern w:val="2"/>
      <w:sz w:val="24"/>
      <w:szCs w:val="32"/>
      <w:lang w:val="en-US" w:eastAsia="zh-CN" w:bidi="ar-SA"/>
    </w:rPr>
  </w:style>
  <w:style w:type="paragraph" w:customStyle="1" w:styleId="137">
    <w:name w:val="Normal_0_0"/>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Normal_0"/>
    <w:autoRedefine/>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39">
    <w:name w:val="Table Normal"/>
    <w:autoRedefine/>
    <w:qFormat/>
    <w:uiPriority w:val="2"/>
    <w:tblPr>
      <w:tblCellMar>
        <w:top w:w="0" w:type="dxa"/>
        <w:left w:w="0" w:type="dxa"/>
        <w:bottom w:w="0" w:type="dxa"/>
        <w:right w:w="0" w:type="dxa"/>
      </w:tblCellMar>
    </w:tblPr>
  </w:style>
  <w:style w:type="paragraph" w:customStyle="1" w:styleId="140">
    <w:name w:val="WPSOffice手动目录 1"/>
    <w:autoRedefine/>
    <w:qFormat/>
    <w:uiPriority w:val="0"/>
    <w:pPr>
      <w:ind w:leftChars="0"/>
    </w:pPr>
    <w:rPr>
      <w:rFonts w:ascii="Times New Roman" w:hAnsi="Times New Roman" w:eastAsia="宋体" w:cs="Times New Roman"/>
      <w:sz w:val="20"/>
      <w:szCs w:val="20"/>
    </w:rPr>
  </w:style>
  <w:style w:type="paragraph" w:customStyle="1" w:styleId="141">
    <w:name w:val="WPSOffice手动目录 2"/>
    <w:qFormat/>
    <w:uiPriority w:val="0"/>
    <w:pPr>
      <w:ind w:leftChars="200"/>
    </w:pPr>
    <w:rPr>
      <w:rFonts w:ascii="Times New Roman" w:hAnsi="Times New Roman" w:eastAsia="宋体" w:cs="Times New Roman"/>
      <w:sz w:val="20"/>
      <w:szCs w:val="20"/>
    </w:rPr>
  </w:style>
  <w:style w:type="paragraph" w:customStyle="1" w:styleId="142">
    <w:name w:val="WPSOffice手动目录 3"/>
    <w:qFormat/>
    <w:uiPriority w:val="0"/>
    <w:pPr>
      <w:ind w:leftChars="400"/>
    </w:pPr>
    <w:rPr>
      <w:rFonts w:ascii="Times New Roman" w:hAnsi="Times New Roman" w:eastAsia="宋体" w:cs="Times New Roman"/>
      <w:sz w:val="20"/>
      <w:szCs w:val="20"/>
    </w:rPr>
  </w:style>
  <w:style w:type="paragraph" w:customStyle="1" w:styleId="143">
    <w:name w:val="_Style 6"/>
    <w:basedOn w:val="3"/>
    <w:next w:val="1"/>
    <w:qFormat/>
    <w:uiPriority w:val="0"/>
    <w:pPr>
      <w:outlineLvl w:val="9"/>
    </w:pPr>
  </w:style>
  <w:style w:type="paragraph" w:customStyle="1" w:styleId="144">
    <w:name w:val="正文 New New New New New"/>
    <w:qFormat/>
    <w:uiPriority w:val="0"/>
    <w:pPr>
      <w:widowControl w:val="0"/>
      <w:jc w:val="both"/>
    </w:pPr>
    <w:rPr>
      <w:rFonts w:ascii="宋体" w:hAnsi="宋体" w:eastAsia="宋体" w:cs="Times New Roman"/>
      <w:kern w:val="2"/>
      <w:sz w:val="21"/>
      <w:szCs w:val="24"/>
      <w:lang w:val="en-US" w:eastAsia="zh-CN" w:bidi="ar-SA"/>
    </w:rPr>
  </w:style>
  <w:style w:type="paragraph" w:customStyle="1" w:styleId="145">
    <w:name w:val="表格文字居中"/>
    <w:next w:val="1"/>
    <w:qFormat/>
    <w:uiPriority w:val="0"/>
    <w:pPr>
      <w:tabs>
        <w:tab w:val="left" w:pos="720"/>
        <w:tab w:val="left" w:pos="900"/>
      </w:tabs>
      <w:wordWrap w:val="0"/>
      <w:adjustRightInd w:val="0"/>
      <w:snapToGrid w:val="0"/>
      <w:spacing w:before="140" w:line="360" w:lineRule="auto"/>
      <w:contextualSpacing/>
      <w:jc w:val="center"/>
    </w:pPr>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qwe</Company>
  <Pages>115</Pages>
  <Words>10419</Words>
  <Characters>11895</Characters>
  <Paragraphs>1287</Paragraphs>
  <TotalTime>18</TotalTime>
  <ScaleCrop>false</ScaleCrop>
  <LinksUpToDate>false</LinksUpToDate>
  <CharactersWithSpaces>12552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2024-02-29T01:15:00Z</dcterms:created>
  <dc:creator>erq</dc:creator>
  <cp:lastModifiedBy>云南鼎邦招标代理有限公司</cp:lastModifiedBy>
  <cp:lastPrinted>2024-06-15T07:17:00Z</cp:lastPrinted>
  <dcterms:modified xsi:type="dcterms:W3CDTF">2026-04-29T13:11:44Z</dcterms:modified>
  <dc:title>目 录</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0dd681e5e68a48fb9b931511458d9c78_23</vt:lpwstr>
  </property>
  <property fmtid="{D5CDD505-2E9C-101B-9397-08002B2CF9AE}" pid="4" name="commondata">
    <vt:lpwstr>eyJoZGlkIjoiNTUyMWE3ZWVmNGI4ZThlMTE0Y2RkYjMzYTg4MDQxMjUifQ==</vt:lpwstr>
  </property>
  <property fmtid="{D5CDD505-2E9C-101B-9397-08002B2CF9AE}" pid="5" name="KSOTemplateDocerSaveRecord">
    <vt:lpwstr>eyJoZGlkIjoiMmNjOTUxN2MzMDY3YjU1ODU1MWM0ZDg0YzkzNWFjMDkiLCJ1c2VySWQiOiIxOTc5NTA3MjcifQ==</vt:lpwstr>
  </property>
</Properties>
</file>