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FBD3DA">
      <w:pPr>
        <w:pStyle w:val="2"/>
        <w:keepNext w:val="0"/>
        <w:numPr>
          <w:ilvl w:val="0"/>
          <w:numId w:val="0"/>
        </w:numPr>
        <w:adjustRightInd w:val="0"/>
        <w:snapToGrid w:val="0"/>
        <w:spacing w:before="156" w:beforeLines="50" w:line="360" w:lineRule="auto"/>
        <w:rPr>
          <w:rFonts w:hint="eastAsia"/>
          <w:color w:val="auto"/>
          <w:highlight w:val="none"/>
        </w:rPr>
      </w:pPr>
      <w:r>
        <w:rPr>
          <w:rFonts w:hint="eastAsia" w:ascii="黑体" w:hAnsi="华文中宋" w:eastAsia="黑体"/>
          <w:b/>
          <w:bCs/>
          <w:color w:val="auto"/>
          <w:kern w:val="2"/>
          <w:sz w:val="32"/>
          <w:szCs w:val="32"/>
          <w:highlight w:val="none"/>
          <w:lang w:val="en-US" w:eastAsia="zh-CN" w:bidi="ar-SA"/>
        </w:rPr>
        <w:t xml:space="preserve"> </w:t>
      </w:r>
      <w:r>
        <w:rPr>
          <w:rFonts w:hint="eastAsia" w:ascii="黑体" w:hAnsi="华文中宋" w:eastAsia="黑体"/>
          <w:color w:val="auto"/>
          <w:sz w:val="32"/>
          <w:szCs w:val="32"/>
          <w:highlight w:val="none"/>
        </w:rPr>
        <w:t>采购需求</w:t>
      </w:r>
    </w:p>
    <w:p w14:paraId="114CF8C4">
      <w:pPr>
        <w:numPr>
          <w:ilvl w:val="0"/>
          <w:numId w:val="0"/>
        </w:numPr>
        <w:adjustRightInd w:val="0"/>
        <w:snapToGrid w:val="0"/>
        <w:spacing w:before="120" w:beforeLines="50" w:line="360" w:lineRule="auto"/>
        <w:jc w:val="center"/>
        <w:outlineLvl w:val="1"/>
        <w:rPr>
          <w:rFonts w:hint="eastAsia" w:ascii="黑体" w:hAnsi="黑体" w:eastAsia="黑体" w:cs="黑体"/>
          <w:b/>
          <w:bCs/>
          <w:color w:val="auto"/>
          <w:kern w:val="0"/>
          <w:sz w:val="28"/>
          <w:szCs w:val="28"/>
          <w:highlight w:val="none"/>
        </w:rPr>
      </w:pPr>
      <w:r>
        <w:rPr>
          <w:rFonts w:hint="eastAsia" w:ascii="黑体" w:hAnsi="黑体" w:eastAsia="黑体" w:cs="黑体"/>
          <w:b/>
          <w:bCs/>
          <w:color w:val="auto"/>
          <w:kern w:val="0"/>
          <w:sz w:val="28"/>
          <w:szCs w:val="28"/>
          <w:highlight w:val="none"/>
          <w:lang w:val="en-US" w:eastAsia="zh-CN" w:bidi="ar-SA"/>
        </w:rPr>
        <w:t xml:space="preserve">第一节 </w:t>
      </w:r>
      <w:r>
        <w:rPr>
          <w:rFonts w:hint="eastAsia" w:ascii="黑体" w:hAnsi="黑体" w:eastAsia="黑体" w:cs="黑体"/>
          <w:b/>
          <w:bCs/>
          <w:color w:val="auto"/>
          <w:kern w:val="0"/>
          <w:sz w:val="28"/>
          <w:szCs w:val="28"/>
          <w:highlight w:val="none"/>
        </w:rPr>
        <w:t xml:space="preserve"> 技术要求</w:t>
      </w:r>
    </w:p>
    <w:tbl>
      <w:tblPr>
        <w:tblStyle w:val="3"/>
        <w:tblW w:w="8959" w:type="dxa"/>
        <w:jc w:val="center"/>
        <w:tblLayout w:type="fixed"/>
        <w:tblCellMar>
          <w:top w:w="0" w:type="dxa"/>
          <w:left w:w="108" w:type="dxa"/>
          <w:bottom w:w="0" w:type="dxa"/>
          <w:right w:w="108" w:type="dxa"/>
        </w:tblCellMar>
      </w:tblPr>
      <w:tblGrid>
        <w:gridCol w:w="2023"/>
        <w:gridCol w:w="4409"/>
        <w:gridCol w:w="1283"/>
        <w:gridCol w:w="1244"/>
      </w:tblGrid>
      <w:tr w14:paraId="132C159B">
        <w:tblPrEx>
          <w:tblCellMar>
            <w:top w:w="0" w:type="dxa"/>
            <w:left w:w="108" w:type="dxa"/>
            <w:bottom w:w="0" w:type="dxa"/>
            <w:right w:w="108" w:type="dxa"/>
          </w:tblCellMar>
        </w:tblPrEx>
        <w:trPr>
          <w:trHeight w:val="606"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7D386784">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需求科室</w:t>
            </w:r>
          </w:p>
        </w:tc>
        <w:tc>
          <w:tcPr>
            <w:tcW w:w="6936" w:type="dxa"/>
            <w:gridSpan w:val="3"/>
            <w:tcBorders>
              <w:top w:val="single" w:color="000000" w:sz="4" w:space="0"/>
              <w:left w:val="single" w:color="000000" w:sz="4" w:space="0"/>
              <w:bottom w:val="single" w:color="000000" w:sz="4" w:space="0"/>
              <w:right w:val="single" w:color="000000" w:sz="4" w:space="0"/>
            </w:tcBorders>
            <w:noWrap w:val="0"/>
            <w:vAlign w:val="center"/>
          </w:tcPr>
          <w:p w14:paraId="06B784B7">
            <w:pPr>
              <w:jc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中心医院手术室</w:t>
            </w:r>
          </w:p>
        </w:tc>
      </w:tr>
      <w:tr w14:paraId="21B047C3">
        <w:tblPrEx>
          <w:tblCellMar>
            <w:top w:w="0" w:type="dxa"/>
            <w:left w:w="108" w:type="dxa"/>
            <w:bottom w:w="0" w:type="dxa"/>
            <w:right w:w="108" w:type="dxa"/>
          </w:tblCellMar>
        </w:tblPrEx>
        <w:trPr>
          <w:trHeight w:val="606"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19D4B228">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数量</w:t>
            </w:r>
          </w:p>
        </w:tc>
        <w:tc>
          <w:tcPr>
            <w:tcW w:w="6936" w:type="dxa"/>
            <w:gridSpan w:val="3"/>
            <w:tcBorders>
              <w:top w:val="single" w:color="000000" w:sz="4" w:space="0"/>
              <w:left w:val="single" w:color="000000" w:sz="4" w:space="0"/>
              <w:bottom w:val="single" w:color="000000" w:sz="4" w:space="0"/>
              <w:right w:val="single" w:color="000000" w:sz="4" w:space="0"/>
            </w:tcBorders>
            <w:noWrap w:val="0"/>
            <w:vAlign w:val="center"/>
          </w:tcPr>
          <w:p w14:paraId="50B54AAD">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1台</w:t>
            </w:r>
          </w:p>
        </w:tc>
      </w:tr>
      <w:tr w14:paraId="0C3A6254">
        <w:tblPrEx>
          <w:tblCellMar>
            <w:top w:w="0" w:type="dxa"/>
            <w:left w:w="108" w:type="dxa"/>
            <w:bottom w:w="0" w:type="dxa"/>
            <w:right w:w="108" w:type="dxa"/>
          </w:tblCellMar>
        </w:tblPrEx>
        <w:trPr>
          <w:trHeight w:val="740"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6B8B4BFC">
            <w:pPr>
              <w:widowControl/>
              <w:jc w:val="center"/>
              <w:textAlignment w:val="center"/>
              <w:rPr>
                <w:rFonts w:hint="default" w:ascii="宋体" w:hAnsi="宋体" w:eastAsia="宋体" w:cs="宋体"/>
                <w:b/>
                <w:bCs/>
                <w:color w:val="auto"/>
                <w:kern w:val="0"/>
                <w:szCs w:val="21"/>
                <w:highlight w:val="none"/>
                <w:lang w:val="en-US" w:eastAsia="zh-CN" w:bidi="ar"/>
              </w:rPr>
            </w:pPr>
            <w:r>
              <w:rPr>
                <w:rFonts w:hint="eastAsia" w:ascii="宋体" w:hAnsi="宋体" w:cs="宋体"/>
                <w:b/>
                <w:bCs/>
                <w:color w:val="auto"/>
                <w:kern w:val="0"/>
                <w:szCs w:val="21"/>
                <w:highlight w:val="none"/>
                <w:lang w:val="en-US" w:eastAsia="zh-CN" w:bidi="ar"/>
              </w:rPr>
              <w:t>设备名称</w:t>
            </w:r>
          </w:p>
        </w:tc>
        <w:tc>
          <w:tcPr>
            <w:tcW w:w="6936" w:type="dxa"/>
            <w:gridSpan w:val="3"/>
            <w:tcBorders>
              <w:top w:val="single" w:color="000000" w:sz="4" w:space="0"/>
              <w:left w:val="single" w:color="000000" w:sz="4" w:space="0"/>
              <w:bottom w:val="single" w:color="000000" w:sz="4" w:space="0"/>
              <w:right w:val="single" w:color="000000" w:sz="4" w:space="0"/>
            </w:tcBorders>
            <w:noWrap w:val="0"/>
            <w:vAlign w:val="center"/>
          </w:tcPr>
          <w:p w14:paraId="3461E445">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人工心肺机</w:t>
            </w:r>
          </w:p>
        </w:tc>
      </w:tr>
      <w:tr w14:paraId="6441B0B3">
        <w:tblPrEx>
          <w:tblCellMar>
            <w:top w:w="0" w:type="dxa"/>
            <w:left w:w="108" w:type="dxa"/>
            <w:bottom w:w="0" w:type="dxa"/>
            <w:right w:w="108" w:type="dxa"/>
          </w:tblCellMar>
        </w:tblPrEx>
        <w:trPr>
          <w:trHeight w:val="501"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3CE55B7B">
            <w:pPr>
              <w:widowControl/>
              <w:jc w:val="center"/>
              <w:textAlignment w:val="center"/>
              <w:rPr>
                <w:rFonts w:hint="default" w:ascii="宋体" w:hAnsi="宋体" w:cs="宋体"/>
                <w:b/>
                <w:bCs/>
                <w:color w:val="auto"/>
                <w:kern w:val="0"/>
                <w:szCs w:val="21"/>
                <w:highlight w:val="none"/>
                <w:lang w:val="en-US" w:eastAsia="zh-CN" w:bidi="ar"/>
              </w:rPr>
            </w:pPr>
            <w:r>
              <w:rPr>
                <w:rFonts w:hint="eastAsia" w:ascii="宋体" w:hAnsi="宋体" w:cs="宋体"/>
                <w:b/>
                <w:bCs/>
                <w:color w:val="auto"/>
                <w:kern w:val="0"/>
                <w:szCs w:val="21"/>
                <w:highlight w:val="none"/>
                <w:lang w:val="en-US" w:eastAsia="zh-CN" w:bidi="ar"/>
              </w:rPr>
              <w:t>主要功能</w:t>
            </w:r>
          </w:p>
        </w:tc>
        <w:tc>
          <w:tcPr>
            <w:tcW w:w="6936" w:type="dxa"/>
            <w:gridSpan w:val="3"/>
            <w:tcBorders>
              <w:top w:val="single" w:color="000000" w:sz="4" w:space="0"/>
              <w:left w:val="single" w:color="000000" w:sz="4" w:space="0"/>
              <w:bottom w:val="single" w:color="000000" w:sz="4" w:space="0"/>
              <w:right w:val="single" w:color="000000" w:sz="4" w:space="0"/>
            </w:tcBorders>
            <w:noWrap w:val="0"/>
            <w:vAlign w:val="center"/>
          </w:tcPr>
          <w:p w14:paraId="5FE8B9FE">
            <w:pPr>
              <w:widowControl/>
              <w:jc w:val="center"/>
              <w:textAlignment w:val="center"/>
              <w:rPr>
                <w:rFonts w:hint="default" w:ascii="宋体" w:hAnsi="宋体" w:cs="宋体"/>
                <w:b/>
                <w:bCs/>
                <w:color w:val="auto"/>
                <w:kern w:val="0"/>
                <w:szCs w:val="21"/>
                <w:highlight w:val="none"/>
                <w:lang w:val="en-US" w:eastAsia="zh-CN" w:bidi="ar"/>
              </w:rPr>
            </w:pPr>
            <w:r>
              <w:rPr>
                <w:rFonts w:hint="eastAsia" w:ascii="宋体" w:hAnsi="宋体" w:cs="宋体"/>
                <w:b/>
                <w:bCs/>
                <w:color w:val="auto"/>
                <w:kern w:val="0"/>
                <w:szCs w:val="21"/>
                <w:highlight w:val="none"/>
                <w:lang w:val="en-US" w:eastAsia="zh-CN" w:bidi="ar"/>
              </w:rPr>
              <w:t>该产品适用于在患者体外循环手术(时间不超过6小时)中提供动力及安全监测，与兼容的一次性使用耗材联合使用，实现心肺功能辅助支持。</w:t>
            </w:r>
          </w:p>
        </w:tc>
      </w:tr>
      <w:tr w14:paraId="45CFEDC5">
        <w:tblPrEx>
          <w:tblCellMar>
            <w:top w:w="0" w:type="dxa"/>
            <w:left w:w="108" w:type="dxa"/>
            <w:bottom w:w="0" w:type="dxa"/>
            <w:right w:w="108" w:type="dxa"/>
          </w:tblCellMar>
        </w:tblPrEx>
        <w:trPr>
          <w:trHeight w:val="501"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05969E72">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val="en-US" w:eastAsia="zh-CN" w:bidi="ar"/>
              </w:rPr>
              <w:t>质保</w:t>
            </w:r>
            <w:r>
              <w:rPr>
                <w:rFonts w:hint="eastAsia" w:ascii="宋体" w:hAnsi="宋体" w:cs="宋体"/>
                <w:b/>
                <w:bCs/>
                <w:color w:val="auto"/>
                <w:kern w:val="0"/>
                <w:szCs w:val="21"/>
                <w:highlight w:val="none"/>
                <w:lang w:bidi="ar"/>
              </w:rPr>
              <w:t>年限</w:t>
            </w:r>
          </w:p>
        </w:tc>
        <w:tc>
          <w:tcPr>
            <w:tcW w:w="6936" w:type="dxa"/>
            <w:gridSpan w:val="3"/>
            <w:tcBorders>
              <w:top w:val="single" w:color="000000" w:sz="4" w:space="0"/>
              <w:left w:val="single" w:color="000000" w:sz="4" w:space="0"/>
              <w:bottom w:val="single" w:color="000000" w:sz="4" w:space="0"/>
              <w:right w:val="single" w:color="000000" w:sz="4" w:space="0"/>
            </w:tcBorders>
            <w:noWrap w:val="0"/>
            <w:vAlign w:val="center"/>
          </w:tcPr>
          <w:p w14:paraId="15735B9B">
            <w:pPr>
              <w:widowControl/>
              <w:jc w:val="center"/>
              <w:textAlignment w:val="center"/>
              <w:rPr>
                <w:rFonts w:hint="eastAsia" w:ascii="宋体" w:hAnsi="宋体" w:eastAsia="宋体" w:cs="宋体"/>
                <w:b/>
                <w:bCs/>
                <w:color w:val="auto"/>
                <w:szCs w:val="21"/>
                <w:highlight w:val="none"/>
                <w:lang w:eastAsia="zh-CN"/>
              </w:rPr>
            </w:pPr>
            <w:r>
              <w:rPr>
                <w:rFonts w:hint="eastAsia" w:ascii="宋体" w:hAnsi="宋体" w:cs="宋体"/>
                <w:b/>
                <w:bCs/>
                <w:color w:val="auto"/>
                <w:kern w:val="0"/>
                <w:szCs w:val="21"/>
                <w:highlight w:val="none"/>
                <w:lang w:val="en-US" w:eastAsia="zh-CN" w:bidi="ar"/>
              </w:rPr>
              <w:t>≥1</w:t>
            </w:r>
            <w:r>
              <w:rPr>
                <w:rFonts w:hint="eastAsia" w:ascii="宋体" w:hAnsi="宋体" w:cs="宋体"/>
                <w:b/>
                <w:bCs/>
                <w:color w:val="auto"/>
                <w:kern w:val="0"/>
                <w:szCs w:val="21"/>
                <w:highlight w:val="none"/>
                <w:lang w:bidi="ar"/>
              </w:rPr>
              <w:t>年</w:t>
            </w:r>
          </w:p>
        </w:tc>
      </w:tr>
      <w:tr w14:paraId="6FE92A0A">
        <w:tblPrEx>
          <w:tblCellMar>
            <w:top w:w="0" w:type="dxa"/>
            <w:left w:w="108" w:type="dxa"/>
            <w:bottom w:w="0" w:type="dxa"/>
            <w:right w:w="108" w:type="dxa"/>
          </w:tblCellMar>
        </w:tblPrEx>
        <w:trPr>
          <w:trHeight w:val="526" w:hRule="atLeast"/>
          <w:jc w:val="center"/>
        </w:trPr>
        <w:tc>
          <w:tcPr>
            <w:tcW w:w="8959" w:type="dxa"/>
            <w:gridSpan w:val="4"/>
            <w:tcBorders>
              <w:top w:val="single" w:color="000000" w:sz="4" w:space="0"/>
              <w:left w:val="single" w:color="000000" w:sz="4" w:space="0"/>
              <w:bottom w:val="single" w:color="000000" w:sz="4" w:space="0"/>
              <w:right w:val="single" w:color="000000" w:sz="4" w:space="0"/>
            </w:tcBorders>
            <w:noWrap w:val="0"/>
            <w:vAlign w:val="center"/>
          </w:tcPr>
          <w:p w14:paraId="54059E6C">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配置清单</w:t>
            </w:r>
          </w:p>
        </w:tc>
      </w:tr>
      <w:tr w14:paraId="499F4B34">
        <w:tblPrEx>
          <w:tblCellMar>
            <w:top w:w="0" w:type="dxa"/>
            <w:left w:w="108" w:type="dxa"/>
            <w:bottom w:w="0" w:type="dxa"/>
            <w:right w:w="108" w:type="dxa"/>
          </w:tblCellMar>
        </w:tblPrEx>
        <w:trPr>
          <w:trHeight w:val="526"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56A66D32">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序号</w:t>
            </w:r>
          </w:p>
        </w:tc>
        <w:tc>
          <w:tcPr>
            <w:tcW w:w="4409" w:type="dxa"/>
            <w:tcBorders>
              <w:top w:val="single" w:color="000000" w:sz="4" w:space="0"/>
              <w:left w:val="single" w:color="000000" w:sz="4" w:space="0"/>
              <w:bottom w:val="single" w:color="000000" w:sz="4" w:space="0"/>
              <w:right w:val="single" w:color="000000" w:sz="4" w:space="0"/>
            </w:tcBorders>
            <w:noWrap w:val="0"/>
            <w:vAlign w:val="center"/>
          </w:tcPr>
          <w:p w14:paraId="5935E728">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主要配置或组件名称</w:t>
            </w:r>
          </w:p>
        </w:tc>
        <w:tc>
          <w:tcPr>
            <w:tcW w:w="1283" w:type="dxa"/>
            <w:tcBorders>
              <w:top w:val="single" w:color="000000" w:sz="4" w:space="0"/>
              <w:left w:val="single" w:color="000000" w:sz="4" w:space="0"/>
              <w:bottom w:val="single" w:color="auto" w:sz="4" w:space="0"/>
              <w:right w:val="single" w:color="000000" w:sz="4" w:space="0"/>
            </w:tcBorders>
            <w:noWrap w:val="0"/>
            <w:vAlign w:val="center"/>
          </w:tcPr>
          <w:p w14:paraId="68EFE5EF">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数量</w:t>
            </w:r>
          </w:p>
        </w:tc>
        <w:tc>
          <w:tcPr>
            <w:tcW w:w="1244" w:type="dxa"/>
            <w:tcBorders>
              <w:top w:val="single" w:color="000000" w:sz="4" w:space="0"/>
              <w:left w:val="single" w:color="000000" w:sz="4" w:space="0"/>
              <w:bottom w:val="single" w:color="auto" w:sz="4" w:space="0"/>
              <w:right w:val="single" w:color="000000" w:sz="4" w:space="0"/>
            </w:tcBorders>
            <w:noWrap w:val="0"/>
            <w:vAlign w:val="center"/>
          </w:tcPr>
          <w:p w14:paraId="51EACB7E">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备注</w:t>
            </w:r>
          </w:p>
        </w:tc>
      </w:tr>
      <w:tr w14:paraId="51458DCD">
        <w:tblPrEx>
          <w:tblCellMar>
            <w:top w:w="0" w:type="dxa"/>
            <w:left w:w="108" w:type="dxa"/>
            <w:bottom w:w="0" w:type="dxa"/>
            <w:right w:w="108" w:type="dxa"/>
          </w:tblCellMar>
        </w:tblPrEx>
        <w:trPr>
          <w:trHeight w:val="526"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2EBE8EFA">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4409" w:type="dxa"/>
            <w:tcBorders>
              <w:top w:val="single" w:color="000000" w:sz="4" w:space="0"/>
              <w:left w:val="single" w:color="000000" w:sz="4" w:space="0"/>
              <w:bottom w:val="single" w:color="000000" w:sz="4" w:space="0"/>
              <w:right w:val="single" w:color="auto" w:sz="4" w:space="0"/>
            </w:tcBorders>
            <w:noWrap w:val="0"/>
            <w:vAlign w:val="center"/>
          </w:tcPr>
          <w:p w14:paraId="3ED8A3CB">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台车</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6C7893EF">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 台</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611B3FAF">
            <w:pPr>
              <w:keepNext w:val="0"/>
              <w:keepLines w:val="0"/>
              <w:widowControl/>
              <w:suppressLineNumbers w:val="0"/>
              <w:jc w:val="center"/>
              <w:textAlignment w:val="center"/>
              <w:rPr>
                <w:rFonts w:hint="eastAsia" w:ascii="宋体" w:hAnsi="宋体" w:cs="宋体"/>
                <w:color w:val="auto"/>
                <w:szCs w:val="21"/>
                <w:highlight w:val="none"/>
              </w:rPr>
            </w:pPr>
          </w:p>
        </w:tc>
      </w:tr>
      <w:tr w14:paraId="727F75D9">
        <w:tblPrEx>
          <w:tblCellMar>
            <w:top w:w="0" w:type="dxa"/>
            <w:left w:w="108" w:type="dxa"/>
            <w:bottom w:w="0" w:type="dxa"/>
            <w:right w:w="108" w:type="dxa"/>
          </w:tblCellMar>
        </w:tblPrEx>
        <w:trPr>
          <w:trHeight w:val="566"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11BA174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w:t>
            </w:r>
          </w:p>
        </w:tc>
        <w:tc>
          <w:tcPr>
            <w:tcW w:w="4409" w:type="dxa"/>
            <w:tcBorders>
              <w:top w:val="single" w:color="000000" w:sz="4" w:space="0"/>
              <w:left w:val="single" w:color="000000" w:sz="4" w:space="0"/>
              <w:bottom w:val="single" w:color="000000" w:sz="4" w:space="0"/>
              <w:right w:val="single" w:color="auto" w:sz="4" w:space="0"/>
            </w:tcBorders>
            <w:noWrap w:val="0"/>
            <w:vAlign w:val="center"/>
          </w:tcPr>
          <w:p w14:paraId="0B32136B">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悬挂单元</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48CCC918">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 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46A629B9">
            <w:pPr>
              <w:keepNext w:val="0"/>
              <w:keepLines w:val="0"/>
              <w:widowControl/>
              <w:suppressLineNumbers w:val="0"/>
              <w:jc w:val="center"/>
              <w:textAlignment w:val="center"/>
              <w:rPr>
                <w:rFonts w:hint="eastAsia" w:ascii="宋体" w:hAnsi="宋体" w:cs="宋体"/>
                <w:color w:val="auto"/>
                <w:szCs w:val="21"/>
                <w:highlight w:val="none"/>
              </w:rPr>
            </w:pPr>
          </w:p>
        </w:tc>
      </w:tr>
      <w:tr w14:paraId="2DA43235">
        <w:tblPrEx>
          <w:tblCellMar>
            <w:top w:w="0" w:type="dxa"/>
            <w:left w:w="108" w:type="dxa"/>
            <w:bottom w:w="0" w:type="dxa"/>
            <w:right w:w="108" w:type="dxa"/>
          </w:tblCellMar>
        </w:tblPrEx>
        <w:trPr>
          <w:trHeight w:val="562"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79EF5E8C">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3</w:t>
            </w:r>
          </w:p>
        </w:tc>
        <w:tc>
          <w:tcPr>
            <w:tcW w:w="4409" w:type="dxa"/>
            <w:tcBorders>
              <w:top w:val="single" w:color="000000" w:sz="4" w:space="0"/>
              <w:left w:val="single" w:color="000000" w:sz="4" w:space="0"/>
              <w:bottom w:val="single" w:color="000000" w:sz="4" w:space="0"/>
              <w:right w:val="single" w:color="auto" w:sz="4" w:space="0"/>
            </w:tcBorders>
            <w:noWrap w:val="0"/>
            <w:vAlign w:val="center"/>
          </w:tcPr>
          <w:p w14:paraId="0AF37782">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电气柜</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3EEEE47E">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 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3719D504">
            <w:pPr>
              <w:keepNext w:val="0"/>
              <w:keepLines w:val="0"/>
              <w:widowControl/>
              <w:suppressLineNumbers w:val="0"/>
              <w:jc w:val="center"/>
              <w:textAlignment w:val="center"/>
              <w:rPr>
                <w:rFonts w:hint="eastAsia" w:ascii="宋体" w:hAnsi="宋体" w:cs="宋体"/>
                <w:color w:val="auto"/>
                <w:szCs w:val="21"/>
                <w:highlight w:val="none"/>
              </w:rPr>
            </w:pPr>
          </w:p>
        </w:tc>
      </w:tr>
      <w:tr w14:paraId="6CA1A7F9">
        <w:tblPrEx>
          <w:tblCellMar>
            <w:top w:w="0" w:type="dxa"/>
            <w:left w:w="108" w:type="dxa"/>
            <w:bottom w:w="0" w:type="dxa"/>
            <w:right w:w="108" w:type="dxa"/>
          </w:tblCellMar>
        </w:tblPrEx>
        <w:trPr>
          <w:trHeight w:val="562"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54CD64AA">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w:t>
            </w:r>
          </w:p>
        </w:tc>
        <w:tc>
          <w:tcPr>
            <w:tcW w:w="4409" w:type="dxa"/>
            <w:tcBorders>
              <w:top w:val="single" w:color="000000" w:sz="4" w:space="0"/>
              <w:left w:val="single" w:color="000000" w:sz="4" w:space="0"/>
              <w:bottom w:val="single" w:color="000000" w:sz="4" w:space="0"/>
              <w:right w:val="single" w:color="auto" w:sz="4" w:space="0"/>
            </w:tcBorders>
            <w:noWrap w:val="0"/>
            <w:vAlign w:val="center"/>
          </w:tcPr>
          <w:p w14:paraId="083AD0AD">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显示屏</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4F9AB80F">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 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6C839774">
            <w:pPr>
              <w:keepNext w:val="0"/>
              <w:keepLines w:val="0"/>
              <w:widowControl/>
              <w:suppressLineNumbers w:val="0"/>
              <w:jc w:val="center"/>
              <w:textAlignment w:val="center"/>
              <w:rPr>
                <w:rFonts w:hint="eastAsia" w:ascii="宋体" w:hAnsi="宋体" w:cs="宋体"/>
                <w:color w:val="auto"/>
                <w:szCs w:val="21"/>
                <w:highlight w:val="none"/>
              </w:rPr>
            </w:pPr>
          </w:p>
        </w:tc>
      </w:tr>
      <w:tr w14:paraId="285EC65C">
        <w:tblPrEx>
          <w:tblCellMar>
            <w:top w:w="0" w:type="dxa"/>
            <w:left w:w="108" w:type="dxa"/>
            <w:bottom w:w="0" w:type="dxa"/>
            <w:right w:w="108" w:type="dxa"/>
          </w:tblCellMar>
        </w:tblPrEx>
        <w:trPr>
          <w:trHeight w:val="562"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4F8E7AC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w:t>
            </w:r>
          </w:p>
        </w:tc>
        <w:tc>
          <w:tcPr>
            <w:tcW w:w="4409" w:type="dxa"/>
            <w:tcBorders>
              <w:top w:val="single" w:color="000000" w:sz="4" w:space="0"/>
              <w:left w:val="single" w:color="000000" w:sz="4" w:space="0"/>
              <w:bottom w:val="single" w:color="000000" w:sz="4" w:space="0"/>
              <w:right w:val="single" w:color="auto" w:sz="4" w:space="0"/>
            </w:tcBorders>
            <w:noWrap w:val="0"/>
            <w:vAlign w:val="center"/>
          </w:tcPr>
          <w:p w14:paraId="19AEBF28">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大型滚压泵</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99E4896">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3 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3C73FC17">
            <w:pPr>
              <w:keepNext w:val="0"/>
              <w:keepLines w:val="0"/>
              <w:widowControl/>
              <w:suppressLineNumbers w:val="0"/>
              <w:jc w:val="center"/>
              <w:textAlignment w:val="center"/>
              <w:rPr>
                <w:rFonts w:hint="eastAsia" w:ascii="宋体" w:hAnsi="宋体" w:cs="宋体"/>
                <w:color w:val="auto"/>
                <w:szCs w:val="21"/>
                <w:highlight w:val="none"/>
              </w:rPr>
            </w:pPr>
          </w:p>
        </w:tc>
      </w:tr>
      <w:tr w14:paraId="023760D0">
        <w:tblPrEx>
          <w:tblCellMar>
            <w:top w:w="0" w:type="dxa"/>
            <w:left w:w="108" w:type="dxa"/>
            <w:bottom w:w="0" w:type="dxa"/>
            <w:right w:w="108" w:type="dxa"/>
          </w:tblCellMar>
        </w:tblPrEx>
        <w:trPr>
          <w:trHeight w:val="562"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1CC1774C">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6</w:t>
            </w:r>
          </w:p>
        </w:tc>
        <w:tc>
          <w:tcPr>
            <w:tcW w:w="4409" w:type="dxa"/>
            <w:tcBorders>
              <w:top w:val="single" w:color="000000" w:sz="4" w:space="0"/>
              <w:left w:val="single" w:color="000000" w:sz="4" w:space="0"/>
              <w:bottom w:val="single" w:color="000000" w:sz="4" w:space="0"/>
              <w:right w:val="single" w:color="auto" w:sz="4" w:space="0"/>
            </w:tcBorders>
            <w:noWrap w:val="0"/>
            <w:vAlign w:val="center"/>
          </w:tcPr>
          <w:p w14:paraId="428B2D1E">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小型滚压泵</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59D84E99">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2 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14B54561">
            <w:pPr>
              <w:keepNext w:val="0"/>
              <w:keepLines w:val="0"/>
              <w:widowControl/>
              <w:suppressLineNumbers w:val="0"/>
              <w:jc w:val="center"/>
              <w:textAlignment w:val="center"/>
              <w:rPr>
                <w:rFonts w:hint="eastAsia" w:ascii="宋体" w:hAnsi="宋体" w:cs="宋体"/>
                <w:color w:val="auto"/>
                <w:szCs w:val="21"/>
                <w:highlight w:val="none"/>
              </w:rPr>
            </w:pPr>
          </w:p>
        </w:tc>
      </w:tr>
      <w:tr w14:paraId="7607EEC3">
        <w:tblPrEx>
          <w:tblCellMar>
            <w:top w:w="0" w:type="dxa"/>
            <w:left w:w="108" w:type="dxa"/>
            <w:bottom w:w="0" w:type="dxa"/>
            <w:right w:w="108" w:type="dxa"/>
          </w:tblCellMar>
        </w:tblPrEx>
        <w:trPr>
          <w:trHeight w:val="562"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29BA432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7</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2C93ED94">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万能管道夹</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51F445FB">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6 个</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217F9DF5">
            <w:pPr>
              <w:keepNext w:val="0"/>
              <w:keepLines w:val="0"/>
              <w:widowControl/>
              <w:suppressLineNumbers w:val="0"/>
              <w:jc w:val="center"/>
              <w:textAlignment w:val="center"/>
              <w:rPr>
                <w:rFonts w:hint="eastAsia" w:ascii="宋体" w:hAnsi="宋体" w:cs="宋体"/>
                <w:color w:val="auto"/>
                <w:szCs w:val="21"/>
                <w:highlight w:val="none"/>
              </w:rPr>
            </w:pPr>
          </w:p>
        </w:tc>
      </w:tr>
      <w:tr w14:paraId="294AB182">
        <w:tblPrEx>
          <w:tblCellMar>
            <w:top w:w="0" w:type="dxa"/>
            <w:left w:w="108" w:type="dxa"/>
            <w:bottom w:w="0" w:type="dxa"/>
            <w:right w:w="108" w:type="dxa"/>
          </w:tblCellMar>
        </w:tblPrEx>
        <w:trPr>
          <w:trHeight w:val="562"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69AD0B7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8</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651712BE">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控制单元套件</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30C5FB7D">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3 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1BBE34B2">
            <w:pPr>
              <w:keepNext w:val="0"/>
              <w:keepLines w:val="0"/>
              <w:widowControl/>
              <w:suppressLineNumbers w:val="0"/>
              <w:jc w:val="center"/>
              <w:textAlignment w:val="center"/>
              <w:rPr>
                <w:rFonts w:hint="eastAsia" w:ascii="宋体" w:hAnsi="宋体" w:cs="宋体"/>
                <w:color w:val="auto"/>
                <w:szCs w:val="21"/>
                <w:highlight w:val="none"/>
              </w:rPr>
            </w:pPr>
          </w:p>
        </w:tc>
      </w:tr>
      <w:tr w14:paraId="129017B4">
        <w:tblPrEx>
          <w:tblCellMar>
            <w:top w:w="0" w:type="dxa"/>
            <w:left w:w="108" w:type="dxa"/>
            <w:bottom w:w="0" w:type="dxa"/>
            <w:right w:w="108" w:type="dxa"/>
          </w:tblCellMar>
        </w:tblPrEx>
        <w:trPr>
          <w:trHeight w:val="633"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628901E6">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9</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0838F3C6">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液平面模块及传感器</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3A103962">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7D4E568">
            <w:pPr>
              <w:keepNext w:val="0"/>
              <w:keepLines w:val="0"/>
              <w:widowControl/>
              <w:suppressLineNumbers w:val="0"/>
              <w:jc w:val="center"/>
              <w:textAlignment w:val="center"/>
              <w:rPr>
                <w:rFonts w:hint="eastAsia" w:ascii="宋体" w:hAnsi="宋体" w:cs="宋体"/>
                <w:color w:val="auto"/>
                <w:szCs w:val="21"/>
                <w:highlight w:val="none"/>
              </w:rPr>
            </w:pPr>
          </w:p>
        </w:tc>
      </w:tr>
      <w:tr w14:paraId="08D56347">
        <w:tblPrEx>
          <w:tblCellMar>
            <w:top w:w="0" w:type="dxa"/>
            <w:left w:w="108" w:type="dxa"/>
            <w:bottom w:w="0" w:type="dxa"/>
            <w:right w:w="108" w:type="dxa"/>
          </w:tblCellMar>
        </w:tblPrEx>
        <w:trPr>
          <w:trHeight w:val="633"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0A285CFE">
            <w:pPr>
              <w:widowControl/>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4A5F6BB3">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温度模块及温度探头</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6669BDF">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F0CB70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C516524">
        <w:tblPrEx>
          <w:tblCellMar>
            <w:top w:w="0" w:type="dxa"/>
            <w:left w:w="108" w:type="dxa"/>
            <w:bottom w:w="0" w:type="dxa"/>
            <w:right w:w="108" w:type="dxa"/>
          </w:tblCellMar>
        </w:tblPrEx>
        <w:trPr>
          <w:trHeight w:val="633"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0139313D">
            <w:pPr>
              <w:widowControl/>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11</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4E10208F">
            <w:pPr>
              <w:spacing w:beforeLines="0" w:afterLines="0"/>
              <w:jc w:val="center"/>
              <w:rPr>
                <w:rFonts w:hint="default" w:ascii="宋体" w:hAnsi="宋体"/>
                <w:color w:val="auto"/>
                <w:kern w:val="2"/>
                <w:sz w:val="24"/>
                <w:szCs w:val="24"/>
                <w:highlight w:val="none"/>
                <w:lang w:val="en-US" w:eastAsia="zh-CN" w:bidi="ar-SA"/>
              </w:rPr>
            </w:pPr>
            <w:r>
              <w:rPr>
                <w:rFonts w:hint="eastAsia" w:ascii="宋体" w:hAnsi="宋体"/>
                <w:color w:val="auto"/>
                <w:sz w:val="24"/>
                <w:szCs w:val="24"/>
                <w:highlight w:val="none"/>
              </w:rPr>
              <w:t>压力模块及传感器</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1CB736B">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718CCE0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C9AF13C">
        <w:tblPrEx>
          <w:tblCellMar>
            <w:top w:w="0" w:type="dxa"/>
            <w:left w:w="108" w:type="dxa"/>
            <w:bottom w:w="0" w:type="dxa"/>
            <w:right w:w="108" w:type="dxa"/>
          </w:tblCellMar>
        </w:tblPrEx>
        <w:trPr>
          <w:trHeight w:val="633"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6231AD04">
            <w:pPr>
              <w:widowControl/>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12</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6C90E67F">
            <w:pPr>
              <w:spacing w:beforeLines="0" w:afterLines="0"/>
              <w:jc w:val="center"/>
              <w:rPr>
                <w:rFonts w:hint="default" w:ascii="宋体" w:hAnsi="宋体"/>
                <w:color w:val="auto"/>
                <w:kern w:val="2"/>
                <w:sz w:val="24"/>
                <w:szCs w:val="24"/>
                <w:highlight w:val="none"/>
                <w:lang w:val="en-US" w:eastAsia="zh-CN" w:bidi="ar-SA"/>
              </w:rPr>
            </w:pPr>
            <w:r>
              <w:rPr>
                <w:rFonts w:hint="eastAsia" w:ascii="宋体" w:hAnsi="宋体"/>
                <w:color w:val="auto"/>
                <w:sz w:val="24"/>
                <w:szCs w:val="24"/>
                <w:highlight w:val="none"/>
              </w:rPr>
              <w:t>静脉连续血气监测模块及传感器</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5AFAA811">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759F2D5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C78985">
        <w:tblPrEx>
          <w:tblCellMar>
            <w:top w:w="0" w:type="dxa"/>
            <w:left w:w="108" w:type="dxa"/>
            <w:bottom w:w="0" w:type="dxa"/>
            <w:right w:w="108" w:type="dxa"/>
          </w:tblCellMar>
        </w:tblPrEx>
        <w:trPr>
          <w:trHeight w:val="633"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11B6FDC5">
            <w:pPr>
              <w:widowControl/>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13</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7E5574BF">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气泡模块及传感器</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17C6D9F3">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628AD75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5A54C8">
        <w:tblPrEx>
          <w:tblCellMar>
            <w:top w:w="0" w:type="dxa"/>
            <w:left w:w="108" w:type="dxa"/>
            <w:bottom w:w="0" w:type="dxa"/>
            <w:right w:w="108" w:type="dxa"/>
          </w:tblCellMar>
        </w:tblPrEx>
        <w:trPr>
          <w:trHeight w:val="633"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45104028">
            <w:pPr>
              <w:widowControl/>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14</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77ECE650">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流量模块及传感器</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40BFEF3F">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1套</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1D9C961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51679B">
        <w:tblPrEx>
          <w:tblCellMar>
            <w:top w:w="0" w:type="dxa"/>
            <w:left w:w="108" w:type="dxa"/>
            <w:bottom w:w="0" w:type="dxa"/>
            <w:right w:w="108" w:type="dxa"/>
          </w:tblCellMar>
        </w:tblPrEx>
        <w:trPr>
          <w:trHeight w:val="633"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680A029B">
            <w:pPr>
              <w:widowControl/>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15</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35A2C782">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心肺流转热交换水箱</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1CE4DF67">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1台</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22C34E8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C44D39">
        <w:tblPrEx>
          <w:tblCellMar>
            <w:top w:w="0" w:type="dxa"/>
            <w:left w:w="108" w:type="dxa"/>
            <w:bottom w:w="0" w:type="dxa"/>
            <w:right w:w="108" w:type="dxa"/>
          </w:tblCellMar>
        </w:tblPrEx>
        <w:trPr>
          <w:trHeight w:val="633" w:hRule="atLeast"/>
          <w:jc w:val="center"/>
        </w:trPr>
        <w:tc>
          <w:tcPr>
            <w:tcW w:w="2023" w:type="dxa"/>
            <w:tcBorders>
              <w:top w:val="single" w:color="000000" w:sz="4" w:space="0"/>
              <w:left w:val="single" w:color="000000" w:sz="4" w:space="0"/>
              <w:bottom w:val="single" w:color="000000" w:sz="4" w:space="0"/>
              <w:right w:val="single" w:color="000000" w:sz="4" w:space="0"/>
            </w:tcBorders>
            <w:noWrap w:val="0"/>
            <w:vAlign w:val="center"/>
          </w:tcPr>
          <w:p w14:paraId="008117FD">
            <w:pPr>
              <w:widowControl/>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16</w:t>
            </w:r>
          </w:p>
        </w:tc>
        <w:tc>
          <w:tcPr>
            <w:tcW w:w="4409" w:type="dxa"/>
            <w:tcBorders>
              <w:top w:val="single" w:color="000000" w:sz="4" w:space="0"/>
              <w:left w:val="single" w:color="000000" w:sz="4" w:space="0"/>
              <w:bottom w:val="single" w:color="000000" w:sz="4" w:space="0"/>
              <w:right w:val="single" w:color="auto" w:sz="4" w:space="0"/>
            </w:tcBorders>
            <w:noWrap/>
            <w:vAlign w:val="center"/>
          </w:tcPr>
          <w:p w14:paraId="3FAD399A">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空氧混合器</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187F7287">
            <w:pPr>
              <w:spacing w:beforeLines="0" w:afterLines="0"/>
              <w:jc w:val="center"/>
              <w:rPr>
                <w:rFonts w:hint="eastAsia" w:ascii="宋体" w:hAnsi="宋体"/>
                <w:color w:val="auto"/>
                <w:kern w:val="2"/>
                <w:sz w:val="24"/>
                <w:szCs w:val="24"/>
                <w:highlight w:val="none"/>
                <w:lang w:val="en-US" w:eastAsia="zh-CN" w:bidi="ar-SA"/>
              </w:rPr>
            </w:pPr>
            <w:r>
              <w:rPr>
                <w:rFonts w:hint="eastAsia" w:ascii="宋体" w:hAnsi="宋体"/>
                <w:color w:val="auto"/>
                <w:sz w:val="24"/>
                <w:szCs w:val="24"/>
                <w:highlight w:val="none"/>
              </w:rPr>
              <w:t>1台</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3CD48E6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3719221C">
      <w:pPr>
        <w:adjustRightInd w:val="0"/>
        <w:snapToGrid w:val="0"/>
        <w:spacing w:before="120" w:beforeLines="50" w:line="360" w:lineRule="auto"/>
        <w:outlineLvl w:val="0"/>
        <w:rPr>
          <w:rFonts w:hint="eastAsia" w:ascii="宋体" w:hAnsi="宋体" w:cs="宋体"/>
          <w:b/>
          <w:bCs/>
          <w:color w:val="auto"/>
          <w:kern w:val="0"/>
          <w:sz w:val="24"/>
          <w:highlight w:val="none"/>
        </w:rPr>
      </w:pPr>
    </w:p>
    <w:tbl>
      <w:tblPr>
        <w:tblStyle w:val="3"/>
        <w:tblW w:w="9279" w:type="dxa"/>
        <w:tblInd w:w="0" w:type="dxa"/>
        <w:tblLayout w:type="fixed"/>
        <w:tblCellMar>
          <w:top w:w="0" w:type="dxa"/>
          <w:left w:w="108" w:type="dxa"/>
          <w:bottom w:w="0" w:type="dxa"/>
          <w:right w:w="108" w:type="dxa"/>
        </w:tblCellMar>
      </w:tblPr>
      <w:tblGrid>
        <w:gridCol w:w="1173"/>
        <w:gridCol w:w="8106"/>
      </w:tblGrid>
      <w:tr w14:paraId="60DD33EB">
        <w:tblPrEx>
          <w:tblCellMar>
            <w:top w:w="0" w:type="dxa"/>
            <w:left w:w="108" w:type="dxa"/>
            <w:bottom w:w="0" w:type="dxa"/>
            <w:right w:w="108" w:type="dxa"/>
          </w:tblCellMar>
        </w:tblPrEx>
        <w:trPr>
          <w:trHeight w:val="468" w:hRule="atLeast"/>
        </w:trPr>
        <w:tc>
          <w:tcPr>
            <w:tcW w:w="1173" w:type="dxa"/>
            <w:tcBorders>
              <w:top w:val="single" w:color="000000" w:sz="4" w:space="0"/>
              <w:left w:val="single" w:color="000000" w:sz="4" w:space="0"/>
              <w:bottom w:val="single" w:color="auto" w:sz="4" w:space="0"/>
              <w:right w:val="single" w:color="000000" w:sz="4" w:space="0"/>
            </w:tcBorders>
            <w:noWrap w:val="0"/>
            <w:vAlign w:val="center"/>
          </w:tcPr>
          <w:p w14:paraId="17B3F054">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序号</w:t>
            </w:r>
          </w:p>
        </w:tc>
        <w:tc>
          <w:tcPr>
            <w:tcW w:w="8106" w:type="dxa"/>
            <w:tcBorders>
              <w:top w:val="single" w:color="000000" w:sz="4" w:space="0"/>
              <w:left w:val="single" w:color="000000" w:sz="4" w:space="0"/>
              <w:bottom w:val="single" w:color="auto" w:sz="4" w:space="0"/>
              <w:right w:val="single" w:color="000000" w:sz="4" w:space="0"/>
            </w:tcBorders>
            <w:noWrap w:val="0"/>
            <w:vAlign w:val="center"/>
          </w:tcPr>
          <w:p w14:paraId="4F4C1E0A">
            <w:pPr>
              <w:widowControl/>
              <w:jc w:val="left"/>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技术参数及要求</w:t>
            </w:r>
          </w:p>
        </w:tc>
      </w:tr>
      <w:tr w14:paraId="4BF2A66C">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0C8609A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7DAAC0F8">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底座</w:t>
            </w:r>
          </w:p>
        </w:tc>
      </w:tr>
      <w:tr w14:paraId="1B923BF7">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1ED3EEF2">
            <w:pPr>
              <w:spacing w:beforeLines="0" w:afterLines="0"/>
              <w:jc w:val="center"/>
              <w:rPr>
                <w:rFonts w:hint="default"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370128DA">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全悬挂设计，无底座泵</w:t>
            </w:r>
          </w:p>
        </w:tc>
      </w:tr>
      <w:tr w14:paraId="324723E6">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4A5CE81B">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5658BBBD">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便捷性：可移动，提供移动方向锁定功能</w:t>
            </w:r>
          </w:p>
        </w:tc>
      </w:tr>
      <w:tr w14:paraId="217002F9">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501DD48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1.3</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B21F067">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桅杆系统：用于安装泵和其他组件和设备</w:t>
            </w:r>
          </w:p>
        </w:tc>
      </w:tr>
      <w:tr w14:paraId="0A3275DB">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1E726D6A">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1.4▲</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405AD94B">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备用系统：配备备用控制单元，可通过备用控制单元来管理，避免故障导致的无法操作</w:t>
            </w:r>
          </w:p>
        </w:tc>
      </w:tr>
      <w:tr w14:paraId="460329AC">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0747A36D">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1.5</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64AECEF0">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电源：具有后备电源 UPS，可供机器工作≥90 分钟，动态显示剩余工作时间</w:t>
            </w:r>
          </w:p>
        </w:tc>
      </w:tr>
      <w:tr w14:paraId="114304F4">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254945CB">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1.6</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0D9ACD0">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电池：电池容量自动测定，了解电池续航水平，可定期自动提醒并进行电池保养</w:t>
            </w:r>
          </w:p>
        </w:tc>
      </w:tr>
      <w:tr w14:paraId="760A81C5">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1D182DB6">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1.7</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7F1FD98B">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配备容纳组件：收纳电缆和线缆，提高感控管理和更清晰操作空间</w:t>
            </w:r>
          </w:p>
        </w:tc>
      </w:tr>
      <w:tr w14:paraId="2B02EA76">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42EACBC4">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1.8</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AFF75FA">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配有储物空间：用于存放使用的物品</w:t>
            </w:r>
          </w:p>
        </w:tc>
      </w:tr>
      <w:tr w14:paraId="446B00BB">
        <w:tblPrEx>
          <w:tblCellMar>
            <w:top w:w="0" w:type="dxa"/>
            <w:left w:w="108" w:type="dxa"/>
            <w:bottom w:w="0" w:type="dxa"/>
            <w:right w:w="108" w:type="dxa"/>
          </w:tblCellMar>
        </w:tblPrEx>
        <w:trPr>
          <w:trHeight w:val="63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0FDF7590">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1.9</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2DD3906F">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操作显示屏</w:t>
            </w:r>
          </w:p>
        </w:tc>
      </w:tr>
      <w:tr w14:paraId="0A9D2883">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11AFB70F">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1.9.1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2BDDC5C6">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全中文图形操作系统</w:t>
            </w:r>
          </w:p>
        </w:tc>
      </w:tr>
      <w:tr w14:paraId="01627A38">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38D50AE8">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1.9.2▲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60580F2">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具有智能辅助功能，检查所有灌注和患者参数，内建多种体表面积计算公式，可辅助计算病人体表面积</w:t>
            </w:r>
          </w:p>
        </w:tc>
      </w:tr>
      <w:tr w14:paraId="2D40F805">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1BDD2235">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1.9.3</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41B2FEA4">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可以安装在桅杆系统的多个位置</w:t>
            </w:r>
          </w:p>
        </w:tc>
      </w:tr>
      <w:tr w14:paraId="31D77D26">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203E4389">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1.9.4▲</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7CD0EFA">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可控制多个电子设备（包括：滚压泵，离心泵，电子阻断钳等）</w:t>
            </w:r>
          </w:p>
        </w:tc>
      </w:tr>
      <w:tr w14:paraId="41D92568">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54CE1A65">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1.9.5</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246C8C6D">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屏幕可根据功能需要进行分区，便于系统的整体使用</w:t>
            </w:r>
          </w:p>
        </w:tc>
      </w:tr>
      <w:tr w14:paraId="286AC05F">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4C41E1BC">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1.9.6</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5A7D212">
            <w:pPr>
              <w:spacing w:beforeLines="0" w:afterLines="0"/>
              <w:jc w:val="both"/>
              <w:rPr>
                <w:rFonts w:hint="eastAsia" w:ascii="宋体" w:hAnsi="宋体"/>
                <w:color w:val="auto"/>
                <w:kern w:val="2"/>
                <w:sz w:val="23"/>
                <w:szCs w:val="24"/>
                <w:highlight w:val="none"/>
                <w:lang w:val="en-US" w:eastAsia="zh-CN" w:bidi="ar-SA"/>
              </w:rPr>
            </w:pPr>
            <w:r>
              <w:rPr>
                <w:rFonts w:hint="eastAsia" w:ascii="宋体" w:hAnsi="宋体"/>
                <w:color w:val="auto"/>
                <w:sz w:val="23"/>
                <w:szCs w:val="24"/>
                <w:highlight w:val="none"/>
              </w:rPr>
              <w:t>具有配置管理功能</w:t>
            </w:r>
          </w:p>
        </w:tc>
      </w:tr>
      <w:tr w14:paraId="4505B1C8">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4D86E54F">
            <w:pPr>
              <w:spacing w:beforeLines="0" w:afterLines="0"/>
              <w:jc w:val="center"/>
              <w:rPr>
                <w:rFonts w:hint="eastAsia" w:ascii="Segoe UI" w:hAnsi="Segoe UI" w:eastAsia="宋体"/>
                <w:color w:val="auto"/>
                <w:kern w:val="2"/>
                <w:sz w:val="22"/>
                <w:szCs w:val="24"/>
                <w:highlight w:val="none"/>
                <w:lang w:val="en-US" w:eastAsia="zh-CN" w:bidi="ar-SA"/>
              </w:rPr>
            </w:pPr>
            <w:r>
              <w:rPr>
                <w:rFonts w:hint="eastAsia" w:ascii="Segoe UI" w:hAnsi="Segoe UI" w:eastAsia="Segoe UI"/>
                <w:color w:val="auto"/>
                <w:sz w:val="22"/>
                <w:szCs w:val="24"/>
                <w:highlight w:val="none"/>
              </w:rPr>
              <w:t>1.1</w:t>
            </w:r>
            <w:r>
              <w:rPr>
                <w:rFonts w:hint="eastAsia" w:ascii="Segoe UI" w:hAnsi="Segoe UI" w:eastAsia="宋体"/>
                <w:color w:val="auto"/>
                <w:sz w:val="22"/>
                <w:szCs w:val="24"/>
                <w:highlight w:val="none"/>
                <w:lang w:val="en-US" w:eastAsia="zh-CN"/>
              </w:rPr>
              <w:t>0</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BE5555F">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控制单元</w:t>
            </w:r>
          </w:p>
        </w:tc>
      </w:tr>
      <w:tr w14:paraId="503361BA">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455EAA48">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1.10.1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54E5263">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当电子设备大于操作显示屏最大控制单元时，可以增加控制单元，单独控制电子设备</w:t>
            </w:r>
          </w:p>
        </w:tc>
      </w:tr>
      <w:tr w14:paraId="428E4CFD">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6D738125">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1.10.2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67F012F9">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控制单元配有显示模块，显示控制的电子设备的流量或转速</w:t>
            </w:r>
          </w:p>
        </w:tc>
      </w:tr>
      <w:tr w14:paraId="545325F3">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5BDE9FAE">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1.10.3</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0F06060">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可以安装在桅杆系统的多个位置上</w:t>
            </w:r>
          </w:p>
        </w:tc>
      </w:tr>
      <w:tr w14:paraId="1C9B6D97">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4963F6AC">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2CBB44A6">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泵</w:t>
            </w:r>
          </w:p>
        </w:tc>
      </w:tr>
      <w:tr w14:paraId="376399B9">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355A3B39">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73F288C3">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滚压泵</w:t>
            </w:r>
          </w:p>
        </w:tc>
      </w:tr>
      <w:tr w14:paraId="1802D9CD">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2E5336F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6385671C">
            <w:pPr>
              <w:spacing w:beforeLines="0" w:afterLines="0"/>
              <w:jc w:val="both"/>
              <w:rPr>
                <w:rFonts w:hint="eastAsia" w:ascii="宋体" w:hAnsi="宋体"/>
                <w:color w:val="auto"/>
                <w:kern w:val="2"/>
                <w:sz w:val="23"/>
                <w:szCs w:val="24"/>
                <w:highlight w:val="none"/>
                <w:lang w:val="en-US" w:eastAsia="zh-CN" w:bidi="ar-SA"/>
              </w:rPr>
            </w:pPr>
            <w:r>
              <w:rPr>
                <w:rFonts w:hint="eastAsia" w:ascii="宋体" w:hAnsi="宋体"/>
                <w:color w:val="auto"/>
                <w:sz w:val="23"/>
                <w:szCs w:val="24"/>
                <w:highlight w:val="none"/>
              </w:rPr>
              <w:t>泵的类型：均为悬挂泵，可配备单头大泵（泵直径≥150mm），单头小泵（泵直径≥85mm），双头小泵（泵直径≥85mm）</w:t>
            </w:r>
          </w:p>
        </w:tc>
      </w:tr>
      <w:tr w14:paraId="1B35C2EA">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130052AE">
            <w:pPr>
              <w:spacing w:beforeLines="0" w:afterLines="0"/>
              <w:jc w:val="center"/>
              <w:rPr>
                <w:rFonts w:hint="eastAsia" w:ascii="Segoe UI" w:hAnsi="Segoe UI" w:eastAsia="Segoe UI"/>
                <w:color w:val="auto"/>
                <w:kern w:val="2"/>
                <w:sz w:val="23"/>
                <w:szCs w:val="24"/>
                <w:highlight w:val="none"/>
                <w:lang w:val="en-US" w:eastAsia="zh-CN" w:bidi="ar-SA"/>
              </w:rPr>
            </w:pPr>
            <w:r>
              <w:rPr>
                <w:rFonts w:hint="eastAsia" w:ascii="Segoe UI" w:hAnsi="Segoe UI" w:eastAsia="Segoe UI"/>
                <w:color w:val="auto"/>
                <w:sz w:val="23"/>
                <w:szCs w:val="24"/>
                <w:highlight w:val="none"/>
              </w:rPr>
              <w:t>2.1.2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F0BF8BA">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泵头驱动方式：直轴驱动，无传动皮带，免维护</w:t>
            </w:r>
          </w:p>
        </w:tc>
      </w:tr>
      <w:tr w14:paraId="2FD45485">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5617BAB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2.1.3</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28FAC7A9">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速度范围：0 至 250 rpm（顺时针，逆时针）；速度准确度偏离±1%</w:t>
            </w:r>
          </w:p>
        </w:tc>
      </w:tr>
      <w:tr w14:paraId="1C6EC736">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5B5A7A7E">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2.1.4</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E077766">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采用马蹄形泵头，减少对红细胞的破坏</w:t>
            </w:r>
          </w:p>
        </w:tc>
      </w:tr>
      <w:tr w14:paraId="264C02D0">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7CB3A815">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2.1.5</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7C3BD684">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泵头可在180°（单头）和240°（双头）范围内旋转，方便管道安装</w:t>
            </w:r>
          </w:p>
        </w:tc>
      </w:tr>
      <w:tr w14:paraId="458CA758">
        <w:tblPrEx>
          <w:tblCellMar>
            <w:top w:w="0" w:type="dxa"/>
            <w:left w:w="108" w:type="dxa"/>
            <w:bottom w:w="0" w:type="dxa"/>
            <w:right w:w="108" w:type="dxa"/>
          </w:tblCellMar>
        </w:tblPrEx>
        <w:trPr>
          <w:trHeight w:val="593"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43F1BE82">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2.1.6▲</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4CA70DD4">
            <w:pPr>
              <w:spacing w:beforeLines="0" w:afterLines="0"/>
              <w:jc w:val="both"/>
              <w:rPr>
                <w:rFonts w:hint="eastAsia" w:ascii="宋体" w:hAnsi="宋体"/>
                <w:color w:val="auto"/>
                <w:kern w:val="2"/>
                <w:sz w:val="23"/>
                <w:szCs w:val="24"/>
                <w:highlight w:val="none"/>
                <w:lang w:val="en-US" w:eastAsia="zh-CN" w:bidi="ar-SA"/>
              </w:rPr>
            </w:pPr>
            <w:r>
              <w:rPr>
                <w:rFonts w:hint="eastAsia" w:ascii="宋体" w:hAnsi="宋体"/>
                <w:color w:val="auto"/>
                <w:sz w:val="23"/>
                <w:szCs w:val="24"/>
                <w:highlight w:val="none"/>
              </w:rPr>
              <w:t>泵头机械精度高，同心性≤0.015mm</w:t>
            </w:r>
          </w:p>
        </w:tc>
      </w:tr>
      <w:tr w14:paraId="514E4A4D">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13EAED5A">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2.1.7</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78D84EBB">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具有开盖保护功能</w:t>
            </w:r>
          </w:p>
        </w:tc>
      </w:tr>
      <w:tr w14:paraId="6A7E9C48">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6213D5DC">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2.1.8</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7C3C4D8C">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泵头调节旋钮：开机无需归零；具有双速（粗调和微调）调节功能</w:t>
            </w:r>
          </w:p>
        </w:tc>
      </w:tr>
      <w:tr w14:paraId="1E78DC69">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3A3AEA2D">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2.1.9</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0FCC34D">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可以设置主泵/从泵的灌注关系，可调节主泵和从泵的转速比例，具有停止关联泵功能</w:t>
            </w:r>
          </w:p>
        </w:tc>
      </w:tr>
      <w:tr w14:paraId="7A73C15A">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0"/>
            <w:vAlign w:val="center"/>
          </w:tcPr>
          <w:p w14:paraId="6F504890">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2.1.10</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39550469">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泵头设有反转报警功能、转子压紧自锁功能、开机自检和错误诊断功能</w:t>
            </w:r>
          </w:p>
        </w:tc>
      </w:tr>
      <w:tr w14:paraId="4BEAA1B9">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2BF06BCF">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69038241">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可选配离心泵</w:t>
            </w:r>
          </w:p>
        </w:tc>
      </w:tr>
      <w:tr w14:paraId="71D1ED7D">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50FA95F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2.2.1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7842EE37">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适配体外循环机的各种监测和电力供应，独立的操作面板和马达，可灵活调节高度和位置，方便操作</w:t>
            </w:r>
          </w:p>
        </w:tc>
      </w:tr>
      <w:tr w14:paraId="53274ABA">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3C3238F5">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2.2.2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3AFC675B">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具备电子动脉阻断装置：遇到主机报警，会自动启动</w:t>
            </w:r>
          </w:p>
        </w:tc>
      </w:tr>
      <w:tr w14:paraId="4F21C6C6">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407EF773">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5298412A">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电子监测组件</w:t>
            </w:r>
          </w:p>
        </w:tc>
      </w:tr>
      <w:tr w14:paraId="459BE9CC">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63FA82C6">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B4C89B2">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模块化，插件式，发生故障时互不影响</w:t>
            </w:r>
          </w:p>
        </w:tc>
      </w:tr>
      <w:tr w14:paraId="2D90AC45">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4348A69E">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6DF1A4B2">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心肌保护灌注装置，有多种灌注模式，可以设置顺行灌注，逆行灌注，同时可显示当前灌注量和总灌注量</w:t>
            </w:r>
          </w:p>
        </w:tc>
      </w:tr>
      <w:tr w14:paraId="4263FB33">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6409A16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3.3</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C8583B4">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≥两导温度监测组件，可以设置高温和低温报警数据</w:t>
            </w:r>
          </w:p>
        </w:tc>
      </w:tr>
      <w:tr w14:paraId="13BAA6AB">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35F4C05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3.4</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B1434F2">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双压力监测组件：两点控制，有超限报警并能控制血泵速度和停泵</w:t>
            </w:r>
          </w:p>
        </w:tc>
      </w:tr>
      <w:tr w14:paraId="296F71CE">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773C5D7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3.5▲</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4FFB5A7">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连续血气监测：连续监测病人的血氧饱和度</w:t>
            </w:r>
          </w:p>
        </w:tc>
      </w:tr>
      <w:tr w14:paraId="5AAFF987">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02A61B14">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3.6</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72C67A87">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液平面检测可预报警并减速</w:t>
            </w:r>
          </w:p>
        </w:tc>
      </w:tr>
      <w:tr w14:paraId="1BC1EF88">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1A6717FC">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3.7</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A9CA6D9">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气泡检测可调节探测灵敏度</w:t>
            </w:r>
          </w:p>
        </w:tc>
      </w:tr>
      <w:tr w14:paraId="13CAF4AB">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351533F7">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3.8</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6CABFAA2">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≥3个独立显示模块均为热拔插式，可带电实时互相调换</w:t>
            </w:r>
          </w:p>
        </w:tc>
      </w:tr>
      <w:tr w14:paraId="259EAB5C">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5E6284B2">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C263AE0">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全自动变温水箱部分</w:t>
            </w:r>
          </w:p>
        </w:tc>
      </w:tr>
      <w:tr w14:paraId="7C3DDE92">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17BC9828">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4.1</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C50E141">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≥两路循环水接口，可供氧合器，变温毯及心肌停跳液灌注保护同时进行变温使用，可实现同步、非同步的升温与降温功能</w:t>
            </w:r>
          </w:p>
        </w:tc>
      </w:tr>
      <w:tr w14:paraId="7DA9EEE2">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62DFAE3B">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4.2</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5A55CE81">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制冷系统：压缩机制冷</w:t>
            </w:r>
          </w:p>
        </w:tc>
      </w:tr>
      <w:tr w14:paraId="2AC394B2">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3258EF5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4.3</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15A007FA">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制热系统：电加热</w:t>
            </w:r>
          </w:p>
        </w:tc>
      </w:tr>
      <w:tr w14:paraId="3442FAC8">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7D0F549A">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4.4</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0C88561E">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自动式降温，具有快速升降温功能，无须加冰，无须提前制冷</w:t>
            </w:r>
          </w:p>
        </w:tc>
      </w:tr>
      <w:tr w14:paraId="0D801960">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6784A955">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4.5</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488D8DDF">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温度控制范围：2℃-41℃，误差：0.1℃</w:t>
            </w:r>
          </w:p>
        </w:tc>
      </w:tr>
      <w:tr w14:paraId="43E78C32">
        <w:tblPrEx>
          <w:tblCellMar>
            <w:top w:w="0" w:type="dxa"/>
            <w:left w:w="108" w:type="dxa"/>
            <w:bottom w:w="0" w:type="dxa"/>
            <w:right w:w="108" w:type="dxa"/>
          </w:tblCellMar>
        </w:tblPrEx>
        <w:trPr>
          <w:trHeight w:val="617" w:hRule="atLeast"/>
        </w:trPr>
        <w:tc>
          <w:tcPr>
            <w:tcW w:w="1173" w:type="dxa"/>
            <w:tcBorders>
              <w:top w:val="single" w:color="auto" w:sz="4" w:space="0"/>
              <w:left w:val="single" w:color="auto" w:sz="4" w:space="0"/>
              <w:bottom w:val="single" w:color="auto" w:sz="4" w:space="0"/>
              <w:right w:val="single" w:color="auto" w:sz="4" w:space="0"/>
            </w:tcBorders>
            <w:noWrap/>
            <w:vAlign w:val="center"/>
          </w:tcPr>
          <w:p w14:paraId="6E1E3D32">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4.6</w:t>
            </w:r>
          </w:p>
        </w:tc>
        <w:tc>
          <w:tcPr>
            <w:tcW w:w="8106" w:type="dxa"/>
            <w:tcBorders>
              <w:top w:val="single" w:color="auto" w:sz="4" w:space="0"/>
              <w:left w:val="single" w:color="auto" w:sz="4" w:space="0"/>
              <w:bottom w:val="single" w:color="auto" w:sz="4" w:space="0"/>
              <w:right w:val="single" w:color="auto" w:sz="4" w:space="0"/>
            </w:tcBorders>
            <w:noWrap w:val="0"/>
            <w:vAlign w:val="center"/>
          </w:tcPr>
          <w:p w14:paraId="4790E3FE">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水路带自动回收功能</w:t>
            </w:r>
          </w:p>
        </w:tc>
      </w:tr>
      <w:tr w14:paraId="7326A56E">
        <w:tblPrEx>
          <w:tblCellMar>
            <w:top w:w="0" w:type="dxa"/>
            <w:left w:w="108" w:type="dxa"/>
            <w:bottom w:w="0" w:type="dxa"/>
            <w:right w:w="108" w:type="dxa"/>
          </w:tblCellMar>
        </w:tblPrEx>
        <w:trPr>
          <w:trHeight w:val="617"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53ADB651">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4.7</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B1DD72C">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可远程通过心肺机操作控制水箱升降温</w:t>
            </w:r>
          </w:p>
        </w:tc>
      </w:tr>
      <w:tr w14:paraId="08FBD13C">
        <w:tblPrEx>
          <w:tblCellMar>
            <w:top w:w="0" w:type="dxa"/>
            <w:left w:w="108" w:type="dxa"/>
            <w:bottom w:w="0" w:type="dxa"/>
            <w:right w:w="108" w:type="dxa"/>
          </w:tblCellMar>
        </w:tblPrEx>
        <w:trPr>
          <w:trHeight w:val="617"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62A75D34">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4.8</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D208BF1">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为密封负压水箱，配有负压表，可监测箱体内负压水平，具有气溶胶收集装置</w:t>
            </w:r>
          </w:p>
        </w:tc>
      </w:tr>
      <w:tr w14:paraId="20BAE67F">
        <w:tblPrEx>
          <w:tblCellMar>
            <w:top w:w="0" w:type="dxa"/>
            <w:left w:w="108" w:type="dxa"/>
            <w:bottom w:w="0" w:type="dxa"/>
            <w:right w:w="108" w:type="dxa"/>
          </w:tblCellMar>
        </w:tblPrEx>
        <w:trPr>
          <w:trHeight w:val="617"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4D406B5A">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5</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E8DA4BA">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可选配数据管理系统</w:t>
            </w:r>
          </w:p>
        </w:tc>
      </w:tr>
      <w:tr w14:paraId="3402D782">
        <w:tblPrEx>
          <w:tblCellMar>
            <w:top w:w="0" w:type="dxa"/>
            <w:left w:w="108" w:type="dxa"/>
            <w:bottom w:w="0" w:type="dxa"/>
            <w:right w:w="108" w:type="dxa"/>
          </w:tblCellMar>
        </w:tblPrEx>
        <w:trPr>
          <w:trHeight w:val="617"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73876D16">
            <w:pPr>
              <w:spacing w:beforeLines="0" w:afterLines="0"/>
              <w:jc w:val="center"/>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5.1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0D3C018">
            <w:pPr>
              <w:spacing w:beforeLines="0" w:afterLines="0"/>
              <w:jc w:val="both"/>
              <w:rPr>
                <w:rFonts w:hint="eastAsia" w:ascii="Segoe UI" w:hAnsi="Segoe UI" w:eastAsia="Segoe UI"/>
                <w:color w:val="auto"/>
                <w:kern w:val="2"/>
                <w:sz w:val="22"/>
                <w:szCs w:val="24"/>
                <w:highlight w:val="none"/>
                <w:lang w:val="en-US" w:eastAsia="zh-CN" w:bidi="ar-SA"/>
              </w:rPr>
            </w:pPr>
            <w:r>
              <w:rPr>
                <w:rFonts w:hint="eastAsia" w:ascii="Segoe UI" w:hAnsi="Segoe UI" w:eastAsia="Segoe UI"/>
                <w:color w:val="auto"/>
                <w:sz w:val="22"/>
                <w:szCs w:val="24"/>
                <w:highlight w:val="none"/>
              </w:rPr>
              <w:t>实时记录体外灌注过程中的数据：灌注数据记录，特别是灌注流量；术中操作记录等</w:t>
            </w:r>
          </w:p>
        </w:tc>
      </w:tr>
    </w:tbl>
    <w:p w14:paraId="2B2F05C5">
      <w:pPr>
        <w:adjustRightInd w:val="0"/>
        <w:snapToGrid w:val="0"/>
        <w:spacing w:before="120" w:beforeLines="50" w:line="360" w:lineRule="auto"/>
        <w:outlineLvl w:val="0"/>
        <w:rPr>
          <w:rFonts w:hint="eastAsia" w:ascii="宋体" w:hAnsi="宋体" w:cs="宋体"/>
          <w:b/>
          <w:bCs/>
          <w:color w:val="auto"/>
          <w:kern w:val="0"/>
          <w:sz w:val="24"/>
          <w:highlight w:val="none"/>
        </w:rPr>
      </w:pPr>
    </w:p>
    <w:p w14:paraId="0E7D734C">
      <w:pPr>
        <w:adjustRightInd w:val="0"/>
        <w:snapToGrid w:val="0"/>
        <w:spacing w:before="120" w:beforeLines="50" w:line="360" w:lineRule="auto"/>
        <w:jc w:val="left"/>
        <w:outlineLvl w:val="0"/>
        <w:rPr>
          <w:rFonts w:hint="eastAsia" w:ascii="宋体" w:hAnsi="宋体" w:eastAsia="宋体" w:cs="宋体"/>
          <w:b/>
          <w:bCs/>
          <w:color w:val="auto"/>
          <w:kern w:val="0"/>
          <w:sz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设备</w:t>
      </w:r>
      <w:r>
        <w:rPr>
          <w:rFonts w:hint="eastAsia" w:ascii="宋体" w:hAnsi="宋体" w:eastAsia="宋体" w:cs="宋体"/>
          <w:b/>
          <w:bCs/>
          <w:color w:val="auto"/>
          <w:sz w:val="24"/>
          <w:szCs w:val="24"/>
          <w:highlight w:val="none"/>
          <w:lang w:val="en-US" w:eastAsia="zh-CN"/>
        </w:rPr>
        <w:t>的其它要求</w:t>
      </w:r>
      <w:r>
        <w:rPr>
          <w:rFonts w:hint="eastAsia" w:ascii="宋体" w:hAnsi="宋体" w:eastAsia="宋体" w:cs="宋体"/>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投标人投标时应将设备清单、配件清单、易损件清单分项列表标明清楚（如有）</w:t>
      </w:r>
    </w:p>
    <w:p w14:paraId="210769E5">
      <w:pPr>
        <w:adjustRightInd w:val="0"/>
        <w:snapToGrid w:val="0"/>
        <w:spacing w:before="120" w:beforeLines="50" w:line="360" w:lineRule="auto"/>
        <w:jc w:val="center"/>
        <w:outlineLvl w:val="1"/>
        <w:rPr>
          <w:rFonts w:hint="eastAsia" w:ascii="宋体" w:hAnsi="宋体" w:cs="宋体"/>
          <w:color w:val="auto"/>
          <w:kern w:val="0"/>
          <w:sz w:val="24"/>
          <w:highlight w:val="none"/>
        </w:rPr>
      </w:pPr>
      <w:r>
        <w:rPr>
          <w:rFonts w:hint="eastAsia" w:ascii="宋体" w:hAnsi="宋体" w:cs="宋体"/>
          <w:b/>
          <w:bCs/>
          <w:color w:val="auto"/>
          <w:kern w:val="0"/>
          <w:sz w:val="24"/>
          <w:highlight w:val="none"/>
        </w:rPr>
        <w:br w:type="page"/>
      </w:r>
      <w:r>
        <w:rPr>
          <w:rFonts w:hint="eastAsia" w:ascii="黑体" w:hAnsi="黑体" w:eastAsia="黑体" w:cs="黑体"/>
          <w:b/>
          <w:bCs/>
          <w:color w:val="auto"/>
          <w:kern w:val="0"/>
          <w:sz w:val="28"/>
          <w:szCs w:val="28"/>
          <w:highlight w:val="none"/>
        </w:rPr>
        <w:t>第二节  商务要求</w:t>
      </w:r>
    </w:p>
    <w:p w14:paraId="15B27E8B">
      <w:pPr>
        <w:keepNext w:val="0"/>
        <w:keepLines w:val="0"/>
        <w:pageBreakBefore w:val="0"/>
        <w:widowControl/>
        <w:kinsoku/>
        <w:wordWrap/>
        <w:overflowPunct/>
        <w:topLinePunct w:val="0"/>
        <w:autoSpaceDE/>
        <w:autoSpaceDN/>
        <w:bidi w:val="0"/>
        <w:spacing w:line="56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一、验收要求、标准和方法 </w:t>
      </w:r>
    </w:p>
    <w:p w14:paraId="712E0A91">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货物运抵采购人指定地点后，由采购人对到货产品的数量、型号、外观质量、随机备品备件、技术资料等进行检查，要求中标人提供验收方案（包括货物部分和工程部分），由采购人书面审定后实施，与采购人协商后确定。要求中标人在验收前向采购人提供汇集成册的全套技术文件及资料、具有法律效力的质量保证、保修维护文件，以及安装、验收报告等文档。 </w:t>
      </w:r>
    </w:p>
    <w:p w14:paraId="161C4300">
      <w:pPr>
        <w:keepNext w:val="0"/>
        <w:keepLines w:val="0"/>
        <w:pageBreakBefore w:val="0"/>
        <w:widowControl/>
        <w:kinsoku/>
        <w:wordWrap/>
        <w:overflowPunct/>
        <w:topLinePunct w:val="0"/>
        <w:autoSpaceDE/>
        <w:autoSpaceDN/>
        <w:bidi w:val="0"/>
        <w:spacing w:line="560" w:lineRule="exact"/>
        <w:ind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2、项目验收工作由采购人严格按照国家及行业相关标准进行验收，如需委托专家验收，验收费用由中标单位承担。验收报告作为申请付款的凭证之一。项目验收不合格，由中标人返工直至合格，有关返工、再行验收，以及给采购人造成的损失等费用由中标人承担。</w:t>
      </w:r>
    </w:p>
    <w:p w14:paraId="75E9F4F3">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3、验收地点：产品安装地。 </w:t>
      </w:r>
    </w:p>
    <w:p w14:paraId="1009364E">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4、因中标人所提供的产品出现质量问题而引起纠纷，则由具有资质的第三方质检机构进行检测， 由此而发生的费用由中标人负责。</w:t>
      </w:r>
    </w:p>
    <w:p w14:paraId="45DFF228">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5、验收之前须对该项目所有软硬件系统操作人员进行培训，确保系统操作人员能熟练使用，提交培训相关文档。</w:t>
      </w:r>
    </w:p>
    <w:p w14:paraId="742AA81D">
      <w:pPr>
        <w:keepNext w:val="0"/>
        <w:keepLines w:val="0"/>
        <w:pageBreakBefore w:val="0"/>
        <w:widowControl/>
        <w:kinsoku/>
        <w:wordWrap/>
        <w:overflowPunct/>
        <w:topLinePunct w:val="0"/>
        <w:autoSpaceDE/>
        <w:autoSpaceDN/>
        <w:bidi w:val="0"/>
        <w:spacing w:line="56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二、项目实施要求 </w:t>
      </w:r>
    </w:p>
    <w:p w14:paraId="10B672DA">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1、产品运输、保管及保险： </w:t>
      </w:r>
    </w:p>
    <w:p w14:paraId="6329A1C2">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1.1 中标人负责产品到使用单位的全部运输，包括装卸及现场搬运等。 </w:t>
      </w:r>
    </w:p>
    <w:p w14:paraId="131C5297">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1.2 中标人负责设备在现场的保管，直至验收合格。 </w:t>
      </w:r>
    </w:p>
    <w:p w14:paraId="6690813C">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1.3 中标人负责其派出的施工人员的人身意外保险。 </w:t>
      </w:r>
    </w:p>
    <w:p w14:paraId="1DDCDCA4">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2、包装：原厂原包装送货，货到采购人指定地点，经采购人指定人员验证后方可开箱。 </w:t>
      </w:r>
    </w:p>
    <w:p w14:paraId="7AE92D1F">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3、安装调试及施工等： </w:t>
      </w:r>
    </w:p>
    <w:p w14:paraId="4851836E">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3.1 本项目的安装由中标人负责，中标人应对产品和系统安装提供全面的技术服务与支持，为顺利安装运行提供完全技术保证。 </w:t>
      </w:r>
    </w:p>
    <w:p w14:paraId="496B61AE">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3.2 中标人须加强设备安装的组织管理，所有安装人员须遵守文明安全施工的有关规章制度，持证上岗。 </w:t>
      </w:r>
    </w:p>
    <w:p w14:paraId="3383E52B">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3.3 项目完成后，中标人应将项目有关的全部资料，包括设备资料、技术文档、使用说明书等，移交采购人。 </w:t>
      </w:r>
    </w:p>
    <w:p w14:paraId="03389A9A">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 本项目采用费用包干方式建设，投标人应根据项目技术要求、验收要求和现场情况等，详细列明项目所需的设备、材料、配件、辅材，以及运输、安装、</w:t>
      </w:r>
      <w:r>
        <w:rPr>
          <w:rFonts w:hint="eastAsia" w:ascii="宋体" w:hAnsi="宋体" w:eastAsia="宋体" w:cs="宋体"/>
          <w:color w:val="auto"/>
          <w:kern w:val="0"/>
          <w:sz w:val="24"/>
          <w:szCs w:val="24"/>
          <w:highlight w:val="none"/>
          <w:lang w:val="en-US" w:eastAsia="zh-CN"/>
        </w:rPr>
        <w:t>网络接口</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系统升级、</w:t>
      </w:r>
      <w:r>
        <w:rPr>
          <w:rFonts w:hint="eastAsia" w:ascii="宋体" w:hAnsi="宋体" w:eastAsia="宋体" w:cs="宋体"/>
          <w:color w:val="auto"/>
          <w:kern w:val="0"/>
          <w:sz w:val="24"/>
          <w:szCs w:val="24"/>
          <w:highlight w:val="none"/>
        </w:rPr>
        <w:t>调试、验收等人工、管理等全过程所有费用，如一旦中标，在项目实施中出现任何遗漏，均由中标人免费提供，采购人不再支付任何费用。</w:t>
      </w:r>
    </w:p>
    <w:p w14:paraId="295B90D7">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调试：调试由中标人负责，中标人为运行调试提供技术和产品的必要条件。并应向采购人有关人员讲解产品和系统结构与计划调试方法，包括系统的性能、技术特点、调试技巧等有关技术原理、方法，解决调试过程中出现的技术问题。 </w:t>
      </w:r>
    </w:p>
    <w:p w14:paraId="6A6D430A">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人员培训要求：中标人应科学制定相配套的培训计划，对采购人的使用操作人员进行切实有效的培训，确保产品能良好地运作。培训内容至少包括：对使用操作人员提供的正常使用和简单维护培训，应提供系统的培训教材，保证培训质量。 培训产生的费用全部由中标人承担。培训实施具体细节由中标人和采购人共同商定。</w:t>
      </w:r>
    </w:p>
    <w:p w14:paraId="3C4CF990">
      <w:pPr>
        <w:keepNext w:val="0"/>
        <w:keepLines w:val="0"/>
        <w:pageBreakBefore w:val="0"/>
        <w:widowControl/>
        <w:kinsoku/>
        <w:wordWrap/>
        <w:overflowPunct/>
        <w:topLinePunct w:val="0"/>
        <w:autoSpaceDE/>
        <w:autoSpaceDN/>
        <w:bidi w:val="0"/>
        <w:spacing w:line="56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三、质量保证 </w:t>
      </w:r>
    </w:p>
    <w:p w14:paraId="4C708779">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中标人应保证提供的产品应是原厂生产的设备、配件和软件，保证原装正品，符合国家质量检测标准，具有出厂合格证或国家鉴定合格证，涉及的软件必须为正版授权软件，本次采购的设备涉及操作系统的应为正版系统，并在中标后提供相关证明。 </w:t>
      </w:r>
    </w:p>
    <w:p w14:paraId="5B8E43AA">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2、中标人必须严格遵守《产品质量法》，在投标书中对产品质量保证体系做出说明，并完整地履行质保期内的免费现场维修服务承诺。</w:t>
      </w:r>
    </w:p>
    <w:p w14:paraId="72F49DC9">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3、软硬件授权不受使用期限限制，未经业主同意不得锁定、停机或停止授权。</w:t>
      </w:r>
    </w:p>
    <w:p w14:paraId="3DCC0CC6">
      <w:pPr>
        <w:keepNext w:val="0"/>
        <w:keepLines w:val="0"/>
        <w:pageBreakBefore w:val="0"/>
        <w:widowControl/>
        <w:kinsoku/>
        <w:wordWrap/>
        <w:overflowPunct/>
        <w:topLinePunct w:val="0"/>
        <w:autoSpaceDE/>
        <w:autoSpaceDN/>
        <w:bidi w:val="0"/>
        <w:spacing w:line="560" w:lineRule="exact"/>
        <w:ind w:left="21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四、售后服务要求</w:t>
      </w:r>
    </w:p>
    <w:p w14:paraId="3D89F384">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整体项目的免费质保期要求≥1年（起算日期为验收通过日）。质保期内所有产品（所有软硬件设备）维护、巡检（每年不得低于4次）、维修等要求免费上门服务并建立检修记录，由此产生的费用均不再收取。 质保期满后设备出现故障需更换配件，维修时只收取零配件费用，免收其他费用。（中标后提供厂家承诺函，格式自拟）</w:t>
      </w:r>
    </w:p>
    <w:p w14:paraId="4F6B3FC3">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2、在质保期内中标人对产品质量实行三包，因设备配置、设备或零部件制造质量问题而引起的故障，中标人应立即免费维修或更换，保证设备及时恢复正常，由此引起的一切费用由中标人承担。 </w:t>
      </w:r>
    </w:p>
    <w:p w14:paraId="1A453F06">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3、在质保期内免费提供零件及服务，并应及时有效。质保期后应提供长期优质服务。在使用寿命期内，中标人应保证对设备的零配件、易损件的供应。 </w:t>
      </w:r>
    </w:p>
    <w:p w14:paraId="4CCBE96A">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4、响应时间：中标人应能保证设备使用运行所需的备件和具备相关技术保障机制，并保证质保期内每周7×24 小时技术支持，2小时响应，12小时内到达现场，24小时内将设备故障排除完毕，若24小时内无法将设备故障排除，直接对该故障设备更换新设备。</w:t>
      </w:r>
    </w:p>
    <w:p w14:paraId="53995CFD">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5、质保期外维修或提供配件均按成本价计。具体措施需在响应文件中注明。一般问题要求 1 个工作日内解决问题，特殊问题应采用替换法保证买方的正常工作，如不能及时赶到，用户方委托其它单位维修，其费用由卖方承担。 </w:t>
      </w:r>
    </w:p>
    <w:p w14:paraId="7AAD7087">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6、投标单位所投产品的制造厂商或代理机构不能因为设备停产而拒绝提供备品备件，应提供相应的解决方案和同类档次规格的设备。 </w:t>
      </w:r>
    </w:p>
    <w:p w14:paraId="301E934D">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7、中标人应提供售后服务机构的名称、联系方法等。中标人的售后服务机构名称、联系方法等如有变化，应及时通知采购人。中标人不及时通知采购人，由此而造成的损失由中标人负责。 </w:t>
      </w:r>
    </w:p>
    <w:p w14:paraId="1DB38E55">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8、中标人售后服务机构不履行本合同质量和售后服务有关规定，由中标人承担一切责任。 </w:t>
      </w:r>
    </w:p>
    <w:p w14:paraId="2DB43DCB">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9、投标人必须根据本次招标文件所制定的目标和范围，提出相应的技术及售后服务方案，明确指出技术支持服务提供者，并作为投标文件的一部分提交。只有经安装调试并且技术性能达到用户需求书所述的技术要求后，采购方才能接受全部货物。 </w:t>
      </w:r>
    </w:p>
    <w:p w14:paraId="490462A4">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10、自验收合格之日起，中标人所提供产品的质保期应满足清单中要求的质保时间，并保证长期提供系统正常工作所需的备品备件。 </w:t>
      </w:r>
    </w:p>
    <w:p w14:paraId="7E45278C">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11、中标人应按采购人要求对项目进行设备维护人员培训，达到熟练掌握设备性能，并能及时排除一般故障的程度。  </w:t>
      </w:r>
    </w:p>
    <w:p w14:paraId="42BBD021">
      <w:pPr>
        <w:keepNext w:val="0"/>
        <w:keepLines w:val="0"/>
        <w:pageBreakBefore w:val="0"/>
        <w:widowControl/>
        <w:kinsoku/>
        <w:wordWrap/>
        <w:overflowPunct/>
        <w:topLinePunct w:val="0"/>
        <w:autoSpaceDE/>
        <w:autoSpaceDN/>
        <w:bidi w:val="0"/>
        <w:spacing w:line="56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五、其他要求及说明 </w:t>
      </w:r>
    </w:p>
    <w:p w14:paraId="70FA53B3">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1．交货时间及地点 </w:t>
      </w:r>
    </w:p>
    <w:p w14:paraId="4A804537">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1.1交货时间：合同签订后90天内交货，并安装调试完成。 </w:t>
      </w:r>
    </w:p>
    <w:p w14:paraId="43A38704">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1.2 交货地点：采购单位指定地点。 </w:t>
      </w:r>
    </w:p>
    <w:p w14:paraId="7E2F6EE9">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kern w:val="0"/>
          <w:sz w:val="24"/>
          <w:szCs w:val="24"/>
          <w:highlight w:val="none"/>
        </w:rPr>
        <w:t xml:space="preserve">项目完成后，中标人应将项目有关的全部资料，包括设备资料、技术文档、使用说明书等，移交采购人。 </w:t>
      </w:r>
    </w:p>
    <w:p w14:paraId="0BACC6F5">
      <w:pPr>
        <w:keepNext w:val="0"/>
        <w:keepLines w:val="0"/>
        <w:pageBreakBefore w:val="0"/>
        <w:widowControl/>
        <w:kinsoku/>
        <w:wordWrap/>
        <w:overflowPunct/>
        <w:topLinePunct w:val="0"/>
        <w:autoSpaceDE/>
        <w:autoSpaceDN/>
        <w:bidi w:val="0"/>
        <w:spacing w:line="56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六、付款方式和条件</w:t>
      </w:r>
    </w:p>
    <w:p w14:paraId="34E16A1F">
      <w:pPr>
        <w:keepNext w:val="0"/>
        <w:keepLines w:val="0"/>
        <w:pageBreakBefore w:val="0"/>
        <w:widowControl/>
        <w:kinsoku/>
        <w:wordWrap/>
        <w:overflowPunct/>
        <w:topLinePunct w:val="0"/>
        <w:autoSpaceDE/>
        <w:autoSpaceDN/>
        <w:bidi w:val="0"/>
        <w:spacing w:line="5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付款</w:t>
      </w:r>
      <w:r>
        <w:rPr>
          <w:rFonts w:hint="eastAsia" w:ascii="宋体" w:hAnsi="宋体" w:eastAsia="宋体" w:cs="宋体"/>
          <w:color w:val="auto"/>
          <w:sz w:val="24"/>
          <w:szCs w:val="24"/>
          <w:highlight w:val="none"/>
          <w:lang w:eastAsia="zh-CN"/>
        </w:rPr>
        <w:t>方式</w:t>
      </w:r>
      <w:r>
        <w:rPr>
          <w:rFonts w:hint="eastAsia" w:ascii="宋体" w:hAnsi="宋体" w:eastAsia="宋体" w:cs="宋体"/>
          <w:color w:val="auto"/>
          <w:sz w:val="24"/>
          <w:szCs w:val="24"/>
          <w:highlight w:val="none"/>
        </w:rPr>
        <w:t>：甲方安装调试验收合格后贰个月内付合同金额的97%给乙方，尾款3%于免费质保期满后无息支付给乙方。</w:t>
      </w:r>
    </w:p>
    <w:p w14:paraId="0C73C9F6">
      <w:pPr>
        <w:widowControl/>
        <w:spacing w:line="360" w:lineRule="auto"/>
        <w:jc w:val="left"/>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七、项目实施的其他要求</w:t>
      </w:r>
    </w:p>
    <w:p w14:paraId="53229ACE">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1、投标人在投标前，须踏勘现场的，有关费用自理，踏勘期间发生的意外自负。 </w:t>
      </w:r>
    </w:p>
    <w:p w14:paraId="4A9350E9">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2、如所投产品为进口产品的，需提供厂商或国内代理针对本项目授权书。</w:t>
      </w:r>
    </w:p>
    <w:p w14:paraId="347C8490">
      <w:pPr>
        <w:keepNext w:val="0"/>
        <w:keepLines w:val="0"/>
        <w:pageBreakBefore w:val="0"/>
        <w:widowControl w:val="0"/>
        <w:kinsoku/>
        <w:wordWrap/>
        <w:overflowPunct/>
        <w:topLinePunct w:val="0"/>
        <w:autoSpaceDE/>
        <w:autoSpaceDN/>
        <w:bidi w:val="0"/>
        <w:spacing w:line="56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3、如所投产品为进口产品的，需提供进口产品经销或代理投标货物或为投标货物提供售后服务的证明文件</w:t>
      </w:r>
    </w:p>
    <w:p w14:paraId="28DD2F46">
      <w:pPr>
        <w:keepNext w:val="0"/>
        <w:keepLines w:val="0"/>
        <w:pageBreakBefore w:val="0"/>
        <w:widowControl/>
        <w:kinsoku/>
        <w:wordWrap/>
        <w:overflowPunct/>
        <w:topLinePunct w:val="0"/>
        <w:autoSpaceDE/>
        <w:autoSpaceDN/>
        <w:bidi w:val="0"/>
        <w:spacing w:line="56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八</w:t>
      </w:r>
      <w:r>
        <w:rPr>
          <w:rFonts w:hint="eastAsia" w:ascii="宋体" w:hAnsi="宋体" w:eastAsia="宋体" w:cs="宋体"/>
          <w:b/>
          <w:bCs/>
          <w:color w:val="auto"/>
          <w:kern w:val="0"/>
          <w:sz w:val="24"/>
          <w:szCs w:val="24"/>
          <w:highlight w:val="none"/>
        </w:rPr>
        <w:t xml:space="preserve">、其他未尽事宜合同中约定 </w:t>
      </w:r>
    </w:p>
    <w:p w14:paraId="5B6EC2A2">
      <w:pPr>
        <w:keepNext w:val="0"/>
        <w:keepLines w:val="0"/>
        <w:pageBreakBefore w:val="0"/>
        <w:widowControl w:val="0"/>
        <w:kinsoku/>
        <w:wordWrap/>
        <w:overflowPunct/>
        <w:topLinePunct w:val="0"/>
        <w:autoSpaceDE/>
        <w:autoSpaceDN/>
        <w:bidi w:val="0"/>
        <w:spacing w:line="560" w:lineRule="exact"/>
        <w:ind w:left="0" w:leftChars="0" w:firstLine="241" w:firstLineChars="1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★1、对于上述商务要求，应在投标文件中进行回应，作出承诺，未作出承诺的为无效投标。</w:t>
      </w:r>
    </w:p>
    <w:p w14:paraId="6B49E30C">
      <w:pPr>
        <w:keepNext w:val="0"/>
        <w:keepLines w:val="0"/>
        <w:pageBreakBefore w:val="0"/>
        <w:widowControl w:val="0"/>
        <w:kinsoku/>
        <w:wordWrap/>
        <w:overflowPunct/>
        <w:topLinePunct w:val="0"/>
        <w:autoSpaceDE/>
        <w:autoSpaceDN/>
        <w:bidi w:val="0"/>
        <w:spacing w:line="560" w:lineRule="exact"/>
        <w:ind w:firstLine="482" w:firstLineChars="2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投标人在投标文件中有隐瞒事实、弄虚作假的行为，或有不按招标文件的要求如实提供有关情况、文件、证明等资料的行为，或有所提供的有关情况、文件、证明等资料与经查实的事实不符的行为，且上述行为对该投标人有利的，按照不合格投标人处理。已被列为中标候选人的，取消其中标候选人资格。已中标的，取消其中标资格，并送财政监管部门依法追究其法律责任。</w:t>
      </w:r>
    </w:p>
    <w:p w14:paraId="4D9CCE08">
      <w:r>
        <w:rPr>
          <w:rFonts w:hint="eastAsia" w:ascii="宋体" w:hAnsi="宋体" w:eastAsia="宋体" w:cs="宋体"/>
          <w:b/>
          <w:bCs/>
          <w:color w:val="auto"/>
          <w:kern w:val="2"/>
          <w:sz w:val="24"/>
          <w:szCs w:val="24"/>
          <w:highlight w:val="none"/>
          <w:lang w:val="en-US" w:eastAsia="zh-CN" w:bidi="ar-SA"/>
        </w:rPr>
        <w:t>3、如投标人提供虚假材料谋取中标，在评标环节发现的，按无效投标处理。如中标后发现的，取消其中标资格，并送财政监管部门依法追究其法律责任。</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EF6F47"/>
    <w:rsid w:val="6FEF6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24"/>
      <w:szCs w:val="20"/>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2026-06-22T05:12:00Z</dcterms:created>
  <dc:creator>（假知青）</dc:creator>
  <cp:lastModifiedBy>（假知青）</cp:lastModifiedBy>
  <dcterms:modified xsi:type="dcterms:W3CDTF">2026-06-22T05:12:36Z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E16ECBFF46E14FA5B040960DE893DADA_11</vt:lpwstr>
  </property>
  <property fmtid="{D5CDD505-2E9C-101B-9397-08002B2CF9AE}" pid="4" name="KSOTemplateDocerSaveRecord">
    <vt:lpwstr>eyJoZGlkIjoiNmZhNDI2NmE2ZDMzMGZiM2Y2MzJiOWMxMzk4NzM5NGMiLCJ1c2VySWQiOiIzNDIwMTYzODUifQ==</vt:lpwstr>
  </property>
</Properties>
</file>