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版本号：N510001202600007620260309001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消防隐患整改项目(二次)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N5100012026000076</w:t>
      </w:r>
    </w:p>
    <w:p>
      <w:pPr>
        <w:pStyle w:val="null3"/>
        <w:jc w:val="left"/>
        <w:outlineLvl w:val="2"/>
      </w:pPr>
      <w:r>
        <w:rPr>
          <w:rFonts w:ascii="仿宋_GB2312" w:hAnsi="仿宋_GB2312" w:cs="仿宋_GB2312" w:eastAsia="仿宋_GB2312"/>
          <w:sz w:val="28"/>
          <w:b/>
        </w:rPr>
        <w:t>四川艺术职业学院</w:t>
      </w:r>
    </w:p>
    <w:p>
      <w:pPr>
        <w:pStyle w:val="null3"/>
        <w:jc w:val="center"/>
        <w:outlineLvl w:val="2"/>
      </w:pPr>
      <w:r>
        <w:rPr>
          <w:rFonts w:ascii="仿宋_GB2312" w:hAnsi="仿宋_GB2312" w:cs="仿宋_GB2312" w:eastAsia="仿宋_GB2312"/>
          <w:sz w:val="28"/>
          <w:b/>
        </w:rPr>
        <w:t>联投项目管理（集团）有限公司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联投项目管理（集团）有限公司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四川艺术职业学院</w:t>
      </w:r>
      <w:r>
        <w:rPr>
          <w:rFonts w:ascii="仿宋_GB2312" w:hAnsi="仿宋_GB2312" w:cs="仿宋_GB2312" w:eastAsia="仿宋_GB2312"/>
        </w:rPr>
        <w:t xml:space="preserve"> 委托，拟对 </w:t>
      </w:r>
      <w:r>
        <w:rPr>
          <w:rFonts w:ascii="仿宋_GB2312" w:hAnsi="仿宋_GB2312" w:cs="仿宋_GB2312" w:eastAsia="仿宋_GB2312"/>
        </w:rPr>
        <w:t>消防隐患整改项目(二次)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N5100012026000076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消防隐患整改项目(二次)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本项目共计1个采购包，拟确定中标人1名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供应商应具有有效期内的国家行政主管部门颁发的具备消防设施工程专业承包贰级（含）以上资质（描述：（1）供应商需提供有效期内的国家行政主管部门颁发的具备消防设施工程专业承包贰级（含）以上资质证书）</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四川艺术职业学院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成都市温江区和盛镇星艺大道366号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028-61718027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联投项目管理（集团）有限公司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成都市高新区天府大道北段1700号环球中心N5区20楼2015号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028-67873777转1，17761049664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采购包1：522,100.00元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代理服务费收费标准：1.参照《国家计委关于印发(招标代理服务收费管理暂行办法)的通知》(计价格[2002]1980号)规定的“招标代理服务收费标准”下浮50% 的收取。 2.由中标人在领取中标通知书前向采购代理机构一次性缴纳招标代理服务费； 收款单位：联投项目管理（集团）有限公司； 开 户 行：中国建设银行股份有限公司成都益州支行； 银行账号：51050141618500000138 3.采购文件费用开票：请登录联投官网（https://www.scltzb.com/）按以下流程操作：点击登录报名—选择供应商登录－点击我的项目－找到要开票的项目－点击项目详情－我要开票－填写完毕后点击提交。我公司将每周五统一开具，请注意查收。 4.代理服务费开票：代理服务费交纳后，请填写《中标（成交）通知书及发票信息单》（见采购文件附件），并按PDF及WORD格式各一份发送至邮箱qa@scltzb.com，PDF需要加盖公司公章。在收到您的邮件及代理服务费后，我公司将在1—3个工作日内向您的邮箱发送电子发票。</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四川艺术职业学院</w:t>
      </w:r>
      <w:r>
        <w:rPr>
          <w:rFonts w:ascii="仿宋_GB2312" w:hAnsi="仿宋_GB2312" w:cs="仿宋_GB2312" w:eastAsia="仿宋_GB2312"/>
        </w:rPr>
        <w:t xml:space="preserve"> 和 </w:t>
      </w:r>
      <w:r>
        <w:rPr>
          <w:rFonts w:ascii="仿宋_GB2312" w:hAnsi="仿宋_GB2312" w:cs="仿宋_GB2312" w:eastAsia="仿宋_GB2312"/>
        </w:rPr>
        <w:t>联投项目管理（集团）有限公司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四川艺术职业学院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联投项目管理（集团）有限公司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现场安装调试完毕系统运行正常供应商提出验收申请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按照本项目招标文件及中标供应商投标文件进行验收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按照本项目招标文件及中标供应商投标文件进行验收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号）以及磋商文件的要求、供应商的响应文件及承诺与合同进行验收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四川艺术职业学院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联系电话：028-61718027</w:t>
      </w:r>
    </w:p>
    <w:p>
      <w:pPr>
        <w:pStyle w:val="null3"/>
        <w:jc w:val="left"/>
      </w:pPr>
      <w:r>
        <w:rPr>
          <w:rFonts w:ascii="仿宋_GB2312" w:hAnsi="仿宋_GB2312" w:cs="仿宋_GB2312" w:eastAsia="仿宋_GB2312"/>
        </w:rPr>
        <w:t>地址：成都市温江区和盛镇星艺大道366号</w:t>
      </w:r>
    </w:p>
    <w:p>
      <w:pPr>
        <w:pStyle w:val="null3"/>
        <w:jc w:val="left"/>
      </w:pPr>
      <w:r>
        <w:rPr>
          <w:rFonts w:ascii="仿宋_GB2312" w:hAnsi="仿宋_GB2312" w:cs="仿宋_GB2312" w:eastAsia="仿宋_GB2312"/>
        </w:rPr>
        <w:t>邮编：611130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联系人：质量法务4部</w:t>
      </w:r>
    </w:p>
    <w:p>
      <w:pPr>
        <w:pStyle w:val="null3"/>
        <w:jc w:val="left"/>
      </w:pPr>
      <w:r>
        <w:rPr>
          <w:rFonts w:ascii="仿宋_GB2312" w:hAnsi="仿宋_GB2312" w:cs="仿宋_GB2312" w:eastAsia="仿宋_GB2312"/>
        </w:rPr>
        <w:t>联系电话：028-67873777转1</w:t>
      </w:r>
    </w:p>
    <w:p>
      <w:pPr>
        <w:pStyle w:val="null3"/>
        <w:jc w:val="left"/>
      </w:pPr>
      <w:r>
        <w:rPr>
          <w:rFonts w:ascii="仿宋_GB2312" w:hAnsi="仿宋_GB2312" w:cs="仿宋_GB2312" w:eastAsia="仿宋_GB2312"/>
        </w:rPr>
        <w:t>地址：成都市高新区天府大道北段1700号环球中心N5区20楼2015号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522,100.00</w:t>
      </w:r>
    </w:p>
    <w:p>
      <w:pPr>
        <w:pStyle w:val="null3"/>
        <w:jc w:val="left"/>
      </w:pPr>
      <w:r>
        <w:rPr>
          <w:rFonts w:ascii="仿宋_GB2312" w:hAnsi="仿宋_GB2312" w:cs="仿宋_GB2312" w:eastAsia="仿宋_GB2312"/>
        </w:rPr>
        <w:t>采购包最高限价（元）: 522,100.00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消防栓栓头</w:t>
            </w:r>
          </w:p>
        </w:tc>
        <w:tc>
          <w:tcPr>
            <w:tcW w:type="dxa" w:w="821"/>
          </w:tcPr>
          <w:p>
            <w:pPr>
              <w:pStyle w:val="null3"/>
              <w:jc w:val="right"/>
            </w:pPr>
            <w:r>
              <w:rPr>
                <w:rFonts w:ascii="仿宋_GB2312" w:hAnsi="仿宋_GB2312" w:cs="仿宋_GB2312" w:eastAsia="仿宋_GB2312"/>
              </w:rPr>
              <w:t>400.00（个）</w:t>
            </w:r>
          </w:p>
        </w:tc>
        <w:tc>
          <w:tcPr>
            <w:tcW w:type="dxa" w:w="821"/>
          </w:tcPr>
          <w:p>
            <w:pPr>
              <w:pStyle w:val="null3"/>
              <w:jc w:val="right"/>
            </w:pPr>
            <w:r>
              <w:rPr>
                <w:rFonts w:ascii="仿宋_GB2312" w:hAnsi="仿宋_GB2312" w:cs="仿宋_GB2312" w:eastAsia="仿宋_GB2312"/>
              </w:rPr>
              <w:t>68,000.00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疏散指示灯具</w:t>
            </w:r>
          </w:p>
        </w:tc>
        <w:tc>
          <w:tcPr>
            <w:tcW w:type="dxa" w:w="821"/>
          </w:tcPr>
          <w:p>
            <w:pPr>
              <w:pStyle w:val="null3"/>
              <w:jc w:val="right"/>
            </w:pPr>
            <w:r>
              <w:rPr>
                <w:rFonts w:ascii="仿宋_GB2312" w:hAnsi="仿宋_GB2312" w:cs="仿宋_GB2312" w:eastAsia="仿宋_GB2312"/>
              </w:rPr>
              <w:t>400.00（个）</w:t>
            </w:r>
          </w:p>
        </w:tc>
        <w:tc>
          <w:tcPr>
            <w:tcW w:type="dxa" w:w="821"/>
          </w:tcPr>
          <w:p>
            <w:pPr>
              <w:pStyle w:val="null3"/>
              <w:jc w:val="right"/>
            </w:pPr>
            <w:r>
              <w:rPr>
                <w:rFonts w:ascii="仿宋_GB2312" w:hAnsi="仿宋_GB2312" w:cs="仿宋_GB2312" w:eastAsia="仿宋_GB2312"/>
              </w:rPr>
              <w:t>44,000.00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消防水带</w:t>
            </w:r>
          </w:p>
        </w:tc>
        <w:tc>
          <w:tcPr>
            <w:tcW w:type="dxa" w:w="821"/>
          </w:tcPr>
          <w:p>
            <w:pPr>
              <w:pStyle w:val="null3"/>
              <w:jc w:val="right"/>
            </w:pPr>
            <w:r>
              <w:rPr>
                <w:rFonts w:ascii="仿宋_GB2312" w:hAnsi="仿宋_GB2312" w:cs="仿宋_GB2312" w:eastAsia="仿宋_GB2312"/>
              </w:rPr>
              <w:t>400.00（个）</w:t>
            </w:r>
          </w:p>
        </w:tc>
        <w:tc>
          <w:tcPr>
            <w:tcW w:type="dxa" w:w="821"/>
          </w:tcPr>
          <w:p>
            <w:pPr>
              <w:pStyle w:val="null3"/>
              <w:jc w:val="right"/>
            </w:pPr>
            <w:r>
              <w:rPr>
                <w:rFonts w:ascii="仿宋_GB2312" w:hAnsi="仿宋_GB2312" w:cs="仿宋_GB2312" w:eastAsia="仿宋_GB2312"/>
              </w:rPr>
              <w:t>68,000.00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双电源控制柜</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应急照明集中电源1</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应急照明集中电源2</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应急照明集中电源3</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47,700.00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应急照明集中电源4</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28,500.00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微型消防站</w:t>
            </w:r>
          </w:p>
        </w:tc>
        <w:tc>
          <w:tcPr>
            <w:tcW w:type="dxa" w:w="821"/>
          </w:tcPr>
          <w:p>
            <w:pPr>
              <w:pStyle w:val="null3"/>
              <w:jc w:val="right"/>
            </w:pPr>
            <w:r>
              <w:rPr>
                <w:rFonts w:ascii="仿宋_GB2312" w:hAnsi="仿宋_GB2312" w:cs="仿宋_GB2312" w:eastAsia="仿宋_GB2312"/>
              </w:rPr>
              <w:t>6.00（套）</w:t>
            </w:r>
          </w:p>
        </w:tc>
        <w:tc>
          <w:tcPr>
            <w:tcW w:type="dxa" w:w="821"/>
          </w:tcPr>
          <w:p>
            <w:pPr>
              <w:pStyle w:val="null3"/>
              <w:jc w:val="right"/>
            </w:pPr>
            <w:r>
              <w:rPr>
                <w:rFonts w:ascii="仿宋_GB2312" w:hAnsi="仿宋_GB2312" w:cs="仿宋_GB2312" w:eastAsia="仿宋_GB2312"/>
              </w:rPr>
              <w:t>45,000.00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消防水箱稳压泵</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9,501.00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喷淋泵</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风机控制柜</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13,800.00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排污泵</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19,600.00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闸阀</w:t>
            </w:r>
          </w:p>
        </w:tc>
        <w:tc>
          <w:tcPr>
            <w:tcW w:type="dxa" w:w="821"/>
          </w:tcPr>
          <w:p>
            <w:pPr>
              <w:pStyle w:val="null3"/>
              <w:jc w:val="right"/>
            </w:pPr>
            <w:r>
              <w:rPr>
                <w:rFonts w:ascii="仿宋_GB2312" w:hAnsi="仿宋_GB2312" w:cs="仿宋_GB2312" w:eastAsia="仿宋_GB2312"/>
              </w:rPr>
              <w:t>7.00（个）</w:t>
            </w:r>
          </w:p>
        </w:tc>
        <w:tc>
          <w:tcPr>
            <w:tcW w:type="dxa" w:w="821"/>
          </w:tcPr>
          <w:p>
            <w:pPr>
              <w:pStyle w:val="null3"/>
              <w:jc w:val="right"/>
            </w:pPr>
            <w:r>
              <w:rPr>
                <w:rFonts w:ascii="仿宋_GB2312" w:hAnsi="仿宋_GB2312" w:cs="仿宋_GB2312" w:eastAsia="仿宋_GB2312"/>
              </w:rPr>
              <w:t>12,635.00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A02371400 政法、消防、检测设备零部件</w:t>
            </w:r>
          </w:p>
        </w:tc>
        <w:tc>
          <w:tcPr>
            <w:tcW w:type="dxa" w:w="821"/>
          </w:tcPr>
          <w:p>
            <w:pPr>
              <w:pStyle w:val="null3"/>
              <w:jc w:val="left"/>
            </w:pPr>
            <w:r>
              <w:rPr>
                <w:rFonts w:ascii="仿宋_GB2312" w:hAnsi="仿宋_GB2312" w:cs="仿宋_GB2312" w:eastAsia="仿宋_GB2312"/>
              </w:rPr>
              <w:t>热镀锌钢管</w:t>
            </w:r>
          </w:p>
        </w:tc>
        <w:tc>
          <w:tcPr>
            <w:tcW w:type="dxa" w:w="821"/>
          </w:tcPr>
          <w:p>
            <w:pPr>
              <w:pStyle w:val="null3"/>
              <w:jc w:val="right"/>
            </w:pPr>
            <w:r>
              <w:rPr>
                <w:rFonts w:ascii="仿宋_GB2312" w:hAnsi="仿宋_GB2312" w:cs="仿宋_GB2312" w:eastAsia="仿宋_GB2312"/>
              </w:rPr>
              <w:t>12.00（米）</w:t>
            </w:r>
          </w:p>
        </w:tc>
        <w:tc>
          <w:tcPr>
            <w:tcW w:type="dxa" w:w="821"/>
          </w:tcPr>
          <w:p>
            <w:pPr>
              <w:pStyle w:val="null3"/>
              <w:jc w:val="right"/>
            </w:pPr>
            <w:r>
              <w:rPr>
                <w:rFonts w:ascii="仿宋_GB2312" w:hAnsi="仿宋_GB2312" w:cs="仿宋_GB2312" w:eastAsia="仿宋_GB2312"/>
              </w:rPr>
              <w:t>4,764.00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消防栓栓头</w:t>
            </w:r>
          </w:p>
        </w:tc>
        <w:tc>
          <w:tcPr>
            <w:tcW w:type="dxa" w:w="1138"/>
          </w:tcPr>
          <w:p>
            <w:pPr>
              <w:pStyle w:val="null3"/>
              <w:jc w:val="center"/>
            </w:pPr>
            <w:r>
              <w:rPr>
                <w:rFonts w:ascii="仿宋_GB2312" w:hAnsi="仿宋_GB2312" w:cs="仿宋_GB2312" w:eastAsia="仿宋_GB2312"/>
              </w:rPr>
              <w:t>400.00（个）</w:t>
            </w:r>
          </w:p>
        </w:tc>
        <w:tc>
          <w:tcPr>
            <w:tcW w:type="dxa" w:w="1365"/>
          </w:tcPr>
          <w:p>
            <w:pPr>
              <w:pStyle w:val="null3"/>
              <w:jc w:val="center"/>
            </w:pPr>
            <w:r>
              <w:rPr>
                <w:rFonts w:ascii="仿宋_GB2312" w:hAnsi="仿宋_GB2312" w:cs="仿宋_GB2312" w:eastAsia="仿宋_GB2312"/>
              </w:rPr>
              <w:t>68,000.00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疏散指示灯具</w:t>
            </w:r>
          </w:p>
        </w:tc>
        <w:tc>
          <w:tcPr>
            <w:tcW w:type="dxa" w:w="1138"/>
          </w:tcPr>
          <w:p>
            <w:pPr>
              <w:pStyle w:val="null3"/>
              <w:jc w:val="center"/>
            </w:pPr>
            <w:r>
              <w:rPr>
                <w:rFonts w:ascii="仿宋_GB2312" w:hAnsi="仿宋_GB2312" w:cs="仿宋_GB2312" w:eastAsia="仿宋_GB2312"/>
              </w:rPr>
              <w:t>400.00（个）</w:t>
            </w:r>
          </w:p>
        </w:tc>
        <w:tc>
          <w:tcPr>
            <w:tcW w:type="dxa" w:w="1365"/>
          </w:tcPr>
          <w:p>
            <w:pPr>
              <w:pStyle w:val="null3"/>
              <w:jc w:val="center"/>
            </w:pPr>
            <w:r>
              <w:rPr>
                <w:rFonts w:ascii="仿宋_GB2312" w:hAnsi="仿宋_GB2312" w:cs="仿宋_GB2312" w:eastAsia="仿宋_GB2312"/>
              </w:rPr>
              <w:t>44,000.00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消防水带</w:t>
            </w:r>
          </w:p>
        </w:tc>
        <w:tc>
          <w:tcPr>
            <w:tcW w:type="dxa" w:w="1138"/>
          </w:tcPr>
          <w:p>
            <w:pPr>
              <w:pStyle w:val="null3"/>
              <w:jc w:val="center"/>
            </w:pPr>
            <w:r>
              <w:rPr>
                <w:rFonts w:ascii="仿宋_GB2312" w:hAnsi="仿宋_GB2312" w:cs="仿宋_GB2312" w:eastAsia="仿宋_GB2312"/>
              </w:rPr>
              <w:t>400.00（个）</w:t>
            </w:r>
          </w:p>
        </w:tc>
        <w:tc>
          <w:tcPr>
            <w:tcW w:type="dxa" w:w="1365"/>
          </w:tcPr>
          <w:p>
            <w:pPr>
              <w:pStyle w:val="null3"/>
              <w:jc w:val="center"/>
            </w:pPr>
            <w:r>
              <w:rPr>
                <w:rFonts w:ascii="仿宋_GB2312" w:hAnsi="仿宋_GB2312" w:cs="仿宋_GB2312" w:eastAsia="仿宋_GB2312"/>
              </w:rPr>
              <w:t>68,000.00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双电源控制柜</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应急照明集中电源1</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应急照明集中电源2</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应急照明集中电源3</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47,700.00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应急照明集中电源4</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28,500.00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微型消防站</w:t>
            </w:r>
          </w:p>
        </w:tc>
        <w:tc>
          <w:tcPr>
            <w:tcW w:type="dxa" w:w="1138"/>
          </w:tcPr>
          <w:p>
            <w:pPr>
              <w:pStyle w:val="null3"/>
              <w:jc w:val="center"/>
            </w:pPr>
            <w:r>
              <w:rPr>
                <w:rFonts w:ascii="仿宋_GB2312" w:hAnsi="仿宋_GB2312" w:cs="仿宋_GB2312" w:eastAsia="仿宋_GB2312"/>
              </w:rPr>
              <w:t>6.00（套）</w:t>
            </w:r>
          </w:p>
        </w:tc>
        <w:tc>
          <w:tcPr>
            <w:tcW w:type="dxa" w:w="1365"/>
          </w:tcPr>
          <w:p>
            <w:pPr>
              <w:pStyle w:val="null3"/>
              <w:jc w:val="center"/>
            </w:pPr>
            <w:r>
              <w:rPr>
                <w:rFonts w:ascii="仿宋_GB2312" w:hAnsi="仿宋_GB2312" w:cs="仿宋_GB2312" w:eastAsia="仿宋_GB2312"/>
              </w:rPr>
              <w:t>45,000.00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消防水箱稳压泵</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9,501.00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喷淋泵</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风机控制柜</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排污泵</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19,600.00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闸阀</w:t>
            </w:r>
          </w:p>
        </w:tc>
        <w:tc>
          <w:tcPr>
            <w:tcW w:type="dxa" w:w="1138"/>
          </w:tcPr>
          <w:p>
            <w:pPr>
              <w:pStyle w:val="null3"/>
              <w:jc w:val="center"/>
            </w:pPr>
            <w:r>
              <w:rPr>
                <w:rFonts w:ascii="仿宋_GB2312" w:hAnsi="仿宋_GB2312" w:cs="仿宋_GB2312" w:eastAsia="仿宋_GB2312"/>
              </w:rPr>
              <w:t>7.00（个）</w:t>
            </w:r>
          </w:p>
        </w:tc>
        <w:tc>
          <w:tcPr>
            <w:tcW w:type="dxa" w:w="1365"/>
          </w:tcPr>
          <w:p>
            <w:pPr>
              <w:pStyle w:val="null3"/>
              <w:jc w:val="center"/>
            </w:pPr>
            <w:r>
              <w:rPr>
                <w:rFonts w:ascii="仿宋_GB2312" w:hAnsi="仿宋_GB2312" w:cs="仿宋_GB2312" w:eastAsia="仿宋_GB2312"/>
              </w:rPr>
              <w:t>12,635.00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热镀锌钢管</w:t>
            </w:r>
          </w:p>
        </w:tc>
        <w:tc>
          <w:tcPr>
            <w:tcW w:type="dxa" w:w="1138"/>
          </w:tcPr>
          <w:p>
            <w:pPr>
              <w:pStyle w:val="null3"/>
              <w:jc w:val="center"/>
            </w:pPr>
            <w:r>
              <w:rPr>
                <w:rFonts w:ascii="仿宋_GB2312" w:hAnsi="仿宋_GB2312" w:cs="仿宋_GB2312" w:eastAsia="仿宋_GB2312"/>
              </w:rPr>
              <w:t>12.00（米）</w:t>
            </w:r>
          </w:p>
        </w:tc>
        <w:tc>
          <w:tcPr>
            <w:tcW w:type="dxa" w:w="1365"/>
          </w:tcPr>
          <w:p>
            <w:pPr>
              <w:pStyle w:val="null3"/>
              <w:jc w:val="center"/>
            </w:pPr>
            <w:r>
              <w:rPr>
                <w:rFonts w:ascii="仿宋_GB2312" w:hAnsi="仿宋_GB2312" w:cs="仿宋_GB2312" w:eastAsia="仿宋_GB2312"/>
              </w:rPr>
              <w:t>4,764.00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A02371400 政法、消防、检测设备零部件</w:t>
            </w:r>
          </w:p>
        </w:tc>
        <w:tc>
          <w:tcPr>
            <w:tcW w:type="dxa" w:w="2492"/>
          </w:tcPr>
          <w:p>
            <w:pPr>
              <w:pStyle w:val="null3"/>
              <w:jc w:val="left"/>
            </w:pPr>
            <w:r>
              <w:rPr>
                <w:rFonts w:ascii="仿宋_GB2312" w:hAnsi="仿宋_GB2312" w:cs="仿宋_GB2312" w:eastAsia="仿宋_GB2312"/>
              </w:rPr>
              <w:t>消防栓栓头</w:t>
            </w:r>
          </w:p>
        </w:tc>
        <w:tc>
          <w:tcPr>
            <w:tcW w:type="dxa" w:w="2492"/>
          </w:tcPr>
          <w:p>
            <w:pPr>
              <w:pStyle w:val="null3"/>
              <w:jc w:val="left"/>
            </w:pPr>
            <w:r>
              <w:rPr>
                <w:rFonts w:ascii="仿宋_GB2312" w:hAnsi="仿宋_GB2312" w:cs="仿宋_GB2312" w:eastAsia="仿宋_GB2312"/>
              </w:rPr>
              <w:t>消防栓栓头</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标的名称：消防栓栓头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▲1.规格：SN65,阀杆抗拉强度(N/</w:t>
            </w:r>
            <w:r>
              <w:rPr>
                <w:rFonts w:ascii="仿宋_GB2312" w:hAnsi="仿宋_GB2312" w:cs="仿宋_GB2312" w:eastAsia="仿宋_GB2312"/>
                <w:sz w:val="21"/>
              </w:rPr>
              <w:t>mm</w:t>
            </w:r>
            <w:r>
              <w:rPr>
                <w:rFonts w:ascii="仿宋_GB2312" w:hAnsi="仿宋_GB2312" w:cs="仿宋_GB2312" w:eastAsia="仿宋_GB2312"/>
                <w:sz w:val="21"/>
              </w:rPr>
              <w:t>²</w:t>
            </w:r>
            <w:r>
              <w:rPr>
                <w:rFonts w:ascii="仿宋_GB2312" w:hAnsi="仿宋_GB2312" w:cs="仿宋_GB2312" w:eastAsia="仿宋_GB2312"/>
                <w:sz w:val="21"/>
                <w:color w:val="000000"/>
              </w:rPr>
              <w:t>)&gt;600，旋转阀杆的最大力矩≤7.0N°</w:t>
            </w:r>
            <w:r>
              <w:rPr>
                <w:rFonts w:ascii="仿宋_GB2312" w:hAnsi="仿宋_GB2312" w:cs="仿宋_GB2312" w:eastAsia="仿宋_GB2312"/>
                <w:sz w:val="21"/>
              </w:rPr>
              <w:t>·</w:t>
            </w:r>
            <w:r>
              <w:rPr>
                <w:rFonts w:ascii="仿宋_GB2312" w:hAnsi="仿宋_GB2312" w:cs="仿宋_GB2312" w:eastAsia="仿宋_GB2312"/>
                <w:sz w:val="21"/>
                <w:color w:val="000000"/>
              </w:rPr>
              <w:t>m</w:t>
            </w:r>
          </w:p>
          <w:p>
            <w:pPr>
              <w:pStyle w:val="null3"/>
              <w:jc w:val="left"/>
            </w:pPr>
            <w:r>
              <w:rPr>
                <w:rFonts w:ascii="仿宋_GB2312" w:hAnsi="仿宋_GB2312" w:cs="仿宋_GB2312" w:eastAsia="仿宋_GB2312"/>
                <w:sz w:val="21"/>
                <w:color w:val="000000"/>
              </w:rPr>
              <w:t>▲2.压力损失(MPa)≤0.015，开启高度(mm)≥29</w:t>
            </w:r>
          </w:p>
          <w:p>
            <w:pPr>
              <w:pStyle w:val="null3"/>
              <w:jc w:val="left"/>
            </w:pPr>
            <w:r>
              <w:rPr>
                <w:rFonts w:ascii="仿宋_GB2312" w:hAnsi="仿宋_GB2312" w:cs="仿宋_GB2312" w:eastAsia="仿宋_GB2312"/>
                <w:sz w:val="21"/>
                <w:color w:val="000000"/>
              </w:rPr>
              <w:t>★3.含原有设备拆除及新设备安装调试。</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符合</w:t>
            </w:r>
            <w:r>
              <w:rPr>
                <w:rFonts w:ascii="仿宋_GB2312" w:hAnsi="仿宋_GB2312" w:cs="仿宋_GB2312" w:eastAsia="仿宋_GB2312"/>
                <w:sz w:val="21"/>
              </w:rPr>
              <w:t xml:space="preserve"> </w:t>
            </w:r>
            <w:r>
              <w:rPr>
                <w:rFonts w:ascii="仿宋_GB2312" w:hAnsi="仿宋_GB2312" w:cs="仿宋_GB2312" w:eastAsia="仿宋_GB2312"/>
                <w:sz w:val="21"/>
              </w:rPr>
              <w:t>GB 3445-2018</w:t>
            </w:r>
            <w:r>
              <w:rPr>
                <w:rFonts w:ascii="仿宋_GB2312" w:hAnsi="仿宋_GB2312" w:cs="仿宋_GB2312" w:eastAsia="仿宋_GB2312"/>
                <w:sz w:val="21"/>
              </w:rPr>
              <w:t>《室内消火栓》</w:t>
            </w:r>
            <w:r>
              <w:rPr>
                <w:rFonts w:ascii="仿宋_GB2312" w:hAnsi="仿宋_GB2312" w:cs="仿宋_GB2312" w:eastAsia="仿宋_GB2312"/>
                <w:sz w:val="21"/>
              </w:rPr>
              <w:t>标准.</w:t>
            </w:r>
          </w:p>
        </w:tc>
      </w:tr>
    </w:tbl>
    <w:p>
      <w:pPr>
        <w:pStyle w:val="null3"/>
        <w:jc w:val="left"/>
      </w:pPr>
      <w:r>
        <w:rPr>
          <w:rFonts w:ascii="仿宋_GB2312" w:hAnsi="仿宋_GB2312" w:cs="仿宋_GB2312" w:eastAsia="仿宋_GB2312"/>
        </w:rPr>
        <w:t>标的名称：疏散指示灯具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rPr>
              <w:t>1.额定电压≥AC220V，主电功耗≥5W</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color w:val="000000"/>
              </w:rPr>
              <w:t>.内含镍镉电池容量≥1.2V/300mA</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rPr>
              <w:t>符合</w:t>
            </w:r>
            <w:r>
              <w:rPr>
                <w:rFonts w:ascii="仿宋_GB2312" w:hAnsi="仿宋_GB2312" w:cs="仿宋_GB2312" w:eastAsia="仿宋_GB2312"/>
                <w:sz w:val="21"/>
              </w:rPr>
              <w:t>GB 17945 - 2024</w:t>
            </w:r>
            <w:r>
              <w:rPr>
                <w:rFonts w:ascii="仿宋_GB2312" w:hAnsi="仿宋_GB2312" w:cs="仿宋_GB2312" w:eastAsia="仿宋_GB2312"/>
                <w:sz w:val="21"/>
              </w:rPr>
              <w:t>《消防应急照明和疏散指示系统》</w:t>
            </w:r>
            <w:r>
              <w:rPr>
                <w:rFonts w:ascii="仿宋_GB2312" w:hAnsi="仿宋_GB2312" w:cs="仿宋_GB2312" w:eastAsia="仿宋_GB2312"/>
                <w:sz w:val="21"/>
              </w:rPr>
              <w:t>要求</w:t>
            </w:r>
          </w:p>
          <w:p>
            <w:pPr>
              <w:pStyle w:val="null3"/>
              <w:jc w:val="left"/>
            </w:pPr>
            <w:r>
              <w:rPr>
                <w:rFonts w:ascii="仿宋_GB2312" w:hAnsi="仿宋_GB2312" w:cs="仿宋_GB2312" w:eastAsia="仿宋_GB2312"/>
                <w:sz w:val="21"/>
                <w:color w:val="000000"/>
              </w:rPr>
              <w:t>★4.含原有设备拆除及新设备安装调试。</w:t>
            </w:r>
          </w:p>
        </w:tc>
      </w:tr>
    </w:tbl>
    <w:p>
      <w:pPr>
        <w:pStyle w:val="null3"/>
        <w:jc w:val="left"/>
      </w:pPr>
      <w:r>
        <w:rPr>
          <w:rFonts w:ascii="仿宋_GB2312" w:hAnsi="仿宋_GB2312" w:cs="仿宋_GB2312" w:eastAsia="仿宋_GB2312"/>
        </w:rPr>
        <w:t>标的名称：消防水带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▲1.衬里厚度:(0.50±0.1)mm。</w:t>
            </w:r>
          </w:p>
          <w:p>
            <w:pPr>
              <w:pStyle w:val="null3"/>
              <w:jc w:val="left"/>
            </w:pPr>
            <w:r>
              <w:rPr>
                <w:rFonts w:ascii="仿宋_GB2312" w:hAnsi="仿宋_GB2312" w:cs="仿宋_GB2312" w:eastAsia="仿宋_GB2312"/>
                <w:sz w:val="21"/>
                <w:color w:val="000000"/>
              </w:rPr>
              <w:t>▲2.延伸率≤0.2%，膨胀率≤1.4%。扯断强度(MPa)≥20.</w:t>
            </w:r>
          </w:p>
          <w:p>
            <w:pPr>
              <w:pStyle w:val="null3"/>
              <w:jc w:val="left"/>
            </w:pPr>
            <w:r>
              <w:rPr>
                <w:rFonts w:ascii="仿宋_GB2312" w:hAnsi="仿宋_GB2312" w:cs="仿宋_GB2312" w:eastAsia="仿宋_GB2312"/>
                <w:sz w:val="21"/>
                <w:color w:val="000000"/>
              </w:rPr>
              <w:t>3.工作压力为≥0.8Mpa，口径≥65mm，长度≥25米。</w:t>
            </w:r>
          </w:p>
          <w:p>
            <w:pPr>
              <w:pStyle w:val="null3"/>
              <w:jc w:val="left"/>
            </w:pPr>
            <w:r>
              <w:rPr>
                <w:rFonts w:ascii="仿宋_GB2312" w:hAnsi="仿宋_GB2312" w:cs="仿宋_GB2312" w:eastAsia="仿宋_GB2312"/>
                <w:sz w:val="21"/>
                <w:color w:val="000000"/>
              </w:rPr>
              <w:t>★4.含原有设备拆除及新设备安装调试。</w:t>
            </w:r>
          </w:p>
          <w:p>
            <w:pPr>
              <w:pStyle w:val="null3"/>
              <w:jc w:val="left"/>
            </w:pPr>
            <w:r>
              <w:rPr>
                <w:rFonts w:ascii="仿宋_GB2312" w:hAnsi="仿宋_GB2312" w:cs="仿宋_GB2312" w:eastAsia="仿宋_GB2312"/>
                <w:sz w:val="21"/>
                <w:color w:val="000000"/>
              </w:rPr>
              <w:t>★5.符合 GB 6246-2011《消防水带》</w:t>
            </w:r>
          </w:p>
        </w:tc>
      </w:tr>
    </w:tbl>
    <w:p>
      <w:pPr>
        <w:pStyle w:val="null3"/>
        <w:jc w:val="left"/>
      </w:pPr>
      <w:r>
        <w:rPr>
          <w:rFonts w:ascii="仿宋_GB2312" w:hAnsi="仿宋_GB2312" w:cs="仿宋_GB2312" w:eastAsia="仿宋_GB2312"/>
        </w:rPr>
        <w:t>标的名称：双电源控制柜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1.额定电流≥250A，主泵故障时自动切换，柜体材质:冷压钢板。</w:t>
            </w:r>
          </w:p>
          <w:p>
            <w:pPr>
              <w:pStyle w:val="null3"/>
              <w:jc w:val="left"/>
            </w:pPr>
            <w:r>
              <w:rPr>
                <w:rFonts w:ascii="仿宋_GB2312" w:hAnsi="仿宋_GB2312" w:cs="仿宋_GB2312" w:eastAsia="仿宋_GB2312"/>
                <w:sz w:val="21"/>
                <w:color w:val="000000"/>
              </w:rPr>
              <w:t>▲2.额定功率≥160KW。</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设备防护等级</w:t>
            </w:r>
            <w:r>
              <w:rPr>
                <w:rFonts w:ascii="仿宋_GB2312" w:hAnsi="仿宋_GB2312" w:cs="仿宋_GB2312" w:eastAsia="仿宋_GB2312"/>
                <w:sz w:val="21"/>
                <w:color w:val="000000"/>
              </w:rPr>
              <w:t>等级</w:t>
            </w:r>
            <w:r>
              <w:rPr>
                <w:rFonts w:ascii="仿宋_GB2312" w:hAnsi="仿宋_GB2312" w:cs="仿宋_GB2312" w:eastAsia="仿宋_GB2312"/>
                <w:sz w:val="21"/>
                <w:color w:val="000000"/>
              </w:rPr>
              <w:t>≥IP55。</w:t>
            </w:r>
          </w:p>
          <w:p>
            <w:pPr>
              <w:pStyle w:val="null3"/>
              <w:jc w:val="left"/>
            </w:pPr>
            <w:r>
              <w:rPr>
                <w:rFonts w:ascii="仿宋_GB2312" w:hAnsi="仿宋_GB2312" w:cs="仿宋_GB2312" w:eastAsia="仿宋_GB2312"/>
                <w:sz w:val="21"/>
                <w:color w:val="000000"/>
              </w:rPr>
              <w:t>★4.含原有设备拆除及新设备安装调试。</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rPr>
              <w:t>5.</w:t>
            </w:r>
            <w:r>
              <w:rPr>
                <w:rFonts w:ascii="仿宋_GB2312" w:hAnsi="仿宋_GB2312" w:cs="仿宋_GB2312" w:eastAsia="仿宋_GB2312"/>
                <w:sz w:val="21"/>
              </w:rPr>
              <w:t>符合</w:t>
            </w:r>
            <w:r>
              <w:rPr>
                <w:rFonts w:ascii="仿宋_GB2312" w:hAnsi="仿宋_GB2312" w:cs="仿宋_GB2312" w:eastAsia="仿宋_GB2312"/>
              </w:rPr>
              <w:t xml:space="preserve"> </w:t>
            </w:r>
            <w:r>
              <w:rPr>
                <w:rFonts w:ascii="仿宋_GB2312" w:hAnsi="仿宋_GB2312" w:cs="仿宋_GB2312" w:eastAsia="仿宋_GB2312"/>
                <w:sz w:val="21"/>
                <w:color w:val="000000"/>
              </w:rPr>
              <w:t>GB 16806-2006《</w:t>
            </w:r>
            <w:r>
              <w:rPr>
                <w:rFonts w:ascii="仿宋_GB2312" w:hAnsi="仿宋_GB2312" w:cs="仿宋_GB2312" w:eastAsia="仿宋_GB2312"/>
                <w:sz w:val="21"/>
                <w:color w:val="000000"/>
              </w:rPr>
              <w:t>消防联动控制系统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国家强</w:t>
            </w:r>
            <w:r>
              <w:rPr>
                <w:rFonts w:ascii="仿宋_GB2312" w:hAnsi="仿宋_GB2312" w:cs="仿宋_GB2312" w:eastAsia="仿宋_GB2312"/>
                <w:sz w:val="21"/>
              </w:rPr>
              <w:t>制标准。</w:t>
            </w:r>
          </w:p>
        </w:tc>
      </w:tr>
    </w:tbl>
    <w:p>
      <w:pPr>
        <w:pStyle w:val="null3"/>
        <w:jc w:val="left"/>
      </w:pPr>
      <w:r>
        <w:rPr>
          <w:rFonts w:ascii="仿宋_GB2312" w:hAnsi="仿宋_GB2312" w:cs="仿宋_GB2312" w:eastAsia="仿宋_GB2312"/>
        </w:rPr>
        <w:t>标的名称：应急照明集中电源1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▲1.额定输入功率≥3KW。</w:t>
            </w:r>
          </w:p>
          <w:p>
            <w:pPr>
              <w:pStyle w:val="null3"/>
              <w:jc w:val="left"/>
            </w:pPr>
            <w:r>
              <w:rPr>
                <w:rFonts w:ascii="仿宋_GB2312" w:hAnsi="仿宋_GB2312" w:cs="仿宋_GB2312" w:eastAsia="仿宋_GB2312"/>
                <w:sz w:val="21"/>
                <w:color w:val="000000"/>
              </w:rPr>
              <w:t>▲2.外壳防护等级≥IP30，输出回路数量≥1个。</w:t>
            </w:r>
          </w:p>
          <w:p>
            <w:pPr>
              <w:pStyle w:val="null3"/>
              <w:jc w:val="left"/>
            </w:pPr>
            <w:r>
              <w:rPr>
                <w:rFonts w:ascii="仿宋_GB2312" w:hAnsi="仿宋_GB2312" w:cs="仿宋_GB2312" w:eastAsia="仿宋_GB2312"/>
                <w:sz w:val="21"/>
                <w:color w:val="000000"/>
              </w:rPr>
              <w:t>★3.内含铅酸蓄电池组，备用时间≥ 90分钟，主备电切换时间≤5秒，隔离+双电源。</w:t>
            </w:r>
          </w:p>
          <w:p>
            <w:pPr>
              <w:pStyle w:val="null3"/>
              <w:jc w:val="left"/>
            </w:pPr>
            <w:r>
              <w:rPr>
                <w:rFonts w:ascii="仿宋_GB2312" w:hAnsi="仿宋_GB2312" w:cs="仿宋_GB2312" w:eastAsia="仿宋_GB2312"/>
                <w:sz w:val="21"/>
                <w:color w:val="000000"/>
              </w:rPr>
              <w:t>★4.含原有设备拆除及新设备安装调试。</w:t>
            </w:r>
          </w:p>
        </w:tc>
      </w:tr>
    </w:tbl>
    <w:p>
      <w:pPr>
        <w:pStyle w:val="null3"/>
        <w:jc w:val="left"/>
      </w:pPr>
      <w:r>
        <w:rPr>
          <w:rFonts w:ascii="仿宋_GB2312" w:hAnsi="仿宋_GB2312" w:cs="仿宋_GB2312" w:eastAsia="仿宋_GB2312"/>
        </w:rPr>
        <w:t>标的名称：应急照明集中电源2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▲1.额定输入</w:t>
            </w:r>
            <w:r>
              <w:rPr>
                <w:rFonts w:ascii="仿宋_GB2312" w:hAnsi="仿宋_GB2312" w:cs="仿宋_GB2312" w:eastAsia="仿宋_GB2312"/>
                <w:sz w:val="21"/>
              </w:rPr>
              <w:t>功率</w:t>
            </w:r>
            <w:r>
              <w:rPr>
                <w:rFonts w:ascii="仿宋_GB2312" w:hAnsi="仿宋_GB2312" w:cs="仿宋_GB2312" w:eastAsia="仿宋_GB2312"/>
                <w:sz w:val="21"/>
              </w:rPr>
              <w:t>≥4KW。</w:t>
            </w:r>
          </w:p>
          <w:p>
            <w:pPr>
              <w:pStyle w:val="null3"/>
              <w:jc w:val="left"/>
            </w:pPr>
            <w:r>
              <w:rPr>
                <w:rFonts w:ascii="仿宋_GB2312" w:hAnsi="仿宋_GB2312" w:cs="仿宋_GB2312" w:eastAsia="仿宋_GB2312"/>
                <w:sz w:val="21"/>
                <w:color w:val="000000"/>
              </w:rPr>
              <w:t>▲2.外壳防护等级≥IP30，输出回路数量≥1个。</w:t>
            </w:r>
          </w:p>
          <w:p>
            <w:pPr>
              <w:pStyle w:val="null3"/>
              <w:jc w:val="left"/>
            </w:pPr>
            <w:r>
              <w:rPr>
                <w:rFonts w:ascii="仿宋_GB2312" w:hAnsi="仿宋_GB2312" w:cs="仿宋_GB2312" w:eastAsia="仿宋_GB2312"/>
                <w:sz w:val="21"/>
                <w:color w:val="000000"/>
              </w:rPr>
              <w:t>★3.内含铅酸蓄电池组，备用时间≥ 90分钟，主备电切换时间≤5秒，隔离+双电源。</w:t>
            </w:r>
          </w:p>
          <w:p>
            <w:pPr>
              <w:pStyle w:val="null3"/>
              <w:jc w:val="left"/>
            </w:pPr>
            <w:r>
              <w:rPr>
                <w:rFonts w:ascii="仿宋_GB2312" w:hAnsi="仿宋_GB2312" w:cs="仿宋_GB2312" w:eastAsia="仿宋_GB2312"/>
                <w:sz w:val="21"/>
                <w:color w:val="000000"/>
              </w:rPr>
              <w:t>★4.含原有设备拆除及新设备安装调试。</w:t>
            </w:r>
          </w:p>
        </w:tc>
      </w:tr>
    </w:tbl>
    <w:p>
      <w:pPr>
        <w:pStyle w:val="null3"/>
        <w:jc w:val="left"/>
      </w:pPr>
      <w:r>
        <w:rPr>
          <w:rFonts w:ascii="仿宋_GB2312" w:hAnsi="仿宋_GB2312" w:cs="仿宋_GB2312" w:eastAsia="仿宋_GB2312"/>
        </w:rPr>
        <w:t>标的名称：应急照明集中电源3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1"/>
                <w:color w:val="000000"/>
              </w:rPr>
              <w:t>▲1.额定输入功</w:t>
            </w:r>
            <w:r>
              <w:rPr>
                <w:rFonts w:ascii="仿宋_GB2312" w:hAnsi="仿宋_GB2312" w:cs="仿宋_GB2312" w:eastAsia="仿宋_GB2312"/>
                <w:sz w:val="21"/>
              </w:rPr>
              <w:t>率</w:t>
            </w:r>
            <w:r>
              <w:rPr>
                <w:rFonts w:ascii="仿宋_GB2312" w:hAnsi="仿宋_GB2312" w:cs="仿宋_GB2312" w:eastAsia="仿宋_GB2312"/>
                <w:sz w:val="21"/>
              </w:rPr>
              <w:t>≥6KW。</w:t>
            </w:r>
          </w:p>
          <w:p>
            <w:pPr>
              <w:pStyle w:val="null3"/>
              <w:jc w:val="both"/>
            </w:pPr>
            <w:r>
              <w:rPr>
                <w:rFonts w:ascii="仿宋_GB2312" w:hAnsi="仿宋_GB2312" w:cs="仿宋_GB2312" w:eastAsia="仿宋_GB2312"/>
                <w:sz w:val="21"/>
                <w:color w:val="000000"/>
              </w:rPr>
              <w:t>▲2.外壳防护等级≥IP30，输出回路数量≥1个。</w:t>
            </w:r>
          </w:p>
          <w:p>
            <w:pPr>
              <w:pStyle w:val="null3"/>
              <w:jc w:val="both"/>
            </w:pPr>
            <w:r>
              <w:rPr>
                <w:rFonts w:ascii="仿宋_GB2312" w:hAnsi="仿宋_GB2312" w:cs="仿宋_GB2312" w:eastAsia="仿宋_GB2312"/>
                <w:sz w:val="21"/>
                <w:color w:val="000000"/>
              </w:rPr>
              <w:t>★3.内含铅酸蓄电池组，备用时间≥ 90分钟，主备电切换时间≤5秒，隔离+双电源。</w:t>
            </w:r>
          </w:p>
          <w:p>
            <w:pPr>
              <w:pStyle w:val="null3"/>
              <w:jc w:val="left"/>
            </w:pPr>
            <w:r>
              <w:rPr>
                <w:rFonts w:ascii="仿宋_GB2312" w:hAnsi="仿宋_GB2312" w:cs="仿宋_GB2312" w:eastAsia="仿宋_GB2312"/>
                <w:sz w:val="21"/>
                <w:color w:val="000000"/>
              </w:rPr>
              <w:t>★4.含原有设备拆除及新设备安装。</w:t>
            </w:r>
          </w:p>
        </w:tc>
      </w:tr>
    </w:tbl>
    <w:p>
      <w:pPr>
        <w:pStyle w:val="null3"/>
        <w:jc w:val="left"/>
      </w:pPr>
      <w:r>
        <w:rPr>
          <w:rFonts w:ascii="仿宋_GB2312" w:hAnsi="仿宋_GB2312" w:cs="仿宋_GB2312" w:eastAsia="仿宋_GB2312"/>
        </w:rPr>
        <w:t>标的名称：应急照明集中电源4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▲1.额</w:t>
            </w:r>
            <w:r>
              <w:rPr>
                <w:rFonts w:ascii="仿宋_GB2312" w:hAnsi="仿宋_GB2312" w:cs="仿宋_GB2312" w:eastAsia="仿宋_GB2312"/>
                <w:sz w:val="21"/>
              </w:rPr>
              <w:t>定输入功率</w:t>
            </w:r>
            <w:r>
              <w:rPr>
                <w:rFonts w:ascii="仿宋_GB2312" w:hAnsi="仿宋_GB2312" w:cs="仿宋_GB2312" w:eastAsia="仿宋_GB2312"/>
                <w:sz w:val="21"/>
              </w:rPr>
              <w:t>≥10KW。</w:t>
            </w:r>
          </w:p>
          <w:p>
            <w:pPr>
              <w:pStyle w:val="null3"/>
              <w:jc w:val="left"/>
            </w:pPr>
            <w:r>
              <w:rPr>
                <w:rFonts w:ascii="仿宋_GB2312" w:hAnsi="仿宋_GB2312" w:cs="仿宋_GB2312" w:eastAsia="仿宋_GB2312"/>
                <w:sz w:val="21"/>
                <w:color w:val="000000"/>
              </w:rPr>
              <w:t>▲2.外壳防护等级≥IP30，输出回路数量≥1个。</w:t>
            </w:r>
          </w:p>
          <w:p>
            <w:pPr>
              <w:pStyle w:val="null3"/>
              <w:jc w:val="left"/>
            </w:pPr>
            <w:r>
              <w:rPr>
                <w:rFonts w:ascii="仿宋_GB2312" w:hAnsi="仿宋_GB2312" w:cs="仿宋_GB2312" w:eastAsia="仿宋_GB2312"/>
                <w:sz w:val="21"/>
                <w:color w:val="000000"/>
              </w:rPr>
              <w:t>★3.内含铅酸蓄电池组，备用时间≥ 90分钟，主备电切换时间≤5秒，隔离+双电源。</w:t>
            </w:r>
          </w:p>
          <w:p>
            <w:pPr>
              <w:pStyle w:val="null3"/>
              <w:jc w:val="left"/>
            </w:pPr>
            <w:r>
              <w:rPr>
                <w:rFonts w:ascii="仿宋_GB2312" w:hAnsi="仿宋_GB2312" w:cs="仿宋_GB2312" w:eastAsia="仿宋_GB2312"/>
                <w:sz w:val="21"/>
                <w:color w:val="000000"/>
              </w:rPr>
              <w:t>★4.含原有设备拆除及新设备安装调试。</w:t>
            </w:r>
          </w:p>
        </w:tc>
      </w:tr>
    </w:tbl>
    <w:p>
      <w:pPr>
        <w:pStyle w:val="null3"/>
        <w:jc w:val="left"/>
      </w:pPr>
      <w:r>
        <w:rPr>
          <w:rFonts w:ascii="仿宋_GB2312" w:hAnsi="仿宋_GB2312" w:cs="仿宋_GB2312" w:eastAsia="仿宋_GB2312"/>
        </w:rPr>
        <w:t>标的名称：微型消防站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★1.含微型消防柜1个，尺寸≥1600mm*1200mm*400mm含灭火器材：4公斤干粉灭火器2具，消防水带8-65-25水带及枪扣2套。</w:t>
            </w:r>
          </w:p>
          <w:p>
            <w:pPr>
              <w:pStyle w:val="null3"/>
              <w:jc w:val="left"/>
            </w:pPr>
            <w:r>
              <w:rPr>
                <w:rFonts w:ascii="仿宋_GB2312" w:hAnsi="仿宋_GB2312" w:cs="仿宋_GB2312" w:eastAsia="仿宋_GB2312"/>
                <w:sz w:val="21"/>
                <w:color w:val="000000"/>
              </w:rPr>
              <w:t>▲2.含个人防护装备:消防服4套（每套含防火上衣1件、防火裤1件、防火鞋1双、防火头盔1个、防火手套1双）（提供</w:t>
            </w:r>
            <w:r>
              <w:rPr>
                <w:rFonts w:ascii="仿宋_GB2312" w:hAnsi="仿宋_GB2312" w:cs="仿宋_GB2312" w:eastAsia="仿宋_GB2312"/>
                <w:sz w:val="22"/>
              </w:rPr>
              <w:t>国家认可的第三方检测机构出具的</w:t>
            </w:r>
            <w:r>
              <w:rPr>
                <w:rFonts w:ascii="仿宋_GB2312" w:hAnsi="仿宋_GB2312" w:cs="仿宋_GB2312" w:eastAsia="仿宋_GB2312"/>
                <w:sz w:val="21"/>
                <w:color w:val="000000"/>
              </w:rPr>
              <w:t>阻燃性能检测报告）。</w:t>
            </w:r>
          </w:p>
          <w:p>
            <w:pPr>
              <w:pStyle w:val="null3"/>
              <w:jc w:val="left"/>
            </w:pPr>
            <w:r>
              <w:rPr>
                <w:rFonts w:ascii="仿宋_GB2312" w:hAnsi="仿宋_GB2312" w:cs="仿宋_GB2312" w:eastAsia="仿宋_GB2312"/>
                <w:sz w:val="21"/>
                <w:color w:val="000000"/>
              </w:rPr>
              <w:t>★3.含专用设备：双层灭火毯2个，长*宽≥1m*1m。腰斧3把，扳手2把，消防斧头1把，反光背心1件，喊话器1个，对讲机4部，警示灯4个，消防面罩4个，液压破坏工具1套。</w:t>
            </w:r>
          </w:p>
          <w:p>
            <w:pPr>
              <w:pStyle w:val="null3"/>
              <w:jc w:val="left"/>
            </w:pPr>
            <w:r>
              <w:rPr>
                <w:rFonts w:ascii="仿宋_GB2312" w:hAnsi="仿宋_GB2312" w:cs="仿宋_GB2312" w:eastAsia="仿宋_GB2312"/>
                <w:sz w:val="21"/>
                <w:color w:val="000000"/>
              </w:rPr>
              <w:t>★4.含辅助设备：2根逃生绳（绳粗直径≥10mm，绳长≥20m）20米缓降器1套，强光手电筒4个，铁锹1个、撬棍1个、消防</w:t>
            </w:r>
            <w:r>
              <w:rPr>
                <w:rFonts w:ascii="仿宋_GB2312" w:hAnsi="仿宋_GB2312" w:cs="仿宋_GB2312" w:eastAsia="仿宋_GB2312"/>
                <w:sz w:val="21"/>
              </w:rPr>
              <w:t>桶</w:t>
            </w:r>
            <w:r>
              <w:rPr>
                <w:rFonts w:ascii="仿宋_GB2312" w:hAnsi="仿宋_GB2312" w:cs="仿宋_GB2312" w:eastAsia="仿宋_GB2312"/>
                <w:sz w:val="21"/>
                <w:color w:val="000000"/>
              </w:rPr>
              <w:t>1个。</w:t>
            </w:r>
          </w:p>
        </w:tc>
      </w:tr>
    </w:tbl>
    <w:p>
      <w:pPr>
        <w:pStyle w:val="null3"/>
        <w:jc w:val="left"/>
      </w:pPr>
      <w:r>
        <w:rPr>
          <w:rFonts w:ascii="仿宋_GB2312" w:hAnsi="仿宋_GB2312" w:cs="仿宋_GB2312" w:eastAsia="仿宋_GB2312"/>
        </w:rPr>
        <w:t>标的名称：消防水箱稳压泵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▲1.额定流量≥2L/s，额定压力≥0.32Mpa</w:t>
            </w:r>
          </w:p>
          <w:p>
            <w:pPr>
              <w:pStyle w:val="null3"/>
              <w:jc w:val="left"/>
            </w:pPr>
            <w:r>
              <w:rPr>
                <w:rFonts w:ascii="仿宋_GB2312" w:hAnsi="仿宋_GB2312" w:cs="仿宋_GB2312" w:eastAsia="仿宋_GB2312"/>
                <w:sz w:val="21"/>
                <w:color w:val="000000"/>
              </w:rPr>
              <w:t>2.额定功率≥2.2kW，一主一备。</w:t>
            </w:r>
          </w:p>
          <w:p>
            <w:pPr>
              <w:pStyle w:val="null3"/>
              <w:jc w:val="left"/>
            </w:pPr>
            <w:r>
              <w:rPr>
                <w:rFonts w:ascii="仿宋_GB2312" w:hAnsi="仿宋_GB2312" w:cs="仿宋_GB2312" w:eastAsia="仿宋_GB2312"/>
                <w:sz w:val="21"/>
                <w:color w:val="000000"/>
              </w:rPr>
              <w:t>★3.含原有设备拆除及新设备安装调试。</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rPr>
              <w:t>符</w:t>
            </w:r>
            <w:r>
              <w:rPr>
                <w:rFonts w:ascii="仿宋_GB2312" w:hAnsi="仿宋_GB2312" w:cs="仿宋_GB2312" w:eastAsia="仿宋_GB2312"/>
                <w:sz w:val="21"/>
                <w:color w:val="000000"/>
              </w:rPr>
              <w:t>合</w:t>
            </w:r>
            <w:r>
              <w:rPr>
                <w:rFonts w:ascii="仿宋_GB2312" w:hAnsi="仿宋_GB2312" w:cs="仿宋_GB2312" w:eastAsia="仿宋_GB2312"/>
                <w:sz w:val="21"/>
                <w:color w:val="000000"/>
              </w:rPr>
              <w:t>GB 6245-2006 《消防泵》标准要求。</w:t>
            </w:r>
          </w:p>
        </w:tc>
      </w:tr>
    </w:tbl>
    <w:p>
      <w:pPr>
        <w:pStyle w:val="null3"/>
        <w:jc w:val="left"/>
      </w:pPr>
      <w:r>
        <w:rPr>
          <w:rFonts w:ascii="仿宋_GB2312" w:hAnsi="仿宋_GB2312" w:cs="仿宋_GB2312" w:eastAsia="仿宋_GB2312"/>
        </w:rPr>
        <w:t>标的名称：喷淋泵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▲1.流量≥30L/S,压力≥0.8Mpa;功率≥37KW。</w:t>
            </w:r>
          </w:p>
          <w:p>
            <w:pPr>
              <w:pStyle w:val="null3"/>
              <w:jc w:val="left"/>
            </w:pPr>
            <w:r>
              <w:rPr>
                <w:rFonts w:ascii="仿宋_GB2312" w:hAnsi="仿宋_GB2312" w:cs="仿宋_GB2312" w:eastAsia="仿宋_GB2312"/>
                <w:sz w:val="21"/>
                <w:color w:val="000000"/>
              </w:rPr>
              <w:t>★2.含成教楼地下室及剧场地下室喷淋泵及附属周边水力警铃2个拆除及更换，含成教楼水泵房损坏湿式报警阀阀组1台拆除及更换.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6245-2006 《消防泵》标准要求。</w:t>
            </w:r>
          </w:p>
        </w:tc>
      </w:tr>
    </w:tbl>
    <w:p>
      <w:pPr>
        <w:pStyle w:val="null3"/>
        <w:jc w:val="left"/>
      </w:pPr>
      <w:r>
        <w:rPr>
          <w:rFonts w:ascii="仿宋_GB2312" w:hAnsi="仿宋_GB2312" w:cs="仿宋_GB2312" w:eastAsia="仿宋_GB2312"/>
        </w:rPr>
        <w:t>标的名称：风机控制柜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壁挂式，额定电流</w:t>
            </w:r>
            <w:r>
              <w:rPr>
                <w:rFonts w:ascii="仿宋_GB2312" w:hAnsi="仿宋_GB2312" w:cs="仿宋_GB2312" w:eastAsia="仿宋_GB2312"/>
                <w:sz w:val="21"/>
                <w:color w:val="000000"/>
              </w:rPr>
              <w:t>≥100A,额定电压380/220V；带双电源转换开关、风机控制开关、隔离开关、断路器。</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智能控制器具有</w:t>
            </w:r>
            <w:r>
              <w:rPr>
                <w:rFonts w:ascii="仿宋_GB2312" w:hAnsi="仿宋_GB2312" w:cs="仿宋_GB2312" w:eastAsia="仿宋_GB2312"/>
                <w:sz w:val="21"/>
                <w:color w:val="000000"/>
              </w:rPr>
              <w:t>≤30A电流短路保持功能，具有负载超过5%在2秒内自动保护功能，带灭弧功能、数码显示电压 、电流、故障代码功能。</w:t>
            </w:r>
          </w:p>
          <w:p>
            <w:pPr>
              <w:pStyle w:val="null3"/>
              <w:jc w:val="left"/>
            </w:pPr>
            <w:r>
              <w:rPr>
                <w:rFonts w:ascii="仿宋_GB2312" w:hAnsi="仿宋_GB2312" w:cs="仿宋_GB2312" w:eastAsia="仿宋_GB2312"/>
                <w:sz w:val="21"/>
                <w:color w:val="000000"/>
              </w:rPr>
              <w:t>3.支持≥4 台水泵控制，主泵故障时自动切换，防护等级≥IP55，带防火阀自锁功能，远程控制监视功能；柜体材质:金属外壳。</w:t>
            </w:r>
          </w:p>
          <w:p>
            <w:pPr>
              <w:pStyle w:val="null3"/>
              <w:jc w:val="left"/>
            </w:pPr>
            <w:r>
              <w:rPr>
                <w:rFonts w:ascii="仿宋_GB2312" w:hAnsi="仿宋_GB2312" w:cs="仿宋_GB2312" w:eastAsia="仿宋_GB2312"/>
                <w:sz w:val="21"/>
                <w:color w:val="000000"/>
              </w:rPr>
              <w:t>★4.含柜内设备间电线、原有设备的拆除及新设备安装调试。</w:t>
            </w:r>
          </w:p>
        </w:tc>
      </w:tr>
    </w:tbl>
    <w:p>
      <w:pPr>
        <w:pStyle w:val="null3"/>
        <w:jc w:val="left"/>
      </w:pPr>
      <w:r>
        <w:rPr>
          <w:rFonts w:ascii="仿宋_GB2312" w:hAnsi="仿宋_GB2312" w:cs="仿宋_GB2312" w:eastAsia="仿宋_GB2312"/>
        </w:rPr>
        <w:t>标的名称：排污泵</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1.功率≥2.2kw，流量≥20m³/h，扬程≥19m，口径≥2.5寸,额定电压≥380V，额定电流≥5A，含电线，含控制柜一控二，含浮球阀。</w:t>
            </w:r>
          </w:p>
          <w:p>
            <w:pPr>
              <w:pStyle w:val="null3"/>
              <w:jc w:val="left"/>
            </w:pPr>
            <w:r>
              <w:rPr>
                <w:rFonts w:ascii="仿宋_GB2312" w:hAnsi="仿宋_GB2312" w:cs="仿宋_GB2312" w:eastAsia="仿宋_GB2312"/>
                <w:sz w:val="21"/>
                <w:color w:val="000000"/>
              </w:rPr>
              <w:t>★2.含原有设备拆除及新设备安装调试。</w:t>
            </w:r>
          </w:p>
        </w:tc>
      </w:tr>
    </w:tbl>
    <w:p>
      <w:pPr>
        <w:pStyle w:val="null3"/>
        <w:jc w:val="left"/>
      </w:pPr>
      <w:r>
        <w:rPr>
          <w:rFonts w:ascii="仿宋_GB2312" w:hAnsi="仿宋_GB2312" w:cs="仿宋_GB2312" w:eastAsia="仿宋_GB2312"/>
        </w:rPr>
        <w:t>标的名称：闸阀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DN250，法兰连接，含法兰、卡箍及配套附件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.含原有设备拆除及新设备安装调试。</w:t>
            </w:r>
          </w:p>
        </w:tc>
      </w:tr>
    </w:tbl>
    <w:p>
      <w:pPr>
        <w:pStyle w:val="null3"/>
        <w:jc w:val="left"/>
      </w:pPr>
      <w:r>
        <w:rPr>
          <w:rFonts w:ascii="仿宋_GB2312" w:hAnsi="仿宋_GB2312" w:cs="仿宋_GB2312" w:eastAsia="仿宋_GB2312"/>
        </w:rPr>
        <w:t>标的名称：热镀锌钢管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DN250，含直接、弯头、钢卡、Y型过滤器、柔性接头、法兰同心异径大小头、焊接法兰片。</w:t>
            </w:r>
          </w:p>
          <w:p>
            <w:pPr>
              <w:pStyle w:val="null3"/>
              <w:jc w:val="left"/>
            </w:pPr>
            <w:r>
              <w:rPr>
                <w:rFonts w:ascii="仿宋_GB2312" w:hAnsi="仿宋_GB2312" w:cs="仿宋_GB2312" w:eastAsia="仿宋_GB2312"/>
                <w:sz w:val="21"/>
                <w:color w:val="000000"/>
              </w:rPr>
              <w:t>★2.含原有设备拆除及新设备安装调试。</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其他特殊要求</w:t>
            </w:r>
          </w:p>
        </w:tc>
        <w:tc>
          <w:tcPr>
            <w:tcW w:type="dxa" w:w="5814"/>
          </w:tcPr>
          <w:p>
            <w:pPr>
              <w:pStyle w:val="null3"/>
              <w:jc w:val="both"/>
            </w:pPr>
            <w:r>
              <w:rPr>
                <w:rFonts w:ascii="仿宋_GB2312" w:hAnsi="仿宋_GB2312" w:cs="仿宋_GB2312" w:eastAsia="仿宋_GB2312"/>
                <w:sz w:val="21"/>
              </w:rPr>
              <w:t xml:space="preserve">1.本项目投标产品若涉及CCC或其他国家强制要求，供应商的投标产品应均满足要求。   </w:t>
            </w:r>
          </w:p>
          <w:p>
            <w:pPr>
              <w:pStyle w:val="null3"/>
              <w:jc w:val="both"/>
            </w:pPr>
            <w:r>
              <w:rPr>
                <w:rFonts w:ascii="仿宋_GB2312" w:hAnsi="仿宋_GB2312" w:cs="仿宋_GB2312" w:eastAsia="仿宋_GB2312"/>
                <w:sz w:val="21"/>
              </w:rPr>
              <w:t>2.拟派本项目项目负责人（1人）：需具有国家一级注册消防工程师资格证书和注册在本单位的注册消防工程师证书（提供主管部门管理平台查询信息网页截图及相关证书扫描件）</w:t>
            </w:r>
          </w:p>
          <w:p>
            <w:pPr>
              <w:pStyle w:val="null3"/>
              <w:jc w:val="both"/>
            </w:pPr>
            <w:r>
              <w:rPr>
                <w:rFonts w:ascii="仿宋_GB2312" w:hAnsi="仿宋_GB2312" w:cs="仿宋_GB2312" w:eastAsia="仿宋_GB2312"/>
                <w:sz w:val="21"/>
              </w:rPr>
              <w:t>3.拟派本项目的技术负责人（1人）：需具有有效期内低压电工操作证及焊接与热切割作业证。（提供有效期内证书扫描件）。</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项目所涉材料、设备必须满足国家及行业有关设计、生产、经销和建设要求；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.项目实施过程、工艺必须遵循国家及行业有关规范以及采购人有关规定，特别是新增设备在线路铺设过程中，必须严格按照国家相关消防施工要求进行穿管处理；</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.项目实施过程对环境的影响，供应商必须在采购人指定的时间内恢复原状；</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.供应商须保证在项目完成后所涉系统设备均能按照国家及行业有关要求和标准正常、稳定运行；</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.所有项目实施的时间安排必须提前通知采购人，操作过程不得干扰采购人正常的教学、办公、科研、生活秩序；</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供应商在项目实施中所需的材料、设备到货以后，供应商必须提供货物清单及货物的生产合格证，向采购人申请查验；采购人验货合格以后，方能使用；即使采购人验货以后，供应商仍然对提供的材料的质量问题承担全部责任；</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.供应商在签订合同后的七天内，必须就该项目成立项目部、指定项目部负责人并书面通知采购人；项目部负责人须全程组织、监督项目的实施；</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.自合同之日签订起至验收合格期间，每天供应商应建立项目实施日志，将每日的项目实施进度、使用的材料（设备）做好记录，经双方代表签字方可生效，验收时将以日志中使用的材料、设备为验收依据。</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如在实施过程中对原有建筑物和设施设备造成的破坏，供应商必须在项目结束前予以恢复，并自行承担恢复中所产生的拆除、修复、安装、调试、垃圾清运、系统运行、环境修复等全部费用，安装、修复必须符合国家最新标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.产品技术和质量要求：所投产品必须符合国家相关最新技术要求；所投的设备设施必须符合国家和行业相关部门颁发的相关质量要求。</w:t>
            </w:r>
            <w:r>
              <w:br/>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.投标价应为满足本项目所有要求的包干价。</w:t>
            </w:r>
            <w:r>
              <w:br/>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.本次新增的设施设备均包含安装、调试工作，其费用包含在供应商投标报价中。</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供应商须为采购人本项目所建系统在质保期内提供升级服务</w:t>
            </w:r>
            <w:r>
              <w:rPr>
                <w:rFonts w:ascii="仿宋_GB2312" w:hAnsi="仿宋_GB2312" w:cs="仿宋_GB2312" w:eastAsia="仿宋_GB2312"/>
                <w:sz w:val="21"/>
              </w:rPr>
              <w:t>及培训服务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17.对于部分采购标的（包括：消防栓栓头、疏散指示灯具、消防水带、</w:t>
            </w:r>
            <w:r>
              <w:rPr>
                <w:rFonts w:ascii="仿宋_GB2312" w:hAnsi="仿宋_GB2312" w:cs="仿宋_GB2312" w:eastAsia="仿宋_GB2312"/>
                <w:sz w:val="21"/>
              </w:rPr>
              <w:t>）</w:t>
            </w:r>
            <w:r>
              <w:rPr>
                <w:rFonts w:ascii="仿宋_GB2312" w:hAnsi="仿宋_GB2312" w:cs="仿宋_GB2312" w:eastAsia="仿宋_GB2312"/>
                <w:sz w:val="21"/>
              </w:rPr>
              <w:t>要求中标供应商在中标后签订合同前提供实物样品采购人进行封存，签订合同后按照实物交货验收。其余采购标的在中标后签订合同前提供货物铭牌图片及货物实物全貌图片复印件并加盖公章。</w:t>
            </w:r>
          </w:p>
          <w:p>
            <w:pPr>
              <w:pStyle w:val="null3"/>
              <w:jc w:val="both"/>
            </w:pPr>
            <w:r>
              <w:rPr>
                <w:rFonts w:ascii="仿宋_GB2312" w:hAnsi="仿宋_GB2312" w:cs="仿宋_GB2312" w:eastAsia="仿宋_GB2312"/>
                <w:sz w:val="21"/>
              </w:rPr>
              <w:t>18.供应商所提供的全部消防相关货物（含设备本体、配套模块、通讯组件等所有相关配件），均须与采购人现有消防报警系统主机（营口新山鹰，型号JB-LTZ-TKS48000）完成全功能联网对接，满足现行消防规范及采购人现有系统的通讯协议、数据格式要求，确保设备接入后可实现与现有消防报警主机的实时通信、状态同步，报警、故障、联动等各类信息能在现有主机端完整、准确、及时显示及反馈，保障整体消防报警系统联网运行稳定、联动功能有效，且联网对接相关工作（含协议适配、调试等）均由供应商全权负责，相关费用已包含在报价中。</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四川艺术职业学院温江校区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 (采购人每次付款前，供应商须提供等额正规发票和相关请款资料，否则采购人有权不予付款且不承担违约责任)，达到付款条件起15日内，支付合同总金额的50.00%</w:t>
            </w:r>
          </w:p>
          <w:p>
            <w:pPr>
              <w:pStyle w:val="null3"/>
              <w:jc w:val="left"/>
            </w:pPr>
            <w:r>
              <w:rPr>
                <w:rFonts w:ascii="仿宋_GB2312" w:hAnsi="仿宋_GB2312" w:cs="仿宋_GB2312" w:eastAsia="仿宋_GB2312"/>
              </w:rPr>
              <w:t>2、供应商送货安装完成后并经采购人验收合格后，(采购人每次付款前，供应商须提供等额正规发票和相关请款资料，否则采购人有权不予付款且不承担违约责任)，达到付款条件起15日内，支付合同总金额的50.00%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详见第二章 2.6.6.履约验收方案(以供应商提供的《投标(响应)函》中“我单位完全接受和理解本项目招标文件规定的实质性要求”即视为响应)</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供应商保证货物是全新的、未使用过的、符合国家的相关标准的产品（若无特殊说明，则按生产企业或国家有关部门颁布的标准及规范为准）。产品必须符合实行国家“三包” (包修、包换、包退)规定的，如发现有次品、损坏或其他不符合标准的产品，采购人有权要求供应商及时更换，由此产生的时间延误与有关费用由供应商承担，验收期限相应顺延。质保期壹年，项目验收合格签字之日起，供应商提供项目整体质保壹年；质保期内，供应商应将保证项目所有功能稳定运行并提供售后服务保障；如系统出现故障，供应商维护人员12小时内到达现场处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1.采购人与供应商双方必须遵守合同并执行合同中的各项规定，保证合同的正常履行，不得擅自中止或解除合同，否则违约方应向对方支付合同总价10%的违约金。 2.如因供应商工作人员在履行职务过程中过程中的疏忽、失职、过错等故意或者过失原因给采购人造成损失或侵害，包括但不限于采购人本身的财产损失、由此而导致的采购人对任何第三方的法律责任等，供应商对此均应承担全部的赔偿责任。 3.供应商交付货物如经采购人验收不合格的或不符合合同及采购文件要求的，采购人有权拒收货物并解除合同，不再支付任何费用，供应商还应向采购人支付合同总金额10%的违约金。 4.供应商不能交付货物或逾期交付货物而违约的，除应及时交足货物外，应向采购人偿付逾期交货部分货款总额的万分之一/天的违约金；逾期交货超过10天，采购人有权解除合同，不再支付任何费用，供应商还应再按合同总价的10%向采购人偿付违约金。 5.供应商货物（包括采购人使用过程中）经采购人送交具有法定资格条件的质量技术监督机构检测后，如检测结果认定货物质量不符合合同规定标准的，采购人有权终止合同，供应商还应另付合同总价的10%的违约金给采购人，并须全额退还采购人已经付给供应商的货款及其利息。 6.供应商保证合同货物的权利无瑕疵，包括货物所有权及知识产权等权利无瑕疵。如任何第三方经法院（或仲裁机构）裁决有权对上述货物主张权利或国家机关依法对货物进行没收查处的，供应商须全额退还采购人已经付给供应商的货款及其利息，还应另按合同总价的10%向采购人支付违约金并赔偿因此给采购人造成的一切损失。 7.供应商未按合同约定提供售后服务的，应向采购人支付合同总价的10%的违约金，且采购人有权委托第三方进行服务，相关费用由供应商承担。 8.供应商偿付的违约金不足以弥补采购人损失的，还应按采购人损失尚未弥补的部分，支付赔偿金给采购人。 （二）争议解决办法 1.因货物的质量问题发生争议，由质量技术监督部门或其指定的质量鉴定机构进行质量鉴定。货物符合标准的，鉴定费由采购人承担；货物不符合质量标准的，鉴定费由供应商承担。 2.合同履行期间，若双方发生争议，可协商或由有关部门调解解决，协商或调解不成的，双方可向采购人所在地人民法院进行诉讼。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说明1：“投标人响应产品应当明确品牌和规格型号并指向唯一产品，不能指向唯一产品的，应通过报价表唯一产品说明栏补充说明”，不适用于本项目，评审依据以此为准：1.投标人响应产品应当明确品牌（实质性要求）；2.投标人需明确规格，若不能明确规格，通过报价表进行说明】 【说明2：因系统原因，无法调整格式，招标文件第二章“提交投标文件的截止之日起不少于90天。投标文件未明确投标有效期或者少于前述规定天数的，其投标文件按无效处理。”不适用于本项目，不作为评审依据。评审依据以此为准：“提交投标文件的截止之日起不少于90天”】 【说明3：因系统原因，无法调整格式，招标文件第五章符合性审查中第1项，不适用于本项目，不作为评审依据】 【说明4：编制、提交投标文件的计算机网卡MAC地址、CPU序列号、硬盘序列号等硬件信息由投标人在提交投标文件时进行确认。评标委员会通过开标记录表进行查看前述信息，确认投标人是否属于“不同投标人编制或者提交投标文件的计算机网卡MAC地址、CPU序列号、硬盘序列号等硬件信息均异常一致”的情形】 【说明5：根据《国务院办公厅关于在政府采购中实施本国产品标准及相关政策的通知》（国办发〔2025〕34 号），对本国产品执行支持政策。 （1）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 （2）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 （3）相关价格评审扣除优惠，均应该在供应商原始报价基础上计算，用扣除后的价格参与评审。 （4）若供应商提供的产品符合本国产品要求的，应出具《关于符合本国产品标准的声明函》（格式详见第三章“其他响应性投标文件”格式）或财政部会同有关部门规定的有关证明文件。 （5）当采购项目或者采购包中含有多种（≥2个）产品时，供应商还应出具《本国产品成本占比承诺函》。（参考格式详见第三章“其他响应性投标文件”格式）。 供应商未出具前述《本国产品成本占比承诺函》（投标产品数量≥2个时适用）、《关于符合本国产品标准的声明函》的，不享受政府采购对本国产品的支持政策。】【说明6：供应商提供实施方案、售后服务方案；投标人2022年1月1日（含1日）至提交投标文件截止日具有类似项目业绩；供应商派本项目的其他人员（除项目负责人、技术负责人外）具有机电工程相关专业中级技术职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2023年或2024或2025年任一年度经审计的财务报告（包含审计报告和审计报告中所涉及的财务报表和报表附注）。（2）可提供2023年或2024或2025年任一年度供应商财务报表（至少包括资产负债表）。（3）可提供截至投标文件提交截止日一年内银行出具的资信证明。（4）供应商注册时间截至投标文件提交截止日不足一年的，可提供在工商管理部门备案的公司章程。（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投标（响应）函.docx,具有健全的财务会计制度.docx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（1）供应商应具有有效期内的国家行政主管部门颁发的具备消防设施工程专业承包贰级（含）以上资质</w:t>
            </w:r>
          </w:p>
        </w:tc>
        <w:tc>
          <w:tcPr>
            <w:tcW w:type="dxa" w:w="3322"/>
          </w:tcPr>
          <w:p>
            <w:pPr>
              <w:pStyle w:val="null3"/>
              <w:jc w:val="left"/>
            </w:pPr>
            <w:r>
              <w:rPr>
                <w:rFonts w:ascii="仿宋_GB2312" w:hAnsi="仿宋_GB2312" w:cs="仿宋_GB2312" w:eastAsia="仿宋_GB2312"/>
              </w:rPr>
              <w:t>（1）供应商需提供有效期内的国家行政主管部门颁发的具备消防设施工程专业承包贰级（含）以上资质证书</w:t>
            </w:r>
          </w:p>
        </w:tc>
        <w:tc>
          <w:tcPr>
            <w:tcW w:type="dxa" w:w="1661"/>
          </w:tcPr>
          <w:p>
            <w:pPr>
              <w:pStyle w:val="null3"/>
              <w:jc w:val="left"/>
            </w:pPr>
            <w:r>
              <w:rPr>
                <w:rFonts w:ascii="仿宋_GB2312" w:hAnsi="仿宋_GB2312" w:cs="仿宋_GB2312" w:eastAsia="仿宋_GB2312"/>
              </w:rPr>
              <w:t>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满足采购文件所有的实质性要求，且不存在采购文件规定的无效情形。</w:t>
            </w:r>
          </w:p>
        </w:tc>
        <w:tc>
          <w:tcPr>
            <w:tcW w:type="dxa" w:w="3322"/>
          </w:tcPr>
          <w:p>
            <w:pPr>
              <w:pStyle w:val="null3"/>
              <w:jc w:val="left"/>
            </w:pPr>
            <w:r>
              <w:rPr>
                <w:rFonts w:ascii="仿宋_GB2312" w:hAnsi="仿宋_GB2312" w:cs="仿宋_GB2312" w:eastAsia="仿宋_GB2312"/>
              </w:rPr>
              <w:t>满足采购文件所有的实质性要求，且不存在采购文件规定的无效情形。</w:t>
            </w:r>
          </w:p>
        </w:tc>
        <w:tc>
          <w:tcPr>
            <w:tcW w:type="dxa" w:w="1661"/>
          </w:tcPr>
          <w:p>
            <w:pPr>
              <w:pStyle w:val="null3"/>
              <w:jc w:val="left"/>
            </w:pPr>
            <w:r>
              <w:rPr>
                <w:rFonts w:ascii="仿宋_GB2312" w:hAnsi="仿宋_GB2312" w:cs="仿宋_GB2312" w:eastAsia="仿宋_GB2312"/>
              </w:rPr>
              <w:t>服务内容要求、商务要求应答表.docx,其他资料.docx,报价表,投标（响应）函.docx,技术要求应答表.docx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招标文件“技术服务要求”中：标注“▲”条款17条；一般技术参数条款（指未标注“▲”“★”的条款）11条； （1）标注“▲”条款响应得分=（投标人满足标注“▲”条款的数量÷招标文件中标注“▲”条款的总数量）*16分； （2）一般技术参数条款响应得分=（投标人满足一般技术参数条款的数量÷招标文件中一般技术参数条款的总数量）*5分 注： ①本招标文件以一级序号数字（如 “1.”“2.”“3.”…）为一条（标题除外）；数字序号下有多级序号的，以最小级数字序号为一条； ②针对标注“▲”号的技术参数，投标时需提供国家认可的第三方检测机构出具的检测报告，若未提供有效证明材料则该参数将被视为不满足。 ③针对一般条款的技术响应，若技术参数要求提供对应证明材料，应按要求提供，否则对应技术参数条款将视为不满足</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在满足实质性要求基础之上，根据投标人提供的实施方案进行评审，包括： ①项目管理体系与措施；②安全管理体系与措施；③消防改造工程进度计划，以上内容完整齐全无缺陷的得18分，每有1项缺失扣6分，每有1处缺陷的扣3分，本项分值扣完为止。 注：缺陷是指：内容涉及的规范或标准错误、内容表述错误、内容与本项目无关、内容不利于项目实施的任意一种情形。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在满足实质性要求基础之上，根据投标人提供的售后服务方案进行评审，包括： ①售后服务保障措施；②技术支持；③应急保障措施；④人员培训计划。以上内容完整齐全无缺陷的得16分，每有1项缺失扣4分，每有1处缺陷的扣2分，本项分值扣完为止。注：缺陷是指：内容涉及的规范或标准错误、内容表述错误、内容与本项目无关、内容不利于项目实施的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根据投标人2022年1月1日（含1日）至提交投标文件截止日的类似项目业绩进行评审，每提供1个业绩得3分，最多得6分。 注：提供合同或中标（成交）通知书加盖投标人公章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服务团队能力</w:t>
            </w:r>
          </w:p>
        </w:tc>
        <w:tc>
          <w:tcPr>
            <w:tcW w:type="dxa" w:w="2575"/>
          </w:tcPr>
          <w:p>
            <w:pPr>
              <w:pStyle w:val="null3"/>
              <w:jc w:val="left"/>
            </w:pPr>
            <w:r>
              <w:rPr>
                <w:rFonts w:ascii="仿宋_GB2312" w:hAnsi="仿宋_GB2312" w:cs="仿宋_GB2312" w:eastAsia="仿宋_GB2312"/>
              </w:rPr>
              <w:t>根据供应商派本项目的其他人员（除项目负责人、技术负责人外）进行评审（9分）： 每有1名具有机电工程相关专业中级技术职称得3分、本项最多得9分。（提供人员证书、在职证明并加盖投标人公章）。 注：提供团队人员清单，以上人员不重复计分。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本国产品政策.docx</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详见附件：投标（响应）函.docx</w:t>
      </w:r>
    </w:p>
    <w:p>
      <w:pPr>
        <w:pStyle w:val="null3"/>
        <w:ind w:firstLine="960"/>
        <w:jc w:val="left"/>
      </w:pPr>
      <w:r>
        <w:rPr>
          <w:rFonts w:ascii="仿宋_GB2312" w:hAnsi="仿宋_GB2312" w:cs="仿宋_GB2312" w:eastAsia="仿宋_GB2312"/>
        </w:rPr>
        <w:t>详见附件：特定资格要求.docx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详见附件：本国产品政策.docx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详见附件：具有健全的财务会计制度.docx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详见附件：电子采购合同文本-货物类.docx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