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版本号：N511701202500029620250916002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后装治疗机采购项目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N5117012025000296</w:t>
      </w:r>
    </w:p>
    <w:p>
      <w:pPr>
        <w:pStyle w:val="null3"/>
        <w:jc w:val="left"/>
        <w:outlineLvl w:val="2"/>
      </w:pPr>
      <w:r>
        <w:rPr>
          <w:rFonts w:ascii="仿宋_GB2312" w:hAnsi="仿宋_GB2312" w:cs="仿宋_GB2312" w:eastAsia="仿宋_GB2312"/>
          <w:sz w:val="28"/>
          <w:b/>
        </w:rPr>
        <w:t>达州市第一人民医院（四川省人民医院川东医院）</w:t>
      </w:r>
    </w:p>
    <w:p>
      <w:pPr>
        <w:pStyle w:val="null3"/>
        <w:jc w:val="center"/>
        <w:outlineLvl w:val="2"/>
      </w:pPr>
      <w:r>
        <w:rPr>
          <w:rFonts w:ascii="仿宋_GB2312" w:hAnsi="仿宋_GB2312" w:cs="仿宋_GB2312" w:eastAsia="仿宋_GB2312"/>
          <w:sz w:val="28"/>
          <w:b/>
        </w:rPr>
        <w:t>四川福洋项目管理有限公司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四川福洋项目管理有限公司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达州市第一人民医院（四川省人民医院川东医院）</w:t>
      </w:r>
      <w:r>
        <w:rPr>
          <w:rFonts w:ascii="仿宋_GB2312" w:hAnsi="仿宋_GB2312" w:cs="仿宋_GB2312" w:eastAsia="仿宋_GB2312"/>
        </w:rPr>
        <w:t xml:space="preserve"> 委托，拟对 </w:t>
      </w:r>
      <w:r>
        <w:rPr>
          <w:rFonts w:ascii="仿宋_GB2312" w:hAnsi="仿宋_GB2312" w:cs="仿宋_GB2312" w:eastAsia="仿宋_GB2312"/>
        </w:rPr>
        <w:t>后装治疗机采购项目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N5117012025000296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后装治疗机采购项目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医疗设备采购是医疗机构安全、高效运行的基石，具备先进的医疗设备，医疗机构可以提供准确的诊断结果和有效的治疗方案，同时提高患者满意度。为了提升医院综合诊疗水平，为患者提供高水平、高质量的诊疗环境，提升医院声誉和竞争力，达州市第一人民医院拟实施后装治疗机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1、特定资格要求（描述：（1）投标人须符合《医疗器械监督管理条例》要求并提供医疗器械生产或经营企业许可证或备案凭证； （2）采购产品以及所配置产品为医疗器械，采购产品及所配置产品须符合《医疗器械注册与备案管理办法》要求并提供中华人民共和国医疗器械注册证或备案凭证。（3）采购产品以及所配置产品为辐射产品，须提供采购产品及所配置产品生产厂家和投标人的《辐射安全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达州市第一人民医院（四川省人民医院川东医院）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达州市通川区西外塔石路522号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0818-2113898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四川福洋项目管理有限公司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四川省达州市通川区永兴路132号附1001号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0818-3750888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代理服务费收费标准：代理服务费以中标金额为基数，参照《招标代理服务收费管理暂行办法》（计价格〔2002〕1980号）文件收费标准下浮20%收取，由中标人在领取成交通知书前向采购代理机构一次性支付。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达州市第一人民医院（四川省人民医院川东医院）</w:t>
      </w:r>
      <w:r>
        <w:rPr>
          <w:rFonts w:ascii="仿宋_GB2312" w:hAnsi="仿宋_GB2312" w:cs="仿宋_GB2312" w:eastAsia="仿宋_GB2312"/>
        </w:rPr>
        <w:t xml:space="preserve"> 和 </w:t>
      </w:r>
      <w:r>
        <w:rPr>
          <w:rFonts w:ascii="仿宋_GB2312" w:hAnsi="仿宋_GB2312" w:cs="仿宋_GB2312" w:eastAsia="仿宋_GB2312"/>
        </w:rPr>
        <w:t>四川福洋项目管理有限公司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达州市第一人民医院（四川省人民医院川东医院）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四川福洋项目管理有限公司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按照招标文件要求及成交供应商响应文件响应情况进行验收。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按照招标文件要求及成交供应商响应文件响应情况进行验收。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按照国家有关规定、《财政部关于进一步加强政府采购需求和履约验收管理的指导意见》(财库〔2016 〕205 号)、《政府采购需求管理办法》（财库〔2021〕22号）的要求，招标文件的要求、投标人的响应文件及承诺以及合同约定标准进行验收。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达州市第一人民医院（四川省人民医院川东医院）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四川福洋项目管理有限公司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四川福洋项目管理有限公司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联系人：黎老师</w:t>
      </w:r>
    </w:p>
    <w:p>
      <w:pPr>
        <w:pStyle w:val="null3"/>
        <w:jc w:val="left"/>
      </w:pPr>
      <w:r>
        <w:rPr>
          <w:rFonts w:ascii="仿宋_GB2312" w:hAnsi="仿宋_GB2312" w:cs="仿宋_GB2312" w:eastAsia="仿宋_GB2312"/>
        </w:rPr>
        <w:t>联系电话：0818-2113898</w:t>
      </w:r>
    </w:p>
    <w:p>
      <w:pPr>
        <w:pStyle w:val="null3"/>
        <w:jc w:val="left"/>
      </w:pPr>
      <w:r>
        <w:rPr>
          <w:rFonts w:ascii="仿宋_GB2312" w:hAnsi="仿宋_GB2312" w:cs="仿宋_GB2312" w:eastAsia="仿宋_GB2312"/>
        </w:rPr>
        <w:t>地址：达州市通川区西外塔石路522号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联系电话：0818-3750888</w:t>
      </w:r>
    </w:p>
    <w:p>
      <w:pPr>
        <w:pStyle w:val="null3"/>
        <w:jc w:val="left"/>
      </w:pPr>
      <w:r>
        <w:rPr>
          <w:rFonts w:ascii="仿宋_GB2312" w:hAnsi="仿宋_GB2312" w:cs="仿宋_GB2312" w:eastAsia="仿宋_GB2312"/>
        </w:rPr>
        <w:t>地址：四川省达州市通川区永兴路132号附1001号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A02321400 医用放射射线治疗设备</w:t>
            </w:r>
          </w:p>
        </w:tc>
        <w:tc>
          <w:tcPr>
            <w:tcW w:type="dxa" w:w="821"/>
          </w:tcPr>
          <w:p>
            <w:pPr>
              <w:pStyle w:val="null3"/>
              <w:jc w:val="left"/>
            </w:pPr>
            <w:r>
              <w:rPr>
                <w:rFonts w:ascii="仿宋_GB2312" w:hAnsi="仿宋_GB2312" w:cs="仿宋_GB2312" w:eastAsia="仿宋_GB2312"/>
              </w:rPr>
              <w:t>后装治疗机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后装治疗机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A02321400 医用放射射线治疗设备</w:t>
            </w:r>
          </w:p>
        </w:tc>
        <w:tc>
          <w:tcPr>
            <w:tcW w:type="dxa" w:w="2492"/>
          </w:tcPr>
          <w:p>
            <w:pPr>
              <w:pStyle w:val="null3"/>
              <w:jc w:val="left"/>
            </w:pPr>
            <w:r>
              <w:rPr>
                <w:rFonts w:ascii="仿宋_GB2312" w:hAnsi="仿宋_GB2312" w:cs="仿宋_GB2312" w:eastAsia="仿宋_GB2312"/>
              </w:rPr>
              <w:t>后装治疗机</w:t>
            </w:r>
          </w:p>
        </w:tc>
        <w:tc>
          <w:tcPr>
            <w:tcW w:type="dxa" w:w="2492"/>
          </w:tcPr>
          <w:p>
            <w:pPr>
              <w:pStyle w:val="null3"/>
              <w:jc w:val="left"/>
            </w:pPr>
            <w:r>
              <w:rPr>
                <w:rFonts w:ascii="仿宋_GB2312" w:hAnsi="仿宋_GB2312" w:cs="仿宋_GB2312" w:eastAsia="仿宋_GB2312"/>
              </w:rPr>
              <w:t>后装治疗机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标的名称：后装治疗机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后装治疗机技术参数</w:t>
            </w:r>
          </w:p>
        </w:tc>
        <w:tc>
          <w:tcPr>
            <w:tcW w:type="dxa" w:w="5814"/>
          </w:tcPr>
          <w:p>
            <w:pPr>
              <w:pStyle w:val="null3"/>
              <w:ind w:firstLine="482"/>
              <w:jc w:val="both"/>
            </w:pPr>
            <w:r>
              <w:rPr>
                <w:rFonts w:ascii="仿宋_GB2312" w:hAnsi="仿宋_GB2312" w:cs="仿宋_GB2312" w:eastAsia="仿宋_GB2312"/>
                <w:sz w:val="24"/>
                <w:b/>
              </w:rPr>
              <w:t>1、对近距离治疗后装设备主治疗机的要求：</w:t>
            </w:r>
          </w:p>
          <w:p>
            <w:pPr>
              <w:pStyle w:val="null3"/>
              <w:ind w:firstLine="480"/>
              <w:jc w:val="both"/>
            </w:pPr>
            <w:r>
              <w:rPr>
                <w:rFonts w:ascii="仿宋_GB2312" w:hAnsi="仿宋_GB2312" w:cs="仿宋_GB2312" w:eastAsia="仿宋_GB2312"/>
                <w:sz w:val="24"/>
              </w:rPr>
              <w:t>1.1治疗送源通道数量：≥12个，支持多导管扩展；</w:t>
            </w:r>
          </w:p>
          <w:p>
            <w:pPr>
              <w:pStyle w:val="null3"/>
              <w:ind w:firstLine="480"/>
              <w:jc w:val="both"/>
            </w:pPr>
            <w:r>
              <w:rPr>
                <w:rFonts w:ascii="仿宋_GB2312" w:hAnsi="仿宋_GB2312" w:cs="仿宋_GB2312" w:eastAsia="仿宋_GB2312"/>
                <w:sz w:val="24"/>
              </w:rPr>
              <w:t>1.2使用微型高活度铱－192放射源；</w:t>
            </w:r>
          </w:p>
          <w:p>
            <w:pPr>
              <w:pStyle w:val="null3"/>
              <w:ind w:firstLine="480"/>
              <w:jc w:val="both"/>
            </w:pPr>
            <w:r>
              <w:rPr>
                <w:rFonts w:ascii="仿宋_GB2312" w:hAnsi="仿宋_GB2312" w:cs="仿宋_GB2312" w:eastAsia="仿宋_GB2312"/>
                <w:sz w:val="24"/>
              </w:rPr>
              <w:t>1.3治疗主机的控制模块采用高精度、高</w:t>
            </w:r>
            <w:r>
              <w:rPr>
                <w:rFonts w:ascii="仿宋_GB2312" w:hAnsi="仿宋_GB2312" w:cs="仿宋_GB2312" w:eastAsia="仿宋_GB2312"/>
                <w:sz w:val="24"/>
              </w:rPr>
              <w:t>稳定的</w:t>
            </w:r>
            <w:r>
              <w:rPr>
                <w:rFonts w:ascii="仿宋_GB2312" w:hAnsi="仿宋_GB2312" w:cs="仿宋_GB2312" w:eastAsia="仿宋_GB2312"/>
                <w:sz w:val="24"/>
              </w:rPr>
              <w:t>可编程控制</w:t>
            </w:r>
            <w:r>
              <w:rPr>
                <w:rFonts w:ascii="仿宋_GB2312" w:hAnsi="仿宋_GB2312" w:cs="仿宋_GB2312" w:eastAsia="仿宋_GB2312"/>
                <w:sz w:val="24"/>
              </w:rPr>
              <w:t>器；</w:t>
            </w:r>
          </w:p>
          <w:p>
            <w:pPr>
              <w:pStyle w:val="null3"/>
              <w:ind w:firstLine="480"/>
              <w:jc w:val="both"/>
            </w:pPr>
            <w:r>
              <w:rPr>
                <w:rFonts w:ascii="仿宋_GB2312" w:hAnsi="仿宋_GB2312" w:cs="仿宋_GB2312" w:eastAsia="仿宋_GB2312"/>
                <w:sz w:val="24"/>
              </w:rPr>
              <w:t>1.4治疗主机采用安全、可靠的多重冗余放射源传送系统，具备实时位置监控功能，确保不发生任何形式的卡源事故；</w:t>
            </w:r>
          </w:p>
          <w:p>
            <w:pPr>
              <w:pStyle w:val="null3"/>
              <w:ind w:firstLine="480"/>
              <w:jc w:val="both"/>
            </w:pPr>
            <w:r>
              <w:rPr>
                <w:rFonts w:ascii="仿宋_GB2312" w:hAnsi="仿宋_GB2312" w:cs="仿宋_GB2312" w:eastAsia="仿宋_GB2312"/>
                <w:sz w:val="24"/>
              </w:rPr>
              <w:t>1.5机头具有升降功能；</w:t>
            </w:r>
          </w:p>
          <w:p>
            <w:pPr>
              <w:pStyle w:val="null3"/>
              <w:ind w:firstLine="480"/>
              <w:jc w:val="both"/>
            </w:pPr>
            <w:r>
              <w:rPr>
                <w:rFonts w:ascii="仿宋_GB2312" w:hAnsi="仿宋_GB2312" w:cs="仿宋_GB2312" w:eastAsia="仿宋_GB2312"/>
                <w:sz w:val="24"/>
              </w:rPr>
              <w:t>1.6送源距离≥1000mm （从机头表面算起）；</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放射源重复到位精度</w:t>
            </w:r>
            <w:r>
              <w:rPr>
                <w:rFonts w:ascii="仿宋_GB2312" w:hAnsi="仿宋_GB2312" w:cs="仿宋_GB2312" w:eastAsia="仿宋_GB2312"/>
                <w:sz w:val="24"/>
              </w:rPr>
              <w:t>≤±0.5mm；</w:t>
            </w:r>
          </w:p>
          <w:p>
            <w:pPr>
              <w:pStyle w:val="null3"/>
              <w:ind w:firstLine="480"/>
              <w:jc w:val="both"/>
            </w:pPr>
            <w:r>
              <w:rPr>
                <w:rFonts w:ascii="仿宋_GB2312" w:hAnsi="仿宋_GB2312" w:cs="仿宋_GB2312" w:eastAsia="仿宋_GB2312"/>
                <w:sz w:val="24"/>
              </w:rPr>
              <w:t>1.8储源罐防护优</w:t>
            </w:r>
            <w:r>
              <w:rPr>
                <w:rFonts w:ascii="仿宋_GB2312" w:hAnsi="仿宋_GB2312" w:cs="仿宋_GB2312" w:eastAsia="仿宋_GB2312"/>
                <w:sz w:val="24"/>
              </w:rPr>
              <w:t>于国家标准（国家标准：</w:t>
            </w:r>
            <w:r>
              <w:rPr>
                <w:rFonts w:ascii="仿宋_GB2312" w:hAnsi="仿宋_GB2312" w:cs="仿宋_GB2312" w:eastAsia="仿宋_GB2312"/>
                <w:sz w:val="24"/>
              </w:rPr>
              <w:t>1米处≤10μSv/h）；</w:t>
            </w:r>
          </w:p>
          <w:p>
            <w:pPr>
              <w:pStyle w:val="null3"/>
              <w:ind w:firstLine="480"/>
              <w:jc w:val="both"/>
            </w:pPr>
            <w:r>
              <w:rPr>
                <w:rFonts w:ascii="仿宋_GB2312" w:hAnsi="仿宋_GB2312" w:cs="仿宋_GB2312" w:eastAsia="仿宋_GB2312"/>
                <w:sz w:val="24"/>
              </w:rPr>
              <w:t>1.9驻留时间精度误差≤±0.5s；</w:t>
            </w:r>
          </w:p>
          <w:p>
            <w:pPr>
              <w:pStyle w:val="null3"/>
              <w:ind w:firstLine="480"/>
              <w:jc w:val="both"/>
            </w:pPr>
            <w:r>
              <w:rPr>
                <w:rFonts w:ascii="仿宋_GB2312" w:hAnsi="仿宋_GB2312" w:cs="仿宋_GB2312" w:eastAsia="仿宋_GB2312"/>
                <w:sz w:val="24"/>
              </w:rPr>
              <w:t>1.10系统具有两套独立的射线报警装置；</w:t>
            </w:r>
          </w:p>
          <w:p>
            <w:pPr>
              <w:pStyle w:val="null3"/>
              <w:ind w:firstLine="480"/>
              <w:jc w:val="both"/>
            </w:pPr>
            <w:r>
              <w:rPr>
                <w:rFonts w:ascii="仿宋_GB2312" w:hAnsi="仿宋_GB2312" w:cs="仿宋_GB2312" w:eastAsia="仿宋_GB2312"/>
                <w:sz w:val="24"/>
              </w:rPr>
              <w:t>1.11具有对治疗室的实时监视系统；</w:t>
            </w:r>
          </w:p>
          <w:p>
            <w:pPr>
              <w:pStyle w:val="null3"/>
              <w:ind w:firstLine="480"/>
              <w:jc w:val="both"/>
            </w:pPr>
            <w:r>
              <w:rPr>
                <w:rFonts w:ascii="仿宋_GB2312" w:hAnsi="仿宋_GB2312" w:cs="仿宋_GB2312" w:eastAsia="仿宋_GB2312"/>
                <w:sz w:val="24"/>
              </w:rPr>
              <w:t>1.12具有治疗室与控制室间的通信系统；</w:t>
            </w:r>
          </w:p>
          <w:p>
            <w:pPr>
              <w:pStyle w:val="null3"/>
              <w:ind w:firstLine="480"/>
              <w:jc w:val="both"/>
            </w:pPr>
            <w:r>
              <w:rPr>
                <w:rFonts w:ascii="仿宋_GB2312" w:hAnsi="仿宋_GB2312" w:cs="仿宋_GB2312" w:eastAsia="仿宋_GB2312"/>
                <w:sz w:val="24"/>
              </w:rPr>
              <w:t>1.13具备三种以上紧急回源措施以应对各种紧急情况的发生；</w:t>
            </w:r>
          </w:p>
          <w:p>
            <w:pPr>
              <w:pStyle w:val="null3"/>
              <w:ind w:firstLine="480"/>
              <w:jc w:val="both"/>
            </w:pPr>
            <w:r>
              <w:rPr>
                <w:rFonts w:ascii="仿宋_GB2312" w:hAnsi="仿宋_GB2312" w:cs="仿宋_GB2312" w:eastAsia="仿宋_GB2312"/>
                <w:sz w:val="24"/>
              </w:rPr>
              <w:t>1.14运行状态下安全状态警示：</w:t>
            </w:r>
          </w:p>
          <w:p>
            <w:pPr>
              <w:pStyle w:val="null3"/>
              <w:ind w:firstLine="480"/>
              <w:jc w:val="both"/>
            </w:pPr>
            <w:r>
              <w:rPr>
                <w:rFonts w:ascii="仿宋_GB2312" w:hAnsi="仿宋_GB2312" w:cs="仿宋_GB2312" w:eastAsia="仿宋_GB2312"/>
                <w:sz w:val="24"/>
              </w:rPr>
              <w:t>1.14.1系统状态警示；</w:t>
            </w:r>
          </w:p>
          <w:p>
            <w:pPr>
              <w:pStyle w:val="null3"/>
              <w:ind w:firstLine="480"/>
              <w:jc w:val="both"/>
            </w:pPr>
            <w:r>
              <w:rPr>
                <w:rFonts w:ascii="仿宋_GB2312" w:hAnsi="仿宋_GB2312" w:cs="仿宋_GB2312" w:eastAsia="仿宋_GB2312"/>
                <w:sz w:val="24"/>
              </w:rPr>
              <w:t>1.14.2射线警示；</w:t>
            </w:r>
          </w:p>
          <w:p>
            <w:pPr>
              <w:pStyle w:val="null3"/>
              <w:ind w:firstLine="480"/>
              <w:jc w:val="both"/>
            </w:pPr>
            <w:r>
              <w:rPr>
                <w:rFonts w:ascii="仿宋_GB2312" w:hAnsi="仿宋_GB2312" w:cs="仿宋_GB2312" w:eastAsia="仿宋_GB2312"/>
                <w:sz w:val="24"/>
              </w:rPr>
              <w:t>1.14.3治疗控制警示；</w:t>
            </w:r>
          </w:p>
          <w:p>
            <w:pPr>
              <w:pStyle w:val="null3"/>
              <w:ind w:firstLine="480"/>
              <w:jc w:val="both"/>
            </w:pPr>
            <w:r>
              <w:rPr>
                <w:rFonts w:ascii="仿宋_GB2312" w:hAnsi="仿宋_GB2312" w:cs="仿宋_GB2312" w:eastAsia="仿宋_GB2312"/>
                <w:sz w:val="24"/>
              </w:rPr>
              <w:t>1.14.4具备故障监测功能，实时检测并显示机器状态，具有出、退源过程模拟显示功能；</w:t>
            </w:r>
          </w:p>
          <w:p>
            <w:pPr>
              <w:pStyle w:val="null3"/>
              <w:ind w:firstLine="480"/>
              <w:jc w:val="both"/>
            </w:pPr>
            <w:r>
              <w:rPr>
                <w:rFonts w:ascii="仿宋_GB2312" w:hAnsi="仿宋_GB2312" w:cs="仿宋_GB2312" w:eastAsia="仿宋_GB2312"/>
                <w:sz w:val="24"/>
              </w:rPr>
              <w:t>1.15</w:t>
            </w:r>
            <w:r>
              <w:rPr>
                <w:rFonts w:ascii="仿宋_GB2312" w:hAnsi="仿宋_GB2312" w:cs="仿宋_GB2312" w:eastAsia="仿宋_GB2312"/>
                <w:sz w:val="24"/>
              </w:rPr>
              <w:t>计算机执行复合键紧急回源命令：</w:t>
            </w:r>
          </w:p>
          <w:p>
            <w:pPr>
              <w:pStyle w:val="null3"/>
              <w:ind w:firstLine="480"/>
              <w:jc w:val="both"/>
            </w:pPr>
            <w:r>
              <w:rPr>
                <w:rFonts w:ascii="仿宋_GB2312" w:hAnsi="仿宋_GB2312" w:cs="仿宋_GB2312" w:eastAsia="仿宋_GB2312"/>
                <w:sz w:val="24"/>
              </w:rPr>
              <w:t>1.15.1具有脱离计算机控制状态下紧急回源措施；</w:t>
            </w:r>
          </w:p>
          <w:p>
            <w:pPr>
              <w:pStyle w:val="null3"/>
              <w:ind w:firstLine="480"/>
              <w:jc w:val="both"/>
            </w:pPr>
            <w:r>
              <w:rPr>
                <w:rFonts w:ascii="仿宋_GB2312" w:hAnsi="仿宋_GB2312" w:cs="仿宋_GB2312" w:eastAsia="仿宋_GB2312"/>
                <w:sz w:val="24"/>
              </w:rPr>
              <w:t>1.15.2具有旁路电机紧急回源措施；</w:t>
            </w:r>
          </w:p>
          <w:p>
            <w:pPr>
              <w:pStyle w:val="null3"/>
              <w:ind w:firstLine="480"/>
              <w:jc w:val="both"/>
            </w:pPr>
            <w:r>
              <w:rPr>
                <w:rFonts w:ascii="仿宋_GB2312" w:hAnsi="仿宋_GB2312" w:cs="仿宋_GB2312" w:eastAsia="仿宋_GB2312"/>
                <w:sz w:val="24"/>
              </w:rPr>
              <w:t>1.15.3具有手动机械紧急回源措施；</w:t>
            </w:r>
          </w:p>
          <w:p>
            <w:pPr>
              <w:pStyle w:val="null3"/>
              <w:ind w:firstLine="480"/>
              <w:jc w:val="both"/>
            </w:pPr>
            <w:r>
              <w:rPr>
                <w:rFonts w:ascii="仿宋_GB2312" w:hAnsi="仿宋_GB2312" w:cs="仿宋_GB2312" w:eastAsia="仿宋_GB2312"/>
                <w:sz w:val="24"/>
              </w:rPr>
              <w:t>1.15.4热源驱动配旁路电机，以应对热源电机的意外故障；</w:t>
            </w:r>
          </w:p>
          <w:p>
            <w:pPr>
              <w:pStyle w:val="null3"/>
              <w:ind w:firstLine="480"/>
              <w:jc w:val="both"/>
            </w:pPr>
            <w:r>
              <w:rPr>
                <w:rFonts w:ascii="仿宋_GB2312" w:hAnsi="仿宋_GB2312" w:cs="仿宋_GB2312" w:eastAsia="仿宋_GB2312"/>
                <w:sz w:val="24"/>
              </w:rPr>
              <w:t>1.16一般故障至治疗中断，能由计算机保留中断数据并实现接续治疗；</w:t>
            </w:r>
          </w:p>
          <w:p>
            <w:pPr>
              <w:pStyle w:val="null3"/>
              <w:ind w:firstLine="480"/>
              <w:jc w:val="both"/>
            </w:pPr>
            <w:r>
              <w:rPr>
                <w:rFonts w:ascii="仿宋_GB2312" w:hAnsi="仿宋_GB2312" w:cs="仿宋_GB2312" w:eastAsia="仿宋_GB2312"/>
                <w:sz w:val="24"/>
              </w:rPr>
              <w:t>1.17计时器装置准确（误差时间≤±0.5s）；</w:t>
            </w:r>
          </w:p>
          <w:p>
            <w:pPr>
              <w:pStyle w:val="null3"/>
              <w:ind w:firstLine="480"/>
              <w:jc w:val="both"/>
            </w:pPr>
            <w:r>
              <w:rPr>
                <w:rFonts w:ascii="仿宋_GB2312" w:hAnsi="仿宋_GB2312" w:cs="仿宋_GB2312" w:eastAsia="仿宋_GB2312"/>
                <w:sz w:val="24"/>
              </w:rPr>
              <w:t>1.18具有可靠的门机联锁系统并负责连接到正常状态；</w:t>
            </w:r>
          </w:p>
          <w:p>
            <w:pPr>
              <w:pStyle w:val="null3"/>
              <w:ind w:firstLine="480"/>
              <w:jc w:val="both"/>
            </w:pPr>
            <w:r>
              <w:rPr>
                <w:rFonts w:ascii="仿宋_GB2312" w:hAnsi="仿宋_GB2312" w:cs="仿宋_GB2312" w:eastAsia="仿宋_GB2312"/>
                <w:sz w:val="24"/>
              </w:rPr>
              <w:t>1.19自我诊断，自动显示故障信息；</w:t>
            </w:r>
          </w:p>
          <w:p>
            <w:pPr>
              <w:pStyle w:val="null3"/>
              <w:ind w:firstLine="480"/>
              <w:jc w:val="both"/>
            </w:pPr>
            <w:r>
              <w:rPr>
                <w:rFonts w:ascii="仿宋_GB2312" w:hAnsi="仿宋_GB2312" w:cs="仿宋_GB2312" w:eastAsia="仿宋_GB2312"/>
                <w:sz w:val="24"/>
              </w:rPr>
              <w:t>1.20更换放射源安全、易操作；</w:t>
            </w:r>
          </w:p>
          <w:p>
            <w:pPr>
              <w:pStyle w:val="null3"/>
              <w:ind w:firstLine="480"/>
              <w:jc w:val="both"/>
            </w:pPr>
            <w:r>
              <w:rPr>
                <w:rFonts w:ascii="仿宋_GB2312" w:hAnsi="仿宋_GB2312" w:cs="仿宋_GB2312" w:eastAsia="仿宋_GB2312"/>
                <w:sz w:val="24"/>
              </w:rPr>
              <w:t>1.21自动进行放射源活度的衰变计算；</w:t>
            </w:r>
          </w:p>
          <w:p>
            <w:pPr>
              <w:pStyle w:val="null3"/>
              <w:ind w:firstLine="480"/>
              <w:jc w:val="both"/>
            </w:pPr>
            <w:r>
              <w:rPr>
                <w:rFonts w:ascii="仿宋_GB2312" w:hAnsi="仿宋_GB2312" w:cs="仿宋_GB2312" w:eastAsia="仿宋_GB2312"/>
                <w:sz w:val="24"/>
              </w:rPr>
              <w:t>1.22导管未被正确连接时，放射源不能送出；</w:t>
            </w:r>
          </w:p>
          <w:p>
            <w:pPr>
              <w:pStyle w:val="null3"/>
              <w:ind w:firstLine="480"/>
              <w:jc w:val="both"/>
            </w:pPr>
            <w:r>
              <w:rPr>
                <w:rFonts w:ascii="仿宋_GB2312" w:hAnsi="仿宋_GB2312" w:cs="仿宋_GB2312" w:eastAsia="仿宋_GB2312"/>
                <w:sz w:val="24"/>
              </w:rPr>
              <w:t>1.23能够实时监测和识别施源器及对应通道连接管的连接状态，连接不正确能报警，放射源自动返回储源器；</w:t>
            </w:r>
          </w:p>
          <w:p>
            <w:pPr>
              <w:pStyle w:val="null3"/>
              <w:ind w:firstLine="480"/>
              <w:jc w:val="both"/>
            </w:pPr>
            <w:r>
              <w:rPr>
                <w:rFonts w:ascii="仿宋_GB2312" w:hAnsi="仿宋_GB2312" w:cs="仿宋_GB2312" w:eastAsia="仿宋_GB2312"/>
                <w:sz w:val="24"/>
              </w:rPr>
              <w:t>1.24以图形界面将病人资料、治疗情况显示在屏幕上。</w:t>
            </w:r>
          </w:p>
          <w:p>
            <w:pPr>
              <w:pStyle w:val="null3"/>
              <w:ind w:firstLine="482"/>
              <w:jc w:val="both"/>
            </w:pPr>
            <w:r>
              <w:rPr>
                <w:rFonts w:ascii="仿宋_GB2312" w:hAnsi="仿宋_GB2312" w:cs="仿宋_GB2312" w:eastAsia="仿宋_GB2312"/>
                <w:sz w:val="24"/>
                <w:b/>
              </w:rPr>
              <w:t>2、对近距离后装治疗计划系统（TPS）软件部分的要求：</w:t>
            </w:r>
          </w:p>
          <w:p>
            <w:pPr>
              <w:pStyle w:val="null3"/>
              <w:ind w:firstLine="480"/>
              <w:jc w:val="both"/>
            </w:pPr>
            <w:r>
              <w:rPr>
                <w:rFonts w:ascii="仿宋_GB2312" w:hAnsi="仿宋_GB2312" w:cs="仿宋_GB2312" w:eastAsia="仿宋_GB2312"/>
                <w:sz w:val="24"/>
              </w:rPr>
              <w:t>2.1计划系统软件具备体积剂量赋值，点剂量赋值和剂量约束方案功能；</w:t>
            </w:r>
            <w:r>
              <w:rPr>
                <w:rFonts w:ascii="仿宋_GB2312" w:hAnsi="仿宋_GB2312" w:cs="仿宋_GB2312" w:eastAsia="仿宋_GB2312"/>
                <w:sz w:val="24"/>
                <w:b/>
              </w:rPr>
              <w:t>(提供</w:t>
            </w:r>
            <w:r>
              <w:rPr>
                <w:rFonts w:ascii="仿宋_GB2312" w:hAnsi="仿宋_GB2312" w:cs="仿宋_GB2312" w:eastAsia="仿宋_GB2312"/>
                <w:sz w:val="24"/>
                <w:b/>
              </w:rPr>
              <w:t>国家药品监督管理局</w:t>
            </w:r>
            <w:r>
              <w:rPr>
                <w:rFonts w:ascii="仿宋_GB2312" w:hAnsi="仿宋_GB2312" w:cs="仿宋_GB2312" w:eastAsia="仿宋_GB2312"/>
                <w:sz w:val="24"/>
                <w:b/>
              </w:rPr>
              <w:t>计划软件注册证明文件或其他证明材料</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2.2能采用多种格式影像数据（包括DICOM3格式影像）支持网络传输及多种传送方式可供选择，能获取包含施源器信息在内的患者的断层影像，实现后装CT引导；</w:t>
            </w:r>
          </w:p>
          <w:p>
            <w:pPr>
              <w:pStyle w:val="null3"/>
              <w:ind w:firstLine="482"/>
              <w:jc w:val="both"/>
            </w:pPr>
            <w:r>
              <w:rPr>
                <w:rFonts w:ascii="仿宋_GB2312" w:hAnsi="仿宋_GB2312" w:cs="仿宋_GB2312" w:eastAsia="仿宋_GB2312"/>
                <w:sz w:val="24"/>
                <w:b/>
              </w:rPr>
              <w:t>2.3靶区勾画功能要求：</w:t>
            </w:r>
          </w:p>
          <w:p>
            <w:pPr>
              <w:pStyle w:val="null3"/>
              <w:ind w:firstLine="480"/>
              <w:jc w:val="both"/>
            </w:pPr>
            <w:r>
              <w:rPr>
                <w:rFonts w:ascii="仿宋_GB2312" w:hAnsi="仿宋_GB2312" w:cs="仿宋_GB2312" w:eastAsia="仿宋_GB2312"/>
                <w:sz w:val="24"/>
              </w:rPr>
              <w:t>2.3.1计划系统支持MRI和CT影像融合勾画靶区；</w:t>
            </w:r>
          </w:p>
          <w:p>
            <w:pPr>
              <w:pStyle w:val="null3"/>
              <w:ind w:firstLine="480"/>
              <w:jc w:val="both"/>
            </w:pPr>
            <w:r>
              <w:rPr>
                <w:rFonts w:ascii="仿宋_GB2312" w:hAnsi="仿宋_GB2312" w:cs="仿宋_GB2312" w:eastAsia="仿宋_GB2312"/>
                <w:sz w:val="24"/>
              </w:rPr>
              <w:t>2.3.2计划系统支持PTV、GTV、HRCTV、IRCTV勾画；</w:t>
            </w:r>
          </w:p>
          <w:p>
            <w:pPr>
              <w:pStyle w:val="null3"/>
              <w:ind w:firstLine="480"/>
              <w:jc w:val="both"/>
            </w:pPr>
            <w:r>
              <w:rPr>
                <w:rFonts w:ascii="仿宋_GB2312" w:hAnsi="仿宋_GB2312" w:cs="仿宋_GB2312" w:eastAsia="仿宋_GB2312"/>
                <w:sz w:val="24"/>
              </w:rPr>
              <w:t>2.3.3计划系统支持生成勾画：高危靶区、中危靶区；</w:t>
            </w:r>
          </w:p>
          <w:p>
            <w:pPr>
              <w:pStyle w:val="null3"/>
              <w:ind w:firstLine="480"/>
              <w:jc w:val="both"/>
            </w:pPr>
            <w:r>
              <w:rPr>
                <w:rFonts w:ascii="仿宋_GB2312" w:hAnsi="仿宋_GB2312" w:cs="仿宋_GB2312" w:eastAsia="仿宋_GB2312"/>
                <w:sz w:val="24"/>
              </w:rPr>
              <w:t>2.4计划系统支持D0.1cc,D1cc,D2cc :评估危及器官受量：</w:t>
            </w:r>
          </w:p>
          <w:p>
            <w:pPr>
              <w:pStyle w:val="null3"/>
              <w:ind w:firstLine="480"/>
              <w:jc w:val="both"/>
            </w:pPr>
            <w:r>
              <w:rPr>
                <w:rFonts w:ascii="仿宋_GB2312" w:hAnsi="仿宋_GB2312" w:cs="仿宋_GB2312" w:eastAsia="仿宋_GB2312"/>
                <w:sz w:val="24"/>
              </w:rPr>
              <w:t>2.5支持各种画刷功能、可勾画空腔实体、自生长区域；</w:t>
            </w:r>
          </w:p>
          <w:p>
            <w:pPr>
              <w:pStyle w:val="null3"/>
              <w:ind w:firstLine="480"/>
              <w:jc w:val="both"/>
            </w:pPr>
            <w:r>
              <w:rPr>
                <w:rFonts w:ascii="仿宋_GB2312" w:hAnsi="仿宋_GB2312" w:cs="仿宋_GB2312" w:eastAsia="仿宋_GB2312"/>
                <w:sz w:val="24"/>
              </w:rPr>
              <w:t>2.6支持区域拷贝生成、插值生成各层区域；</w:t>
            </w:r>
          </w:p>
          <w:p>
            <w:pPr>
              <w:pStyle w:val="null3"/>
              <w:ind w:firstLine="480"/>
              <w:jc w:val="both"/>
            </w:pPr>
            <w:r>
              <w:rPr>
                <w:rFonts w:ascii="仿宋_GB2312" w:hAnsi="仿宋_GB2312" w:cs="仿宋_GB2312" w:eastAsia="仿宋_GB2312"/>
                <w:sz w:val="24"/>
              </w:rPr>
              <w:t>2.7支持体表自动识别；</w:t>
            </w:r>
          </w:p>
          <w:p>
            <w:pPr>
              <w:pStyle w:val="null3"/>
              <w:ind w:firstLine="480"/>
              <w:jc w:val="both"/>
            </w:pPr>
            <w:r>
              <w:rPr>
                <w:rFonts w:ascii="仿宋_GB2312" w:hAnsi="仿宋_GB2312" w:cs="仿宋_GB2312" w:eastAsia="仿宋_GB2312"/>
                <w:sz w:val="24"/>
              </w:rPr>
              <w:t>2.8 3D评价体系；</w:t>
            </w:r>
          </w:p>
          <w:p>
            <w:pPr>
              <w:pStyle w:val="null3"/>
              <w:ind w:firstLine="480"/>
              <w:jc w:val="both"/>
            </w:pPr>
            <w:r>
              <w:rPr>
                <w:rFonts w:ascii="仿宋_GB2312" w:hAnsi="仿宋_GB2312" w:cs="仿宋_GB2312" w:eastAsia="仿宋_GB2312"/>
                <w:sz w:val="24"/>
              </w:rPr>
              <w:t>2.9支持宫旁插值的评价，输出周围器官的D2cc受量及D90、V90等；</w:t>
            </w:r>
          </w:p>
          <w:p>
            <w:pPr>
              <w:pStyle w:val="null3"/>
              <w:ind w:firstLine="480"/>
              <w:jc w:val="both"/>
            </w:pPr>
            <w:r>
              <w:rPr>
                <w:rFonts w:ascii="仿宋_GB2312" w:hAnsi="仿宋_GB2312" w:cs="仿宋_GB2312" w:eastAsia="仿宋_GB2312"/>
                <w:sz w:val="24"/>
              </w:rPr>
              <w:t>2.10输出DVH关系图；</w:t>
            </w:r>
          </w:p>
          <w:p>
            <w:pPr>
              <w:pStyle w:val="null3"/>
              <w:ind w:firstLine="480"/>
              <w:jc w:val="both"/>
            </w:pPr>
            <w:r>
              <w:rPr>
                <w:rFonts w:ascii="仿宋_GB2312" w:hAnsi="仿宋_GB2312" w:cs="仿宋_GB2312" w:eastAsia="仿宋_GB2312"/>
                <w:sz w:val="24"/>
              </w:rPr>
              <w:t>2.11 D100，D90：评估靶区体积；</w:t>
            </w:r>
          </w:p>
          <w:p>
            <w:pPr>
              <w:pStyle w:val="null3"/>
              <w:ind w:firstLine="480"/>
              <w:jc w:val="both"/>
            </w:pPr>
            <w:r>
              <w:rPr>
                <w:rFonts w:ascii="仿宋_GB2312" w:hAnsi="仿宋_GB2312" w:cs="仿宋_GB2312" w:eastAsia="仿宋_GB2312"/>
                <w:sz w:val="24"/>
              </w:rPr>
              <w:t>2.12 V100，V90：评估高剂量体积；</w:t>
            </w:r>
          </w:p>
          <w:p>
            <w:pPr>
              <w:pStyle w:val="null3"/>
              <w:ind w:firstLine="480"/>
              <w:jc w:val="both"/>
            </w:pPr>
            <w:r>
              <w:rPr>
                <w:rFonts w:ascii="仿宋_GB2312" w:hAnsi="仿宋_GB2312" w:cs="仿宋_GB2312" w:eastAsia="仿宋_GB2312"/>
                <w:sz w:val="24"/>
              </w:rPr>
              <w:t>2.13可识别式生成治疗通道；</w:t>
            </w:r>
          </w:p>
          <w:p>
            <w:pPr>
              <w:pStyle w:val="null3"/>
              <w:ind w:firstLine="480"/>
              <w:jc w:val="both"/>
            </w:pPr>
            <w:r>
              <w:rPr>
                <w:rFonts w:ascii="仿宋_GB2312" w:hAnsi="仿宋_GB2312" w:cs="仿宋_GB2312" w:eastAsia="仿宋_GB2312"/>
                <w:sz w:val="24"/>
              </w:rPr>
              <w:t>2.14计划系统软件必须具有通过自动识别构建治疗通道的功能，同时能在PTV中自动分布各驻留点；</w:t>
            </w:r>
          </w:p>
          <w:p>
            <w:pPr>
              <w:pStyle w:val="null3"/>
              <w:ind w:firstLine="480"/>
              <w:jc w:val="both"/>
            </w:pPr>
            <w:r>
              <w:rPr>
                <w:rFonts w:ascii="仿宋_GB2312" w:hAnsi="仿宋_GB2312" w:cs="仿宋_GB2312" w:eastAsia="仿宋_GB2312"/>
                <w:sz w:val="24"/>
              </w:rPr>
              <w:t>2.15 支持DCOMRT (输入)；</w:t>
            </w:r>
          </w:p>
          <w:p>
            <w:pPr>
              <w:pStyle w:val="null3"/>
              <w:ind w:firstLine="480"/>
              <w:jc w:val="both"/>
            </w:pPr>
            <w:r>
              <w:rPr>
                <w:rFonts w:ascii="仿宋_GB2312" w:hAnsi="仿宋_GB2312" w:cs="仿宋_GB2312" w:eastAsia="仿宋_GB2312"/>
                <w:sz w:val="24"/>
              </w:rPr>
              <w:t>2.16支持DCOMST ：医生可在外照治疗系统平台上勾画靶区，通过网络连接到后装计划系统，由物理师接续完成后装计划；</w:t>
            </w:r>
          </w:p>
          <w:p>
            <w:pPr>
              <w:pStyle w:val="null3"/>
              <w:ind w:firstLine="480"/>
              <w:jc w:val="both"/>
            </w:pPr>
            <w:r>
              <w:rPr>
                <w:rFonts w:ascii="仿宋_GB2312" w:hAnsi="仿宋_GB2312" w:cs="仿宋_GB2312" w:eastAsia="仿宋_GB2312"/>
                <w:sz w:val="24"/>
              </w:rPr>
              <w:t>2.17</w:t>
            </w:r>
            <w:r>
              <w:rPr>
                <w:rFonts w:ascii="仿宋_GB2312" w:hAnsi="仿宋_GB2312" w:cs="仿宋_GB2312" w:eastAsia="仿宋_GB2312"/>
                <w:sz w:val="24"/>
              </w:rPr>
              <w:t>提供同平台软件免费升级；</w:t>
            </w:r>
          </w:p>
          <w:p>
            <w:pPr>
              <w:pStyle w:val="null3"/>
              <w:ind w:firstLine="480"/>
              <w:jc w:val="both"/>
            </w:pPr>
            <w:r>
              <w:rPr>
                <w:rFonts w:ascii="仿宋_GB2312" w:hAnsi="仿宋_GB2312" w:cs="仿宋_GB2312" w:eastAsia="仿宋_GB2312"/>
                <w:sz w:val="24"/>
              </w:rPr>
              <w:t>2.18</w:t>
            </w:r>
            <w:r>
              <w:rPr>
                <w:rFonts w:ascii="仿宋_GB2312" w:hAnsi="仿宋_GB2312" w:cs="仿宋_GB2312" w:eastAsia="仿宋_GB2312"/>
                <w:sz w:val="24"/>
              </w:rPr>
              <w:t>后</w:t>
            </w:r>
            <w:r>
              <w:rPr>
                <w:rFonts w:ascii="仿宋_GB2312" w:hAnsi="仿宋_GB2312" w:cs="仿宋_GB2312" w:eastAsia="仿宋_GB2312"/>
                <w:sz w:val="24"/>
              </w:rPr>
              <w:t>装设备计划系统软件必须具备直接设计个性化</w:t>
            </w:r>
            <w:r>
              <w:rPr>
                <w:rFonts w:ascii="仿宋_GB2312" w:hAnsi="仿宋_GB2312" w:cs="仿宋_GB2312" w:eastAsia="仿宋_GB2312"/>
                <w:sz w:val="24"/>
              </w:rPr>
              <w:t>3D打印辅助插植模版并支持3D打印辅助模版设计。</w:t>
            </w:r>
          </w:p>
          <w:p>
            <w:pPr>
              <w:pStyle w:val="null3"/>
              <w:ind w:firstLine="482"/>
              <w:jc w:val="both"/>
            </w:pPr>
            <w:r>
              <w:rPr>
                <w:rFonts w:ascii="仿宋_GB2312" w:hAnsi="仿宋_GB2312" w:cs="仿宋_GB2312" w:eastAsia="仿宋_GB2312"/>
                <w:sz w:val="24"/>
                <w:b/>
              </w:rPr>
              <w:t>3、对图像引导后装定位、转运治疗床的要求：</w:t>
            </w:r>
          </w:p>
          <w:p>
            <w:pPr>
              <w:pStyle w:val="null3"/>
              <w:ind w:firstLine="480"/>
              <w:jc w:val="both"/>
            </w:pPr>
            <w:r>
              <w:rPr>
                <w:rFonts w:ascii="仿宋_GB2312" w:hAnsi="仿宋_GB2312" w:cs="仿宋_GB2312" w:eastAsia="仿宋_GB2312"/>
                <w:sz w:val="24"/>
              </w:rPr>
              <w:t>3.1用于CT引导下的后装定位、转运和治疗；</w:t>
            </w:r>
          </w:p>
          <w:p>
            <w:pPr>
              <w:pStyle w:val="null3"/>
              <w:ind w:firstLine="480"/>
              <w:jc w:val="both"/>
            </w:pPr>
            <w:r>
              <w:rPr>
                <w:rFonts w:ascii="仿宋_GB2312" w:hAnsi="仿宋_GB2312" w:cs="仿宋_GB2312" w:eastAsia="仿宋_GB2312"/>
                <w:sz w:val="24"/>
              </w:rPr>
              <w:t>3.2最大外部尺寸：长：≥1580mm，宽：≥560mm，高：≥1310mm。承重≥150Kg；</w:t>
            </w:r>
          </w:p>
          <w:p>
            <w:pPr>
              <w:pStyle w:val="null3"/>
              <w:ind w:firstLine="480"/>
              <w:jc w:val="both"/>
            </w:pPr>
            <w:r>
              <w:rPr>
                <w:rFonts w:ascii="仿宋_GB2312" w:hAnsi="仿宋_GB2312" w:cs="仿宋_GB2312" w:eastAsia="仿宋_GB2312"/>
                <w:sz w:val="24"/>
              </w:rPr>
              <w:t>3.3 CT扫描转运治疗床板，床板上设置有真空垫定位销及热塑膜固定装置，可采用真空垫和热塑膜固定患者体位。治疗床宽：≥480mm，长：≥1100mm，床板厚度：≥20mm。射线透过率：≥98%,压力变形率：＜2mm；</w:t>
            </w:r>
          </w:p>
          <w:p>
            <w:pPr>
              <w:pStyle w:val="null3"/>
              <w:ind w:firstLine="480"/>
              <w:jc w:val="both"/>
            </w:pPr>
            <w:r>
              <w:rPr>
                <w:rFonts w:ascii="仿宋_GB2312" w:hAnsi="仿宋_GB2312" w:cs="仿宋_GB2312" w:eastAsia="仿宋_GB2312"/>
                <w:sz w:val="24"/>
              </w:rPr>
              <w:t>3.4施源器固定架为塑胶材质，各关节调节灵活，适用于所有规格的施源器；</w:t>
            </w:r>
          </w:p>
          <w:p>
            <w:pPr>
              <w:pStyle w:val="null3"/>
              <w:ind w:firstLine="480"/>
              <w:jc w:val="both"/>
            </w:pPr>
            <w:r>
              <w:rPr>
                <w:rFonts w:ascii="仿宋_GB2312" w:hAnsi="仿宋_GB2312" w:cs="仿宋_GB2312" w:eastAsia="仿宋_GB2312"/>
                <w:sz w:val="24"/>
              </w:rPr>
              <w:t>3.5截石位腿托及调节部分均采用碳纤维材质，腿托高低有0到90度至少4个档位调节；最大外展角度：100°；腿托可水平放置；</w:t>
            </w:r>
          </w:p>
          <w:p>
            <w:pPr>
              <w:pStyle w:val="null3"/>
              <w:ind w:firstLine="480"/>
              <w:jc w:val="both"/>
            </w:pPr>
            <w:r>
              <w:rPr>
                <w:rFonts w:ascii="仿宋_GB2312" w:hAnsi="仿宋_GB2312" w:cs="仿宋_GB2312" w:eastAsia="仿宋_GB2312"/>
                <w:sz w:val="24"/>
              </w:rPr>
              <w:t>3.6过床板转运方式，过床板为全碳材质，通过其上的滑板装置，实现治疗床的平滑移动。过床板长：≥850mm,宽：≥565mm,厚度：≥16mm；</w:t>
            </w:r>
          </w:p>
          <w:p>
            <w:pPr>
              <w:pStyle w:val="null3"/>
              <w:ind w:firstLine="480"/>
              <w:jc w:val="both"/>
            </w:pPr>
            <w:r>
              <w:rPr>
                <w:rFonts w:ascii="仿宋_GB2312" w:hAnsi="仿宋_GB2312" w:cs="仿宋_GB2312" w:eastAsia="仿宋_GB2312"/>
                <w:sz w:val="24"/>
              </w:rPr>
              <w:t>3.7电动移位车采用直流双立柱升降电机。通过手动控制面板调节，电动升降，使治疗床达到目标载体高度，并可储存最多3个高度；</w:t>
            </w:r>
          </w:p>
          <w:p>
            <w:pPr>
              <w:pStyle w:val="null3"/>
              <w:ind w:firstLine="480"/>
              <w:jc w:val="both"/>
            </w:pPr>
            <w:r>
              <w:rPr>
                <w:rFonts w:ascii="仿宋_GB2312" w:hAnsi="仿宋_GB2312" w:cs="仿宋_GB2312" w:eastAsia="仿宋_GB2312"/>
                <w:sz w:val="24"/>
              </w:rPr>
              <w:t>3.8整车可用于CT、扫描定位。</w:t>
            </w:r>
          </w:p>
          <w:p>
            <w:pPr>
              <w:pStyle w:val="null3"/>
              <w:ind w:firstLine="482"/>
              <w:jc w:val="both"/>
            </w:pPr>
            <w:r>
              <w:rPr>
                <w:rFonts w:ascii="仿宋_GB2312" w:hAnsi="仿宋_GB2312" w:cs="仿宋_GB2312" w:eastAsia="仿宋_GB2312"/>
                <w:sz w:val="24"/>
                <w:b/>
              </w:rPr>
              <w:t>4、后装治疗质控设备的要求：</w:t>
            </w:r>
          </w:p>
          <w:p>
            <w:pPr>
              <w:pStyle w:val="null3"/>
              <w:ind w:firstLine="480"/>
              <w:jc w:val="both"/>
            </w:pPr>
            <w:r>
              <w:rPr>
                <w:rFonts w:ascii="仿宋_GB2312" w:hAnsi="仿宋_GB2312" w:cs="仿宋_GB2312" w:eastAsia="仿宋_GB2312"/>
                <w:sz w:val="24"/>
              </w:rPr>
              <w:t>4.1放射源到位、退位精度检测仪有效检测范</w:t>
            </w:r>
            <w:r>
              <w:rPr>
                <w:rFonts w:ascii="仿宋_GB2312" w:hAnsi="仿宋_GB2312" w:cs="仿宋_GB2312" w:eastAsia="仿宋_GB2312"/>
                <w:sz w:val="24"/>
              </w:rPr>
              <w:t>围不小于</w:t>
            </w:r>
            <w:r>
              <w:rPr>
                <w:rFonts w:ascii="仿宋_GB2312" w:hAnsi="仿宋_GB2312" w:cs="仿宋_GB2312" w:eastAsia="仿宋_GB2312"/>
                <w:sz w:val="24"/>
              </w:rPr>
              <w:t>200mm；</w:t>
            </w:r>
            <w:r>
              <w:rPr>
                <w:rFonts w:ascii="仿宋_GB2312" w:hAnsi="仿宋_GB2312" w:cs="仿宋_GB2312" w:eastAsia="仿宋_GB2312"/>
                <w:sz w:val="24"/>
              </w:rPr>
              <w:t>包括：</w:t>
            </w:r>
            <w:r>
              <w:rPr>
                <w:rFonts w:ascii="仿宋_GB2312" w:hAnsi="仿宋_GB2312" w:cs="仿宋_GB2312" w:eastAsia="仿宋_GB2312"/>
                <w:sz w:val="24"/>
              </w:rPr>
              <w:t>①视频采集系统1套；②视频显示系统1套。</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按招标文件要求提供相关证明材料，未提供视为不满足（即负偏离）如有负偏离扣分情况详见“评分标准”。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 10日。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1、签订合同后，货到安装验收合格后，达到付款条件起90日内，支付合同总金额的95.00%</w:t>
            </w:r>
          </w:p>
          <w:p>
            <w:pPr>
              <w:pStyle w:val="null3"/>
              <w:jc w:val="left"/>
            </w:pPr>
            <w:r>
              <w:rPr>
                <w:rFonts w:ascii="仿宋_GB2312" w:hAnsi="仿宋_GB2312" w:cs="仿宋_GB2312" w:eastAsia="仿宋_GB2312"/>
              </w:rPr>
              <w:t>2、设备正常运行满一年后，经采购人确认设备运行正常无故障，达到付款条件起90日内，支付合同总金额的5.00%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按照国家有关规定、《财政部关于进一步加强政府采购需求和履约验收管理的指导意见》(财库〔2016 〕205 号)、《政府采购需求管理办法》（财库〔2021〕22号）的要求，招标文件的要求、投标人的响应文件及承诺以及合同约定标准进行验收。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★1、质保期：≥3年。 2、在设备验收期或质保期内，如果设备的数量、规格、质量或性能与合同和投标文件不符，或证实设备是有缺陷的，包括潜在的缺陷或使用不符合要求的材料等，以及设备出现某种或某部件出现经常性故障，采购人有权要求中标人退货或采取相应补救措施。 3、质保期内设备（包含附件和第三方设备）出现故障或质量问题，供应商负责维修或者更换，费用由供应商承担。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1、双方必须遵守本项目并执行采购文件中的各项规定，保证本项目的正常履行。 2 、如因供应商工作人员在履行职务过程中的疏忽、失职、过错等故意或者过失原因给 采购人造成损失或侵害，包括但不限于采购人本身的财产损失、由此而导致的采购人 对任何第三方的法律责任等，供应商对此均应承担全部的赔偿责任。 3、在执行本项 目中发生的或与本项目有关的争端，双方应通过友好协商解决，经协商在30天内不能 达成协议时，应提交项目所在地仲裁委员会仲裁。</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应根据项目及自身情况针对本项目拟定售后服务方案，内容包括：①售后服务保障措施；②售后服务流程；③售后培训方案；④本地化服务保障；⑤备品备件的送达期限及备品备件的后续供应（本项不作实质性要求，仅作为评审因素，具体评审标准详见本项目招标文件“5.4.2.评审细则及标准”）。2、投标人应具有一定的类似业绩（本项不作实质性要求，仅作为评审因素，具体评审标准详见本项目招标文件“5.4.2.评审细则及标准”）。★3、接口费用：投标人需支付设备与医院信 息系统连接费用（包括但不限于PACS、HIS、LIS等信息系统），采购方不支付任何费用。★4、合同签订后，无正当理由，不按照合同约定履行合同义务，视为擅自变更、中止或者终止政府采购合同，将依据 《中华人民共和国政府采购法实施条例》第六十七条、第七十一条、第七十二条依法依规处理。注：带“★”为实质性要求，不满足作无效响应文件处理。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投标人需在项目电子化交易系统中按要求填写《投标（响应）函》完成承诺并进行电子签章。{投标人财务状况证明需提供以下其中一项证明材料： ①可提供近三年任一年度经审计的完整财务报告复印件（包含审计报告和审计报告中所涉及的财务报表、报表附注等）；②可提供投标人内部的近三年任一年度财务报表复印件（至少包含资产负债表、利润表、现金流量表）；③可提供截至响应文件递交截止日一年内银行出具的资信证明（复印件）；④投标人注册时间截至响应文件递交截止日不足一年的，也可提供加盖工商备案主管部门印章的公司章程（复印件）。投标人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投标人应提交的相关资格证明材料.docx,投标（响应）函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（1）投标人须符合《医疗器械监督管理条例》要求并提供医疗器械生产或经营企业许可证或备案凭证； （2）采购产品以及所配置产品为医疗器械，采购产品及所配置产品须符合《医疗器械注册与备案管理办法》要求并提供中华人民共和国医疗器械注册证或备案凭证。（3）采购产品以及所配置产品为辐射产品，须提供采购产品及所配置产品生产厂家和投标人的《辐射安全许可证》。</w:t>
            </w:r>
          </w:p>
        </w:tc>
        <w:tc>
          <w:tcPr>
            <w:tcW w:type="dxa" w:w="1910"/>
          </w:tcPr>
          <w:p>
            <w:pPr>
              <w:pStyle w:val="null3"/>
              <w:jc w:val="left"/>
            </w:pPr>
            <w:r>
              <w:rPr>
                <w:rFonts w:ascii="仿宋_GB2312" w:hAnsi="仿宋_GB2312" w:cs="仿宋_GB2312" w:eastAsia="仿宋_GB2312"/>
              </w:rPr>
              <w:t>特定资格证明材料.docx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投标人认为需提供的其他材料.docx,投标（响应）函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评审委员会针对采购文件“第三章 技术、服务及其他要求”中所列实质性要求的条款进行审查。</w:t>
            </w:r>
          </w:p>
        </w:tc>
        <w:tc>
          <w:tcPr>
            <w:tcW w:type="dxa" w:w="1910"/>
          </w:tcPr>
          <w:p>
            <w:pPr>
              <w:pStyle w:val="null3"/>
              <w:jc w:val="left"/>
            </w:pPr>
            <w:r>
              <w:rPr>
                <w:rFonts w:ascii="仿宋_GB2312" w:hAnsi="仿宋_GB2312" w:cs="仿宋_GB2312" w:eastAsia="仿宋_GB2312"/>
              </w:rPr>
              <w:t>产品技术参数响应表,投标人认为需提供的其他材料.docx,商务应答表.docx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完全满足招标文件“技术参数”，没有负偏离的得51分。一般技术参数（共计59项），按照如下规则进行计分：一般技术参数得分=（一般技术参数条款总数-一般技术参数负偏离条数）/一般技术参数条款总数*51分。 注：评分取值按四舍五入法，保留小数点后两位。</w:t>
            </w:r>
          </w:p>
        </w:tc>
        <w:tc>
          <w:tcPr>
            <w:tcW w:type="dxa" w:w="831"/>
          </w:tcPr>
          <w:p>
            <w:pPr>
              <w:pStyle w:val="null3"/>
              <w:jc w:val="center"/>
            </w:pPr>
            <w:r>
              <w:rPr>
                <w:rFonts w:ascii="仿宋_GB2312" w:hAnsi="仿宋_GB2312" w:cs="仿宋_GB2312" w:eastAsia="仿宋_GB2312"/>
              </w:rPr>
              <w:t>51.0000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的售后服务方案包括：①售后服务保障措施；②售后服务流程；③售后培训方案；④本地化服务保障；⑤备品备件的送达期限及备品备件的后续供应。方案包含并充分体现以上内容且符合采购需求的得15分，每缺少一项内容扣3分；内容每有一项存在缺陷扣1.5分，本项扣完为止，未提供不得分。 注：缺陷是指存在项目名称错误、地点区域错误、内容与本项目需求无关、方案内容矛盾或表述前后不一致、适用的标准（方法）错误、明显复制其他项目内容等任意一种情形。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投标人根据评分标准进行响应.docx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投标人提供2022年1月1日（含）至今的类似业绩，每提供一个得2分，本项最多得4分，未提供不得分。 注：提供中标（成交）通知书复印件或合同复印件并加盖投标人公章。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投标人根据评分标准进行响应.docx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满足招标文件要求且报价最低的投标人的价格为评审基准价，其价格分为满分。其他投标人的价格分统一按照下列公式计算：报价得分=(评审基准价/报价)×30%×100。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详见附件：特定资格证明材料.docx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详见附件：投标人认为需提供的其他材料.docx</w:t>
      </w:r>
    </w:p>
    <w:p>
      <w:pPr>
        <w:pStyle w:val="null3"/>
        <w:ind w:firstLine="960"/>
        <w:jc w:val="left"/>
      </w:pPr>
      <w:r>
        <w:rPr>
          <w:rFonts w:ascii="仿宋_GB2312" w:hAnsi="仿宋_GB2312" w:cs="仿宋_GB2312" w:eastAsia="仿宋_GB2312"/>
        </w:rPr>
        <w:t>详见附件：投标人根据评分标准进行响应.docx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