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版本号：N511083202500013820250725001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双泵血液透析机采购项目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N5110832025000138</w:t>
      </w:r>
    </w:p>
    <w:p>
      <w:pPr>
        <w:pStyle w:val="null3"/>
        <w:jc w:val="left"/>
        <w:outlineLvl w:val="2"/>
      </w:pPr>
      <w:r>
        <w:rPr>
          <w:rFonts w:ascii="仿宋_GB2312" w:hAnsi="仿宋_GB2312" w:cs="仿宋_GB2312" w:eastAsia="仿宋_GB2312"/>
          <w:sz w:val="28"/>
          <w:b/>
        </w:rPr>
        <w:t>隆昌市人民医院</w:t>
      </w:r>
    </w:p>
    <w:p>
      <w:pPr>
        <w:pStyle w:val="null3"/>
        <w:jc w:val="center"/>
        <w:outlineLvl w:val="2"/>
      </w:pPr>
      <w:r>
        <w:rPr>
          <w:rFonts w:ascii="仿宋_GB2312" w:hAnsi="仿宋_GB2312" w:cs="仿宋_GB2312" w:eastAsia="仿宋_GB2312"/>
          <w:sz w:val="28"/>
          <w:b/>
        </w:rPr>
        <w:t>四川中锦招标代理有限公司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四川中锦招标代理有限公司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隆昌市人民医院</w:t>
      </w:r>
      <w:r>
        <w:rPr>
          <w:rFonts w:ascii="仿宋_GB2312" w:hAnsi="仿宋_GB2312" w:cs="仿宋_GB2312" w:eastAsia="仿宋_GB2312"/>
        </w:rPr>
        <w:t xml:space="preserve"> 委托，拟对 </w:t>
      </w:r>
      <w:r>
        <w:rPr>
          <w:rFonts w:ascii="仿宋_GB2312" w:hAnsi="仿宋_GB2312" w:cs="仿宋_GB2312" w:eastAsia="仿宋_GB2312"/>
        </w:rPr>
        <w:t>双泵血液透析机采购项目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内江市隆昌市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N5110832025000138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双泵血液透析机采购项目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隆昌人民医院因工作需要，需购买一批双泵血液透析机。</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1、供应商须符合《医疗器械监督管理条例》 的要求（描述：提供以下材料： 1.供应商的医疗器械经营许可证或备案凭证： （1）一类医疗器械：无需； （2）二类医疗器械：供应商第二类医疗器械经营备案凭证； （3）三类医疗器械：供应商医疗器械经营许可证； （提供根据国办发〔2017〕41 号政策要求“多证合一”的营业执照除外）。）</w:t>
      </w:r>
    </w:p>
    <w:p>
      <w:pPr>
        <w:pStyle w:val="null3"/>
        <w:jc w:val="left"/>
      </w:pPr>
      <w:r>
        <w:rPr>
          <w:rFonts w:ascii="仿宋_GB2312" w:hAnsi="仿宋_GB2312" w:cs="仿宋_GB2312" w:eastAsia="仿宋_GB2312"/>
        </w:rPr>
        <w:t>2、所响应产品须符合《医疗器械注册管理办法》的要求（描述：提供以下材料： 1.一类医疗器械：所投产品的备案凭证； 2.二 类医疗器械：厂家医疗器械生 产许可证（进口产品除外）、中华 人民共和国医疗器械注册证； 3.三类医疗器械：厂家医疗器械生产许可证（进口产品除外）、中华人民共和国医疗器械注册证）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隆昌市人民医院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隆昌市康复路73号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642150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0832-3928815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四川中锦招标代理有限公司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内江市东兴区玉屏街555号（悦动广场）4栋3楼附 308-311号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吴晓燕</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15196715800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采购包1：3,250,000.00元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中标供应商可以选用下列形式之一提交履约保证金： (1)以银行转账或者支票形式全额提交。采用该形式的履约担保必须通过供应商基本账户以银行转账方式提交。 (2)以银行保函或专业金融担保公司保函或保险合同形式全额提交。采用该形式的履约担保必须提供银行出具的保函或保险公司出具的保险合同或专业金融担保公司出具的保函原件。 注：出具保函的主体应当是金融机构和保险机构依法成立且具有相关资质和偿付能力的机构，否则将取消成交供应商的成交资格，采购人将重新确定成交供应商，并依法追究法律责任。履约保证金退还方式：履约保证金在政府采购合同履约验收合格后 5 个工作日内，按履约保证金缴纳方式予以退回。履约保证金不予退还的情形：中标供应商未能全部履行政府采购合同，涵盖但不限于未按合同约定时间交付货物或提供服务、交付货物或服务不符合合同质量标准等实质性违约行为；擅自转包、分包项目等。逾期退还保证金的责任：除应当退还履约保证金本金外，还应当按中国人民银行同期同类贷款利率上浮 20％后的利率支付超期资金占用费，但因中标供应商自身原因导致无法及时退还的除外。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代理服务费收费标准：参照原国家计委《关于印发招标代理服务收费管理暂行办法的通知》（计价格[2002]1980号）收取比例向中标人收取。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隆昌市人民医院</w:t>
      </w:r>
      <w:r>
        <w:rPr>
          <w:rFonts w:ascii="仿宋_GB2312" w:hAnsi="仿宋_GB2312" w:cs="仿宋_GB2312" w:eastAsia="仿宋_GB2312"/>
        </w:rPr>
        <w:t xml:space="preserve"> 和 </w:t>
      </w:r>
      <w:r>
        <w:rPr>
          <w:rFonts w:ascii="仿宋_GB2312" w:hAnsi="仿宋_GB2312" w:cs="仿宋_GB2312" w:eastAsia="仿宋_GB2312"/>
        </w:rPr>
        <w:t>四川中锦招标代理有限公司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隆昌市人民医院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四川中锦招标代理有限公司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三、采购人或者代理机构通过交易系统发出更正通知的同时，即为送达投标人。投标人根据更正公告、更正通知要求，获取更正后的招标文件，进行投标文件编制。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全部货物安装调试完毕并验收入库后，且收到供应商出具 合法有效完整的完税发票及凭证资料后视为完成验收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按照本项目采购需求中技术要求、招标文件、投标文件及承诺、合同约定进行验收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按照本项目采购需求中商务要求、招标文件、投标文件及承诺、合同约定进行验收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 强政府采购需求和履约验收管理的指导意见》（财库〔2016〕205号）的要求、招标文件的质量要求和技术指标、中标人的投标文件及承诺以及合同约定标准进行验收。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隆昌市人民医院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四川中锦招标代理有限公司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四川中锦招标代理有限公司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联系电话：0832-2242423</w:t>
      </w:r>
    </w:p>
    <w:p>
      <w:pPr>
        <w:pStyle w:val="null3"/>
        <w:jc w:val="left"/>
      </w:pPr>
      <w:r>
        <w:rPr>
          <w:rFonts w:ascii="仿宋_GB2312" w:hAnsi="仿宋_GB2312" w:cs="仿宋_GB2312" w:eastAsia="仿宋_GB2312"/>
        </w:rPr>
        <w:t>地址：内江市东兴区玉屏街555号（悦动广场）4栋3楼附 308-311号</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3,250,000.00</w:t>
      </w:r>
    </w:p>
    <w:p>
      <w:pPr>
        <w:pStyle w:val="null3"/>
        <w:jc w:val="left"/>
      </w:pPr>
      <w:r>
        <w:rPr>
          <w:rFonts w:ascii="仿宋_GB2312" w:hAnsi="仿宋_GB2312" w:cs="仿宋_GB2312" w:eastAsia="仿宋_GB2312"/>
        </w:rPr>
        <w:t>采购包最高限价（元）: 2,990,000.00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A02322100 体外循环设备</w:t>
            </w:r>
          </w:p>
        </w:tc>
        <w:tc>
          <w:tcPr>
            <w:tcW w:type="dxa" w:w="821"/>
          </w:tcPr>
          <w:p>
            <w:pPr>
              <w:pStyle w:val="null3"/>
              <w:jc w:val="left"/>
            </w:pPr>
            <w:r>
              <w:rPr>
                <w:rFonts w:ascii="仿宋_GB2312" w:hAnsi="仿宋_GB2312" w:cs="仿宋_GB2312" w:eastAsia="仿宋_GB2312"/>
              </w:rPr>
              <w:t>双泵血液透析机</w:t>
            </w:r>
          </w:p>
        </w:tc>
        <w:tc>
          <w:tcPr>
            <w:tcW w:type="dxa" w:w="821"/>
          </w:tcPr>
          <w:p>
            <w:pPr>
              <w:pStyle w:val="null3"/>
              <w:jc w:val="right"/>
            </w:pPr>
            <w:r>
              <w:rPr>
                <w:rFonts w:ascii="仿宋_GB2312" w:hAnsi="仿宋_GB2312" w:cs="仿宋_GB2312" w:eastAsia="仿宋_GB2312"/>
              </w:rPr>
              <w:t>13.00（台）</w:t>
            </w:r>
          </w:p>
        </w:tc>
        <w:tc>
          <w:tcPr>
            <w:tcW w:type="dxa" w:w="821"/>
          </w:tcPr>
          <w:p>
            <w:pPr>
              <w:pStyle w:val="null3"/>
              <w:jc w:val="right"/>
            </w:pPr>
            <w:r>
              <w:rPr>
                <w:rFonts w:ascii="仿宋_GB2312" w:hAnsi="仿宋_GB2312" w:cs="仿宋_GB2312" w:eastAsia="仿宋_GB2312"/>
              </w:rPr>
              <w:t>2,990,000.00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双泵血液透析机</w:t>
            </w:r>
          </w:p>
        </w:tc>
        <w:tc>
          <w:tcPr>
            <w:tcW w:type="dxa" w:w="1138"/>
          </w:tcPr>
          <w:p>
            <w:pPr>
              <w:pStyle w:val="null3"/>
              <w:jc w:val="center"/>
            </w:pPr>
            <w:r>
              <w:rPr>
                <w:rFonts w:ascii="仿宋_GB2312" w:hAnsi="仿宋_GB2312" w:cs="仿宋_GB2312" w:eastAsia="仿宋_GB2312"/>
              </w:rPr>
              <w:t>13.00（台）</w:t>
            </w:r>
          </w:p>
        </w:tc>
        <w:tc>
          <w:tcPr>
            <w:tcW w:type="dxa" w:w="1365"/>
          </w:tcPr>
          <w:p>
            <w:pPr>
              <w:pStyle w:val="null3"/>
              <w:jc w:val="center"/>
            </w:pPr>
            <w:r>
              <w:rPr>
                <w:rFonts w:ascii="仿宋_GB2312" w:hAnsi="仿宋_GB2312" w:cs="仿宋_GB2312" w:eastAsia="仿宋_GB2312"/>
              </w:rPr>
              <w:t>2,990,000.00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A02322100 体外循环设备</w:t>
            </w:r>
          </w:p>
        </w:tc>
        <w:tc>
          <w:tcPr>
            <w:tcW w:type="dxa" w:w="2492"/>
          </w:tcPr>
          <w:p>
            <w:pPr>
              <w:pStyle w:val="null3"/>
              <w:jc w:val="left"/>
            </w:pPr>
            <w:r>
              <w:rPr>
                <w:rFonts w:ascii="仿宋_GB2312" w:hAnsi="仿宋_GB2312" w:cs="仿宋_GB2312" w:eastAsia="仿宋_GB2312"/>
              </w:rPr>
              <w:t>双泵血液透析机</w:t>
            </w:r>
          </w:p>
        </w:tc>
        <w:tc>
          <w:tcPr>
            <w:tcW w:type="dxa" w:w="2492"/>
          </w:tcPr>
          <w:p>
            <w:pPr>
              <w:pStyle w:val="null3"/>
              <w:jc w:val="left"/>
            </w:pPr>
            <w:r>
              <w:rPr>
                <w:rFonts w:ascii="仿宋_GB2312" w:hAnsi="仿宋_GB2312" w:cs="仿宋_GB2312" w:eastAsia="仿宋_GB2312"/>
              </w:rPr>
              <w:t>双泵血液透析机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标的名称：双泵血液透析机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配置与功能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 xml:space="preserve">1.1 </w:t>
            </w:r>
            <w:r>
              <w:rPr>
                <w:rFonts w:ascii="仿宋_GB2312" w:hAnsi="仿宋_GB2312" w:cs="仿宋_GB2312" w:eastAsia="仿宋_GB2312"/>
                <w:sz w:val="21"/>
              </w:rPr>
              <w:t>可触摸旋转显示屏，≥</w:t>
            </w:r>
            <w:r>
              <w:rPr>
                <w:rFonts w:ascii="仿宋_GB2312" w:hAnsi="仿宋_GB2312" w:cs="仿宋_GB2312" w:eastAsia="仿宋_GB2312"/>
                <w:sz w:val="21"/>
              </w:rPr>
              <w:t xml:space="preserve">15 </w:t>
            </w:r>
            <w:r>
              <w:rPr>
                <w:rFonts w:ascii="仿宋_GB2312" w:hAnsi="仿宋_GB2312" w:cs="仿宋_GB2312" w:eastAsia="仿宋_GB2312"/>
                <w:sz w:val="21"/>
              </w:rPr>
              <w:t>寸，采用中文操作界面，报警灯与显示屏一体化设计。能开机自检。</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超滤系统采用平衡腔控制系统。</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 xml:space="preserve">满足 </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 xml:space="preserve">ml </w:t>
            </w:r>
            <w:r>
              <w:rPr>
                <w:rFonts w:ascii="仿宋_GB2312" w:hAnsi="仿宋_GB2312" w:cs="仿宋_GB2312" w:eastAsia="仿宋_GB2312"/>
                <w:sz w:val="21"/>
              </w:rPr>
              <w:t>肝素注射器。</w:t>
            </w:r>
          </w:p>
          <w:p>
            <w:pPr>
              <w:pStyle w:val="null3"/>
              <w:jc w:val="both"/>
            </w:pPr>
            <w:r>
              <w:rPr>
                <w:rFonts w:ascii="仿宋_GB2312" w:hAnsi="仿宋_GB2312" w:cs="仿宋_GB2312" w:eastAsia="仿宋_GB2312"/>
                <w:sz w:val="21"/>
              </w:rPr>
              <w:t xml:space="preserve">1.4 </w:t>
            </w:r>
            <w:r>
              <w:rPr>
                <w:rFonts w:ascii="仿宋_GB2312" w:hAnsi="仿宋_GB2312" w:cs="仿宋_GB2312" w:eastAsia="仿宋_GB2312"/>
                <w:sz w:val="21"/>
              </w:rPr>
              <w:t>具有完备的自检功能，自身具有维修菜单，故障自我诊断。</w:t>
            </w:r>
          </w:p>
          <w:p>
            <w:pPr>
              <w:pStyle w:val="null3"/>
              <w:jc w:val="both"/>
            </w:pPr>
            <w:r>
              <w:rPr>
                <w:rFonts w:ascii="仿宋_GB2312" w:hAnsi="仿宋_GB2312" w:cs="仿宋_GB2312" w:eastAsia="仿宋_GB2312"/>
                <w:sz w:val="21"/>
              </w:rPr>
              <w:t xml:space="preserve">1.5 </w:t>
            </w:r>
            <w:r>
              <w:rPr>
                <w:rFonts w:ascii="仿宋_GB2312" w:hAnsi="仿宋_GB2312" w:cs="仿宋_GB2312" w:eastAsia="仿宋_GB2312"/>
                <w:sz w:val="21"/>
              </w:rPr>
              <w:t>标配血压监测组件。</w:t>
            </w:r>
          </w:p>
          <w:p>
            <w:pPr>
              <w:pStyle w:val="null3"/>
              <w:jc w:val="both"/>
            </w:pPr>
            <w:r>
              <w:rPr>
                <w:rFonts w:ascii="仿宋_GB2312" w:hAnsi="仿宋_GB2312" w:cs="仿宋_GB2312" w:eastAsia="仿宋_GB2312"/>
                <w:sz w:val="21"/>
              </w:rPr>
              <w:t xml:space="preserve">1.6 </w:t>
            </w:r>
            <w:r>
              <w:rPr>
                <w:rFonts w:ascii="仿宋_GB2312" w:hAnsi="仿宋_GB2312" w:cs="仿宋_GB2312" w:eastAsia="仿宋_GB2312"/>
                <w:sz w:val="21"/>
              </w:rPr>
              <w:t xml:space="preserve">反馈式电导度监测及配比机制，可分别监测 </w:t>
            </w:r>
            <w:r>
              <w:rPr>
                <w:rFonts w:ascii="仿宋_GB2312" w:hAnsi="仿宋_GB2312" w:cs="仿宋_GB2312" w:eastAsia="仿宋_GB2312"/>
                <w:sz w:val="21"/>
              </w:rPr>
              <w:t xml:space="preserve">B </w:t>
            </w:r>
            <w:r>
              <w:rPr>
                <w:rFonts w:ascii="仿宋_GB2312" w:hAnsi="仿宋_GB2312" w:cs="仿宋_GB2312" w:eastAsia="仿宋_GB2312"/>
                <w:sz w:val="21"/>
              </w:rPr>
              <w:t>液电导度与总电导度。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 xml:space="preserve">1.7 </w:t>
            </w:r>
            <w:r>
              <w:rPr>
                <w:rFonts w:ascii="仿宋_GB2312" w:hAnsi="仿宋_GB2312" w:cs="仿宋_GB2312" w:eastAsia="仿宋_GB2312"/>
                <w:sz w:val="21"/>
              </w:rPr>
              <w:t>至少具有超滤曲线、肝素曲线、透析液温度等治疗曲线。</w:t>
            </w:r>
          </w:p>
          <w:p>
            <w:pPr>
              <w:pStyle w:val="null3"/>
              <w:jc w:val="both"/>
            </w:pPr>
            <w:r>
              <w:rPr>
                <w:rFonts w:ascii="仿宋_GB2312" w:hAnsi="仿宋_GB2312" w:cs="仿宋_GB2312" w:eastAsia="仿宋_GB2312"/>
                <w:sz w:val="21"/>
              </w:rPr>
              <w:t xml:space="preserve">1.8 </w:t>
            </w:r>
            <w:r>
              <w:rPr>
                <w:rFonts w:ascii="仿宋_GB2312" w:hAnsi="仿宋_GB2312" w:cs="仿宋_GB2312" w:eastAsia="仿宋_GB2312"/>
                <w:sz w:val="21"/>
              </w:rPr>
              <w:t>可监测所有部件使用时间，后期可进行零部件更换提醒。</w:t>
            </w:r>
          </w:p>
          <w:p>
            <w:pPr>
              <w:pStyle w:val="null3"/>
              <w:jc w:val="both"/>
            </w:pPr>
            <w:r>
              <w:rPr>
                <w:rFonts w:ascii="仿宋_GB2312" w:hAnsi="仿宋_GB2312" w:cs="仿宋_GB2312" w:eastAsia="仿宋_GB2312"/>
                <w:sz w:val="21"/>
              </w:rPr>
              <w:t xml:space="preserve">1.9 </w:t>
            </w:r>
            <w:r>
              <w:rPr>
                <w:rFonts w:ascii="仿宋_GB2312" w:hAnsi="仿宋_GB2312" w:cs="仿宋_GB2312" w:eastAsia="仿宋_GB2312"/>
                <w:sz w:val="21"/>
              </w:rPr>
              <w:t>配备内置后备电源，全功能运行≥</w:t>
            </w:r>
            <w:r>
              <w:rPr>
                <w:rFonts w:ascii="仿宋_GB2312" w:hAnsi="仿宋_GB2312" w:cs="仿宋_GB2312" w:eastAsia="仿宋_GB2312"/>
                <w:sz w:val="21"/>
              </w:rPr>
              <w:t xml:space="preserve">20 </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 xml:space="preserve">1.10 </w:t>
            </w:r>
            <w:r>
              <w:rPr>
                <w:rFonts w:ascii="仿宋_GB2312" w:hAnsi="仿宋_GB2312" w:cs="仿宋_GB2312" w:eastAsia="仿宋_GB2312"/>
                <w:sz w:val="21"/>
              </w:rPr>
              <w:t>配备数据接口，可提取相关数据。</w:t>
            </w:r>
          </w:p>
          <w:p>
            <w:pPr>
              <w:pStyle w:val="null3"/>
              <w:jc w:val="both"/>
            </w:pPr>
            <w:r>
              <w:rPr>
                <w:rFonts w:ascii="仿宋_GB2312" w:hAnsi="仿宋_GB2312" w:cs="仿宋_GB2312" w:eastAsia="仿宋_GB2312"/>
                <w:sz w:val="21"/>
              </w:rPr>
              <w:t xml:space="preserve">1.11 </w:t>
            </w:r>
            <w:r>
              <w:rPr>
                <w:rFonts w:ascii="仿宋_GB2312" w:hAnsi="仿宋_GB2312" w:cs="仿宋_GB2312" w:eastAsia="仿宋_GB2312"/>
                <w:sz w:val="21"/>
              </w:rPr>
              <w:t>可在线生成置换液，可进行前稀释或后稀释治疗。</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 xml:space="preserve">1.12 </w:t>
            </w:r>
            <w:r>
              <w:rPr>
                <w:rFonts w:ascii="仿宋_GB2312" w:hAnsi="仿宋_GB2312" w:cs="仿宋_GB2312" w:eastAsia="仿宋_GB2312"/>
                <w:sz w:val="21"/>
              </w:rPr>
              <w:t>具备同品牌透析液细菌过滤器保证治疗安全。</w:t>
            </w:r>
          </w:p>
          <w:p>
            <w:pPr>
              <w:pStyle w:val="null3"/>
              <w:jc w:val="both"/>
            </w:pPr>
            <w:r>
              <w:rPr>
                <w:rFonts w:ascii="仿宋_GB2312" w:hAnsi="仿宋_GB2312" w:cs="仿宋_GB2312" w:eastAsia="仿宋_GB2312"/>
                <w:sz w:val="21"/>
              </w:rPr>
              <w:t xml:space="preserve">1.13 </w:t>
            </w:r>
            <w:r>
              <w:rPr>
                <w:rFonts w:ascii="仿宋_GB2312" w:hAnsi="仿宋_GB2312" w:cs="仿宋_GB2312" w:eastAsia="仿宋_GB2312"/>
                <w:sz w:val="21"/>
              </w:rPr>
              <w:t>机器设计使用期限≥</w:t>
            </w:r>
            <w:r>
              <w:rPr>
                <w:rFonts w:ascii="仿宋_GB2312" w:hAnsi="仿宋_GB2312" w:cs="仿宋_GB2312" w:eastAsia="仿宋_GB2312"/>
                <w:sz w:val="21"/>
              </w:rPr>
              <w:t xml:space="preserve">10 </w:t>
            </w:r>
            <w:r>
              <w:rPr>
                <w:rFonts w:ascii="仿宋_GB2312" w:hAnsi="仿宋_GB2312" w:cs="仿宋_GB2312" w:eastAsia="仿宋_GB2312"/>
                <w:sz w:val="21"/>
              </w:rPr>
              <w:t>年（提供投标产品生产厂家公开发布说明书或机器铭牌）。</w:t>
            </w:r>
          </w:p>
          <w:p>
            <w:pPr>
              <w:pStyle w:val="null3"/>
              <w:jc w:val="both"/>
            </w:pPr>
            <w:r>
              <w:rPr>
                <w:rFonts w:ascii="仿宋_GB2312" w:hAnsi="仿宋_GB2312" w:cs="仿宋_GB2312" w:eastAsia="仿宋_GB2312"/>
                <w:sz w:val="21"/>
              </w:rPr>
              <w:t xml:space="preserve">1.14 </w:t>
            </w:r>
            <w:r>
              <w:rPr>
                <w:rFonts w:ascii="仿宋_GB2312" w:hAnsi="仿宋_GB2312" w:cs="仿宋_GB2312" w:eastAsia="仿宋_GB2312"/>
                <w:sz w:val="21"/>
              </w:rPr>
              <w:t xml:space="preserve">具有检测动脉压、静脉压、温度、电导度、跨膜压 </w:t>
            </w:r>
            <w:r>
              <w:rPr>
                <w:rFonts w:ascii="仿宋_GB2312" w:hAnsi="仿宋_GB2312" w:cs="仿宋_GB2312" w:eastAsia="仿宋_GB2312"/>
                <w:sz w:val="21"/>
              </w:rPr>
              <w:t xml:space="preserve">TMP </w:t>
            </w:r>
            <w:r>
              <w:rPr>
                <w:rFonts w:ascii="仿宋_GB2312" w:hAnsi="仿宋_GB2312" w:cs="仿宋_GB2312" w:eastAsia="仿宋_GB2312"/>
                <w:sz w:val="21"/>
              </w:rPr>
              <w:t>功能，</w:t>
            </w:r>
            <w:r>
              <w:rPr>
                <w:rFonts w:ascii="仿宋_GB2312" w:hAnsi="仿宋_GB2312" w:cs="仿宋_GB2312" w:eastAsia="仿宋_GB2312"/>
                <w:sz w:val="21"/>
              </w:rPr>
              <w:t xml:space="preserve">TMP </w:t>
            </w:r>
            <w:r>
              <w:rPr>
                <w:rFonts w:ascii="仿宋_GB2312" w:hAnsi="仿宋_GB2312" w:cs="仿宋_GB2312" w:eastAsia="仿宋_GB2312"/>
                <w:sz w:val="21"/>
              </w:rPr>
              <w:t>监测要有防止反超滤或者破膜危险的功能，机器还需要具有倒流污染防护功能。</w:t>
            </w:r>
          </w:p>
          <w:p>
            <w:pPr>
              <w:pStyle w:val="null3"/>
              <w:jc w:val="both"/>
            </w:pPr>
            <w:r>
              <w:rPr>
                <w:rFonts w:ascii="仿宋_GB2312" w:hAnsi="仿宋_GB2312" w:cs="仿宋_GB2312" w:eastAsia="仿宋_GB2312"/>
                <w:sz w:val="21"/>
              </w:rPr>
              <w:t xml:space="preserve">1.15 </w:t>
            </w:r>
            <w:r>
              <w:rPr>
                <w:rFonts w:ascii="仿宋_GB2312" w:hAnsi="仿宋_GB2312" w:cs="仿宋_GB2312" w:eastAsia="仿宋_GB2312"/>
                <w:sz w:val="21"/>
              </w:rPr>
              <w:t xml:space="preserve">具有一键式完成消毒脱钙一体化程序；全自动化学消毒 </w:t>
            </w:r>
            <w:r>
              <w:rPr>
                <w:rFonts w:ascii="仿宋_GB2312" w:hAnsi="仿宋_GB2312" w:cs="仿宋_GB2312" w:eastAsia="仿宋_GB2312"/>
                <w:sz w:val="21"/>
              </w:rPr>
              <w:t xml:space="preserve">/ </w:t>
            </w:r>
            <w:r>
              <w:rPr>
                <w:rFonts w:ascii="仿宋_GB2312" w:hAnsi="仿宋_GB2312" w:cs="仿宋_GB2312" w:eastAsia="仿宋_GB2312"/>
                <w:sz w:val="21"/>
              </w:rPr>
              <w:t>热消毒，只需要一种消毒液。</w:t>
            </w:r>
          </w:p>
          <w:p>
            <w:pPr>
              <w:pStyle w:val="null3"/>
              <w:jc w:val="both"/>
            </w:pPr>
            <w:r>
              <w:rPr>
                <w:rFonts w:ascii="仿宋_GB2312" w:hAnsi="仿宋_GB2312" w:cs="仿宋_GB2312" w:eastAsia="仿宋_GB2312"/>
                <w:sz w:val="21"/>
              </w:rPr>
              <w:t xml:space="preserve">1.16 </w:t>
            </w:r>
            <w:r>
              <w:rPr>
                <w:rFonts w:ascii="仿宋_GB2312" w:hAnsi="仿宋_GB2312" w:cs="仿宋_GB2312" w:eastAsia="仿宋_GB2312"/>
                <w:sz w:val="21"/>
              </w:rPr>
              <w:t>设备耗材开放式，可满足多种品牌耗材使用。</w:t>
            </w:r>
          </w:p>
          <w:p>
            <w:pPr>
              <w:pStyle w:val="null3"/>
              <w:jc w:val="both"/>
            </w:pPr>
            <w:r>
              <w:rPr>
                <w:rFonts w:ascii="仿宋_GB2312" w:hAnsi="仿宋_GB2312" w:cs="仿宋_GB2312" w:eastAsia="仿宋_GB2312"/>
                <w:sz w:val="21"/>
              </w:rPr>
              <w:t xml:space="preserve">1.17 </w:t>
            </w:r>
            <w:r>
              <w:rPr>
                <w:rFonts w:ascii="仿宋_GB2312" w:hAnsi="仿宋_GB2312" w:cs="仿宋_GB2312" w:eastAsia="仿宋_GB2312"/>
                <w:sz w:val="21"/>
              </w:rPr>
              <w:t>具有空气监测，为对血液管路的超声波传导测量、附加液面水平和光学检测器。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技术参数</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rPr>
              <w:t>透析液流量范围</w:t>
            </w:r>
            <w:r>
              <w:rPr>
                <w:rFonts w:ascii="仿宋_GB2312" w:hAnsi="仿宋_GB2312" w:cs="仿宋_GB2312" w:eastAsia="仿宋_GB2312"/>
                <w:sz w:val="21"/>
              </w:rPr>
              <w:t>: 0</w:t>
            </w:r>
            <w:r>
              <w:rPr>
                <w:rFonts w:ascii="仿宋_GB2312" w:hAnsi="仿宋_GB2312" w:cs="仿宋_GB2312" w:eastAsia="仿宋_GB2312"/>
                <w:sz w:val="21"/>
              </w:rPr>
              <w:t>，</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800ml/min</w:t>
            </w:r>
            <w:r>
              <w:rPr>
                <w:rFonts w:ascii="仿宋_GB2312" w:hAnsi="仿宋_GB2312" w:cs="仿宋_GB2312" w:eastAsia="仿宋_GB2312"/>
                <w:sz w:val="21"/>
              </w:rPr>
              <w:t>，透析液流量可根据有效血流量自动适应。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2.2 </w:t>
            </w:r>
            <w:r>
              <w:rPr>
                <w:rFonts w:ascii="仿宋_GB2312" w:hAnsi="仿宋_GB2312" w:cs="仿宋_GB2312" w:eastAsia="仿宋_GB2312"/>
                <w:sz w:val="21"/>
              </w:rPr>
              <w:t xml:space="preserve">透析液总电导率（透析液浓度）调节设定最小低于 </w:t>
            </w:r>
            <w:r>
              <w:rPr>
                <w:rFonts w:ascii="仿宋_GB2312" w:hAnsi="仿宋_GB2312" w:cs="仿宋_GB2312" w:eastAsia="仿宋_GB2312"/>
                <w:sz w:val="21"/>
              </w:rPr>
              <w:t>12.8ms/cm</w:t>
            </w:r>
            <w:r>
              <w:rPr>
                <w:rFonts w:ascii="仿宋_GB2312" w:hAnsi="仿宋_GB2312" w:cs="仿宋_GB2312" w:eastAsia="仿宋_GB2312"/>
                <w:sz w:val="21"/>
              </w:rPr>
              <w:t xml:space="preserve">，最大高于 </w:t>
            </w:r>
            <w:r>
              <w:rPr>
                <w:rFonts w:ascii="仿宋_GB2312" w:hAnsi="仿宋_GB2312" w:cs="仿宋_GB2312" w:eastAsia="仿宋_GB2312"/>
                <w:sz w:val="21"/>
              </w:rPr>
              <w:t>15.2ms/cm</w:t>
            </w:r>
            <w:r>
              <w:rPr>
                <w:rFonts w:ascii="仿宋_GB2312" w:hAnsi="仿宋_GB2312" w:cs="仿宋_GB2312" w:eastAsia="仿宋_GB2312"/>
                <w:sz w:val="21"/>
              </w:rPr>
              <w:t>。</w:t>
            </w:r>
            <w:r>
              <w:rPr>
                <w:rFonts w:ascii="仿宋_GB2312" w:hAnsi="仿宋_GB2312" w:cs="仿宋_GB2312" w:eastAsia="仿宋_GB2312"/>
                <w:sz w:val="21"/>
              </w:rPr>
              <w:t>（提供彩页和说明书类官方文件佐证）</w:t>
            </w:r>
          </w:p>
          <w:p>
            <w:pPr>
              <w:pStyle w:val="null3"/>
              <w:jc w:val="both"/>
            </w:pPr>
            <w:r>
              <w:rPr>
                <w:rFonts w:ascii="仿宋_GB2312" w:hAnsi="仿宋_GB2312" w:cs="仿宋_GB2312" w:eastAsia="仿宋_GB2312"/>
                <w:sz w:val="21"/>
              </w:rPr>
              <w:t xml:space="preserve">2.3 </w:t>
            </w:r>
            <w:r>
              <w:rPr>
                <w:rFonts w:ascii="仿宋_GB2312" w:hAnsi="仿宋_GB2312" w:cs="仿宋_GB2312" w:eastAsia="仿宋_GB2312"/>
                <w:sz w:val="21"/>
              </w:rPr>
              <w:t>动脉压范围满足：</w:t>
            </w:r>
            <w:r>
              <w:rPr>
                <w:rFonts w:ascii="仿宋_GB2312" w:hAnsi="仿宋_GB2312" w:cs="仿宋_GB2312" w:eastAsia="仿宋_GB2312"/>
                <w:sz w:val="21"/>
              </w:rPr>
              <w:t>-400mmHg</w:t>
            </w:r>
            <w:r>
              <w:rPr>
                <w:rFonts w:ascii="仿宋_GB2312" w:hAnsi="仿宋_GB2312" w:cs="仿宋_GB2312" w:eastAsia="仿宋_GB2312"/>
                <w:sz w:val="21"/>
              </w:rPr>
              <w:t>～</w:t>
            </w:r>
            <w:r>
              <w:rPr>
                <w:rFonts w:ascii="仿宋_GB2312" w:hAnsi="仿宋_GB2312" w:cs="仿宋_GB2312" w:eastAsia="仿宋_GB2312"/>
                <w:sz w:val="21"/>
              </w:rPr>
              <w:t>+400mmHg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2.4 </w:t>
            </w:r>
            <w:r>
              <w:rPr>
                <w:rFonts w:ascii="仿宋_GB2312" w:hAnsi="仿宋_GB2312" w:cs="仿宋_GB2312" w:eastAsia="仿宋_GB2312"/>
                <w:sz w:val="21"/>
              </w:rPr>
              <w:t>静脉压测量范围满足：</w:t>
            </w:r>
            <w:r>
              <w:rPr>
                <w:rFonts w:ascii="仿宋_GB2312" w:hAnsi="仿宋_GB2312" w:cs="仿宋_GB2312" w:eastAsia="仿宋_GB2312"/>
                <w:sz w:val="21"/>
              </w:rPr>
              <w:t>0mmHg</w:t>
            </w:r>
            <w:r>
              <w:rPr>
                <w:rFonts w:ascii="仿宋_GB2312" w:hAnsi="仿宋_GB2312" w:cs="仿宋_GB2312" w:eastAsia="仿宋_GB2312"/>
                <w:sz w:val="21"/>
              </w:rPr>
              <w:t>～</w:t>
            </w:r>
            <w:r>
              <w:rPr>
                <w:rFonts w:ascii="仿宋_GB2312" w:hAnsi="仿宋_GB2312" w:cs="仿宋_GB2312" w:eastAsia="仿宋_GB2312"/>
                <w:sz w:val="21"/>
              </w:rPr>
              <w:t>+300mmHg</w:t>
            </w:r>
            <w:r>
              <w:rPr>
                <w:rFonts w:ascii="仿宋_GB2312" w:hAnsi="仿宋_GB2312" w:cs="仿宋_GB2312" w:eastAsia="仿宋_GB2312"/>
                <w:sz w:val="21"/>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 xml:space="preserve">2.5 </w:t>
            </w:r>
            <w:r>
              <w:rPr>
                <w:rFonts w:ascii="仿宋_GB2312" w:hAnsi="仿宋_GB2312" w:cs="仿宋_GB2312" w:eastAsia="仿宋_GB2312"/>
                <w:sz w:val="21"/>
              </w:rPr>
              <w:t xml:space="preserve">机器进水压最大不超过 </w:t>
            </w:r>
            <w:r>
              <w:rPr>
                <w:rFonts w:ascii="仿宋_GB2312" w:hAnsi="仿宋_GB2312" w:cs="仿宋_GB2312" w:eastAsia="仿宋_GB2312"/>
                <w:sz w:val="21"/>
              </w:rPr>
              <w:t>6bar</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2.6 </w:t>
            </w:r>
            <w:r>
              <w:rPr>
                <w:rFonts w:ascii="仿宋_GB2312" w:hAnsi="仿宋_GB2312" w:cs="仿宋_GB2312" w:eastAsia="仿宋_GB2312"/>
                <w:sz w:val="21"/>
              </w:rPr>
              <w:t xml:space="preserve">机器进水温度最高不超过 </w:t>
            </w:r>
            <w:r>
              <w:rPr>
                <w:rFonts w:ascii="仿宋_GB2312" w:hAnsi="仿宋_GB2312" w:cs="仿宋_GB2312" w:eastAsia="仿宋_GB2312"/>
                <w:sz w:val="21"/>
              </w:rPr>
              <w:t>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2.7 </w:t>
            </w:r>
            <w:r>
              <w:rPr>
                <w:rFonts w:ascii="仿宋_GB2312" w:hAnsi="仿宋_GB2312" w:cs="仿宋_GB2312" w:eastAsia="仿宋_GB2312"/>
                <w:sz w:val="21"/>
              </w:rPr>
              <w:t>置换液流量范围：</w:t>
            </w:r>
            <w:r>
              <w:rPr>
                <w:rFonts w:ascii="仿宋_GB2312" w:hAnsi="仿宋_GB2312" w:cs="仿宋_GB2312" w:eastAsia="仿宋_GB2312"/>
                <w:sz w:val="21"/>
              </w:rPr>
              <w:t>20 - 400ml/min</w:t>
            </w:r>
            <w:r>
              <w:rPr>
                <w:rFonts w:ascii="仿宋_GB2312" w:hAnsi="仿宋_GB2312" w:cs="仿宋_GB2312" w:eastAsia="仿宋_GB2312"/>
                <w:sz w:val="21"/>
              </w:rPr>
              <w:t>，精度 ±</w:t>
            </w:r>
            <w:r>
              <w:rPr>
                <w:rFonts w:ascii="仿宋_GB2312" w:hAnsi="仿宋_GB2312" w:cs="仿宋_GB2312" w:eastAsia="仿宋_GB2312"/>
                <w:sz w:val="21"/>
              </w:rPr>
              <w:t>10%</w:t>
            </w:r>
            <w:r>
              <w:rPr>
                <w:rFonts w:ascii="仿宋_GB2312" w:hAnsi="仿宋_GB2312" w:cs="仿宋_GB2312" w:eastAsia="仿宋_GB2312"/>
                <w:sz w:val="21"/>
              </w:rPr>
              <w:t>，采用自动置换液追加时根据采集的透析器负荷率自动控制置换速率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2.8 </w:t>
            </w:r>
            <w:r>
              <w:rPr>
                <w:rFonts w:ascii="仿宋_GB2312" w:hAnsi="仿宋_GB2312" w:cs="仿宋_GB2312" w:eastAsia="仿宋_GB2312"/>
                <w:sz w:val="21"/>
              </w:rPr>
              <w:t>肝素注射</w:t>
            </w:r>
            <w:r>
              <w:rPr>
                <w:rFonts w:ascii="仿宋_GB2312" w:hAnsi="仿宋_GB2312" w:cs="仿宋_GB2312" w:eastAsia="仿宋_GB2312"/>
                <w:sz w:val="21"/>
              </w:rPr>
              <w:t>: 0.1</w:t>
            </w:r>
            <w:r>
              <w:rPr>
                <w:rFonts w:ascii="仿宋_GB2312" w:hAnsi="仿宋_GB2312" w:cs="仿宋_GB2312" w:eastAsia="仿宋_GB2312"/>
                <w:sz w:val="21"/>
              </w:rPr>
              <w:t>～</w:t>
            </w:r>
            <w:r>
              <w:rPr>
                <w:rFonts w:ascii="仿宋_GB2312" w:hAnsi="仿宋_GB2312" w:cs="仿宋_GB2312" w:eastAsia="仿宋_GB2312"/>
                <w:sz w:val="21"/>
              </w:rPr>
              <w:t>10ml/h</w:t>
            </w:r>
            <w:r>
              <w:rPr>
                <w:rFonts w:ascii="仿宋_GB2312" w:hAnsi="仿宋_GB2312" w:cs="仿宋_GB2312" w:eastAsia="仿宋_GB2312"/>
                <w:sz w:val="21"/>
              </w:rPr>
              <w:t>，肝素泵有自动注入和追加功能，可用多种注射器型号。</w:t>
            </w:r>
          </w:p>
          <w:p>
            <w:pPr>
              <w:pStyle w:val="null3"/>
              <w:jc w:val="both"/>
            </w:pPr>
            <w:r>
              <w:rPr>
                <w:rFonts w:ascii="仿宋_GB2312" w:hAnsi="仿宋_GB2312" w:cs="仿宋_GB2312" w:eastAsia="仿宋_GB2312"/>
                <w:sz w:val="21"/>
              </w:rPr>
              <w:t xml:space="preserve">2.9 </w:t>
            </w:r>
            <w:r>
              <w:rPr>
                <w:rFonts w:ascii="仿宋_GB2312" w:hAnsi="仿宋_GB2312" w:cs="仿宋_GB2312" w:eastAsia="仿宋_GB2312"/>
                <w:sz w:val="21"/>
              </w:rPr>
              <w:t>超滤率</w:t>
            </w:r>
            <w:r>
              <w:rPr>
                <w:rFonts w:ascii="仿宋_GB2312" w:hAnsi="仿宋_GB2312" w:cs="仿宋_GB2312" w:eastAsia="仿宋_GB2312"/>
                <w:sz w:val="21"/>
              </w:rPr>
              <w:t>: 0, 100</w:t>
            </w:r>
            <w:r>
              <w:rPr>
                <w:rFonts w:ascii="仿宋_GB2312" w:hAnsi="仿宋_GB2312" w:cs="仿宋_GB2312" w:eastAsia="仿宋_GB2312"/>
                <w:sz w:val="21"/>
              </w:rPr>
              <w:t>～</w:t>
            </w:r>
            <w:r>
              <w:rPr>
                <w:rFonts w:ascii="仿宋_GB2312" w:hAnsi="仿宋_GB2312" w:cs="仿宋_GB2312" w:eastAsia="仿宋_GB2312"/>
                <w:sz w:val="21"/>
              </w:rPr>
              <w:t>4000ml/h</w:t>
            </w:r>
            <w:r>
              <w:rPr>
                <w:rFonts w:ascii="仿宋_GB2312" w:hAnsi="仿宋_GB2312" w:cs="仿宋_GB2312" w:eastAsia="仿宋_GB2312"/>
                <w:sz w:val="21"/>
              </w:rPr>
              <w:t>，超滤泵误差 ±</w:t>
            </w:r>
            <w:r>
              <w:rPr>
                <w:rFonts w:ascii="仿宋_GB2312" w:hAnsi="仿宋_GB2312" w:cs="仿宋_GB2312" w:eastAsia="仿宋_GB2312"/>
                <w:sz w:val="21"/>
              </w:rPr>
              <w:t>1%</w:t>
            </w:r>
            <w:r>
              <w:rPr>
                <w:rFonts w:ascii="仿宋_GB2312" w:hAnsi="仿宋_GB2312" w:cs="仿宋_GB2312" w:eastAsia="仿宋_GB2312"/>
                <w:sz w:val="21"/>
              </w:rPr>
              <w:t>，对透析器系数无限制。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560"/>
              <w:jc w:val="left"/>
            </w:pPr>
            <w:r>
              <w:rPr>
                <w:rFonts w:ascii="仿宋_GB2312" w:hAnsi="仿宋_GB2312" w:cs="仿宋_GB2312" w:eastAsia="仿宋_GB2312"/>
                <w:sz w:val="22"/>
              </w:rPr>
              <w:t>1.本项目采用固定总价定价方式。投标人报价应包含项目全部工作内容的体现。</w:t>
            </w:r>
          </w:p>
          <w:p>
            <w:pPr>
              <w:pStyle w:val="null3"/>
              <w:jc w:val="both"/>
            </w:pPr>
            <w:r>
              <w:rPr>
                <w:rFonts w:ascii="仿宋_GB2312" w:hAnsi="仿宋_GB2312" w:cs="仿宋_GB2312" w:eastAsia="仿宋_GB2312"/>
                <w:sz w:val="22"/>
              </w:rPr>
              <w:t>2.本项目所有运输、保险、装卸、安装（包含辅材、设施设备、安装等相关辅助工作）、培训、税费等一切相关费用均包含在投标报价中，采购人不再承担除中标价外的任何费用。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采购要求</w:t>
            </w:r>
          </w:p>
        </w:tc>
        <w:tc>
          <w:tcPr>
            <w:tcW w:type="dxa" w:w="5814"/>
          </w:tcPr>
          <w:p>
            <w:pPr>
              <w:pStyle w:val="null3"/>
              <w:jc w:val="both"/>
            </w:pPr>
            <w:r>
              <w:rPr>
                <w:rFonts w:ascii="仿宋_GB2312" w:hAnsi="仿宋_GB2312" w:cs="仿宋_GB2312" w:eastAsia="仿宋_GB2312"/>
                <w:sz w:val="24"/>
              </w:rPr>
              <w:t>无论是否中标，投标人均应自行承担在投标活动产生的一切费用。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560"/>
              <w:jc w:val="left"/>
            </w:pPr>
            <w:r>
              <w:rPr>
                <w:rFonts w:ascii="仿宋_GB2312" w:hAnsi="仿宋_GB2312" w:cs="仿宋_GB2312" w:eastAsia="仿宋_GB2312"/>
                <w:sz w:val="24"/>
              </w:rPr>
              <w:t>1.在质保期内中标人每季度须派专业技术人员对设备进行巡检维护，并将巡检维护记录反馈至临床科室。</w:t>
            </w:r>
          </w:p>
          <w:p>
            <w:pPr>
              <w:pStyle w:val="null3"/>
              <w:ind w:firstLine="560"/>
              <w:jc w:val="left"/>
            </w:pPr>
            <w:r>
              <w:rPr>
                <w:rFonts w:ascii="仿宋_GB2312" w:hAnsi="仿宋_GB2312" w:cs="仿宋_GB2312" w:eastAsia="仿宋_GB2312"/>
                <w:sz w:val="24"/>
              </w:rPr>
              <w:t>2.有完善的售后服务体系，有专职服务人员在线对已安装的机器进行应用培训服务，实时解决机器的问题；设有维修服务网点，有专业的维修工程师团队当产品出现故障时，中标人应在接到通知后立即作出响应，24小时内到达现场维修。有零部件储备仓库，能及时提供配件，保证维修速度。如一时无法修复（超过48小时），则提供备用产品。质保期结束后，中标人仍应负责对产品提供终生维修服务，只收取配件成本，并提供报修电话。</w:t>
            </w:r>
          </w:p>
          <w:p>
            <w:pPr>
              <w:pStyle w:val="null3"/>
              <w:ind w:firstLine="560"/>
              <w:jc w:val="left"/>
            </w:pPr>
            <w:r>
              <w:rPr>
                <w:rFonts w:ascii="仿宋_GB2312" w:hAnsi="仿宋_GB2312" w:cs="仿宋_GB2312" w:eastAsia="仿宋_GB2312"/>
                <w:sz w:val="24"/>
              </w:rPr>
              <w:t>3.产品运输、装卸、安装、调试由中标人负责。</w:t>
            </w:r>
          </w:p>
          <w:p>
            <w:pPr>
              <w:pStyle w:val="null3"/>
              <w:ind w:firstLine="560"/>
              <w:jc w:val="left"/>
            </w:pPr>
            <w:r>
              <w:rPr>
                <w:rFonts w:ascii="仿宋_GB2312" w:hAnsi="仿宋_GB2312" w:cs="仿宋_GB2312" w:eastAsia="仿宋_GB2312"/>
                <w:sz w:val="24"/>
              </w:rPr>
              <w:t>4.中标人须向采购人提供操作手册，并提供产品的运行、安装、使用环境要求。</w:t>
            </w:r>
          </w:p>
          <w:p>
            <w:pPr>
              <w:pStyle w:val="null3"/>
              <w:ind w:firstLine="560"/>
              <w:jc w:val="left"/>
            </w:pPr>
            <w:r>
              <w:rPr>
                <w:rFonts w:ascii="仿宋_GB2312" w:hAnsi="仿宋_GB2312" w:cs="仿宋_GB2312" w:eastAsia="仿宋_GB2312"/>
                <w:sz w:val="24"/>
              </w:rPr>
              <w:t>5.在产品到达使用单位后，中标人应在7天内派工程技术人员到达现场，在采购人技术人员在场的情况下开箱清点货物，组织安装、调试，对诊断医师和操作人员的培训时间不少于一周（教会正确的使用为止），并承担由此发生的一切费用。</w:t>
            </w:r>
          </w:p>
          <w:p>
            <w:pPr>
              <w:pStyle w:val="null3"/>
              <w:jc w:val="both"/>
            </w:pPr>
            <w:r>
              <w:rPr>
                <w:rFonts w:ascii="仿宋_GB2312" w:hAnsi="仿宋_GB2312" w:cs="仿宋_GB2312" w:eastAsia="仿宋_GB2312"/>
                <w:sz w:val="24"/>
              </w:rPr>
              <w:t>6.如设备涉及与医院信息系统做对接，所需物联模块及接口费用由中标人承担。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both"/>
            </w:pPr>
            <w:r>
              <w:rPr>
                <w:rFonts w:ascii="仿宋_GB2312" w:hAnsi="仿宋_GB2312" w:cs="仿宋_GB2312" w:eastAsia="仿宋_GB2312"/>
                <w:sz w:val="24"/>
              </w:rPr>
              <w:t xml:space="preserve">  所供产品必须是符合投标产品品牌、规格型号、数量要求、正规渠道生产的全新原装正品（未曾销售或使用过的、未返修过的原装整机</w:t>
            </w:r>
            <w:r>
              <w:rPr>
                <w:rFonts w:ascii="仿宋_GB2312" w:hAnsi="仿宋_GB2312" w:cs="仿宋_GB2312" w:eastAsia="仿宋_GB2312"/>
                <w:sz w:val="24"/>
              </w:rPr>
              <w:t>)，所有货物质量应符合相关行业标准及生产厂商的质量要求。货物《含零部件、配件等》表面无划伤、无碰撞痕迹，且权属清楚，不存在侵害他人的知识产权。投标人须提供完整的质量合格证、说明书、维修保养手册及其它配套的技术资料。</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服务要求(本条要求为项目其他要求，可不在响应文件服务要求应答表中进行响应)</w:t>
            </w:r>
          </w:p>
        </w:tc>
        <w:tc>
          <w:tcPr>
            <w:tcW w:type="dxa" w:w="5814"/>
          </w:tcPr>
          <w:p>
            <w:pPr>
              <w:pStyle w:val="null3"/>
              <w:jc w:val="both"/>
            </w:pPr>
            <w:r>
              <w:rPr>
                <w:rFonts w:ascii="仿宋_GB2312" w:hAnsi="仿宋_GB2312" w:cs="仿宋_GB2312" w:eastAsia="仿宋_GB2312"/>
                <w:sz w:val="24"/>
              </w:rPr>
              <w:t>1.投标人根据自身情况为采购人提供相关服务，服务内容应包含但不限于以下内容:</w:t>
            </w:r>
          </w:p>
          <w:p>
            <w:pPr>
              <w:pStyle w:val="null3"/>
              <w:jc w:val="both"/>
            </w:pPr>
            <w:r>
              <w:rPr>
                <w:rFonts w:ascii="仿宋_GB2312" w:hAnsi="仿宋_GB2312" w:cs="仿宋_GB2312" w:eastAsia="仿宋_GB2312"/>
                <w:sz w:val="24"/>
              </w:rPr>
              <w:t>(1)产品质量保障服务:所有货物必须保障货源真实性，要做到有源可查;所有产品应保证质量合格;所有产品在出现质量问题时应及时做错解决措施;对于产品出现的质量问题，投标人应出针对不同质量问题作出相对的应急措施，</w:t>
            </w:r>
            <w:r>
              <w:br/>
            </w:r>
            <w:r>
              <w:rPr>
                <w:rFonts w:ascii="仿宋_GB2312" w:hAnsi="仿宋_GB2312" w:cs="仿宋_GB2312" w:eastAsia="仿宋_GB2312"/>
                <w:sz w:val="24"/>
              </w:rPr>
              <w:t xml:space="preserve"> (2)供货服务:投标人针对商务要求交货期限的要求提出具体的供货流程及安排，在规定时间内完成安装调试，并提出针对货物的验收方案:若在供货期间出现应急情况，投标人应针对不同应急情况具有想对应的解决措施。</w:t>
            </w:r>
            <w:r>
              <w:br/>
            </w:r>
            <w:r>
              <w:rPr>
                <w:rFonts w:ascii="仿宋_GB2312" w:hAnsi="仿宋_GB2312" w:cs="仿宋_GB2312" w:eastAsia="仿宋_GB2312"/>
                <w:sz w:val="24"/>
              </w:rPr>
              <w:t xml:space="preserve"> (3)售后服务:投标人根据商务要求“质量保修范围和保修期”的内容制定售后服务方案，方案内应明确投标人的售后服务体系，售后故障问题处理方案;具有培训方案，确保采购人能顺利适用产品;针对售后服务中的应急间题提出相对应的处理措施。</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安装要求</w:t>
            </w:r>
          </w:p>
        </w:tc>
        <w:tc>
          <w:tcPr>
            <w:tcW w:type="dxa" w:w="5814"/>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安装工程为交钥匙工程。本项目安装过程中涉及的设备使用机房场地设计、装修（包括地面、墙面、吊顶、门窗等）装饰、改造等工作均由中标人负责，完成后必须满足安全要求。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1、签订合同后支付预付款，达到付款条件起10日内，支付合同总金额的20.00%</w:t>
            </w:r>
          </w:p>
          <w:p>
            <w:pPr>
              <w:pStyle w:val="null3"/>
              <w:jc w:val="left"/>
            </w:pPr>
            <w:r>
              <w:rPr>
                <w:rFonts w:ascii="仿宋_GB2312" w:hAnsi="仿宋_GB2312" w:cs="仿宋_GB2312" w:eastAsia="仿宋_GB2312"/>
              </w:rPr>
              <w:t>2、验收合格后，达到付款条件起60日内，支付合同总金额的80.00%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 步加强政府采购需求和履约验收管理的指导意见》（财库〔2016〕205号）的要求、招标文件的质量要求和技术指标、中标供应商的投标文件及承诺以及合同约定标准进行验收。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所投产品验收合格后保质期≥3年，自项目验收交付之日起至少36月内连续运转良好，终身维护。质保期内投标人负责产品维护、维修及抢修。修理和更换零件，费用（包括材料）由投标人承担。质保期满后，投标人应向招标人提供及时的、优质的技术服务。质保期结束后的维修维护，除材料费由招标人按照成本价支付外，其余所有费用由投标人自行承担，即保证终身上门维修维护。软件免费质保期满后，后续维保费用不超原合同价的5%，涉及到设备如涉及设备与医院信息系统做对接，所需物联模块及接口费用由中标人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1、甲乙双方必须遵守本合同并 执行合同中的各项规定，保证本合同的正常履行。 2、如因乙方工 作人员在履行职务过 程中的疏忽、失职、过错等故意或者过失原因给甲方造成损失或侵害，包括 但不限于甲 方本身的财产损失、由此而导致的甲方对任何第三方的法律责任等，乙方对此均应承 担 全部的赔偿责任。 二、 争议解决办法 （1）甲乙双方必须遵守本合同并执行合同中的各 项规定，保证本合同的正常履行。（2）如因供应商工作人员在履行职务过程中的疏忽、 失职、过错等故意或者过失原因对甲方造成的损失或者侵害，包括甲方本身的财产损失及 由此产生的第三方法律责任等，供应商应对此承担不超过合同总额的赔偿责任。（3）在 执行本合同中发生的或与本合同有关的争端，双方应通过友好协商解决，经协商在日内不 能达成协议时，应提交甲方所在地人民法院诉讼解决。（4）在诉讼期间，除正在进行诉 讼部分外，合同其他部分继续进行。（5）因采购人自身原因延期付款或导致变更、中止 或者终止采购合同的，采购人应对乙方的损失予以补偿。</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本项目执行相关国家及行业规范、标准。如本项目所涉及的相关国家及行业规范、标准、文件如有更新最新标准，则从其最新标准执行。（二）以下内容仅为评审依据，不响应不作废标处理，仅作为扣分项，1、根据自身情况提供有利于本项目实施的售后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2022-2024年度（任意一年）供应商经审计的完整有效的财务报告复印件；②也可提供2022-2024年度（任意一年）供应商内部的财务报表复印件（至少应包含资产负债表、现金流量表、利润表）；③也可提供距文件递交截止日一年内银行出具的资信证明（复印件）；④供应商注册时间至文件递交截止日不足一年的，也可提供在市场监督管理部门备案的公司章程（复印件）；⑤非营利性单位或者社会团体或者其他机关事业单位提供的证明材料以符合财务会计制度为准。（以上5项材料任选其一即可）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供应商须符合《医疗器械监督管理条例》 的要求</w:t>
            </w:r>
          </w:p>
        </w:tc>
        <w:tc>
          <w:tcPr>
            <w:tcW w:type="dxa" w:w="3322"/>
          </w:tcPr>
          <w:p>
            <w:pPr>
              <w:pStyle w:val="null3"/>
              <w:jc w:val="left"/>
            </w:pPr>
            <w:r>
              <w:rPr>
                <w:rFonts w:ascii="仿宋_GB2312" w:hAnsi="仿宋_GB2312" w:cs="仿宋_GB2312" w:eastAsia="仿宋_GB2312"/>
              </w:rPr>
              <w:t>提供以下材料： 1.供应商的医疗器械经营许可证或备案凭证： （1）一类医疗器械：无需； （2）二类医疗器械：供应商第二类医疗器械经营备案凭证； （3）三类医疗器械：供应商医疗器械经营许可证； （提供根据国办发〔2017〕41 号政策要求“多证合一”的营业执照除外）。</w:t>
            </w:r>
          </w:p>
        </w:tc>
        <w:tc>
          <w:tcPr>
            <w:tcW w:type="dxa" w:w="1910"/>
          </w:tcPr>
          <w:p>
            <w:pPr>
              <w:pStyle w:val="null3"/>
              <w:jc w:val="left"/>
            </w:pPr>
            <w:r>
              <w:rPr>
                <w:rFonts w:ascii="仿宋_GB2312" w:hAnsi="仿宋_GB2312" w:cs="仿宋_GB2312" w:eastAsia="仿宋_GB2312"/>
              </w:rPr>
              <w:t>供应商应提供的其他相关资格证明材料.docx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所响应产品须符合《医疗器械注册管理办法》的要求</w:t>
            </w:r>
          </w:p>
        </w:tc>
        <w:tc>
          <w:tcPr>
            <w:tcW w:type="dxa" w:w="3322"/>
          </w:tcPr>
          <w:p>
            <w:pPr>
              <w:pStyle w:val="null3"/>
              <w:jc w:val="left"/>
            </w:pPr>
            <w:r>
              <w:rPr>
                <w:rFonts w:ascii="仿宋_GB2312" w:hAnsi="仿宋_GB2312" w:cs="仿宋_GB2312" w:eastAsia="仿宋_GB2312"/>
              </w:rPr>
              <w:t>提供以下材料： 1.一类医疗器械：所投产品的备案凭证； 2.二 类医疗器械：厂家医疗器械生 产许可证（进口产品除外）、中华 人民共和国医疗器械注册证； 3.三类医疗器械：厂家医疗器械生产许可证（进口产品除外）、中华人民共和国医疗器械注册证</w:t>
            </w:r>
          </w:p>
        </w:tc>
        <w:tc>
          <w:tcPr>
            <w:tcW w:type="dxa" w:w="1910"/>
          </w:tcPr>
          <w:p>
            <w:pPr>
              <w:pStyle w:val="null3"/>
              <w:jc w:val="left"/>
            </w:pPr>
            <w:r>
              <w:rPr>
                <w:rFonts w:ascii="仿宋_GB2312" w:hAnsi="仿宋_GB2312" w:cs="仿宋_GB2312" w:eastAsia="仿宋_GB2312"/>
              </w:rPr>
              <w:t>供应商应提供的其他相关资格证明材料.docx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需要投标人提供证明材料的实质性要求。</w:t>
            </w:r>
          </w:p>
        </w:tc>
        <w:tc>
          <w:tcPr>
            <w:tcW w:type="dxa" w:w="3322"/>
          </w:tcPr>
          <w:p>
            <w:pPr>
              <w:pStyle w:val="null3"/>
              <w:jc w:val="left"/>
            </w:pPr>
            <w:r>
              <w:rPr>
                <w:rFonts w:ascii="仿宋_GB2312" w:hAnsi="仿宋_GB2312" w:cs="仿宋_GB2312" w:eastAsia="仿宋_GB2312"/>
              </w:rPr>
              <w:t>招标文件第三章中明确要求投标人在投标文件中提供证明材料的实质性要求。投标人在投标文件中，如有证明材料缺失或投标人提供证明材料不能证明满足要求的，视为未响应招标文件的实质性要求。</w:t>
            </w:r>
          </w:p>
        </w:tc>
        <w:tc>
          <w:tcPr>
            <w:tcW w:type="dxa" w:w="1910"/>
          </w:tcPr>
          <w:p>
            <w:pPr>
              <w:pStyle w:val="null3"/>
              <w:jc w:val="left"/>
            </w:pPr>
            <w:r>
              <w:rPr>
                <w:rFonts w:ascii="仿宋_GB2312" w:hAnsi="仿宋_GB2312" w:cs="仿宋_GB2312" w:eastAsia="仿宋_GB2312"/>
              </w:rPr>
              <w:t>投标人应提交的相关证明材料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需要投标人进行响应的实质性要求。</w:t>
            </w:r>
          </w:p>
        </w:tc>
        <w:tc>
          <w:tcPr>
            <w:tcW w:type="dxa" w:w="3322"/>
          </w:tcPr>
          <w:p>
            <w:pPr>
              <w:pStyle w:val="null3"/>
              <w:jc w:val="left"/>
            </w:pPr>
            <w:r>
              <w:rPr>
                <w:rFonts w:ascii="仿宋_GB2312" w:hAnsi="仿宋_GB2312" w:cs="仿宋_GB2312" w:eastAsia="仿宋_GB2312"/>
              </w:rPr>
              <w:t>招标文件第三章未明确要求投标人在投标文件中提供证明材料的实质性要求。投标人在投标文件技术(服务)应答表或商务应答表明确表示不响应或负偏离的，视为未响应招标文件的实质性要求</w:t>
            </w:r>
          </w:p>
        </w:tc>
        <w:tc>
          <w:tcPr>
            <w:tcW w:type="dxa" w:w="1910"/>
          </w:tcPr>
          <w:p>
            <w:pPr>
              <w:pStyle w:val="null3"/>
              <w:jc w:val="left"/>
            </w:pPr>
            <w:r>
              <w:rPr>
                <w:rFonts w:ascii="仿宋_GB2312" w:hAnsi="仿宋_GB2312" w:cs="仿宋_GB2312" w:eastAsia="仿宋_GB2312"/>
              </w:rPr>
              <w:t>投标人应提交的相关证明材料</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详细评审68.00分</w:t>
            </w:r>
          </w:p>
          <w:p>
            <w:pPr>
              <w:pStyle w:val="null3"/>
              <w:jc w:val="left"/>
            </w:pPr>
            <w:r>
              <w:rPr>
                <w:rFonts w:ascii="仿宋_GB2312" w:hAnsi="仿宋_GB2312" w:cs="仿宋_GB2312" w:eastAsia="仿宋_GB2312"/>
              </w:rPr>
              <w:t>报价得分32.00分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1、完全符合招标文件 “技术要求”的得58分；投标人投标文件与招标文件第五章“技术参数要求”的非实质性要求有负偏离的，按以下方式计算得分： 2.一般条款得分=（投标人满足一般条款的数量÷一般条款的总数量）×34分； 3.“▲”条款得分=（投标人满足“▲” 条款的数量÷“▲”条款的总数量）×24分； 4.投标人此项得分=一般条款得分+ “▲”条款得分。 注： 本项所述的条款数量按以下原则计算： （1）无子项的条款：以每项条款为 1项进行计算； （2）有子项的条款：以最末级的子项为 1 项进行计算。 注：“▲”的条款为重要条款，条款有具体要求的，按要求提供证明材料，未提供或不满足视为负偏离；条款未作具体要求的，提供响应产品制造厂家公开发布的产品宣传彩页或产品图册或产品说明书或响应产品检测报告复印件并加盖投标人公章予以佐证；负偏离将影响供应商得分。未提供或者提供资料但无法证明其满足“▲”条款，视为“▲”条款负偏离，在本项予以扣分。无具体要求的以投标人提供的投标文件为依据。未响应的视为负偏离。</w:t>
            </w:r>
          </w:p>
        </w:tc>
        <w:tc>
          <w:tcPr>
            <w:tcW w:type="dxa" w:w="831"/>
          </w:tcPr>
          <w:p>
            <w:pPr>
              <w:pStyle w:val="null3"/>
              <w:jc w:val="center"/>
            </w:pPr>
            <w:r>
              <w:rPr>
                <w:rFonts w:ascii="仿宋_GB2312" w:hAnsi="仿宋_GB2312" w:cs="仿宋_GB2312" w:eastAsia="仿宋_GB2312"/>
              </w:rPr>
              <w:t>58.0000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投标人提供的实施方案内容包含：①进度计划（至少包括交货计划周期，交货前准备，验收准备等）；②售后服务人员配置（至少包括售后人员姓名、联系方式、售后服务地点等）；③培训方案（至少包括培训地点、培训人员、培训方式等）；④特殊情况下应急措施（至少包含特殊情况期间交货、机器故障、配件短缺等）；⑤安全保障措施（至少包括货物包装、运输方式、机器安装调试等）；以上五项方案内容齐全的得10分，每缺少一项扣2分；每有一项内容存在缺陷的扣1分，扣完为止；未提供不得分。（缺陷是指：存在不适用项目实际情况的情形、涉及的规范及标准错误、地点区域错误、存在于本项目无关的内容、存在影响项目履约质量的情况。）</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详见附件：供应商应提供的其他相关资格证明材料.docx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