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FD161B">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华文中宋" w:hAnsi="华文中宋" w:eastAsia="华文中宋" w:cs="华文中宋"/>
          <w:sz w:val="36"/>
          <w:szCs w:val="36"/>
        </w:rPr>
      </w:pPr>
      <w:r>
        <w:rPr>
          <w:rFonts w:hint="eastAsia" w:ascii="华文中宋" w:hAnsi="华文中宋" w:eastAsia="华文中宋" w:cs="华文中宋"/>
          <w:sz w:val="36"/>
          <w:szCs w:val="36"/>
        </w:rPr>
        <w:t>项目说明和采购需求</w:t>
      </w:r>
    </w:p>
    <w:p w14:paraId="4CB93B8E">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sz w:val="32"/>
          <w:szCs w:val="32"/>
        </w:rPr>
      </w:pPr>
      <w:r>
        <w:rPr>
          <w:rFonts w:hint="eastAsia" w:ascii="宋体" w:hAnsi="宋体" w:eastAsia="宋体" w:cs="宋体"/>
          <w:b/>
          <w:bCs/>
          <w:sz w:val="32"/>
          <w:szCs w:val="32"/>
        </w:rPr>
        <w:t>一、商务部分</w:t>
      </w:r>
    </w:p>
    <w:p w14:paraId="21BD4E64">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1</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服务期限</w:t>
      </w:r>
      <w:r>
        <w:rPr>
          <w:rFonts w:hint="eastAsia" w:ascii="宋体" w:hAnsi="宋体" w:eastAsia="宋体" w:cs="宋体"/>
          <w:b/>
          <w:bCs/>
          <w:sz w:val="28"/>
          <w:szCs w:val="28"/>
        </w:rPr>
        <w:t>：</w:t>
      </w:r>
      <w:r>
        <w:rPr>
          <w:rFonts w:hint="eastAsia" w:ascii="宋体" w:hAnsi="宋体" w:eastAsia="宋体" w:cs="宋体"/>
          <w:sz w:val="28"/>
          <w:szCs w:val="28"/>
        </w:rPr>
        <w:t>3年（36个月）。</w:t>
      </w:r>
    </w:p>
    <w:p w14:paraId="0EF9F055">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2</w:t>
      </w:r>
      <w:r>
        <w:rPr>
          <w:rFonts w:hint="eastAsia" w:ascii="宋体" w:hAnsi="宋体" w:eastAsia="宋体" w:cs="宋体"/>
          <w:b/>
          <w:bCs/>
          <w:sz w:val="28"/>
          <w:szCs w:val="28"/>
          <w:lang w:eastAsia="zh-CN"/>
        </w:rPr>
        <w:t>）</w:t>
      </w:r>
      <w:r>
        <w:rPr>
          <w:rFonts w:hint="eastAsia" w:ascii="宋体" w:hAnsi="宋体" w:eastAsia="宋体" w:cs="宋体"/>
          <w:b/>
          <w:bCs/>
          <w:sz w:val="28"/>
          <w:szCs w:val="28"/>
        </w:rPr>
        <w:t>实施地点：</w:t>
      </w:r>
      <w:r>
        <w:rPr>
          <w:rFonts w:hint="eastAsia" w:ascii="宋体" w:hAnsi="宋体" w:eastAsia="宋体" w:cs="宋体"/>
          <w:sz w:val="28"/>
          <w:szCs w:val="28"/>
        </w:rPr>
        <w:t>自治区监狱管理局及下辖7所监狱。</w:t>
      </w:r>
    </w:p>
    <w:p w14:paraId="201B2FA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3</w:t>
      </w:r>
      <w:r>
        <w:rPr>
          <w:rFonts w:hint="eastAsia" w:ascii="宋体" w:hAnsi="宋体" w:eastAsia="宋体" w:cs="宋体"/>
          <w:b/>
          <w:bCs/>
          <w:sz w:val="28"/>
          <w:szCs w:val="28"/>
          <w:lang w:eastAsia="zh-CN"/>
        </w:rPr>
        <w:t>）</w:t>
      </w:r>
      <w:r>
        <w:rPr>
          <w:rFonts w:hint="eastAsia" w:ascii="宋体" w:hAnsi="宋体" w:eastAsia="宋体" w:cs="宋体"/>
          <w:b/>
          <w:bCs/>
          <w:sz w:val="28"/>
          <w:szCs w:val="28"/>
        </w:rPr>
        <w:t>项目工期：</w:t>
      </w:r>
      <w:r>
        <w:rPr>
          <w:rFonts w:hint="eastAsia" w:ascii="宋体" w:hAnsi="宋体" w:eastAsia="宋体" w:cs="宋体"/>
          <w:sz w:val="28"/>
          <w:szCs w:val="28"/>
        </w:rPr>
        <w:t>合同签订之日起</w:t>
      </w:r>
      <w:r>
        <w:rPr>
          <w:rFonts w:hint="eastAsia" w:ascii="宋体" w:hAnsi="宋体" w:eastAsia="宋体" w:cs="宋体"/>
          <w:sz w:val="28"/>
          <w:szCs w:val="28"/>
          <w:highlight w:val="none"/>
        </w:rPr>
        <w:t>30个自然日</w:t>
      </w:r>
      <w:r>
        <w:rPr>
          <w:rFonts w:hint="eastAsia" w:ascii="宋体" w:hAnsi="宋体" w:eastAsia="宋体" w:cs="宋体"/>
          <w:sz w:val="28"/>
          <w:szCs w:val="28"/>
        </w:rPr>
        <w:t>内交付智能化移动警务终端，合同签订之日起90个自然日内交付项目全部服务内容。</w:t>
      </w:r>
    </w:p>
    <w:p w14:paraId="7152D2CB">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val="0"/>
          <w:bCs w:val="0"/>
          <w:sz w:val="28"/>
          <w:szCs w:val="28"/>
        </w:rPr>
      </w:pP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4</w:t>
      </w:r>
      <w:r>
        <w:rPr>
          <w:rFonts w:hint="eastAsia" w:ascii="宋体" w:hAnsi="宋体" w:eastAsia="宋体" w:cs="宋体"/>
          <w:b/>
          <w:bCs/>
          <w:sz w:val="28"/>
          <w:szCs w:val="28"/>
          <w:lang w:eastAsia="zh-CN"/>
        </w:rPr>
        <w:t>）</w:t>
      </w:r>
      <w:r>
        <w:rPr>
          <w:rFonts w:hint="eastAsia" w:ascii="宋体" w:hAnsi="宋体" w:eastAsia="宋体" w:cs="宋体"/>
          <w:b/>
          <w:bCs/>
          <w:sz w:val="28"/>
          <w:szCs w:val="28"/>
        </w:rPr>
        <w:t>免费维保期：</w:t>
      </w:r>
      <w:r>
        <w:rPr>
          <w:rFonts w:hint="eastAsia" w:ascii="宋体" w:hAnsi="宋体" w:eastAsia="宋体" w:cs="宋体"/>
          <w:sz w:val="28"/>
          <w:szCs w:val="28"/>
        </w:rPr>
        <w:t>三年，自本项目终验通过之日起计算。</w:t>
      </w:r>
    </w:p>
    <w:p w14:paraId="034047CF">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b/>
          <w:bCs/>
          <w:sz w:val="32"/>
          <w:szCs w:val="32"/>
        </w:rPr>
      </w:pPr>
      <w:r>
        <w:rPr>
          <w:rFonts w:hint="eastAsia" w:ascii="宋体" w:hAnsi="宋体" w:eastAsia="宋体" w:cs="宋体"/>
          <w:b/>
          <w:bCs/>
          <w:sz w:val="32"/>
          <w:szCs w:val="32"/>
        </w:rPr>
        <w:t>二、技术部分</w:t>
      </w:r>
    </w:p>
    <w:p w14:paraId="0964BE3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宁夏监狱移动办公执法平台（以下简称“平台”）须满足《司法行政移动执法系统技术规范》（SF/T 0049—2020）中对于终端、终端安全监控组件、网络接入安全体系、组网、应用开发、应用市场发布与级联和即时通信互联等的技术要求。</w:t>
      </w:r>
    </w:p>
    <w:p w14:paraId="5CB5B11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提供基于5G（NR）网络，覆盖全区监狱（包括自治区监狱管理局、银川监狱、石嘴山监狱、吴忠监狱、固原监狱、女子监狱、中卫监狱和兴庆监狱）的移动办公执法应用服务，</w:t>
      </w:r>
      <w:r>
        <w:rPr>
          <w:rFonts w:hint="eastAsia" w:asciiTheme="minorEastAsia" w:hAnsiTheme="minorEastAsia" w:eastAsiaTheme="minorEastAsia" w:cstheme="minorEastAsia"/>
          <w:b/>
          <w:bCs/>
          <w:sz w:val="28"/>
        </w:rPr>
        <w:t>服务期限3年（36个月）</w:t>
      </w:r>
      <w:r>
        <w:rPr>
          <w:rFonts w:hint="eastAsia" w:asciiTheme="minorEastAsia" w:hAnsiTheme="minorEastAsia" w:eastAsiaTheme="minorEastAsia" w:cstheme="minorEastAsia"/>
          <w:sz w:val="28"/>
        </w:rPr>
        <w:t>。该服务主要包含软硬件系统和配套终端、流量、通话等服务，以满足全区监狱移动办公执法需要。应从移动终端的安全认证与接入、网络的访问控制、数据的加密传输等方面</w:t>
      </w:r>
      <w:r>
        <w:rPr>
          <w:rFonts w:hint="eastAsia" w:asciiTheme="minorEastAsia" w:hAnsiTheme="minorEastAsia" w:eastAsiaTheme="minorEastAsia" w:cstheme="minorEastAsia"/>
          <w:b/>
          <w:bCs/>
          <w:sz w:val="28"/>
        </w:rPr>
        <w:t>提供统一的移动安全接入服务</w:t>
      </w:r>
      <w:r>
        <w:rPr>
          <w:rFonts w:hint="eastAsia" w:asciiTheme="minorEastAsia" w:hAnsiTheme="minorEastAsia" w:eastAsiaTheme="minorEastAsia" w:cstheme="minorEastAsia"/>
          <w:sz w:val="28"/>
        </w:rPr>
        <w:t>。为移动终端、平板电脑、笔记本/PC 等终端提供安全接入服务，集边界防护、双向身份认证、传输链路加密、内外网安全隔离、用户访问控制、安全审计等多种安全措施于一体。</w:t>
      </w:r>
      <w:r>
        <w:rPr>
          <w:rFonts w:hint="eastAsia" w:asciiTheme="minorEastAsia" w:hAnsiTheme="minorEastAsia" w:eastAsiaTheme="minorEastAsia" w:cstheme="minorEastAsia"/>
          <w:b/>
          <w:bCs/>
          <w:sz w:val="28"/>
        </w:rPr>
        <w:t>提供统一的移动应用服务</w:t>
      </w:r>
      <w:r>
        <w:rPr>
          <w:rFonts w:hint="eastAsia" w:asciiTheme="minorEastAsia" w:hAnsiTheme="minorEastAsia" w:eastAsiaTheme="minorEastAsia" w:cstheme="minorEastAsia"/>
          <w:sz w:val="28"/>
        </w:rPr>
        <w:t>，实现终端管控、即时通讯、指挥调度、视频会议等功能，承载各种移动应用，保证应用安全。</w:t>
      </w:r>
      <w:r>
        <w:rPr>
          <w:rFonts w:hint="eastAsia" w:asciiTheme="minorEastAsia" w:hAnsiTheme="minorEastAsia" w:eastAsiaTheme="minorEastAsia" w:cstheme="minorEastAsia"/>
          <w:b/>
          <w:bCs/>
          <w:sz w:val="28"/>
        </w:rPr>
        <w:t>提供统一的短信服务</w:t>
      </w:r>
      <w:r>
        <w:rPr>
          <w:rFonts w:hint="eastAsia" w:asciiTheme="minorEastAsia" w:hAnsiTheme="minorEastAsia" w:eastAsiaTheme="minorEastAsia" w:cstheme="minorEastAsia"/>
          <w:sz w:val="28"/>
        </w:rPr>
        <w:t>，需能够向接入运营商的移动通信网络中的任何通讯终端发送短信。在现有数据库基础上，依据司法部发布的《监狱罪犯基础数据元和代码集》（SF/T0054—2024），梳理出已有数据表与上述标准的差异清单，包括但不限于漏项、数据名称和格式不一致等，设计各监狱需要填报的数据表单，</w:t>
      </w:r>
      <w:r>
        <w:rPr>
          <w:rFonts w:hint="eastAsia" w:asciiTheme="minorEastAsia" w:hAnsiTheme="minorEastAsia" w:eastAsiaTheme="minorEastAsia" w:cstheme="minorEastAsia"/>
          <w:b/>
          <w:bCs/>
          <w:color w:val="auto"/>
          <w:sz w:val="28"/>
          <w:highlight w:val="none"/>
        </w:rPr>
        <w:t>完善统一的数据上报机制</w:t>
      </w:r>
      <w:r>
        <w:rPr>
          <w:rFonts w:hint="eastAsia" w:asciiTheme="minorEastAsia" w:hAnsiTheme="minorEastAsia" w:eastAsiaTheme="minorEastAsia" w:cstheme="minorEastAsia"/>
          <w:color w:val="auto"/>
          <w:sz w:val="28"/>
          <w:highlight w:val="none"/>
        </w:rPr>
        <w:t>，</w:t>
      </w:r>
      <w:r>
        <w:rPr>
          <w:rFonts w:hint="eastAsia" w:asciiTheme="minorEastAsia" w:hAnsiTheme="minorEastAsia" w:eastAsiaTheme="minorEastAsia" w:cstheme="minorEastAsia"/>
          <w:sz w:val="28"/>
        </w:rPr>
        <w:t>各监狱通过统一的数据上报规则进行业务数据填报，实现依据上述标准完整准确向司法部上报数据。</w:t>
      </w:r>
      <w:r>
        <w:rPr>
          <w:rFonts w:hint="eastAsia" w:asciiTheme="minorEastAsia" w:hAnsiTheme="minorEastAsia" w:eastAsiaTheme="minorEastAsia" w:cstheme="minorEastAsia"/>
          <w:b/>
          <w:bCs/>
          <w:sz w:val="28"/>
        </w:rPr>
        <w:t>提供智能终端服务</w:t>
      </w:r>
      <w:r>
        <w:rPr>
          <w:rFonts w:hint="eastAsia" w:asciiTheme="minorEastAsia" w:hAnsiTheme="minorEastAsia" w:eastAsiaTheme="minorEastAsia" w:cstheme="minorEastAsia"/>
          <w:sz w:val="28"/>
        </w:rPr>
        <w:t>，配备双系统安全终端及配套基础通讯服务，满足监狱工作应用场景，确保安全可靠。</w:t>
      </w:r>
    </w:p>
    <w:p w14:paraId="6B937C23">
      <w:pPr>
        <w:spacing w:line="288" w:lineRule="auto"/>
        <w:ind w:firstLine="562"/>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highlight w:val="none"/>
        </w:rPr>
        <w:t>本项目所用全部产品必须满足《中华人民共和国网络安全法》及相关部门有关信息系统等级保护</w:t>
      </w:r>
      <w:r>
        <w:rPr>
          <w:rFonts w:hint="eastAsia" w:asciiTheme="minorEastAsia" w:hAnsiTheme="minorEastAsia" w:eastAsiaTheme="minorEastAsia" w:cstheme="minorEastAsia"/>
          <w:b/>
          <w:bCs/>
          <w:sz w:val="28"/>
          <w:highlight w:val="none"/>
          <w:lang w:eastAsia="zh-CN"/>
        </w:rPr>
        <w:t>要求，</w:t>
      </w:r>
      <w:r>
        <w:rPr>
          <w:rFonts w:hint="eastAsia" w:asciiTheme="minorEastAsia" w:hAnsiTheme="minorEastAsia" w:eastAsiaTheme="minorEastAsia" w:cstheme="minorEastAsia"/>
          <w:b/>
          <w:bCs/>
          <w:sz w:val="28"/>
          <w:highlight w:val="none"/>
        </w:rPr>
        <w:t>充分保证涉及的工作秘密信息安全、可控，不发生网络安全事件和失泄密事件。</w:t>
      </w:r>
    </w:p>
    <w:p w14:paraId="72850B44">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本项目涉及的所有系统部署所需的云计算资源、服务器、存储、操作系统、中间件、数据库、专线链路等软硬件资源由投标人自行提供，需确保网络安全畅通，保证实现平台各项功能。</w:t>
      </w:r>
    </w:p>
    <w:p w14:paraId="0EFE300D">
      <w:pPr>
        <w:spacing w:line="288" w:lineRule="auto"/>
        <w:ind w:firstLine="562"/>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rPr>
        <w:t>本项目涉及的所有设备需全部为国产化设备，所有系统须满足国产电脑正常适配及服务器端的国产化适配要求，服务器端产品包括但不限于国产化CPU、国产化操作系统、国产化数据库等，须确保国产电脑和和非国产电脑均可正常访问系统。</w:t>
      </w:r>
      <w:r>
        <w:rPr>
          <w:rFonts w:hint="eastAsia" w:asciiTheme="minorEastAsia" w:hAnsiTheme="minorEastAsia" w:eastAsiaTheme="minorEastAsia" w:cstheme="minorEastAsia"/>
          <w:b/>
          <w:bCs/>
          <w:sz w:val="28"/>
          <w:highlight w:val="none"/>
          <w:lang w:eastAsia="zh-CN"/>
        </w:rPr>
        <w:t>（</w:t>
      </w:r>
      <w:r>
        <w:rPr>
          <w:rFonts w:hint="eastAsia" w:asciiTheme="minorEastAsia" w:hAnsiTheme="minorEastAsia" w:eastAsiaTheme="minorEastAsia" w:cstheme="minorEastAsia"/>
          <w:b/>
          <w:bCs/>
          <w:sz w:val="28"/>
          <w:highlight w:val="none"/>
        </w:rPr>
        <w:t>投标人提供承诺函并加盖公章</w:t>
      </w:r>
      <w:r>
        <w:rPr>
          <w:rFonts w:hint="eastAsia" w:asciiTheme="minorEastAsia" w:hAnsiTheme="minorEastAsia" w:eastAsiaTheme="minorEastAsia" w:cstheme="minorEastAsia"/>
          <w:b/>
          <w:bCs/>
          <w:sz w:val="28"/>
          <w:highlight w:val="none"/>
          <w:lang w:eastAsia="zh-CN"/>
        </w:rPr>
        <w:t>）</w:t>
      </w:r>
    </w:p>
    <w:p w14:paraId="184FBF3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平台主要服务内容及提供服务所需的软硬件配置要求包括：</w:t>
      </w:r>
    </w:p>
    <w:p w14:paraId="60897734">
      <w:pPr>
        <w:spacing w:line="288" w:lineRule="auto"/>
        <w:ind w:firstLine="560"/>
        <w:outlineLvl w:val="0"/>
        <w:rPr>
          <w:rFonts w:ascii="黑体" w:hAnsi="黑体" w:eastAsia="黑体" w:cs="黑体"/>
          <w:sz w:val="28"/>
        </w:rPr>
      </w:pPr>
      <w:bookmarkStart w:id="0" w:name="_Toc443304797"/>
      <w:r>
        <w:rPr>
          <w:rFonts w:hint="eastAsia" w:ascii="黑体" w:hAnsi="黑体" w:eastAsia="黑体" w:cs="黑体"/>
          <w:sz w:val="28"/>
        </w:rPr>
        <w:t>一、服务内容和要求</w:t>
      </w:r>
      <w:bookmarkEnd w:id="0"/>
    </w:p>
    <w:p w14:paraId="4D594DA4">
      <w:pPr>
        <w:spacing w:line="288" w:lineRule="auto"/>
        <w:ind w:firstLine="562"/>
        <w:outlineLvl w:val="1"/>
        <w:rPr>
          <w:rFonts w:hint="eastAsia" w:asciiTheme="minorEastAsia" w:hAnsiTheme="minorEastAsia" w:eastAsiaTheme="minorEastAsia" w:cstheme="minorEastAsia"/>
          <w:b/>
          <w:bCs w:val="0"/>
          <w:sz w:val="28"/>
          <w:lang w:val="zh-CN"/>
        </w:rPr>
      </w:pPr>
      <w:bookmarkStart w:id="1" w:name="_Toc1847340780"/>
      <w:r>
        <w:rPr>
          <w:rFonts w:hint="eastAsia" w:asciiTheme="minorEastAsia" w:hAnsiTheme="minorEastAsia" w:eastAsiaTheme="minorEastAsia" w:cstheme="minorEastAsia"/>
          <w:b/>
          <w:bCs w:val="0"/>
          <w:sz w:val="28"/>
        </w:rPr>
        <w:t>（一）移动安全接入服务</w:t>
      </w:r>
      <w:bookmarkEnd w:id="1"/>
    </w:p>
    <w:p w14:paraId="2AC0D09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1.终端加固：基于密码模块对终端进行安全加固，保证终端计算环境、资源和网络访问的安全和控制。</w:t>
      </w:r>
    </w:p>
    <w:p w14:paraId="520F309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信道加密（移动安全接入系统及视频安全接入系统）：基于我国密码管理局批准的专用密码算法实现移动终端到移动接入区端到端的通信加密，保证监狱信息在传输过程中的机密性和完整性。加密信道建立在运营商提供的辅助安全措施（APN/VPDN）之上。</w:t>
      </w:r>
    </w:p>
    <w:p w14:paraId="2E1066A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3.认证接入（综合认证系统）：基于移动数字身份证书实现移动终端和移动接入区接入设备之间的双向身份认证，保证持有合法身份证书的移动终端才能接入，防止非法移动终端接入网络。</w:t>
      </w:r>
    </w:p>
    <w:p w14:paraId="54EDDEC9">
      <w:pPr>
        <w:spacing w:line="288" w:lineRule="auto"/>
        <w:ind w:firstLine="560"/>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sz w:val="28"/>
          <w:highlight w:val="none"/>
        </w:rPr>
        <w:t>4.访问控制（数据应用</w:t>
      </w:r>
      <w:r>
        <w:rPr>
          <w:rFonts w:hint="eastAsia" w:asciiTheme="minorEastAsia" w:hAnsiTheme="minorEastAsia" w:eastAsiaTheme="minorEastAsia" w:cstheme="minorEastAsia"/>
          <w:color w:val="auto"/>
          <w:sz w:val="28"/>
          <w:highlight w:val="none"/>
        </w:rPr>
        <w:t>访问控制</w:t>
      </w:r>
      <w:r>
        <w:rPr>
          <w:rFonts w:hint="eastAsia" w:asciiTheme="minorEastAsia" w:hAnsiTheme="minorEastAsia" w:eastAsiaTheme="minorEastAsia" w:cstheme="minorEastAsia"/>
          <w:sz w:val="28"/>
          <w:highlight w:val="none"/>
        </w:rPr>
        <w:t>系统前后置）：</w:t>
      </w:r>
      <w:r>
        <w:rPr>
          <w:rFonts w:hint="eastAsia" w:asciiTheme="minorEastAsia" w:hAnsiTheme="minorEastAsia" w:eastAsiaTheme="minorEastAsia" w:cstheme="minorEastAsia"/>
          <w:color w:val="auto"/>
          <w:sz w:val="28"/>
          <w:highlight w:val="none"/>
        </w:rPr>
        <w:t>数据资源服务进行注册配置和共享交换，在网络信息隔离设备的基础上，对数据资源进行封装，实现两个网络间数据交换和信息同步。使得符合安全策略要求的业务正常通过，不符合策略要求的业务给予阻断，从而达到网间数据安全交换的目的。</w:t>
      </w:r>
    </w:p>
    <w:p w14:paraId="1A2A6DB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highlight w:val="none"/>
        </w:rPr>
        <w:t>5.访问控制（视频</w:t>
      </w:r>
      <w:r>
        <w:rPr>
          <w:rFonts w:hint="eastAsia" w:asciiTheme="minorEastAsia" w:hAnsiTheme="minorEastAsia" w:eastAsiaTheme="minorEastAsia" w:cstheme="minorEastAsia"/>
          <w:color w:val="auto"/>
          <w:sz w:val="28"/>
          <w:highlight w:val="none"/>
        </w:rPr>
        <w:t>访问控制</w:t>
      </w:r>
      <w:r>
        <w:rPr>
          <w:rFonts w:hint="eastAsia" w:asciiTheme="minorEastAsia" w:hAnsiTheme="minorEastAsia" w:eastAsiaTheme="minorEastAsia" w:cstheme="minorEastAsia"/>
          <w:sz w:val="28"/>
          <w:highlight w:val="none"/>
        </w:rPr>
        <w:t>系统前后置）：该系统以GB28181《安全防范视频监控联网系统信息传输、交换、控制技术要求》中对信令安全路由网关的要求作为基础，并结合警务、政务行业对网络安全和</w:t>
      </w:r>
      <w:r>
        <w:rPr>
          <w:rFonts w:hint="eastAsia" w:asciiTheme="minorEastAsia" w:hAnsiTheme="minorEastAsia" w:eastAsiaTheme="minorEastAsia" w:cstheme="minorEastAsia"/>
          <w:sz w:val="28"/>
        </w:rPr>
        <w:t>音视频数据传输要求。视频访问控制代理系统为视频专网边界的协议过滤网关，负责接收、过滤和转发域内外信令和音视频数据，由视频访问控制代理系统前置机和视频访问控制代理系统后置机组成，适用于监狱、公安、政府等需要跨安全域实现视频图像传输的应用场景。</w:t>
      </w:r>
    </w:p>
    <w:p w14:paraId="643EACD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color w:val="000000" w:themeColor="text1"/>
          <w:sz w:val="28"/>
          <w14:textFill>
            <w14:solidFill>
              <w14:schemeClr w14:val="tx1"/>
            </w14:solidFill>
          </w14:textFill>
        </w:rPr>
        <w:t>6.</w:t>
      </w:r>
      <w:r>
        <w:rPr>
          <w:rFonts w:hint="eastAsia" w:asciiTheme="minorEastAsia" w:hAnsiTheme="minorEastAsia" w:eastAsiaTheme="minorEastAsia" w:cstheme="minorEastAsia"/>
          <w:sz w:val="28"/>
        </w:rPr>
        <w:t>网闸隔离：实现移动接入区和内网之间的网络隔离。针对移动 B/S 应用模式，对出入内网的HTTP数据进行协议剥离和内容过滤；针对移动C/S应用模式，实现移动接入区和内网之间的数据信息交换。在移动视频应用模式下，采用视频专用隔离设备对控制信令进行协议剥离和数据摆渡。</w:t>
      </w:r>
    </w:p>
    <w:p w14:paraId="482C2A4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color w:val="000000" w:themeColor="text1"/>
          <w:sz w:val="28"/>
          <w14:textFill>
            <w14:solidFill>
              <w14:schemeClr w14:val="tx1"/>
            </w14:solidFill>
          </w14:textFill>
        </w:rPr>
        <w:t>7</w:t>
      </w:r>
      <w:r>
        <w:rPr>
          <w:rFonts w:hint="eastAsia" w:asciiTheme="minorEastAsia" w:hAnsiTheme="minorEastAsia" w:eastAsiaTheme="minorEastAsia" w:cstheme="minorEastAsia"/>
          <w:sz w:val="28"/>
        </w:rPr>
        <w:t>.空中发证（空中发证系统及身份识别系统）：为移动办公执法终端远程自助签发数字证书。结合人像识别技术（人脸特征提取，人脸比对）实现对用户真实身份进行识别认证功能，验证证书申请人的真实身份。</w:t>
      </w:r>
    </w:p>
    <w:p w14:paraId="5336BCF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color w:val="000000" w:themeColor="text1"/>
          <w:sz w:val="28"/>
          <w14:textFill>
            <w14:solidFill>
              <w14:schemeClr w14:val="tx1"/>
            </w14:solidFill>
          </w14:textFill>
        </w:rPr>
        <w:t>8.</w:t>
      </w:r>
      <w:r>
        <w:rPr>
          <w:rFonts w:hint="eastAsia" w:asciiTheme="minorEastAsia" w:hAnsiTheme="minorEastAsia" w:eastAsiaTheme="minorEastAsia" w:cstheme="minorEastAsia"/>
          <w:sz w:val="28"/>
        </w:rPr>
        <w:t>移动办公执法信息管理平台：主要实现对整个移动安全接入平台的统一管理和日常维护，主要功能包括：用户管理、发卡管理、权限管理、统计报表、日志查看、系统配置等管理功能。</w:t>
      </w:r>
    </w:p>
    <w:p w14:paraId="471DAD14">
      <w:pPr>
        <w:spacing w:line="288" w:lineRule="auto"/>
        <w:ind w:firstLine="560"/>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sz w:val="28"/>
          <w14:textFill>
            <w14:solidFill>
              <w14:schemeClr w14:val="tx1"/>
            </w14:solidFill>
          </w14:textFill>
        </w:rPr>
        <w:t>9.</w:t>
      </w:r>
      <w:r>
        <w:rPr>
          <w:rFonts w:hint="eastAsia" w:asciiTheme="minorEastAsia" w:hAnsiTheme="minorEastAsia" w:eastAsiaTheme="minorEastAsia" w:cstheme="minorEastAsia"/>
          <w:sz w:val="28"/>
        </w:rPr>
        <w:t>防火墙：在移动公网和安全接入服务区边界处部署防火墙设备。防火墙作为不同网络或网络安全域之间信息的出入口，能根据用户的安全策略控制出入网络的信息流，根据用户设定的安全规则保护内部网络，同时提供强大的访问控制、网络地址转换、透明的代理服务、信息过滤、流量控制等功能。提供完善的安全性设置，通过高性能的网络核心进行访问控制，且本身具有较强的抗攻击能力。它是提供信息安全服务，实现网络和信息安全的基础设施。</w:t>
      </w:r>
    </w:p>
    <w:p w14:paraId="614BE449">
      <w:pPr>
        <w:spacing w:line="288" w:lineRule="auto"/>
        <w:ind w:firstLine="562"/>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highlight w:val="none"/>
        </w:rPr>
        <w:t>功能需求如下，标★项为重要技术要求参数，需提供证明材料：</w:t>
      </w:r>
    </w:p>
    <w:tbl>
      <w:tblPr>
        <w:tblStyle w:val="8"/>
        <w:tblW w:w="5353" w:type="pct"/>
        <w:jc w:val="center"/>
        <w:tblLayout w:type="fixed"/>
        <w:tblCellMar>
          <w:top w:w="0" w:type="dxa"/>
          <w:left w:w="0" w:type="dxa"/>
          <w:bottom w:w="0" w:type="dxa"/>
          <w:right w:w="0" w:type="dxa"/>
        </w:tblCellMar>
      </w:tblPr>
      <w:tblGrid>
        <w:gridCol w:w="433"/>
        <w:gridCol w:w="1692"/>
        <w:gridCol w:w="7598"/>
      </w:tblGrid>
      <w:tr w14:paraId="354643C8">
        <w:tblPrEx>
          <w:tblCellMar>
            <w:top w:w="0" w:type="dxa"/>
            <w:left w:w="0" w:type="dxa"/>
            <w:bottom w:w="0" w:type="dxa"/>
            <w:right w:w="0" w:type="dxa"/>
          </w:tblCellMar>
        </w:tblPrEx>
        <w:trPr>
          <w:trHeight w:val="90"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A05AE5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序号</w:t>
            </w:r>
          </w:p>
        </w:tc>
        <w:tc>
          <w:tcPr>
            <w:tcW w:w="870"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4EB4A5">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指标项</w:t>
            </w:r>
          </w:p>
        </w:tc>
        <w:tc>
          <w:tcPr>
            <w:tcW w:w="3906"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366CCC4">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功能指标要求</w:t>
            </w:r>
          </w:p>
        </w:tc>
      </w:tr>
      <w:tr w14:paraId="4A96D7C0">
        <w:tblPrEx>
          <w:tblCellMar>
            <w:top w:w="0" w:type="dxa"/>
            <w:left w:w="0" w:type="dxa"/>
            <w:bottom w:w="0" w:type="dxa"/>
            <w:right w:w="0" w:type="dxa"/>
          </w:tblCellMar>
        </w:tblPrEx>
        <w:trPr>
          <w:trHeight w:val="77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476D3">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3EDC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密码</w:t>
            </w:r>
            <w:r>
              <w:rPr>
                <w:rFonts w:hint="eastAsia" w:asciiTheme="minorEastAsia" w:hAnsiTheme="minorEastAsia" w:eastAsiaTheme="minorEastAsia" w:cstheme="minorEastAsia"/>
                <w:kern w:val="2"/>
                <w:sz w:val="24"/>
                <w:szCs w:val="24"/>
                <w:highlight w:val="none"/>
                <w:lang w:eastAsia="zh-CN"/>
              </w:rPr>
              <w:t>模块</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3024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提供用户身份鉴别、加解密、数字证书存储、数字签名、签名验证等服务。能够应用移动办公执法终端有效解决终端设备身份认证、数据传输加密、数据完整性保护等安全问题。</w:t>
            </w:r>
          </w:p>
        </w:tc>
      </w:tr>
      <w:tr w14:paraId="370C3CBE">
        <w:tblPrEx>
          <w:tblCellMar>
            <w:top w:w="0" w:type="dxa"/>
            <w:left w:w="0" w:type="dxa"/>
            <w:bottom w:w="0" w:type="dxa"/>
            <w:right w:w="0" w:type="dxa"/>
          </w:tblCellMar>
        </w:tblPrEx>
        <w:trPr>
          <w:trHeight w:val="77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9775B">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7ED46">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移动安全接入系统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AE99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w:t>
            </w:r>
          </w:p>
          <w:p w14:paraId="0E2C5BA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标准机架式设备，采用国产化处理器及操作系统；内置密码卡；网络接口：</w:t>
            </w:r>
            <w:r>
              <w:rPr>
                <w:rFonts w:hint="eastAsia" w:asciiTheme="minorEastAsia" w:hAnsiTheme="minorEastAsia" w:eastAsiaTheme="minorEastAsia" w:cstheme="minorEastAsia"/>
                <w:color w:val="auto"/>
                <w:sz w:val="24"/>
                <w:szCs w:val="24"/>
                <w:highlight w:val="none"/>
              </w:rPr>
              <w:t>不少于4个千兆电口</w:t>
            </w:r>
            <w:r>
              <w:rPr>
                <w:rFonts w:hint="eastAsia" w:asciiTheme="minorEastAsia" w:hAnsiTheme="minorEastAsia" w:eastAsiaTheme="minorEastAsia" w:cstheme="minorEastAsia"/>
                <w:sz w:val="24"/>
                <w:szCs w:val="24"/>
                <w:highlight w:val="none"/>
              </w:rPr>
              <w:t>。</w:t>
            </w:r>
          </w:p>
          <w:p w14:paraId="4F73191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w:t>
            </w:r>
          </w:p>
          <w:p w14:paraId="57609CE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吞吐量≥900Mbps；每秒可建立VPN连接数≥1000个；单台设备最大支持≥2000终端用户接入，最大并发连接数≥15000。</w:t>
            </w:r>
          </w:p>
          <w:p w14:paraId="64ED85F0">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72BCBB4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1.为终端用户访问公安信息网提供安全接入服务，通过信道加密、认证接入、数据包协议检查、数据包内容过滤等安全措施，实现各种业务的远程处理和数据交换。</w:t>
            </w:r>
          </w:p>
          <w:p w14:paraId="6B994493">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2.支持转发、隧道等工作模式。</w:t>
            </w:r>
          </w:p>
          <w:p w14:paraId="11ACD1B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3.提供用户接入控制、资源访问控制及管理员分级分权限管理。</w:t>
            </w:r>
          </w:p>
          <w:p w14:paraId="31F79D8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4.自带防火墙功能，通过在管理平台配置对进入数据进行过滤，从而控制外部用户对内网的访问。</w:t>
            </w:r>
          </w:p>
          <w:p w14:paraId="31794D3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5.支持管理员远程获取系统 CPU、路由、流量、日志等信息。</w:t>
            </w:r>
          </w:p>
          <w:p w14:paraId="6C7941E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6.支持系统自检，对服务状态、CRL 状态、以及 PCIE 加密码状态进行检测。</w:t>
            </w:r>
          </w:p>
          <w:p w14:paraId="6A4F404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7.支持对称密码算法：SM1、SM4。</w:t>
            </w:r>
          </w:p>
          <w:p w14:paraId="67B6150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8.支持非对称密码算法：SM2。</w:t>
            </w:r>
          </w:p>
          <w:p w14:paraId="7D281EC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9.支持摘要算法：SM3。</w:t>
            </w:r>
          </w:p>
          <w:p w14:paraId="1B4348F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其他要求</w:t>
            </w:r>
          </w:p>
          <w:p w14:paraId="66B95A5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★1.为了保障平台整体运行的稳定性及安全性，移动安全接入系统厂商应具有自主研发的</w:t>
            </w:r>
            <w:r>
              <w:rPr>
                <w:rFonts w:hint="eastAsia" w:asciiTheme="minorEastAsia" w:hAnsiTheme="minorEastAsia" w:eastAsiaTheme="minorEastAsia" w:cstheme="minorEastAsia"/>
                <w:sz w:val="24"/>
                <w:szCs w:val="24"/>
                <w:highlight w:val="none"/>
                <w:lang w:eastAsia="zh-CN"/>
              </w:rPr>
              <w:t>内置</w:t>
            </w:r>
            <w:r>
              <w:rPr>
                <w:rFonts w:hint="eastAsia" w:asciiTheme="minorEastAsia" w:hAnsiTheme="minorEastAsia" w:eastAsiaTheme="minorEastAsia" w:cstheme="minorEastAsia"/>
                <w:sz w:val="24"/>
                <w:szCs w:val="24"/>
                <w:highlight w:val="none"/>
              </w:rPr>
              <w:t>密码卡，提供</w:t>
            </w:r>
            <w:r>
              <w:rPr>
                <w:rFonts w:hint="eastAsia" w:asciiTheme="minorEastAsia" w:hAnsiTheme="minorEastAsia" w:eastAsiaTheme="minorEastAsia" w:cstheme="minorEastAsia"/>
                <w:sz w:val="24"/>
                <w:szCs w:val="24"/>
                <w:highlight w:val="none"/>
                <w:lang w:eastAsia="zh-CN"/>
              </w:rPr>
              <w:t>内置</w:t>
            </w:r>
            <w:r>
              <w:rPr>
                <w:rFonts w:hint="eastAsia" w:asciiTheme="minorEastAsia" w:hAnsiTheme="minorEastAsia" w:eastAsiaTheme="minorEastAsia" w:cstheme="minorEastAsia"/>
                <w:sz w:val="24"/>
                <w:szCs w:val="24"/>
                <w:highlight w:val="none"/>
              </w:rPr>
              <w:t>密码卡</w:t>
            </w:r>
            <w:r>
              <w:rPr>
                <w:rFonts w:hint="eastAsia" w:asciiTheme="minorEastAsia" w:hAnsiTheme="minorEastAsia" w:eastAsiaTheme="minorEastAsia" w:cstheme="minorEastAsia"/>
                <w:sz w:val="24"/>
                <w:szCs w:val="24"/>
                <w:highlight w:val="none"/>
                <w:lang w:eastAsia="zh-CN"/>
              </w:rPr>
              <w:t>《计算机信息系统安全专用产品销售许可证》或</w:t>
            </w:r>
            <w:r>
              <w:rPr>
                <w:rFonts w:hint="eastAsia" w:asciiTheme="minorEastAsia" w:hAnsiTheme="minorEastAsia" w:eastAsiaTheme="minorEastAsia" w:cstheme="minorEastAsia"/>
                <w:sz w:val="24"/>
                <w:szCs w:val="24"/>
                <w:highlight w:val="none"/>
              </w:rPr>
              <w:t>《商用密码产品认证证书》【提供证书复印件，加盖公章】</w:t>
            </w:r>
          </w:p>
          <w:p w14:paraId="2BEA7634">
            <w:pPr>
              <w:spacing w:line="400" w:lineRule="exact"/>
              <w:ind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★2.要求产品具备《网络安全专用产品安全检测证书》【提供证书复印件，加盖公章】</w:t>
            </w:r>
          </w:p>
        </w:tc>
      </w:tr>
      <w:tr w14:paraId="03E7C7A6">
        <w:tblPrEx>
          <w:tblCellMar>
            <w:top w:w="0" w:type="dxa"/>
            <w:left w:w="0" w:type="dxa"/>
            <w:bottom w:w="0" w:type="dxa"/>
            <w:right w:w="0" w:type="dxa"/>
          </w:tblCellMar>
        </w:tblPrEx>
        <w:trPr>
          <w:trHeight w:val="77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F2ACC">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4C9C7">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视频安全接入系统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FD68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为各种终端通过网络与信息内网访问和传输视频信息提供安全接入服务，通过信道加密、认证接入等安全措施，实现视频应用的安全接入。</w:t>
            </w:r>
          </w:p>
          <w:p w14:paraId="712A33C5">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对称密码算法：SM1、SM4、AES、3DES</w:t>
            </w:r>
          </w:p>
          <w:p w14:paraId="685B1A5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非对称密码算法：SM2、RSA-1024、RSA-2048</w:t>
            </w:r>
          </w:p>
          <w:p w14:paraId="41A31BD5">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摘要算法：SM3、SHA1、SHA256、MD5</w:t>
            </w:r>
          </w:p>
          <w:p w14:paraId="4D5E651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最大在线连接数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2000</w:t>
            </w:r>
          </w:p>
          <w:p w14:paraId="4581C9A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最大并发连接数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500</w:t>
            </w:r>
          </w:p>
          <w:p w14:paraId="4CD0547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每秒新建连接数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100</w:t>
            </w:r>
          </w:p>
          <w:p w14:paraId="5964E69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吞吐率≥900Mbps（SM4）</w:t>
            </w:r>
          </w:p>
          <w:p w14:paraId="53A07F9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设备高度：≤2U</w:t>
            </w:r>
          </w:p>
          <w:p w14:paraId="48CCE3F0">
            <w:pPr>
              <w:spacing w:line="400" w:lineRule="exact"/>
              <w:ind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网络接口：≥4个千兆电口</w:t>
            </w:r>
          </w:p>
        </w:tc>
      </w:tr>
      <w:tr w14:paraId="1CF47B0A">
        <w:tblPrEx>
          <w:tblCellMar>
            <w:top w:w="0" w:type="dxa"/>
            <w:left w:w="0" w:type="dxa"/>
            <w:bottom w:w="0" w:type="dxa"/>
            <w:right w:w="0" w:type="dxa"/>
          </w:tblCellMar>
        </w:tblPrEx>
        <w:trPr>
          <w:trHeight w:val="103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C1797">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35660">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综合认证系统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012EF">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硬件指标：标准机架式设备，采用国产化处理器及操作系统；网络接口：</w:t>
            </w:r>
            <w:r>
              <w:rPr>
                <w:rFonts w:hint="eastAsia" w:asciiTheme="minorEastAsia" w:hAnsiTheme="minorEastAsia" w:eastAsiaTheme="minorEastAsia" w:cstheme="minorEastAsia"/>
                <w:color w:val="auto"/>
                <w:sz w:val="24"/>
                <w:szCs w:val="24"/>
                <w:highlight w:val="none"/>
              </w:rPr>
              <w:t>不少于2个千兆电口</w:t>
            </w:r>
            <w:r>
              <w:rPr>
                <w:rFonts w:hint="eastAsia" w:asciiTheme="minorEastAsia" w:hAnsiTheme="minorEastAsia" w:eastAsiaTheme="minorEastAsia" w:cstheme="minorEastAsia"/>
                <w:sz w:val="24"/>
                <w:szCs w:val="24"/>
                <w:highlight w:val="none"/>
              </w:rPr>
              <w:t>；电源≥350W。</w:t>
            </w:r>
          </w:p>
          <w:p w14:paraId="78EB8F1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性能指标：支持最大用户数≥2000；每秒认证数≥2000；签发证书速度≥60张/秒；</w:t>
            </w:r>
          </w:p>
          <w:p w14:paraId="793916E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11BB516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1.提供数字证书认证功能，可创建一对公私钥对。包括发放、管理、废除数字证书，检查证书持有者身份的合法性，并签发证书。以防证书被伪造或篡改，以及对证书和密钥进行管理。</w:t>
            </w:r>
          </w:p>
          <w:p w14:paraId="69F726B0">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2.提供RA功能。具有证书的申请、审批、下载等一系列功能。</w:t>
            </w:r>
          </w:p>
          <w:p w14:paraId="5664BBF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3.提供Socket服务接口。</w:t>
            </w:r>
          </w:p>
          <w:p w14:paraId="669F865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4.管理功能。系统通过WEB 浏览器访问本系统，执行下列证书管理操作子CA、设备证书的签发和撤销、用户证书的签发和撤销、管理员证书的签发、证书查询功能。</w:t>
            </w:r>
          </w:p>
          <w:p w14:paraId="29C5D497">
            <w:pPr>
              <w:kinsoku w:val="0"/>
              <w:overflowPunct w:val="0"/>
              <w:spacing w:before="1" w:line="400" w:lineRule="exact"/>
              <w:ind w:right="98"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其他要求</w:t>
            </w:r>
          </w:p>
          <w:p w14:paraId="216B9168">
            <w:pPr>
              <w:kinsoku w:val="0"/>
              <w:overflowPunct w:val="0"/>
              <w:spacing w:before="1" w:line="400" w:lineRule="exact"/>
              <w:ind w:right="98"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★1.为了保障平台整体运行的稳定性及安全性，综合认证系统厂商应具有自主研发的</w:t>
            </w:r>
            <w:r>
              <w:rPr>
                <w:rFonts w:hint="eastAsia" w:asciiTheme="minorEastAsia" w:hAnsiTheme="minorEastAsia" w:eastAsiaTheme="minorEastAsia" w:cstheme="minorEastAsia"/>
                <w:sz w:val="24"/>
                <w:szCs w:val="24"/>
                <w:highlight w:val="none"/>
                <w:lang w:val="en-US" w:eastAsia="zh-CN"/>
              </w:rPr>
              <w:t>内置</w:t>
            </w:r>
            <w:r>
              <w:rPr>
                <w:rFonts w:hint="eastAsia" w:asciiTheme="minorEastAsia" w:hAnsiTheme="minorEastAsia" w:eastAsiaTheme="minorEastAsia" w:cstheme="minorEastAsia"/>
                <w:sz w:val="24"/>
                <w:szCs w:val="24"/>
                <w:highlight w:val="none"/>
              </w:rPr>
              <w:t>密码卡，提供</w:t>
            </w:r>
            <w:r>
              <w:rPr>
                <w:rFonts w:hint="eastAsia" w:asciiTheme="minorEastAsia" w:hAnsiTheme="minorEastAsia" w:eastAsiaTheme="minorEastAsia" w:cstheme="minorEastAsia"/>
                <w:sz w:val="24"/>
                <w:szCs w:val="24"/>
                <w:highlight w:val="none"/>
                <w:lang w:val="en-US" w:eastAsia="zh-CN"/>
              </w:rPr>
              <w:t>内置</w:t>
            </w:r>
            <w:r>
              <w:rPr>
                <w:rFonts w:hint="eastAsia" w:asciiTheme="minorEastAsia" w:hAnsiTheme="minorEastAsia" w:eastAsiaTheme="minorEastAsia" w:cstheme="minorEastAsia"/>
                <w:sz w:val="24"/>
                <w:szCs w:val="24"/>
                <w:highlight w:val="none"/>
              </w:rPr>
              <w:t>密码卡《商用密码产品认证证书》【提供证书复印件，加盖公章】</w:t>
            </w:r>
          </w:p>
        </w:tc>
      </w:tr>
      <w:tr w14:paraId="406207A5">
        <w:tblPrEx>
          <w:tblCellMar>
            <w:top w:w="0" w:type="dxa"/>
            <w:left w:w="0" w:type="dxa"/>
            <w:bottom w:w="0" w:type="dxa"/>
            <w:right w:w="0" w:type="dxa"/>
          </w:tblCellMar>
        </w:tblPrEx>
        <w:trPr>
          <w:trHeight w:val="155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2785B">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5</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299C6">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空中发证系统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84CCC">
            <w:pPr>
              <w:spacing w:line="400" w:lineRule="exact"/>
              <w:ind w:firstLine="48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负责采集用户终端信息、发起证书操作请求、解析证书操作响应和调用密码模块，实现移动办公执法证书的各项管理功能。提供接收空中身份证书操作请求，调用身份识别认证系统，实现对用户真实身份的识别认证、管理员对用户真实身份进行识别认证功能，将证书操作请求转发给移动办公执法信息管理平台。</w:t>
            </w:r>
          </w:p>
        </w:tc>
      </w:tr>
      <w:tr w14:paraId="799839E2">
        <w:tblPrEx>
          <w:tblCellMar>
            <w:top w:w="0" w:type="dxa"/>
            <w:left w:w="0" w:type="dxa"/>
            <w:bottom w:w="0" w:type="dxa"/>
            <w:right w:w="0" w:type="dxa"/>
          </w:tblCellMar>
        </w:tblPrEx>
        <w:trPr>
          <w:trHeight w:val="553"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6C8DB">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6</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79AEB">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身份识别认证系统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2EF8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结合人像识别技术，提供用户的身份识别认证接口，实现人员身份的识别和认证功能。</w:t>
            </w:r>
          </w:p>
        </w:tc>
      </w:tr>
      <w:tr w14:paraId="18B81A30">
        <w:tblPrEx>
          <w:tblCellMar>
            <w:top w:w="0" w:type="dxa"/>
            <w:left w:w="0" w:type="dxa"/>
            <w:bottom w:w="0" w:type="dxa"/>
            <w:right w:w="0" w:type="dxa"/>
          </w:tblCellMar>
        </w:tblPrEx>
        <w:trPr>
          <w:trHeight w:val="1553"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A23C3">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7</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E997C">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数据应用访问控制系统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E6987">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硬件指标：标准机架式设备, 采用国产化处理器及操作系统；采用“前置＋后置”的部署模式；网络接口：不少于2个千兆电口，</w:t>
            </w:r>
            <w:r>
              <w:rPr>
                <w:rFonts w:hint="eastAsia" w:asciiTheme="minorEastAsia" w:hAnsiTheme="minorEastAsia" w:eastAsiaTheme="minorEastAsia" w:cstheme="minorEastAsia"/>
                <w:color w:val="auto"/>
                <w:sz w:val="24"/>
                <w:szCs w:val="24"/>
                <w:highlight w:val="none"/>
              </w:rPr>
              <w:t>不少于4个千兆电口</w:t>
            </w:r>
            <w:r>
              <w:rPr>
                <w:rFonts w:hint="eastAsia" w:asciiTheme="minorEastAsia" w:hAnsiTheme="minorEastAsia" w:eastAsiaTheme="minorEastAsia" w:cstheme="minorEastAsia"/>
                <w:sz w:val="24"/>
                <w:szCs w:val="24"/>
                <w:highlight w:val="none"/>
              </w:rPr>
              <w:t>。</w:t>
            </w:r>
          </w:p>
          <w:p w14:paraId="1FCB508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w:t>
            </w:r>
          </w:p>
          <w:p w14:paraId="485E9BF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1.访问控制。吞吐率≥</w:t>
            </w:r>
            <w:r>
              <w:rPr>
                <w:rFonts w:hint="eastAsia" w:asciiTheme="minorEastAsia" w:hAnsiTheme="minorEastAsia" w:eastAsiaTheme="minorEastAsia" w:cstheme="minorEastAsia"/>
                <w:color w:val="auto"/>
                <w:sz w:val="24"/>
                <w:szCs w:val="24"/>
                <w:highlight w:val="none"/>
              </w:rPr>
              <w:t>800Mbps</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最大并发连接数≥20000个</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每秒新增连接数≥500个/秒</w:t>
            </w:r>
            <w:r>
              <w:rPr>
                <w:rFonts w:hint="eastAsia" w:asciiTheme="minorEastAsia" w:hAnsiTheme="minorEastAsia" w:eastAsiaTheme="minorEastAsia" w:cstheme="minorEastAsia"/>
                <w:sz w:val="24"/>
                <w:szCs w:val="24"/>
                <w:highlight w:val="none"/>
              </w:rPr>
              <w:t>。</w:t>
            </w:r>
          </w:p>
          <w:p w14:paraId="36A3977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2.数据同步。数据库到数据库交换记录数≥</w:t>
            </w:r>
            <w:r>
              <w:rPr>
                <w:rFonts w:hint="eastAsia" w:asciiTheme="minorEastAsia" w:hAnsiTheme="minorEastAsia" w:eastAsiaTheme="minorEastAsia" w:cstheme="minorEastAsia"/>
                <w:color w:val="auto"/>
                <w:sz w:val="24"/>
                <w:szCs w:val="24"/>
                <w:highlight w:val="none"/>
              </w:rPr>
              <w:t>1000条/秒</w:t>
            </w:r>
            <w:r>
              <w:rPr>
                <w:rFonts w:hint="eastAsia" w:asciiTheme="minorEastAsia" w:hAnsiTheme="minorEastAsia" w:eastAsiaTheme="minorEastAsia" w:cstheme="minorEastAsia"/>
                <w:sz w:val="24"/>
                <w:szCs w:val="24"/>
                <w:highlight w:val="none"/>
              </w:rPr>
              <w:t>。</w:t>
            </w:r>
          </w:p>
          <w:p w14:paraId="327E2FA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3.文件同步。吞吐率≥</w:t>
            </w:r>
            <w:r>
              <w:rPr>
                <w:rFonts w:hint="eastAsia" w:asciiTheme="minorEastAsia" w:hAnsiTheme="minorEastAsia" w:eastAsiaTheme="minorEastAsia" w:cstheme="minorEastAsia"/>
                <w:color w:val="auto"/>
                <w:sz w:val="24"/>
                <w:szCs w:val="24"/>
                <w:highlight w:val="none"/>
              </w:rPr>
              <w:t>200Mbps</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交换个数（10KB大小文件）≥15个/秒</w:t>
            </w:r>
            <w:r>
              <w:rPr>
                <w:rFonts w:hint="eastAsia" w:asciiTheme="minorEastAsia" w:hAnsiTheme="minorEastAsia" w:eastAsiaTheme="minorEastAsia" w:cstheme="minorEastAsia"/>
                <w:sz w:val="24"/>
                <w:szCs w:val="24"/>
                <w:highlight w:val="none"/>
              </w:rPr>
              <w:t>。</w:t>
            </w:r>
          </w:p>
          <w:p w14:paraId="324CD39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7AA88F8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1.支持HTTP、HTTPS、TCP、UDP协议类型的访问控制。</w:t>
            </w:r>
          </w:p>
          <w:p w14:paraId="2F050CB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2.支持数据库数据同步，支持Mysql、国产达梦数据库等数据库，支持同构、异构数据库之间的数据同步。</w:t>
            </w:r>
          </w:p>
          <w:p w14:paraId="6482846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3.支持文件同步，支持FTP、SMB协议的文件交换；</w:t>
            </w:r>
          </w:p>
          <w:p w14:paraId="10AB37E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4.支持授权访问服务，解决访问者身份认证及业务资源鉴权的问题。授权访问包括：设备访问控制、用户访问控制和应用访问控制。</w:t>
            </w:r>
          </w:p>
          <w:p w14:paraId="680A72D3">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5.支持数据摆渡服务，提供数据库数据、文件数据同步功能，解决不同安全域之间数据同步的问题。</w:t>
            </w:r>
          </w:p>
          <w:p w14:paraId="08B6ADE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6.文件请求服务，通过对外提供统一的接口服务，满足移动应用跨边界实时上传下载文件的需求。</w:t>
            </w:r>
          </w:p>
          <w:p w14:paraId="68E7870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7.从系统安全、策略安全和审计安全进行安全管理，支持多因子认证机制，禁止未授权主机进行管理系统登录。</w:t>
            </w:r>
          </w:p>
          <w:p w14:paraId="2C1335A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8.提供运维管理能力，支持运行状态检测，支持日志备份与导出，支持图形化网络配置。</w:t>
            </w:r>
          </w:p>
        </w:tc>
      </w:tr>
      <w:tr w14:paraId="189A0020">
        <w:tblPrEx>
          <w:tblCellMar>
            <w:top w:w="0" w:type="dxa"/>
            <w:left w:w="0" w:type="dxa"/>
            <w:bottom w:w="0" w:type="dxa"/>
            <w:right w:w="0" w:type="dxa"/>
          </w:tblCellMar>
        </w:tblPrEx>
        <w:trPr>
          <w:trHeight w:val="1553"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9F3E">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8</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7F84">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视频访问控制系统</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74474">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由前置、后置系统组成，分别部署在安全隔离网闸前后，对需要访问监狱信息网的数据资源服务进行注册配置和共享交换，在网络信息隔离设备的基础上，对数据资源进行封装，实现访问资源访问和数据交换，实现两个网络间数据交换和信息同步。视频数据的编码格式符合 GB/T 28181 的要求。</w:t>
            </w:r>
          </w:p>
        </w:tc>
      </w:tr>
      <w:tr w14:paraId="74DBAABB">
        <w:tblPrEx>
          <w:tblCellMar>
            <w:top w:w="0" w:type="dxa"/>
            <w:left w:w="0" w:type="dxa"/>
            <w:bottom w:w="0" w:type="dxa"/>
            <w:right w:w="0" w:type="dxa"/>
          </w:tblCellMar>
        </w:tblPrEx>
        <w:trPr>
          <w:trHeight w:val="1553"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289AC">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9</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6C564">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移动办公执法信息管理平台</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FEAA1">
            <w:pPr>
              <w:pStyle w:val="11"/>
              <w:kinsoku w:val="0"/>
              <w:overflowPunct w:val="0"/>
              <w:spacing w:line="400" w:lineRule="exact"/>
              <w:ind w:left="107" w:right="98" w:firstLine="480"/>
              <w:jc w:val="both"/>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实现警员信息管理、证书管理、权限管理、统计报表、日志管理和配置管理等后台管理功能。</w:t>
            </w:r>
          </w:p>
          <w:p w14:paraId="2B0AB634">
            <w:pPr>
              <w:pStyle w:val="11"/>
              <w:kinsoku w:val="0"/>
              <w:overflowPunct w:val="0"/>
              <w:spacing w:line="400" w:lineRule="exact"/>
              <w:ind w:left="107" w:right="98" w:firstLine="480"/>
              <w:jc w:val="both"/>
              <w:rPr>
                <w:rFonts w:asciiTheme="minorEastAsia" w:hAnsiTheme="minorEastAsia" w:eastAsiaTheme="minorEastAsia" w:cstheme="minorEastAsia"/>
                <w:color w:val="FF0000"/>
                <w:kern w:val="2"/>
                <w:sz w:val="24"/>
                <w:szCs w:val="24"/>
              </w:rPr>
            </w:pPr>
            <w:r>
              <w:rPr>
                <w:rFonts w:hint="eastAsia" w:asciiTheme="minorEastAsia" w:hAnsiTheme="minorEastAsia" w:eastAsiaTheme="minorEastAsia" w:cstheme="minorEastAsia"/>
                <w:kern w:val="2"/>
                <w:sz w:val="24"/>
                <w:szCs w:val="24"/>
              </w:rPr>
              <w:t>如计划使用现有移动办公执法信息管理平台进行延保，需对现有移动办公执法信息管理平台进行国产化服务器适配，提供现有移动办公执法信息管理平台承诺函。</w:t>
            </w:r>
          </w:p>
          <w:p w14:paraId="4EADB1E5">
            <w:pPr>
              <w:pStyle w:val="11"/>
              <w:kinsoku w:val="0"/>
              <w:overflowPunct w:val="0"/>
              <w:spacing w:line="400" w:lineRule="exact"/>
              <w:ind w:left="107" w:right="98" w:firstLine="502"/>
              <w:jc w:val="both"/>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spacing w:val="12"/>
                <w:w w:val="95"/>
                <w:kern w:val="2"/>
                <w:sz w:val="24"/>
                <w:szCs w:val="24"/>
              </w:rPr>
              <w:t>★</w:t>
            </w:r>
            <w:r>
              <w:rPr>
                <w:rFonts w:hint="eastAsia" w:asciiTheme="minorEastAsia" w:hAnsiTheme="minorEastAsia" w:eastAsiaTheme="minorEastAsia" w:cstheme="minorEastAsia"/>
                <w:sz w:val="24"/>
                <w:szCs w:val="24"/>
              </w:rPr>
              <w:t>为确保证书发放、证书使用的一致性，需与综合认证系统同一品牌。</w:t>
            </w:r>
          </w:p>
        </w:tc>
      </w:tr>
      <w:tr w14:paraId="49B24FFD">
        <w:tblPrEx>
          <w:tblCellMar>
            <w:top w:w="0" w:type="dxa"/>
            <w:left w:w="0" w:type="dxa"/>
            <w:bottom w:w="0" w:type="dxa"/>
            <w:right w:w="0" w:type="dxa"/>
          </w:tblCellMar>
        </w:tblPrEx>
        <w:trPr>
          <w:trHeight w:val="1553"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5199">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10</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67565">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虚拟硬件安全模块（服务端）</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0EDB0">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硬件指标：标准机架式设备,采用国产化处理器及操作系统；内置密码卡；网络接口：不少于 6 个千兆电口。</w:t>
            </w:r>
          </w:p>
          <w:p w14:paraId="119FB945">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性能指标：SM2协同密钥分量生成速率≥190对/秒，协同签名速率≥260次/秒，验签速率≥390次/秒，加密速率≥380Kbps，协同解密速率≥95Kbps</w:t>
            </w:r>
          </w:p>
          <w:p w14:paraId="24D2AE5B">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功能要求：</w:t>
            </w:r>
          </w:p>
          <w:p w14:paraId="6A6007F7">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1.配合虚拟硬件安全模块（客户端）使用，通过密钥拆分、协同签名等技术手段保证使用安全模块过程的安全性。</w:t>
            </w:r>
          </w:p>
          <w:p w14:paraId="40D9BA1F">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2.支持对称密码算法、非对称密码算法、杂凑算法、随机数生成等密码运算服务。</w:t>
            </w:r>
          </w:p>
          <w:p w14:paraId="31905D0D">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3.支持密钥和证书存储容器不少于 10个。</w:t>
            </w:r>
          </w:p>
          <w:p w14:paraId="2CE56017">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4.为管理员提供设备管理及审批管理能力。</w:t>
            </w:r>
          </w:p>
          <w:p w14:paraId="6EA73EA3">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5.支持和第三方CA对接，提供证书的全生命周期管理服务。</w:t>
            </w:r>
          </w:p>
          <w:p w14:paraId="09F8845A">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其他</w:t>
            </w:r>
            <w:r>
              <w:rPr>
                <w:rFonts w:hint="eastAsia" w:asciiTheme="minorEastAsia" w:hAnsiTheme="minorEastAsia" w:eastAsiaTheme="minorEastAsia" w:cstheme="minorEastAsia"/>
                <w:sz w:val="24"/>
                <w:szCs w:val="24"/>
              </w:rPr>
              <w:t>要求</w:t>
            </w:r>
          </w:p>
          <w:p w14:paraId="5131C086">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★1.要求产品具备《商用密码产品认证证书》【提供证书复印件，加盖公章】</w:t>
            </w:r>
          </w:p>
          <w:p w14:paraId="10F4C8A8">
            <w:pPr>
              <w:spacing w:line="400" w:lineRule="exact"/>
              <w:ind w:firstLine="480"/>
              <w:rPr>
                <w:rFonts w:asciiTheme="minorEastAsia" w:hAnsiTheme="minorEastAsia" w:eastAsiaTheme="minorEastAsia" w:cstheme="minorEastAsia"/>
                <w:w w:val="95"/>
                <w:sz w:val="24"/>
                <w:szCs w:val="24"/>
              </w:rPr>
            </w:pPr>
            <w:r>
              <w:rPr>
                <w:rFonts w:hint="eastAsia" w:asciiTheme="minorEastAsia" w:hAnsiTheme="minorEastAsia" w:eastAsiaTheme="minorEastAsia" w:cstheme="minorEastAsia"/>
                <w:sz w:val="24"/>
                <w:szCs w:val="24"/>
              </w:rPr>
              <w:t>★2.为了保障平台整体运行的稳定性及安全性，虚拟硬件安全模块（服务端）厂商应具有自主研发的</w:t>
            </w:r>
            <w:r>
              <w:rPr>
                <w:rFonts w:hint="eastAsia" w:asciiTheme="minorEastAsia" w:hAnsiTheme="minorEastAsia" w:eastAsiaTheme="minorEastAsia" w:cstheme="minorEastAsia"/>
                <w:sz w:val="24"/>
                <w:szCs w:val="24"/>
                <w:lang w:val="en-US" w:eastAsia="zh-CN"/>
              </w:rPr>
              <w:t>内置</w:t>
            </w:r>
            <w:r>
              <w:rPr>
                <w:rFonts w:hint="eastAsia" w:asciiTheme="minorEastAsia" w:hAnsiTheme="minorEastAsia" w:eastAsiaTheme="minorEastAsia" w:cstheme="minorEastAsia"/>
                <w:sz w:val="24"/>
                <w:szCs w:val="24"/>
              </w:rPr>
              <w:t>密码卡，提供</w:t>
            </w:r>
            <w:r>
              <w:rPr>
                <w:rFonts w:hint="eastAsia" w:asciiTheme="minorEastAsia" w:hAnsiTheme="minorEastAsia" w:eastAsiaTheme="minorEastAsia" w:cstheme="minorEastAsia"/>
                <w:sz w:val="24"/>
                <w:szCs w:val="24"/>
                <w:lang w:val="en-US" w:eastAsia="zh-CN"/>
              </w:rPr>
              <w:t>内置</w:t>
            </w:r>
            <w:r>
              <w:rPr>
                <w:rFonts w:hint="eastAsia" w:asciiTheme="minorEastAsia" w:hAnsiTheme="minorEastAsia" w:eastAsiaTheme="minorEastAsia" w:cstheme="minorEastAsia"/>
                <w:sz w:val="24"/>
                <w:szCs w:val="24"/>
              </w:rPr>
              <w:t>密码卡《商用密码产品认证证书》【提供证书复印件，加盖公章】</w:t>
            </w:r>
          </w:p>
        </w:tc>
      </w:tr>
      <w:tr w14:paraId="31A2B36D">
        <w:tblPrEx>
          <w:tblCellMar>
            <w:top w:w="0" w:type="dxa"/>
            <w:left w:w="0" w:type="dxa"/>
            <w:bottom w:w="0" w:type="dxa"/>
            <w:right w:w="0" w:type="dxa"/>
          </w:tblCellMar>
        </w:tblPrEx>
        <w:trPr>
          <w:trHeight w:val="416"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08B20">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11</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C050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防火墙</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9469E">
            <w:pPr>
              <w:spacing w:line="400" w:lineRule="exact"/>
              <w:ind w:firstLine="480"/>
              <w:rPr>
                <w:rFonts w:asciiTheme="minorEastAsia" w:hAnsiTheme="minorEastAsia" w:eastAsiaTheme="minorEastAsia" w:cstheme="minorEastAsia"/>
                <w:w w:val="95"/>
                <w:sz w:val="24"/>
                <w:szCs w:val="24"/>
              </w:rPr>
            </w:pPr>
            <w:r>
              <w:rPr>
                <w:rFonts w:hint="eastAsia" w:asciiTheme="minorEastAsia" w:hAnsiTheme="minorEastAsia" w:eastAsiaTheme="minorEastAsia" w:cstheme="minorEastAsia"/>
                <w:sz w:val="24"/>
                <w:szCs w:val="24"/>
              </w:rPr>
              <w:t>国产芯片，国产操作系统，硬件规格：≥1U，≥6个千兆电口；性能规格：吞吐量≥12Gbps，并发连接数≥800万，新建连接数≥10万。带病毒库和三年升级服务。</w:t>
            </w:r>
          </w:p>
        </w:tc>
      </w:tr>
      <w:tr w14:paraId="0335F3D3">
        <w:tblPrEx>
          <w:tblCellMar>
            <w:top w:w="0" w:type="dxa"/>
            <w:left w:w="0" w:type="dxa"/>
            <w:bottom w:w="0" w:type="dxa"/>
            <w:right w:w="0" w:type="dxa"/>
          </w:tblCellMar>
        </w:tblPrEx>
        <w:trPr>
          <w:trHeight w:val="737"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1F8C">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12</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C23F0">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安全隔离网闸</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39526">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≥2U设备，冗余电源；国产芯片，国产操作系统</w:t>
            </w:r>
          </w:p>
          <w:p w14:paraId="4DB7FDA6">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内端机≥8个10/100/1000Base-T(RJ45)接口，≥4个SFP千兆接口，≥1个MAN口；</w:t>
            </w:r>
          </w:p>
          <w:p w14:paraId="02060403">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外端机≥8个10/100/1000Base-T(RJ45)接口，≥4个SFP千兆接口，≥1个HA口；</w:t>
            </w:r>
          </w:p>
          <w:p w14:paraId="7510128E">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标准配置包含 web 访问模块、邮件访问模块、文件访问模块、文件同步模块、数据库访问模块、视频传输模块、自定义功能模块；</w:t>
            </w:r>
          </w:p>
          <w:p w14:paraId="7E6F3F85">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协议支持：TCP、UDP、HTTP、HTTP_PROXY、FTP、ORACLE、POP3、SMTP、OPC、MODBUS、GB_28181_UDP、GB_28181_TCP、SIP_DB33、RTSP、MAC、ICMP、SNMP；</w:t>
            </w:r>
          </w:p>
          <w:p w14:paraId="01ABB7B5">
            <w:pPr>
              <w:spacing w:line="400" w:lineRule="exact"/>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网络吞吐量：≥1000Mbps；系统整体时延：&lt;0.1ns：3年的防病毒模块升级服务ids/ips模块：3年的防病毒模块升级服务</w:t>
            </w:r>
          </w:p>
        </w:tc>
      </w:tr>
      <w:tr w14:paraId="37085ACE">
        <w:tblPrEx>
          <w:tblCellMar>
            <w:top w:w="0" w:type="dxa"/>
            <w:left w:w="0" w:type="dxa"/>
            <w:bottom w:w="0" w:type="dxa"/>
            <w:right w:w="0" w:type="dxa"/>
          </w:tblCellMar>
        </w:tblPrEx>
        <w:trPr>
          <w:trHeight w:val="98"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35357">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13</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2677A">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机柜及KVM套件</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8D7BD">
            <w:pPr>
              <w:spacing w:line="400" w:lineRule="exact"/>
              <w:ind w:firstLine="480"/>
              <w:rPr>
                <w:rFonts w:asciiTheme="minorEastAsia" w:hAnsiTheme="minorEastAsia" w:eastAsiaTheme="minorEastAsia" w:cstheme="minorEastAsia"/>
                <w:w w:val="95"/>
                <w:sz w:val="24"/>
                <w:szCs w:val="24"/>
              </w:rPr>
            </w:pPr>
            <w:r>
              <w:rPr>
                <w:rFonts w:hint="eastAsia" w:asciiTheme="minorEastAsia" w:hAnsiTheme="minorEastAsia" w:eastAsiaTheme="minorEastAsia" w:cstheme="minorEastAsia"/>
                <w:sz w:val="24"/>
                <w:szCs w:val="24"/>
              </w:rPr>
              <w:t>用来安装本次平台建设的硬件设备。</w:t>
            </w:r>
          </w:p>
        </w:tc>
      </w:tr>
      <w:tr w14:paraId="188F364A">
        <w:tblPrEx>
          <w:tblCellMar>
            <w:top w:w="0" w:type="dxa"/>
            <w:left w:w="0" w:type="dxa"/>
            <w:bottom w:w="0" w:type="dxa"/>
            <w:right w:w="0" w:type="dxa"/>
          </w:tblCellMar>
        </w:tblPrEx>
        <w:trPr>
          <w:trHeight w:val="415" w:hRule="atLeast"/>
          <w:jc w:val="center"/>
        </w:trPr>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0922D">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14</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F689E">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原厂服务承诺</w:t>
            </w:r>
          </w:p>
        </w:tc>
        <w:tc>
          <w:tcPr>
            <w:tcW w:w="39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FF54">
            <w:pPr>
              <w:spacing w:line="400" w:lineRule="exact"/>
              <w:ind w:firstLine="480"/>
              <w:rPr>
                <w:rFonts w:asciiTheme="minorEastAsia" w:hAnsiTheme="minorEastAsia" w:eastAsiaTheme="minorEastAsia" w:cstheme="minorEastAsia"/>
                <w:w w:val="95"/>
                <w:sz w:val="24"/>
                <w:szCs w:val="24"/>
              </w:rPr>
            </w:pPr>
            <w:r>
              <w:rPr>
                <w:rFonts w:hint="eastAsia" w:asciiTheme="minorEastAsia" w:hAnsiTheme="minorEastAsia" w:eastAsiaTheme="minorEastAsia" w:cstheme="minorEastAsia"/>
                <w:sz w:val="24"/>
                <w:szCs w:val="24"/>
              </w:rPr>
              <w:t>★延保产品提供至少三年原厂服务（提供承诺函并加盖原厂公章）</w:t>
            </w:r>
          </w:p>
        </w:tc>
      </w:tr>
    </w:tbl>
    <w:p w14:paraId="557B90DE">
      <w:pPr>
        <w:spacing w:line="288" w:lineRule="auto"/>
        <w:ind w:firstLine="562"/>
        <w:outlineLvl w:val="1"/>
        <w:rPr>
          <w:rFonts w:hint="eastAsia" w:asciiTheme="minorEastAsia" w:hAnsiTheme="minorEastAsia" w:eastAsiaTheme="minorEastAsia" w:cstheme="minorEastAsia"/>
          <w:b/>
          <w:bCs w:val="0"/>
          <w:sz w:val="28"/>
        </w:rPr>
      </w:pPr>
      <w:bookmarkStart w:id="2" w:name="_Toc900745656"/>
      <w:r>
        <w:rPr>
          <w:rFonts w:hint="eastAsia" w:asciiTheme="minorEastAsia" w:hAnsiTheme="minorEastAsia" w:eastAsiaTheme="minorEastAsia" w:cstheme="minorEastAsia"/>
          <w:b/>
          <w:bCs w:val="0"/>
          <w:sz w:val="28"/>
        </w:rPr>
        <w:t>（二）移动应用平台</w:t>
      </w:r>
      <w:bookmarkEnd w:id="2"/>
    </w:p>
    <w:p w14:paraId="211373FE">
      <w:pPr>
        <w:spacing w:line="288" w:lineRule="auto"/>
        <w:ind w:firstLine="562"/>
        <w:outlineLvl w:val="2"/>
        <w:rPr>
          <w:rFonts w:hint="eastAsia" w:asciiTheme="minorEastAsia" w:hAnsiTheme="minorEastAsia" w:eastAsiaTheme="minorEastAsia" w:cstheme="minorEastAsia"/>
          <w:b/>
          <w:bCs w:val="0"/>
          <w:sz w:val="28"/>
        </w:rPr>
      </w:pPr>
      <w:bookmarkStart w:id="3" w:name="_Toc462667019"/>
      <w:bookmarkStart w:id="4" w:name="_Toc1455987026"/>
      <w:r>
        <w:rPr>
          <w:rFonts w:hint="eastAsia" w:asciiTheme="minorEastAsia" w:hAnsiTheme="minorEastAsia" w:eastAsiaTheme="minorEastAsia" w:cstheme="minorEastAsia"/>
          <w:b/>
          <w:bCs w:val="0"/>
          <w:sz w:val="28"/>
        </w:rPr>
        <w:t>1.移动终端管控平台</w:t>
      </w:r>
      <w:bookmarkEnd w:id="3"/>
      <w:bookmarkEnd w:id="4"/>
    </w:p>
    <w:p w14:paraId="2EAEC6FE">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通过移动终端管控平台，规范管理监狱警务终端。对移动终端强管控，实现警务终端多模式无缝切换，确保终端管控。</w:t>
      </w:r>
    </w:p>
    <w:p w14:paraId="7C17DEE3">
      <w:pPr>
        <w:spacing w:line="288" w:lineRule="auto"/>
        <w:ind w:firstLine="562"/>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rPr>
        <w:t>（1）终端管控子系统</w:t>
      </w:r>
      <w:r>
        <w:rPr>
          <w:rFonts w:hint="eastAsia" w:asciiTheme="minorEastAsia" w:hAnsiTheme="minorEastAsia" w:eastAsiaTheme="minorEastAsia" w:cstheme="minorEastAsia"/>
          <w:sz w:val="28"/>
        </w:rPr>
        <w:t>从终端设备的准备、使用、淘汰等各个环节，提供完整的设备生命周期管理功能，包括设备管理、资产管理、配置管理、安全管理、工作台、组织管理、人员管理、策略管理、网络管理等，解决移动化进程中的设备分发、部署、配置、管理等问题。将信息化管理能力扩展到移动终端，移动设备无论在任何地方，都必须遵守监狱设定的安全策略，接受监狱的统一管理。</w:t>
      </w:r>
    </w:p>
    <w:p w14:paraId="208419D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①用户终端分组分级管理：针对不同部门及监狱，对用户进行分组分级处理，并将用户分配给不同的管理部门及管理者，针对用户的管理的权限可进行分配给不同的管理员。支持组织和人员信息的外部导入和通过数据接口形式与其他系统实现组织和人员信息的数据同步（对接费用包含在本次服务中）。</w:t>
      </w:r>
    </w:p>
    <w:p w14:paraId="5B16F0C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②终端Wifi、蓝牙禁用：防止终端连接任何第三方网络，保证工作系统的安全的网络运行环境。</w:t>
      </w:r>
    </w:p>
    <w:p w14:paraId="144D56F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③SIM卡安全管控：对终端SIM信息进行绑定，更换SIM 卡后台可以通过设备查看告警信息，并且强制将该终端进行锁机，无法正常使用，确保干警终端和SIM卡是强绑定关系。</w:t>
      </w:r>
    </w:p>
    <w:p w14:paraId="18C1F90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④终端数据安全：根据监狱安全策略，对设备丢失情况，需要能对设备定位，远程锁定，远程数据擦除等操作。并根据设备最近在线时间，智能判断是否失联并告警。</w:t>
      </w:r>
    </w:p>
    <w:p w14:paraId="0CCA497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⑤设备信息实时监测：对监狱的移动办公执法终端，是否违规、最近上线、型号、状态、系统版本进行方便快速的查看。假如监狱发现某终端长时间未使用，则可找到相应警察，查明终端长时间不使用的原因，方便监狱对终端进行管理。</w:t>
      </w:r>
    </w:p>
    <w:p w14:paraId="23FDB36E">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⑥执勤模式下数据防泄密措施：为有效防止出监后，工作系统数据存在的泄密行为风险。出监后，将把工作系统的数据全部自动擦除。如果终端丢失或人员调离，也可通过平台远程将终端所有数据进行清除。</w:t>
      </w:r>
    </w:p>
    <w:p w14:paraId="7203739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⑦执法执勤模式和工作模式下禁止用户手动关闭安全连接和移动数据。</w:t>
      </w:r>
    </w:p>
    <w:p w14:paraId="76D7DFA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⑧终端管控要符合监狱对移动设备的管控需求，对移动终端进行统一的符合管理制度的强制管控，最大程度上杜绝手机泄密事件的发生。</w:t>
      </w:r>
    </w:p>
    <w:p w14:paraId="2886C086">
      <w:pPr>
        <w:spacing w:line="288" w:lineRule="auto"/>
        <w:ind w:firstLine="562"/>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rPr>
        <w:t>（2）应用商店子系统</w:t>
      </w:r>
      <w:r>
        <w:rPr>
          <w:rFonts w:hint="eastAsia" w:asciiTheme="minorEastAsia" w:hAnsiTheme="minorEastAsia" w:eastAsiaTheme="minorEastAsia" w:cstheme="minorEastAsia"/>
          <w:sz w:val="28"/>
        </w:rPr>
        <w:t>包括应用上架、应用签名、应用版本管理、应用审核、应用发布、应用下载、应用安装、应用卸载等功能，实现移动应用获取、分发、管控、更新、卸载的全生命周期管理能力。为监狱提供应用管理，直接通过在线下发，完成静默安装，确保新的移动应用能够及时安装到每台终端上。应用商店支持对移动设备的应用使用权限进行限制，防止移动智能终端使用非法APP程序，协助管理人员对移动设备统一推送APP应用程序，支持一键式安装，支持对监狱常用APP进行自定义设定。实现工作数据和生活数据的公私分离，保障在办公、执勤模式下仅允许运行单位内部指定的应用，保证重要数据不被非法应用任意存取。</w:t>
      </w:r>
    </w:p>
    <w:p w14:paraId="64A9AC29">
      <w:pPr>
        <w:spacing w:line="288" w:lineRule="auto"/>
        <w:ind w:firstLine="562"/>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rPr>
        <w:t>（3）门禁联动子系统</w:t>
      </w:r>
      <w:r>
        <w:rPr>
          <w:rFonts w:hint="eastAsia" w:asciiTheme="minorEastAsia" w:hAnsiTheme="minorEastAsia" w:eastAsiaTheme="minorEastAsia" w:cstheme="minorEastAsia"/>
          <w:sz w:val="28"/>
        </w:rPr>
        <w:t>涉及门禁对接、门禁触发、身份认证、模式切换等功能。</w:t>
      </w:r>
    </w:p>
    <w:p w14:paraId="7DC6BBF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①对接监狱门禁系统，结合监狱现有的进出监方式，警察进 AB 门时，触发门禁，经过合法性鉴别（包括但不限于人脸识别、身份识别）后，完成模式切换以及门禁打开，实现安全进监。</w:t>
      </w:r>
    </w:p>
    <w:p w14:paraId="5A65EED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②门禁触发与门禁互动，利用终端的NFC模块，在终端有效识别门禁身份后，将终端切换至执勤模式。</w:t>
      </w:r>
    </w:p>
    <w:p w14:paraId="4566492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③身份认证验证身份合法性，采用技术验证和入监人工核查相结合的方式。通过手持终端身份信息与后台相互验证，确认警察所持终端的合法性。</w:t>
      </w:r>
    </w:p>
    <w:p w14:paraId="1B5C6B9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④模式切换是利用终端NFC与门禁的联动，同时可实现身份认证（包括但不限于人脸识别、身份识别）与门禁联动，从而触发终端的模式切换。</w:t>
      </w:r>
    </w:p>
    <w:p w14:paraId="40067E4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⑤人员信息统计和数据共享。能够实现对当前处于执勤模式终端的人员信息的采集和统计分析，包括但不限于，当前全区监狱系统处于执勤模式终端总数，各监狱处于执勤模式终端总数，执勤模式终端使用人信息，并能够以接口（接口开发费用包含在本次服务中）形式将上述数据与其他系统共享。</w:t>
      </w:r>
    </w:p>
    <w:p w14:paraId="33BC0EA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⑥考勤打卡。能够通过刷机（不转换模式），实现考勤打卡功能。</w:t>
      </w:r>
    </w:p>
    <w:p w14:paraId="4A34A42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须符合《司法行政移动执法系统技术规范》以及公安部智能手机型移动警务终端要求，使用定制双系统多模式终端，实现个人系统下的生活模式、安全系统中的工作模式和监内执勤模式切换。当警务移动智能终端处于生活模式下，能够进行正常通讯、访问互联网和使用应用APP，生活模式可手动切换成工作模式。处于监狱行政区工作时使用工作模式，工作模式可与生活模式手动相互切换，工作模式下终端通信不受限制，只能打开该模式下的监狱办公执法APP。</w:t>
      </w:r>
    </w:p>
    <w:p w14:paraId="6BEBCE47">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进入监管区时，在安全系统的工作模式下只能通过刷NFC门禁的方式切换到执勤模式，不能手动切换；同时提供紧急情况下的平台远程切换。</w:t>
      </w:r>
    </w:p>
    <w:p w14:paraId="6DC6907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在执勤模式下，移动终端被严格管控，只能通过专网使用工作相关App，只能接打指定亲情号码，可以设置移动终端禁止拍照、录像、截屏等。从监区出来时，只能通过刷NFC门禁方式退出执勤模式，自动清除执勤模式应用数据，恢复执行到工作模式；同时提供紧急情况下的远程切换方式。</w:t>
      </w:r>
    </w:p>
    <w:p w14:paraId="112A02E9">
      <w:pPr>
        <w:spacing w:line="288" w:lineRule="auto"/>
        <w:ind w:firstLine="560"/>
        <w:rPr>
          <w:rFonts w:asciiTheme="minorEastAsia" w:hAnsiTheme="minorEastAsia" w:eastAsiaTheme="minorEastAsia" w:cstheme="minorEastAsia"/>
          <w:b/>
          <w:bCs/>
          <w:sz w:val="28"/>
        </w:rPr>
      </w:pPr>
      <w:r>
        <w:rPr>
          <w:rFonts w:hint="eastAsia" w:asciiTheme="minorEastAsia" w:hAnsiTheme="minorEastAsia" w:eastAsiaTheme="minorEastAsia" w:cstheme="minorEastAsia"/>
          <w:sz w:val="28"/>
        </w:rPr>
        <w:t>移动终端管控平台需要与监狱管理局下属7个监狱和宁夏监狱服刑人员入监教育中心8个单位的监管区AB门全部门禁系统进行对接，按每所监狱2套（一进一出为1套）计算，总计不少于16套。</w:t>
      </w:r>
      <w:r>
        <w:rPr>
          <w:rFonts w:hint="eastAsia" w:asciiTheme="minorEastAsia" w:hAnsiTheme="minorEastAsia" w:eastAsiaTheme="minorEastAsia" w:cstheme="minorEastAsia"/>
          <w:b/>
          <w:bCs/>
          <w:sz w:val="28"/>
        </w:rPr>
        <w:t>实现门禁系统与移动终端系统切换联动后，警察进入监管区时只能通过刷机（转换为执勤模式）同时配合人脸识别等完成身份认证，驱动辊闸进入监管区。离开监管区时也只能通过刷机（转化为工作模式）同时配合人脸识别等完成身份认证，驱动辊闸离开监管区。</w:t>
      </w:r>
      <w:r>
        <w:rPr>
          <w:rFonts w:hint="eastAsia" w:asciiTheme="minorEastAsia" w:hAnsiTheme="minorEastAsia" w:eastAsiaTheme="minorEastAsia" w:cstheme="minorEastAsia"/>
          <w:sz w:val="28"/>
        </w:rPr>
        <w:t>同时，在上述8个单位及监狱管理局机关安装打卡设备，通过刷移动执法终端实现考勤打卡功能，并能够在管理平台上对考勤打卡情况进行分析统计。</w:t>
      </w:r>
    </w:p>
    <w:p w14:paraId="563C95EE">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功能需求如下，标★项为重要技术要求参数，需提供证明材料：</w:t>
      </w:r>
    </w:p>
    <w:tbl>
      <w:tblPr>
        <w:tblStyle w:val="8"/>
        <w:tblW w:w="5270" w:type="pct"/>
        <w:jc w:val="center"/>
        <w:tblLayout w:type="autofit"/>
        <w:tblCellMar>
          <w:top w:w="0" w:type="dxa"/>
          <w:left w:w="0" w:type="dxa"/>
          <w:bottom w:w="0" w:type="dxa"/>
          <w:right w:w="0" w:type="dxa"/>
        </w:tblCellMar>
      </w:tblPr>
      <w:tblGrid>
        <w:gridCol w:w="889"/>
        <w:gridCol w:w="1796"/>
        <w:gridCol w:w="6887"/>
      </w:tblGrid>
      <w:tr w14:paraId="39AEAC2B">
        <w:tblPrEx>
          <w:tblCellMar>
            <w:top w:w="0" w:type="dxa"/>
            <w:left w:w="0" w:type="dxa"/>
            <w:bottom w:w="0" w:type="dxa"/>
            <w:right w:w="0" w:type="dxa"/>
          </w:tblCellMar>
        </w:tblPrEx>
        <w:trPr>
          <w:trHeight w:val="90" w:hRule="atLeast"/>
          <w:jc w:val="center"/>
        </w:trPr>
        <w:tc>
          <w:tcPr>
            <w:tcW w:w="464"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628B9931">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序号</w:t>
            </w:r>
          </w:p>
        </w:tc>
        <w:tc>
          <w:tcPr>
            <w:tcW w:w="938"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2322957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指标项</w:t>
            </w:r>
          </w:p>
        </w:tc>
        <w:tc>
          <w:tcPr>
            <w:tcW w:w="3596"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4314547F">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功能指标要求</w:t>
            </w:r>
          </w:p>
        </w:tc>
      </w:tr>
      <w:tr w14:paraId="1018FDF7">
        <w:tblPrEx>
          <w:tblCellMar>
            <w:top w:w="0" w:type="dxa"/>
            <w:left w:w="0" w:type="dxa"/>
            <w:bottom w:w="0" w:type="dxa"/>
            <w:right w:w="0" w:type="dxa"/>
          </w:tblCellMar>
        </w:tblPrEx>
        <w:trPr>
          <w:trHeight w:val="90" w:hRule="atLeast"/>
          <w:jc w:val="center"/>
        </w:trPr>
        <w:tc>
          <w:tcPr>
            <w:tcW w:w="464" w:type="pct"/>
            <w:tcBorders>
              <w:top w:val="single" w:color="000000" w:sz="4" w:space="0"/>
              <w:left w:val="single" w:color="000000" w:sz="4" w:space="0"/>
              <w:bottom w:val="single" w:color="auto" w:sz="4" w:space="0"/>
              <w:right w:val="single" w:color="000000" w:sz="4" w:space="0"/>
            </w:tcBorders>
            <w:vAlign w:val="center"/>
          </w:tcPr>
          <w:p w14:paraId="4BDA191A">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auto" w:sz="4" w:space="0"/>
              <w:right w:val="single" w:color="000000" w:sz="4" w:space="0"/>
            </w:tcBorders>
            <w:vAlign w:val="center"/>
          </w:tcPr>
          <w:p w14:paraId="65BE4F1E">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工作台</w:t>
            </w:r>
          </w:p>
        </w:tc>
        <w:tc>
          <w:tcPr>
            <w:tcW w:w="3596" w:type="pct"/>
            <w:tcBorders>
              <w:top w:val="single" w:color="000000" w:sz="4" w:space="0"/>
              <w:left w:val="single" w:color="000000" w:sz="4" w:space="0"/>
              <w:bottom w:val="single" w:color="000000" w:sz="4" w:space="0"/>
              <w:right w:val="single" w:color="000000" w:sz="4" w:space="0"/>
            </w:tcBorders>
            <w:vAlign w:val="center"/>
          </w:tcPr>
          <w:p w14:paraId="7CA75F2D">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1、统计当前管理范围内已注册终端数量；</w:t>
            </w:r>
          </w:p>
          <w:p w14:paraId="0A57913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2、统计当前管理范围内在线的终端数量；</w:t>
            </w:r>
          </w:p>
          <w:p w14:paraId="1963C818">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3、统计当前管理范围内被Root的终端数量；</w:t>
            </w:r>
          </w:p>
          <w:p w14:paraId="0042DF0F">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4、统计当前管理范围内离线时间超过设置的失联时间的终端数量；</w:t>
            </w:r>
          </w:p>
          <w:p w14:paraId="5C2BFF06">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5、日新增终端量统计图：以折线图形式展示一周内管理范围内每日新注册终端情况；</w:t>
            </w:r>
          </w:p>
          <w:p w14:paraId="1A7162D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6、日指令发送量折线图：以折线图形式展示一周内管理范围内管理员每日发送指令总数情况；</w:t>
            </w:r>
          </w:p>
          <w:p w14:paraId="7642EA0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7、终端失联监控：实时显示管理范围内的失联终端记录；</w:t>
            </w:r>
          </w:p>
        </w:tc>
      </w:tr>
      <w:tr w14:paraId="22A004E8">
        <w:tblPrEx>
          <w:tblCellMar>
            <w:top w:w="0" w:type="dxa"/>
            <w:left w:w="0" w:type="dxa"/>
            <w:bottom w:w="0" w:type="dxa"/>
            <w:right w:w="0" w:type="dxa"/>
          </w:tblCellMar>
        </w:tblPrEx>
        <w:trPr>
          <w:trHeight w:val="1295" w:hRule="atLeast"/>
          <w:jc w:val="center"/>
        </w:trPr>
        <w:tc>
          <w:tcPr>
            <w:tcW w:w="464" w:type="pct"/>
            <w:tcBorders>
              <w:top w:val="single" w:color="auto" w:sz="4" w:space="0"/>
              <w:left w:val="single" w:color="auto" w:sz="4" w:space="0"/>
              <w:bottom w:val="single" w:color="auto" w:sz="4" w:space="0"/>
              <w:right w:val="single" w:color="000000" w:sz="4" w:space="0"/>
            </w:tcBorders>
            <w:vAlign w:val="center"/>
          </w:tcPr>
          <w:p w14:paraId="637E073D">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auto" w:sz="4" w:space="0"/>
              <w:left w:val="single" w:color="000000" w:sz="4" w:space="0"/>
              <w:bottom w:val="single" w:color="auto" w:sz="4" w:space="0"/>
              <w:right w:val="single" w:color="auto" w:sz="4" w:space="0"/>
            </w:tcBorders>
            <w:vAlign w:val="center"/>
          </w:tcPr>
          <w:p w14:paraId="7AB3F889">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★组织和人员管理</w:t>
            </w:r>
          </w:p>
        </w:tc>
        <w:tc>
          <w:tcPr>
            <w:tcW w:w="3596" w:type="pct"/>
            <w:tcBorders>
              <w:top w:val="single" w:color="000000" w:sz="4" w:space="0"/>
              <w:left w:val="single" w:color="auto" w:sz="4" w:space="0"/>
              <w:bottom w:val="single" w:color="000000" w:sz="4" w:space="0"/>
              <w:right w:val="single" w:color="000000" w:sz="4" w:space="0"/>
            </w:tcBorders>
            <w:vAlign w:val="center"/>
          </w:tcPr>
          <w:p w14:paraId="4FF081D1">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系统后台支持分级管理，对部门的增、删、改、查、批量导入；</w:t>
            </w:r>
          </w:p>
          <w:p w14:paraId="198F6DC8">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系统后台支持人员的增、改、查、批量导入，绑定人员和IMEI信息；</w:t>
            </w:r>
          </w:p>
          <w:p w14:paraId="3C8F148F">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支持组织和人员信息的外部导入及与其他系统通过数据接口形式的组织和人员信息同步。</w:t>
            </w:r>
          </w:p>
        </w:tc>
      </w:tr>
      <w:tr w14:paraId="538D8E1E">
        <w:tblPrEx>
          <w:tblCellMar>
            <w:top w:w="0" w:type="dxa"/>
            <w:left w:w="0" w:type="dxa"/>
            <w:bottom w:w="0" w:type="dxa"/>
            <w:right w:w="0" w:type="dxa"/>
          </w:tblCellMar>
        </w:tblPrEx>
        <w:trPr>
          <w:trHeight w:val="515" w:hRule="atLeast"/>
          <w:jc w:val="center"/>
        </w:trPr>
        <w:tc>
          <w:tcPr>
            <w:tcW w:w="464" w:type="pct"/>
            <w:tcBorders>
              <w:top w:val="single" w:color="auto" w:sz="4" w:space="0"/>
              <w:left w:val="single" w:color="000000" w:sz="4" w:space="0"/>
              <w:bottom w:val="single" w:color="auto" w:sz="4" w:space="0"/>
              <w:right w:val="single" w:color="000000" w:sz="4" w:space="0"/>
            </w:tcBorders>
            <w:vAlign w:val="center"/>
          </w:tcPr>
          <w:p w14:paraId="027CFDA6">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auto" w:sz="4" w:space="0"/>
              <w:left w:val="single" w:color="000000" w:sz="4" w:space="0"/>
              <w:bottom w:val="single" w:color="auto" w:sz="4" w:space="0"/>
              <w:right w:val="single" w:color="000000" w:sz="4" w:space="0"/>
            </w:tcBorders>
            <w:vAlign w:val="center"/>
          </w:tcPr>
          <w:p w14:paraId="1B643486">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★机卡绑定</w:t>
            </w:r>
          </w:p>
        </w:tc>
        <w:tc>
          <w:tcPr>
            <w:tcW w:w="3596" w:type="pct"/>
            <w:tcBorders>
              <w:top w:val="single" w:color="000000" w:sz="4" w:space="0"/>
              <w:left w:val="single" w:color="000000" w:sz="4" w:space="0"/>
              <w:bottom w:val="single" w:color="000000" w:sz="4" w:space="0"/>
              <w:right w:val="single" w:color="000000" w:sz="4" w:space="0"/>
            </w:tcBorders>
            <w:vAlign w:val="center"/>
          </w:tcPr>
          <w:p w14:paraId="4904FF61">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自动根据注册终端当前使用的终端号卡进行终端号卡和终端间的一对一全局绑定。当终端上使用的号卡发生变化时，终端将进行异常行为监管，将终端锁定，防止终端的违规使用。注册卡强制绑定卡槽1，工作系统禁用卡槽2。</w:t>
            </w:r>
          </w:p>
        </w:tc>
      </w:tr>
      <w:tr w14:paraId="3185EA43">
        <w:tblPrEx>
          <w:tblCellMar>
            <w:top w:w="0" w:type="dxa"/>
            <w:left w:w="0" w:type="dxa"/>
            <w:bottom w:w="0" w:type="dxa"/>
            <w:right w:w="0" w:type="dxa"/>
          </w:tblCellMar>
        </w:tblPrEx>
        <w:trPr>
          <w:trHeight w:val="431" w:hRule="atLeast"/>
          <w:jc w:val="center"/>
        </w:trPr>
        <w:tc>
          <w:tcPr>
            <w:tcW w:w="464" w:type="pct"/>
            <w:tcBorders>
              <w:top w:val="single" w:color="auto" w:sz="4" w:space="0"/>
              <w:left w:val="single" w:color="auto" w:sz="4" w:space="0"/>
              <w:bottom w:val="single" w:color="auto" w:sz="4" w:space="0"/>
              <w:right w:val="single" w:color="000000" w:sz="4" w:space="0"/>
            </w:tcBorders>
            <w:vAlign w:val="center"/>
          </w:tcPr>
          <w:p w14:paraId="568F85DD">
            <w:pPr>
              <w:pStyle w:val="11"/>
              <w:numPr>
                <w:ilvl w:val="0"/>
                <w:numId w:val="1"/>
              </w:numPr>
              <w:kinsoku w:val="0"/>
              <w:overflowPunct w:val="0"/>
              <w:spacing w:line="400" w:lineRule="exact"/>
              <w:ind w:left="0" w:firstLine="0" w:firstLineChars="0"/>
              <w:jc w:val="center"/>
              <w:rPr>
                <w:rFonts w:hint="default" w:asciiTheme="minorEastAsia" w:hAnsiTheme="minorEastAsia" w:eastAsiaTheme="minorEastAsia" w:cstheme="minorEastAsia"/>
                <w:spacing w:val="12"/>
                <w:w w:val="95"/>
                <w:kern w:val="2"/>
                <w:sz w:val="24"/>
                <w:szCs w:val="24"/>
                <w:lang w:val="en-US"/>
              </w:rPr>
            </w:pPr>
          </w:p>
        </w:tc>
        <w:tc>
          <w:tcPr>
            <w:tcW w:w="938" w:type="pct"/>
            <w:tcBorders>
              <w:top w:val="single" w:color="auto" w:sz="4" w:space="0"/>
              <w:left w:val="single" w:color="000000" w:sz="4" w:space="0"/>
              <w:bottom w:val="single" w:color="auto" w:sz="4" w:space="0"/>
              <w:right w:val="single" w:color="auto" w:sz="4" w:space="0"/>
            </w:tcBorders>
            <w:vAlign w:val="center"/>
          </w:tcPr>
          <w:p w14:paraId="661D78F8">
            <w:pPr>
              <w:kinsoku w:val="0"/>
              <w:overflowPunct w:val="0"/>
              <w:spacing w:line="400" w:lineRule="exact"/>
              <w:ind w:firstLine="0" w:firstLineChars="0"/>
              <w:jc w:val="center"/>
              <w:rPr>
                <w:rFonts w:hint="eastAsia" w:asciiTheme="minorEastAsia" w:hAnsiTheme="minorEastAsia" w:eastAsiaTheme="minorEastAsia" w:cstheme="minorEastAsia"/>
                <w:spacing w:val="12"/>
                <w:w w:val="95"/>
                <w:kern w:val="2"/>
                <w:sz w:val="24"/>
                <w:szCs w:val="24"/>
              </w:rPr>
            </w:pPr>
            <w:r>
              <w:rPr>
                <w:rFonts w:hint="default" w:asciiTheme="minorEastAsia" w:hAnsiTheme="minorEastAsia" w:eastAsiaTheme="minorEastAsia" w:cstheme="minorEastAsia"/>
                <w:spacing w:val="12"/>
                <w:w w:val="95"/>
                <w:kern w:val="2"/>
                <w:sz w:val="24"/>
                <w:szCs w:val="24"/>
                <w:lang w:eastAsia="zh-CN"/>
              </w:rPr>
              <w:t>终端管理</w:t>
            </w:r>
          </w:p>
        </w:tc>
        <w:tc>
          <w:tcPr>
            <w:tcW w:w="3596" w:type="pct"/>
            <w:tcBorders>
              <w:top w:val="single" w:color="000000" w:sz="4" w:space="0"/>
              <w:left w:val="single" w:color="auto" w:sz="4" w:space="0"/>
              <w:bottom w:val="single" w:color="000000" w:sz="4" w:space="0"/>
              <w:right w:val="single" w:color="000000" w:sz="4" w:space="0"/>
            </w:tcBorders>
            <w:vAlign w:val="center"/>
          </w:tcPr>
          <w:p w14:paraId="29F5A54F">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终端丢失</w:t>
            </w:r>
            <w:r>
              <w:rPr>
                <w:rFonts w:hint="default" w:asciiTheme="minorEastAsia" w:hAnsiTheme="minorEastAsia" w:eastAsiaTheme="minorEastAsia" w:cstheme="minorEastAsia"/>
                <w:spacing w:val="0"/>
                <w:w w:val="100"/>
                <w:kern w:val="2"/>
                <w:sz w:val="24"/>
                <w:szCs w:val="24"/>
                <w:lang w:eastAsia="zh-CN"/>
              </w:rPr>
              <w:t>：</w:t>
            </w:r>
            <w:r>
              <w:rPr>
                <w:rFonts w:hint="default" w:asciiTheme="minorEastAsia" w:hAnsiTheme="minorEastAsia" w:eastAsiaTheme="minorEastAsia" w:cstheme="minorEastAsia"/>
                <w:sz w:val="24"/>
                <w:szCs w:val="24"/>
              </w:rPr>
              <w:t>终端发生丢失时支持擦除终端数据并解除人员、终端、SIM卡绑定关系；</w:t>
            </w:r>
          </w:p>
          <w:p w14:paraId="3714BD5D">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终端注销</w:t>
            </w:r>
            <w:r>
              <w:rPr>
                <w:rFonts w:hint="default" w:asciiTheme="minorEastAsia" w:hAnsiTheme="minorEastAsia" w:eastAsiaTheme="minorEastAsia" w:cstheme="minorEastAsia"/>
                <w:spacing w:val="0"/>
                <w:w w:val="100"/>
                <w:kern w:val="2"/>
                <w:sz w:val="24"/>
                <w:szCs w:val="24"/>
                <w:lang w:eastAsia="zh-CN"/>
              </w:rPr>
              <w:t>：</w:t>
            </w:r>
            <w:r>
              <w:rPr>
                <w:rFonts w:hint="default" w:asciiTheme="minorEastAsia" w:hAnsiTheme="minorEastAsia" w:eastAsiaTheme="minorEastAsia" w:cstheme="minorEastAsia"/>
                <w:sz w:val="24"/>
                <w:szCs w:val="24"/>
              </w:rPr>
              <w:t>支持注销终端管理，注销后终端解除管理状态，清空管理指令；</w:t>
            </w:r>
          </w:p>
          <w:p w14:paraId="1631B1B9">
            <w:pPr>
              <w:spacing w:line="400" w:lineRule="exact"/>
              <w:ind w:firstLine="480"/>
              <w:jc w:val="both"/>
              <w:rPr>
                <w:rFonts w:hint="default"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★终端解绑</w:t>
            </w:r>
            <w:r>
              <w:rPr>
                <w:rFonts w:hint="default" w:asciiTheme="minorEastAsia" w:hAnsiTheme="minorEastAsia" w:eastAsiaTheme="minorEastAsia" w:cstheme="minorEastAsia"/>
                <w:sz w:val="24"/>
                <w:szCs w:val="24"/>
                <w:lang w:eastAsia="zh-CN"/>
              </w:rPr>
              <w:t>：</w:t>
            </w:r>
            <w:r>
              <w:rPr>
                <w:rFonts w:hint="default" w:asciiTheme="minorEastAsia" w:hAnsiTheme="minorEastAsia" w:eastAsiaTheme="minorEastAsia" w:cstheme="minorEastAsia"/>
                <w:sz w:val="24"/>
                <w:szCs w:val="24"/>
              </w:rPr>
              <w:t>通过管理员操作系统后台对原先绑定的终端解除绑定，为人员替换或更换终端、号卡时提供业务服务。</w:t>
            </w:r>
          </w:p>
          <w:p w14:paraId="0E04C688">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终端分组管理</w:t>
            </w:r>
            <w:r>
              <w:rPr>
                <w:rFonts w:hint="default"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角色管理</w:t>
            </w:r>
            <w:r>
              <w:rPr>
                <w:rFonts w:hint="default" w:asciiTheme="minorEastAsia" w:hAnsiTheme="minorEastAsia" w:eastAsiaTheme="minorEastAsia" w:cstheme="minorEastAsia"/>
                <w:spacing w:val="0"/>
                <w:w w:val="100"/>
                <w:kern w:val="2"/>
                <w:sz w:val="24"/>
                <w:szCs w:val="24"/>
                <w:lang w:eastAsia="zh-CN"/>
              </w:rPr>
              <w:t>、</w:t>
            </w:r>
            <w:r>
              <w:rPr>
                <w:rFonts w:hint="eastAsia" w:asciiTheme="minorEastAsia" w:hAnsiTheme="minorEastAsia" w:eastAsiaTheme="minorEastAsia" w:cstheme="minorEastAsia"/>
                <w:sz w:val="24"/>
                <w:szCs w:val="24"/>
              </w:rPr>
              <w:t>修改管理员密码</w:t>
            </w:r>
            <w:r>
              <w:rPr>
                <w:rFonts w:hint="default" w:asciiTheme="minorEastAsia" w:hAnsiTheme="minorEastAsia" w:eastAsiaTheme="minorEastAsia" w:cstheme="minorEastAsia"/>
                <w:spacing w:val="0"/>
                <w:w w:val="100"/>
                <w:kern w:val="2"/>
                <w:sz w:val="24"/>
                <w:szCs w:val="24"/>
                <w:lang w:eastAsia="zh-CN"/>
              </w:rPr>
              <w:t>、</w:t>
            </w:r>
            <w:r>
              <w:rPr>
                <w:rFonts w:hint="eastAsia" w:asciiTheme="minorEastAsia" w:hAnsiTheme="minorEastAsia" w:eastAsiaTheme="minorEastAsia" w:cstheme="minorEastAsia"/>
                <w:sz w:val="24"/>
                <w:szCs w:val="24"/>
              </w:rPr>
              <w:t>查看设备信息</w:t>
            </w:r>
            <w:r>
              <w:rPr>
                <w:rFonts w:hint="default" w:asciiTheme="minorEastAsia" w:hAnsiTheme="minorEastAsia" w:eastAsiaTheme="minorEastAsia" w:cstheme="minorEastAsia"/>
                <w:spacing w:val="0"/>
                <w:w w:val="100"/>
                <w:kern w:val="2"/>
                <w:sz w:val="24"/>
                <w:szCs w:val="24"/>
                <w:lang w:eastAsia="zh-CN"/>
              </w:rPr>
              <w:t>、</w:t>
            </w:r>
            <w:r>
              <w:rPr>
                <w:rFonts w:hint="eastAsia" w:asciiTheme="minorEastAsia" w:hAnsiTheme="minorEastAsia" w:eastAsiaTheme="minorEastAsia" w:cstheme="minorEastAsia"/>
                <w:sz w:val="24"/>
                <w:szCs w:val="24"/>
              </w:rPr>
              <w:t>终端激活</w:t>
            </w:r>
            <w:r>
              <w:rPr>
                <w:rFonts w:hint="default" w:asciiTheme="minorEastAsia" w:hAnsiTheme="minorEastAsia" w:eastAsiaTheme="minorEastAsia" w:cstheme="minorEastAsia"/>
                <w:spacing w:val="0"/>
                <w:w w:val="100"/>
                <w:kern w:val="2"/>
                <w:sz w:val="24"/>
                <w:szCs w:val="24"/>
                <w:lang w:eastAsia="zh-CN"/>
              </w:rPr>
              <w:t>、</w:t>
            </w:r>
            <w:r>
              <w:rPr>
                <w:rFonts w:hint="eastAsia" w:asciiTheme="minorEastAsia" w:hAnsiTheme="minorEastAsia" w:eastAsiaTheme="minorEastAsia" w:cstheme="minorEastAsia"/>
                <w:sz w:val="24"/>
                <w:szCs w:val="24"/>
              </w:rPr>
              <w:t>终端资产管理</w:t>
            </w:r>
          </w:p>
          <w:p w14:paraId="43CE1AB7">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远程锁机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修改和清除锁屏密码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终端定位与轨迹</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实时定位</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消息推送管理</w:t>
            </w:r>
          </w:p>
          <w:p w14:paraId="15F0537A">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管控软件防卸载</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终端擦除/恢复出厂设置</w:t>
            </w:r>
          </w:p>
          <w:p w14:paraId="5E9698F4">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★终端文件管理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禁止修改终端时间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应用防卸载</w:t>
            </w:r>
          </w:p>
          <w:p w14:paraId="2D2424FC">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获取终端日志</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通话管控</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管控软件自升级</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防刷机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OTA升级管控</w:t>
            </w:r>
          </w:p>
          <w:p w14:paraId="2AFB33FB">
            <w:pPr>
              <w:spacing w:line="400" w:lineRule="exact"/>
              <w:ind w:firstLine="480"/>
              <w:jc w:val="both"/>
              <w:rPr>
                <w:rFonts w:hint="eastAsia"/>
                <w:sz w:val="24"/>
                <w:szCs w:val="24"/>
              </w:rPr>
            </w:pPr>
            <w:r>
              <w:rPr>
                <w:rFonts w:hint="eastAsia" w:asciiTheme="minorEastAsia" w:hAnsiTheme="minorEastAsia" w:eastAsiaTheme="minorEastAsia" w:cstheme="minorEastAsia"/>
                <w:spacing w:val="0"/>
                <w:w w:val="100"/>
                <w:kern w:val="2"/>
                <w:sz w:val="24"/>
                <w:szCs w:val="24"/>
              </w:rPr>
              <w:t>★为第三方应用提供保活接口</w:t>
            </w:r>
          </w:p>
        </w:tc>
      </w:tr>
      <w:tr w14:paraId="5052A62C">
        <w:tblPrEx>
          <w:tblCellMar>
            <w:top w:w="0" w:type="dxa"/>
            <w:left w:w="0" w:type="dxa"/>
            <w:bottom w:w="0" w:type="dxa"/>
            <w:right w:w="0" w:type="dxa"/>
          </w:tblCellMar>
        </w:tblPrEx>
        <w:trPr>
          <w:trHeight w:val="515" w:hRule="atLeast"/>
          <w:jc w:val="center"/>
        </w:trPr>
        <w:tc>
          <w:tcPr>
            <w:tcW w:w="464" w:type="pct"/>
            <w:tcBorders>
              <w:top w:val="single" w:color="auto" w:sz="4" w:space="0"/>
              <w:left w:val="single" w:color="000000" w:sz="4" w:space="0"/>
              <w:bottom w:val="single" w:color="000000" w:sz="4" w:space="0"/>
              <w:right w:val="single" w:color="000000" w:sz="4" w:space="0"/>
            </w:tcBorders>
            <w:vAlign w:val="center"/>
          </w:tcPr>
          <w:p w14:paraId="04E56917">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auto" w:sz="4" w:space="0"/>
              <w:left w:val="single" w:color="000000" w:sz="4" w:space="0"/>
              <w:bottom w:val="single" w:color="000000" w:sz="4" w:space="0"/>
              <w:right w:val="single" w:color="000000" w:sz="4" w:space="0"/>
            </w:tcBorders>
            <w:vAlign w:val="center"/>
          </w:tcPr>
          <w:p w14:paraId="34E0F72D">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★离线管理</w:t>
            </w:r>
          </w:p>
        </w:tc>
        <w:tc>
          <w:tcPr>
            <w:tcW w:w="3596" w:type="pct"/>
            <w:tcBorders>
              <w:top w:val="single" w:color="000000" w:sz="4" w:space="0"/>
              <w:left w:val="single" w:color="000000" w:sz="4" w:space="0"/>
              <w:bottom w:val="single" w:color="000000" w:sz="4" w:space="0"/>
              <w:right w:val="single" w:color="000000" w:sz="4" w:space="0"/>
            </w:tcBorders>
            <w:vAlign w:val="center"/>
          </w:tcPr>
          <w:p w14:paraId="1ED3A405">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当终端初始化以及在线的情况下接收到管控后台下发的管控指令和策略后，即使终端处于离线状态下，被预先设置的管控指令和管理策略仍然生效。</w:t>
            </w:r>
          </w:p>
        </w:tc>
      </w:tr>
      <w:tr w14:paraId="382C5E12">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5B558882">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1B1941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端异常管理</w:t>
            </w:r>
          </w:p>
        </w:tc>
        <w:tc>
          <w:tcPr>
            <w:tcW w:w="3596" w:type="pct"/>
            <w:tcBorders>
              <w:top w:val="single" w:color="000000" w:sz="4" w:space="0"/>
              <w:left w:val="single" w:color="000000" w:sz="4" w:space="0"/>
              <w:bottom w:val="single" w:color="000000" w:sz="4" w:space="0"/>
              <w:right w:val="single" w:color="000000" w:sz="4" w:space="0"/>
            </w:tcBorders>
            <w:vAlign w:val="center"/>
          </w:tcPr>
          <w:p w14:paraId="41C31F4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终端ROOT：当检测到终端被Root后，终端将进行锁机、擦除等等管理。</w:t>
            </w:r>
          </w:p>
          <w:p w14:paraId="381ED2C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失联：当检测到终端失联后，终端将进行锁机、擦除等等管理，且管理指令无论是在网或者离线状态下都会生效执行；</w:t>
            </w:r>
          </w:p>
        </w:tc>
      </w:tr>
      <w:tr w14:paraId="17FAB0A6">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CADFB1A">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5093634A">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★NFC 门禁卡切换系统</w:t>
            </w:r>
          </w:p>
        </w:tc>
        <w:tc>
          <w:tcPr>
            <w:tcW w:w="3596" w:type="pct"/>
            <w:tcBorders>
              <w:top w:val="single" w:color="000000" w:sz="4" w:space="0"/>
              <w:left w:val="single" w:color="000000" w:sz="4" w:space="0"/>
              <w:bottom w:val="single" w:color="000000" w:sz="4" w:space="0"/>
              <w:right w:val="single" w:color="000000" w:sz="4" w:space="0"/>
            </w:tcBorders>
            <w:vAlign w:val="center"/>
          </w:tcPr>
          <w:p w14:paraId="2A7AF2CB">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通过刷NFC门禁切换模式，支持从工作模式切换至执勤模式；进入监区时，终端通过刷NFC将设备由工作模式切换至执勤模式，并自动执行执勤模式策略，将终端状态信息上报知服务端。退出监区时，终端通过刷NFC将设备由执勤模式切换至工作模式，如入监前是工作模式，则自动执行工作模式策略，并将终端状态信息上报知服务端。</w:t>
            </w:r>
          </w:p>
        </w:tc>
      </w:tr>
      <w:tr w14:paraId="43A4C5B2">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A388FA0">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4500F27A">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NFC强制开启</w:t>
            </w:r>
          </w:p>
        </w:tc>
        <w:tc>
          <w:tcPr>
            <w:tcW w:w="3596" w:type="pct"/>
            <w:tcBorders>
              <w:top w:val="single" w:color="000000" w:sz="4" w:space="0"/>
              <w:left w:val="single" w:color="000000" w:sz="4" w:space="0"/>
              <w:bottom w:val="single" w:color="000000" w:sz="4" w:space="0"/>
              <w:right w:val="single" w:color="000000" w:sz="4" w:space="0"/>
            </w:tcBorders>
            <w:vAlign w:val="center"/>
          </w:tcPr>
          <w:p w14:paraId="56B81C3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为保障终端能够通过NFC正常切换，系统可以下发指令强制终端开启NFC。</w:t>
            </w:r>
          </w:p>
        </w:tc>
      </w:tr>
      <w:tr w14:paraId="10488830">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DA1294C">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2AB3E9D">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★远程切换</w:t>
            </w:r>
          </w:p>
        </w:tc>
        <w:tc>
          <w:tcPr>
            <w:tcW w:w="3596" w:type="pct"/>
            <w:tcBorders>
              <w:top w:val="single" w:color="000000" w:sz="4" w:space="0"/>
              <w:left w:val="single" w:color="000000" w:sz="4" w:space="0"/>
              <w:bottom w:val="single" w:color="000000" w:sz="4" w:space="0"/>
              <w:right w:val="single" w:color="000000" w:sz="4" w:space="0"/>
            </w:tcBorders>
            <w:vAlign w:val="center"/>
          </w:tcPr>
          <w:p w14:paraId="0E096AFF">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平台可以下发指令强制终端切换到对应模式。</w:t>
            </w:r>
          </w:p>
        </w:tc>
      </w:tr>
      <w:tr w14:paraId="3820055D">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E28A8A5">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3EB77F71">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★模式安全管控策略独立</w:t>
            </w:r>
          </w:p>
        </w:tc>
        <w:tc>
          <w:tcPr>
            <w:tcW w:w="3596" w:type="pct"/>
            <w:tcBorders>
              <w:top w:val="single" w:color="000000" w:sz="4" w:space="0"/>
              <w:left w:val="single" w:color="000000" w:sz="4" w:space="0"/>
              <w:bottom w:val="single" w:color="000000" w:sz="4" w:space="0"/>
              <w:right w:val="single" w:color="000000" w:sz="4" w:space="0"/>
            </w:tcBorders>
            <w:vAlign w:val="center"/>
          </w:tcPr>
          <w:p w14:paraId="1D69797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不同模式下，管控策略相互独立，互不影响。</w:t>
            </w:r>
          </w:p>
        </w:tc>
      </w:tr>
      <w:tr w14:paraId="4E1B62FB">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26F07363">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D797C6D">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模式应用显示使用独立</w:t>
            </w:r>
          </w:p>
        </w:tc>
        <w:tc>
          <w:tcPr>
            <w:tcW w:w="3596" w:type="pct"/>
            <w:tcBorders>
              <w:top w:val="single" w:color="000000" w:sz="4" w:space="0"/>
              <w:left w:val="single" w:color="000000" w:sz="4" w:space="0"/>
              <w:bottom w:val="single" w:color="000000" w:sz="4" w:space="0"/>
              <w:right w:val="single" w:color="000000" w:sz="4" w:space="0"/>
            </w:tcBorders>
            <w:vAlign w:val="center"/>
          </w:tcPr>
          <w:p w14:paraId="78240A7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不同模式下，应用显示和使用相互独立，互不影响。</w:t>
            </w:r>
          </w:p>
        </w:tc>
      </w:tr>
      <w:tr w14:paraId="24D4E67E">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58467648">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5AD26CB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模式切换方式</w:t>
            </w:r>
          </w:p>
        </w:tc>
        <w:tc>
          <w:tcPr>
            <w:tcW w:w="3596" w:type="pct"/>
            <w:tcBorders>
              <w:top w:val="single" w:color="000000" w:sz="4" w:space="0"/>
              <w:left w:val="single" w:color="000000" w:sz="4" w:space="0"/>
              <w:bottom w:val="single" w:color="000000" w:sz="4" w:space="0"/>
              <w:right w:val="single" w:color="000000" w:sz="4" w:space="0"/>
            </w:tcBorders>
            <w:vAlign w:val="center"/>
          </w:tcPr>
          <w:p w14:paraId="7D85E118">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在生活、工作模式下，支持手动切换；在工作、执勤模式下，支持NFC切换； </w:t>
            </w:r>
          </w:p>
        </w:tc>
      </w:tr>
      <w:tr w14:paraId="2578CC83">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C70AC7B">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34DABF53">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禁止手动切换</w:t>
            </w:r>
          </w:p>
        </w:tc>
        <w:tc>
          <w:tcPr>
            <w:tcW w:w="3596" w:type="pct"/>
            <w:tcBorders>
              <w:top w:val="single" w:color="000000" w:sz="4" w:space="0"/>
              <w:left w:val="single" w:color="000000" w:sz="4" w:space="0"/>
              <w:bottom w:val="single" w:color="000000" w:sz="4" w:space="0"/>
              <w:right w:val="single" w:color="000000" w:sz="4" w:space="0"/>
            </w:tcBorders>
            <w:vAlign w:val="center"/>
          </w:tcPr>
          <w:p w14:paraId="28A4BD5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禁止生活模式/工作模式手动切换至执勤模式。禁止执勤模式手动切换至其他模式。</w:t>
            </w:r>
          </w:p>
        </w:tc>
      </w:tr>
      <w:tr w14:paraId="2D8EF740">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0E268150">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3F5F85A1">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门禁联动</w:t>
            </w:r>
          </w:p>
        </w:tc>
        <w:tc>
          <w:tcPr>
            <w:tcW w:w="3596" w:type="pct"/>
            <w:tcBorders>
              <w:top w:val="single" w:color="000000" w:sz="4" w:space="0"/>
              <w:left w:val="single" w:color="000000" w:sz="4" w:space="0"/>
              <w:bottom w:val="single" w:color="000000" w:sz="4" w:space="0"/>
              <w:right w:val="single" w:color="000000" w:sz="4" w:space="0"/>
            </w:tcBorders>
            <w:vAlign w:val="center"/>
          </w:tcPr>
          <w:p w14:paraId="3A548DAB">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警务终端支持通过各监狱门禁系统进行双模式切换，实时进行大屏展示、警务终端及显示大屏语音播报，并且联动门禁系统开门。（需要和门禁厂商进行对接）</w:t>
            </w:r>
          </w:p>
          <w:p w14:paraId="1336FAA7">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1）支持模式切换与门禁系统联动控制门闸开启；</w:t>
            </w:r>
          </w:p>
          <w:p w14:paraId="4A5F8012">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2）支持模式切换与卡校验+生物识别复合认证联动控制门闸开启；</w:t>
            </w:r>
          </w:p>
          <w:p w14:paraId="51271DAF">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3）支持警务通终端只能够在同一个切换点切换模式且联动开门一次。</w:t>
            </w:r>
          </w:p>
        </w:tc>
      </w:tr>
      <w:tr w14:paraId="67148F4B">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60FA504">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07F64">
            <w:pPr>
              <w:pStyle w:val="11"/>
              <w:kinsoku w:val="0"/>
              <w:overflowPunct w:val="0"/>
              <w:spacing w:line="400" w:lineRule="exact"/>
              <w:ind w:firstLine="0" w:firstLineChars="0"/>
              <w:jc w:val="center"/>
              <w:rPr>
                <w:rFonts w:hint="eastAsia" w:asciiTheme="minorEastAsia" w:hAnsiTheme="minorEastAsia" w:eastAsiaTheme="minorEastAsia" w:cstheme="minorEastAsia"/>
                <w:spacing w:val="12"/>
                <w:w w:val="95"/>
                <w:kern w:val="2"/>
                <w:sz w:val="24"/>
                <w:szCs w:val="24"/>
                <w:lang w:val="zh-CN" w:eastAsia="zh-CN" w:bidi="zh-CN"/>
              </w:rPr>
            </w:pPr>
            <w:r>
              <w:rPr>
                <w:rFonts w:hint="eastAsia" w:asciiTheme="minorEastAsia" w:hAnsiTheme="minorEastAsia" w:eastAsiaTheme="minorEastAsia" w:cstheme="minorEastAsia"/>
                <w:spacing w:val="12"/>
                <w:w w:val="95"/>
                <w:kern w:val="2"/>
                <w:sz w:val="24"/>
                <w:szCs w:val="24"/>
              </w:rPr>
              <w:t>限制策略</w:t>
            </w:r>
          </w:p>
        </w:tc>
        <w:tc>
          <w:tcPr>
            <w:tcW w:w="3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80041">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移动数据管控:支持强开移动数据。</w:t>
            </w:r>
          </w:p>
          <w:p w14:paraId="540FC70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WIFI管控：支持禁用WIFI和禁止WIFI连接。</w:t>
            </w:r>
          </w:p>
          <w:p w14:paraId="791C6DE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个人热点管控：支持禁用个人热点，支持禁止移动数据共享热点</w:t>
            </w:r>
          </w:p>
          <w:p w14:paraId="75CC503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z w:val="24"/>
                <w:szCs w:val="24"/>
              </w:rPr>
              <w:t>其他网络管控:休眠时始终保持网络连接；</w:t>
            </w:r>
          </w:p>
          <w:p w14:paraId="05BAE53D">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禁用相机：在执勤模式下，支持禁用相机。可赋权应用的相机权限开启或关闭。</w:t>
            </w:r>
          </w:p>
          <w:p w14:paraId="302D464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禁用麦克风：在执勤模式下，支持禁用麦克风。</w:t>
            </w:r>
          </w:p>
          <w:p w14:paraId="31879E8B">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GPS强制开启: 系统后台可以控制终端上GPS端口功能的强制开启。</w:t>
            </w:r>
          </w:p>
          <w:p w14:paraId="35EE3EE5">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通话功能限制：后台可以控制终端的通话功能的使用，当限制通话功能时，终端不能接听与拨打电话；</w:t>
            </w:r>
          </w:p>
          <w:p w14:paraId="5043E325">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禁用USB大容量存储及USB调试</w:t>
            </w:r>
          </w:p>
          <w:p w14:paraId="5C09E847">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禁止截屏、禁止录屏</w:t>
            </w:r>
          </w:p>
          <w:p w14:paraId="264CE117">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禁用OTG存储</w:t>
            </w:r>
          </w:p>
          <w:p w14:paraId="5413DEFB">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禁用蓝牙</w:t>
            </w:r>
          </w:p>
          <w:p w14:paraId="69D6078E">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蓝牙白名单：白名单内的蓝牙设备，终端允许连接，白名单外的蓝牙设备，终端禁止连接</w:t>
            </w:r>
          </w:p>
          <w:p w14:paraId="53F42CC2">
            <w:pPr>
              <w:spacing w:line="400" w:lineRule="exact"/>
              <w:ind w:firstLine="480" w:firstLineChars="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禁用SD/NM卡</w:t>
            </w:r>
          </w:p>
        </w:tc>
      </w:tr>
      <w:tr w14:paraId="68EF4418">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66D60CD">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CA1E755">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通话白名单</w:t>
            </w:r>
          </w:p>
        </w:tc>
        <w:tc>
          <w:tcPr>
            <w:tcW w:w="3596" w:type="pct"/>
            <w:tcBorders>
              <w:top w:val="single" w:color="000000" w:sz="4" w:space="0"/>
              <w:left w:val="single" w:color="000000" w:sz="4" w:space="0"/>
              <w:bottom w:val="single" w:color="000000" w:sz="4" w:space="0"/>
              <w:right w:val="single" w:color="000000" w:sz="4" w:space="0"/>
            </w:tcBorders>
            <w:vAlign w:val="center"/>
          </w:tcPr>
          <w:p w14:paraId="708155BC">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后台可以下发指令控制终端只能接听/拨打由后台配置的亲情号码，以及只能对亲情号码进行通话；</w:t>
            </w:r>
          </w:p>
        </w:tc>
      </w:tr>
      <w:tr w14:paraId="0AC2E125">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08DF463E">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643D30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地理围栏</w:t>
            </w:r>
          </w:p>
        </w:tc>
        <w:tc>
          <w:tcPr>
            <w:tcW w:w="3596" w:type="pct"/>
            <w:tcBorders>
              <w:top w:val="single" w:color="000000" w:sz="4" w:space="0"/>
              <w:left w:val="single" w:color="000000" w:sz="4" w:space="0"/>
              <w:bottom w:val="single" w:color="000000" w:sz="4" w:space="0"/>
              <w:right w:val="single" w:color="000000" w:sz="4" w:space="0"/>
            </w:tcBorders>
            <w:vAlign w:val="center"/>
          </w:tcPr>
          <w:p w14:paraId="13914BE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配置地理围栏的管理动作（围栏内或者围栏外），当终端在指定的地理位置时自动触发执行地理围栏配置的管理，例如执行锁屏、应用黑白名单管控、应用安装限制、热点分享、限制使用蓝牙、限制使用USB、限制使用GPS等管理。</w:t>
            </w:r>
          </w:p>
        </w:tc>
      </w:tr>
      <w:tr w14:paraId="01C3857C">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31565C4">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E4CE1">
            <w:pPr>
              <w:pStyle w:val="11"/>
              <w:kinsoku w:val="0"/>
              <w:overflowPunct w:val="0"/>
              <w:spacing w:line="400" w:lineRule="exact"/>
              <w:ind w:firstLine="0" w:firstLineChars="0"/>
              <w:jc w:val="center"/>
              <w:rPr>
                <w:rFonts w:hint="eastAsia" w:asciiTheme="minorEastAsia" w:hAnsiTheme="minorEastAsia" w:eastAsiaTheme="minorEastAsia" w:cstheme="minorEastAsia"/>
                <w:spacing w:val="12"/>
                <w:w w:val="95"/>
                <w:kern w:val="2"/>
                <w:sz w:val="24"/>
                <w:szCs w:val="24"/>
                <w:lang w:val="en-US" w:eastAsia="zh-CN" w:bidi="ar-SA"/>
              </w:rPr>
            </w:pPr>
            <w:r>
              <w:rPr>
                <w:rFonts w:hint="eastAsia" w:asciiTheme="minorEastAsia" w:hAnsiTheme="minorEastAsia" w:eastAsiaTheme="minorEastAsia" w:cstheme="minorEastAsia"/>
                <w:spacing w:val="12"/>
                <w:w w:val="95"/>
                <w:kern w:val="2"/>
                <w:sz w:val="24"/>
                <w:szCs w:val="24"/>
              </w:rPr>
              <w:t>管理策略</w:t>
            </w:r>
          </w:p>
        </w:tc>
        <w:tc>
          <w:tcPr>
            <w:tcW w:w="35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C063C">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SIM卡合规策略：支持设置 SIM 合规策略，如果用户更换 SIM 卡，则对设备执行锁定或擦除指令，支持设置设备失联后的离线策略，可设置设备失联时间，对于违规设备按照策略自动执行设备违规处理</w:t>
            </w:r>
          </w:p>
          <w:p w14:paraId="6768D001">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ROOT策略：当检测到终端被Root后，终端将执行锁机、擦除等预定管理策略。</w:t>
            </w:r>
          </w:p>
          <w:p w14:paraId="406C5860">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失联策略：当检测到终端失联后，终端将执行锁机、擦除等管理策略。</w:t>
            </w:r>
          </w:p>
          <w:p w14:paraId="6B0FD8B0">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z w:val="24"/>
                <w:szCs w:val="24"/>
              </w:rPr>
              <w:t>紧急管控策略：可配置紧急管控的管理动作，当终端到达设定的条件自动触发执行紧急管控配置的管理。</w:t>
            </w:r>
          </w:p>
          <w:p w14:paraId="349128D0">
            <w:pPr>
              <w:spacing w:line="400" w:lineRule="exact"/>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支持配置 APN 参数：APN/VPDN配置信息通过系统后推送，终端自动配置和切换到接入网APN/VPDN，并且保证接入网APN/VPDN配置不可修改；</w:t>
            </w:r>
          </w:p>
        </w:tc>
      </w:tr>
      <w:tr w14:paraId="1A223453">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30A6ACF2">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60522084">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应用商店</w:t>
            </w:r>
          </w:p>
        </w:tc>
        <w:tc>
          <w:tcPr>
            <w:tcW w:w="3596" w:type="pct"/>
            <w:tcBorders>
              <w:top w:val="single" w:color="000000" w:sz="4" w:space="0"/>
              <w:left w:val="single" w:color="000000" w:sz="4" w:space="0"/>
              <w:bottom w:val="single" w:color="000000" w:sz="4" w:space="0"/>
              <w:right w:val="single" w:color="000000" w:sz="4" w:space="0"/>
            </w:tcBorders>
            <w:vAlign w:val="center"/>
          </w:tcPr>
          <w:p w14:paraId="353D499A">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终端具有应用商店APP,后台可按照组织机构进行应用权限分配，终端可通过应用商店下载安装已分配应用。</w:t>
            </w:r>
          </w:p>
        </w:tc>
      </w:tr>
      <w:tr w14:paraId="12906AD0">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3ACE8DD3">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35252F19">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应用黑名单</w:t>
            </w:r>
          </w:p>
        </w:tc>
        <w:tc>
          <w:tcPr>
            <w:tcW w:w="3596" w:type="pct"/>
            <w:tcBorders>
              <w:top w:val="single" w:color="000000" w:sz="4" w:space="0"/>
              <w:left w:val="single" w:color="000000" w:sz="4" w:space="0"/>
              <w:bottom w:val="single" w:color="000000" w:sz="4" w:space="0"/>
              <w:right w:val="single" w:color="000000" w:sz="4" w:space="0"/>
            </w:tcBorders>
            <w:vAlign w:val="center"/>
          </w:tcPr>
          <w:p w14:paraId="5AA95712">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系统后台支持应用黑名单库，支持增、删、改、查、导入操作，客户端不允许黑名单中的应用使用；</w:t>
            </w:r>
          </w:p>
        </w:tc>
      </w:tr>
      <w:tr w14:paraId="482B055D">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1E87547">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17778E2">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应用白名单</w:t>
            </w:r>
          </w:p>
        </w:tc>
        <w:tc>
          <w:tcPr>
            <w:tcW w:w="3596" w:type="pct"/>
            <w:tcBorders>
              <w:top w:val="single" w:color="000000" w:sz="4" w:space="0"/>
              <w:left w:val="single" w:color="000000" w:sz="4" w:space="0"/>
              <w:bottom w:val="single" w:color="000000" w:sz="4" w:space="0"/>
              <w:right w:val="single" w:color="000000" w:sz="4" w:space="0"/>
            </w:tcBorders>
            <w:vAlign w:val="center"/>
          </w:tcPr>
          <w:p w14:paraId="61F0D39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系统后台支持应用白名单库，支持增、删、改、查、导入操作，客户端仅允许白名单中的应用可以下载安装并使用，禁止终端使用白名单外的应用；</w:t>
            </w:r>
          </w:p>
        </w:tc>
      </w:tr>
      <w:tr w14:paraId="2557AD45">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1DCE5D5E">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1A188AA">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应用安装功能限制</w:t>
            </w:r>
          </w:p>
        </w:tc>
        <w:tc>
          <w:tcPr>
            <w:tcW w:w="3596" w:type="pct"/>
            <w:tcBorders>
              <w:top w:val="single" w:color="000000" w:sz="4" w:space="0"/>
              <w:left w:val="single" w:color="000000" w:sz="4" w:space="0"/>
              <w:bottom w:val="single" w:color="000000" w:sz="4" w:space="0"/>
              <w:right w:val="single" w:color="000000" w:sz="4" w:space="0"/>
            </w:tcBorders>
            <w:vAlign w:val="center"/>
          </w:tcPr>
          <w:p w14:paraId="681D7572">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系统后台可以控制终端安装应用功能的使用，当限制安装功能时，终端上所有的软件安装包均无法安装（包括通过互联网下载、存放在SD卡上、通过蓝牙/红外传输、与电脑USB连接拷贝安装包）；</w:t>
            </w:r>
          </w:p>
        </w:tc>
      </w:tr>
      <w:tr w14:paraId="2CBF734F">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98E53C3">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46927205">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应用防卸载</w:t>
            </w:r>
          </w:p>
        </w:tc>
        <w:tc>
          <w:tcPr>
            <w:tcW w:w="3596" w:type="pct"/>
            <w:tcBorders>
              <w:top w:val="single" w:color="000000" w:sz="4" w:space="0"/>
              <w:left w:val="single" w:color="000000" w:sz="4" w:space="0"/>
              <w:bottom w:val="single" w:color="000000" w:sz="4" w:space="0"/>
              <w:right w:val="single" w:color="000000" w:sz="4" w:space="0"/>
            </w:tcBorders>
            <w:vAlign w:val="center"/>
          </w:tcPr>
          <w:p w14:paraId="3A37667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禁止用户卸载终端上的应用，包括自带应用和手动安装的第三方应用，可以指定保护某一程序不被卸载；</w:t>
            </w:r>
          </w:p>
        </w:tc>
      </w:tr>
      <w:tr w14:paraId="6CB2DDC0">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17D78400">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E84069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禁用/允许系统自带应用商店</w:t>
            </w:r>
          </w:p>
        </w:tc>
        <w:tc>
          <w:tcPr>
            <w:tcW w:w="3596" w:type="pct"/>
            <w:tcBorders>
              <w:top w:val="single" w:color="000000" w:sz="4" w:space="0"/>
              <w:left w:val="single" w:color="000000" w:sz="4" w:space="0"/>
              <w:bottom w:val="single" w:color="000000" w:sz="4" w:space="0"/>
              <w:right w:val="single" w:color="000000" w:sz="4" w:space="0"/>
            </w:tcBorders>
            <w:vAlign w:val="center"/>
          </w:tcPr>
          <w:p w14:paraId="11E36BA0">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禁止/允许使用系统自带应用商店。并且禁止USB、NW卡、下载等其他应用安装途径；</w:t>
            </w:r>
          </w:p>
        </w:tc>
      </w:tr>
      <w:tr w14:paraId="60E9842A">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23A7669">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641E381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应用发布流程管理</w:t>
            </w:r>
          </w:p>
        </w:tc>
        <w:tc>
          <w:tcPr>
            <w:tcW w:w="3596" w:type="pct"/>
            <w:tcBorders>
              <w:top w:val="single" w:color="000000" w:sz="4" w:space="0"/>
              <w:left w:val="single" w:color="000000" w:sz="4" w:space="0"/>
              <w:bottom w:val="single" w:color="000000" w:sz="4" w:space="0"/>
              <w:right w:val="single" w:color="000000" w:sz="4" w:space="0"/>
            </w:tcBorders>
            <w:vAlign w:val="center"/>
          </w:tcPr>
          <w:p w14:paraId="635203DD">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对不同终端设备上的安装应用（应用安装包）进行统一管理，应用全部集中管理，各部门/分组可以上传自己的应用</w:t>
            </w:r>
          </w:p>
        </w:tc>
      </w:tr>
      <w:tr w14:paraId="3B6FFF03">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5D404535">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4030E69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终端报表</w:t>
            </w:r>
          </w:p>
        </w:tc>
        <w:tc>
          <w:tcPr>
            <w:tcW w:w="3596" w:type="pct"/>
            <w:tcBorders>
              <w:top w:val="single" w:color="000000" w:sz="4" w:space="0"/>
              <w:left w:val="single" w:color="000000" w:sz="4" w:space="0"/>
              <w:bottom w:val="single" w:color="000000" w:sz="4" w:space="0"/>
              <w:right w:val="single" w:color="000000" w:sz="4" w:space="0"/>
            </w:tcBorders>
            <w:vAlign w:val="center"/>
          </w:tcPr>
          <w:p w14:paraId="7D12DC2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支持终端离线、ROOT、失联的查询及导出；</w:t>
            </w:r>
          </w:p>
        </w:tc>
      </w:tr>
      <w:tr w14:paraId="3ADCBCB5">
        <w:tblPrEx>
          <w:tblCellMar>
            <w:top w:w="0" w:type="dxa"/>
            <w:left w:w="0" w:type="dxa"/>
            <w:bottom w:w="0" w:type="dxa"/>
            <w:right w:w="0" w:type="dxa"/>
          </w:tblCellMar>
        </w:tblPrEx>
        <w:trPr>
          <w:trHeight w:val="625" w:hRule="atLeast"/>
          <w:jc w:val="center"/>
        </w:trPr>
        <w:tc>
          <w:tcPr>
            <w:tcW w:w="464" w:type="pct"/>
            <w:tcBorders>
              <w:top w:val="single" w:color="000000" w:sz="4" w:space="0"/>
              <w:left w:val="single" w:color="000000" w:sz="4" w:space="0"/>
              <w:right w:val="single" w:color="000000" w:sz="4" w:space="0"/>
            </w:tcBorders>
            <w:vAlign w:val="center"/>
          </w:tcPr>
          <w:p w14:paraId="358B9FC8">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right w:val="single" w:color="000000" w:sz="4" w:space="0"/>
            </w:tcBorders>
            <w:vAlign w:val="center"/>
          </w:tcPr>
          <w:p w14:paraId="13EDCC61">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限制状态报表</w:t>
            </w:r>
          </w:p>
        </w:tc>
        <w:tc>
          <w:tcPr>
            <w:tcW w:w="3596" w:type="pct"/>
            <w:tcBorders>
              <w:top w:val="single" w:color="000000" w:sz="4" w:space="0"/>
              <w:left w:val="single" w:color="000000" w:sz="4" w:space="0"/>
              <w:right w:val="single" w:color="000000" w:sz="4" w:space="0"/>
            </w:tcBorders>
            <w:vAlign w:val="center"/>
          </w:tcPr>
          <w:p w14:paraId="72FF136B">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终端限制情况查询分析。展示当前终端蓝牙、摄像头、麦克风、WIFI、移动数据的限制情况；</w:t>
            </w:r>
          </w:p>
        </w:tc>
      </w:tr>
      <w:tr w14:paraId="02871BBB">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01588712">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5B21BCB">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应用报表</w:t>
            </w:r>
          </w:p>
        </w:tc>
        <w:tc>
          <w:tcPr>
            <w:tcW w:w="3596" w:type="pct"/>
            <w:tcBorders>
              <w:top w:val="single" w:color="000000" w:sz="4" w:space="0"/>
              <w:left w:val="single" w:color="000000" w:sz="4" w:space="0"/>
              <w:bottom w:val="single" w:color="000000" w:sz="4" w:space="0"/>
              <w:right w:val="single" w:color="000000" w:sz="4" w:space="0"/>
            </w:tcBorders>
            <w:vAlign w:val="center"/>
          </w:tcPr>
          <w:p w14:paraId="1732F6E8">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汇总终端上应用的安装情况，按照应用的安装量降序展示，可查看应用的详细安装信息，包括应用名称、包名、版本名称、是否系统应用、终端ID、终端号码、用户名称、所属部门，支持报表导出功能；</w:t>
            </w:r>
          </w:p>
        </w:tc>
      </w:tr>
      <w:tr w14:paraId="5EAB2CFF">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06F14942">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159AB7CE">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模式切换报表</w:t>
            </w:r>
          </w:p>
        </w:tc>
        <w:tc>
          <w:tcPr>
            <w:tcW w:w="3596" w:type="pct"/>
            <w:tcBorders>
              <w:top w:val="single" w:color="000000" w:sz="4" w:space="0"/>
              <w:left w:val="single" w:color="000000" w:sz="4" w:space="0"/>
              <w:bottom w:val="single" w:color="000000" w:sz="4" w:space="0"/>
              <w:right w:val="single" w:color="000000" w:sz="4" w:space="0"/>
            </w:tcBorders>
            <w:vAlign w:val="center"/>
          </w:tcPr>
          <w:p w14:paraId="46DD0D7A">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记录终端模式切换情况，支持查询和导出报表。</w:t>
            </w:r>
          </w:p>
        </w:tc>
      </w:tr>
      <w:tr w14:paraId="36D1FD71">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2BBAD1B">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B594632">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壁纸功能</w:t>
            </w:r>
          </w:p>
        </w:tc>
        <w:tc>
          <w:tcPr>
            <w:tcW w:w="3596" w:type="pct"/>
            <w:tcBorders>
              <w:top w:val="single" w:color="000000" w:sz="4" w:space="0"/>
              <w:left w:val="single" w:color="000000" w:sz="4" w:space="0"/>
              <w:bottom w:val="single" w:color="000000" w:sz="4" w:space="0"/>
              <w:right w:val="single" w:color="000000" w:sz="4" w:space="0"/>
            </w:tcBorders>
            <w:vAlign w:val="center"/>
          </w:tcPr>
          <w:p w14:paraId="11D01277">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要求安全系统提供水印壁纸功能。桌面壁纸可定制。</w:t>
            </w:r>
          </w:p>
        </w:tc>
      </w:tr>
      <w:tr w14:paraId="23134FFF">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BCDB198">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1979FF45">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防重置</w:t>
            </w:r>
          </w:p>
        </w:tc>
        <w:tc>
          <w:tcPr>
            <w:tcW w:w="3596" w:type="pct"/>
            <w:tcBorders>
              <w:top w:val="single" w:color="000000" w:sz="4" w:space="0"/>
              <w:left w:val="single" w:color="000000" w:sz="4" w:space="0"/>
              <w:bottom w:val="single" w:color="000000" w:sz="4" w:space="0"/>
              <w:right w:val="single" w:color="000000" w:sz="4" w:space="0"/>
            </w:tcBorders>
            <w:vAlign w:val="center"/>
          </w:tcPr>
          <w:p w14:paraId="5A42929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禁止从终端设置界面中恢复出厂。</w:t>
            </w:r>
          </w:p>
        </w:tc>
      </w:tr>
      <w:tr w14:paraId="2B6BB547">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344A780">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14CA3E7">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★管控软件系统权限保活</w:t>
            </w:r>
          </w:p>
        </w:tc>
        <w:tc>
          <w:tcPr>
            <w:tcW w:w="3596" w:type="pct"/>
            <w:tcBorders>
              <w:top w:val="single" w:color="000000" w:sz="4" w:space="0"/>
              <w:left w:val="single" w:color="000000" w:sz="4" w:space="0"/>
              <w:bottom w:val="single" w:color="000000" w:sz="4" w:space="0"/>
              <w:right w:val="single" w:color="000000" w:sz="4" w:space="0"/>
            </w:tcBorders>
            <w:vAlign w:val="center"/>
          </w:tcPr>
          <w:p w14:paraId="372C258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支持管控软件系统权限保活。</w:t>
            </w:r>
          </w:p>
        </w:tc>
      </w:tr>
      <w:tr w14:paraId="54B8B3DB">
        <w:tblPrEx>
          <w:tblCellMar>
            <w:top w:w="0" w:type="dxa"/>
            <w:left w:w="0" w:type="dxa"/>
            <w:bottom w:w="0" w:type="dxa"/>
            <w:right w:w="0" w:type="dxa"/>
          </w:tblCellMar>
        </w:tblPrEx>
        <w:trPr>
          <w:trHeight w:val="382"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20A17D3">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5380FAF6">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管控软件始终运行</w:t>
            </w:r>
          </w:p>
        </w:tc>
        <w:tc>
          <w:tcPr>
            <w:tcW w:w="3596" w:type="pct"/>
            <w:tcBorders>
              <w:top w:val="single" w:color="000000" w:sz="4" w:space="0"/>
              <w:left w:val="single" w:color="000000" w:sz="4" w:space="0"/>
              <w:bottom w:val="single" w:color="000000" w:sz="4" w:space="0"/>
              <w:right w:val="single" w:color="000000" w:sz="4" w:space="0"/>
            </w:tcBorders>
            <w:vAlign w:val="center"/>
          </w:tcPr>
          <w:p w14:paraId="52798D6E">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管控软件始终运行，不能被关闭。</w:t>
            </w:r>
          </w:p>
        </w:tc>
      </w:tr>
      <w:tr w14:paraId="256DF06B">
        <w:tblPrEx>
          <w:tblCellMar>
            <w:top w:w="0" w:type="dxa"/>
            <w:left w:w="0" w:type="dxa"/>
            <w:bottom w:w="0" w:type="dxa"/>
            <w:right w:w="0" w:type="dxa"/>
          </w:tblCellMar>
        </w:tblPrEx>
        <w:trPr>
          <w:trHeight w:val="303"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01330BF">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0003175">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定位丢失报警</w:t>
            </w:r>
          </w:p>
        </w:tc>
        <w:tc>
          <w:tcPr>
            <w:tcW w:w="3596" w:type="pct"/>
            <w:tcBorders>
              <w:top w:val="single" w:color="000000" w:sz="4" w:space="0"/>
              <w:left w:val="single" w:color="000000" w:sz="4" w:space="0"/>
              <w:bottom w:val="single" w:color="000000" w:sz="4" w:space="0"/>
              <w:right w:val="single" w:color="000000" w:sz="4" w:space="0"/>
            </w:tcBorders>
            <w:vAlign w:val="center"/>
          </w:tcPr>
          <w:p w14:paraId="14BE0D0A">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管理员配置报警频次信息；报警到管控平台。</w:t>
            </w:r>
          </w:p>
        </w:tc>
      </w:tr>
      <w:tr w14:paraId="32200145">
        <w:tblPrEx>
          <w:tblCellMar>
            <w:top w:w="0" w:type="dxa"/>
            <w:left w:w="0" w:type="dxa"/>
            <w:bottom w:w="0" w:type="dxa"/>
            <w:right w:w="0" w:type="dxa"/>
          </w:tblCellMar>
        </w:tblPrEx>
        <w:trPr>
          <w:trHeight w:val="350"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D31575D">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48F67F44">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WIFI热点</w:t>
            </w:r>
            <w:r>
              <w:rPr>
                <w:rFonts w:hint="eastAsia" w:asciiTheme="minorEastAsia" w:hAnsiTheme="minorEastAsia" w:eastAsiaTheme="minorEastAsia" w:cstheme="minorEastAsia"/>
                <w:spacing w:val="12"/>
                <w:w w:val="95"/>
                <w:kern w:val="2"/>
                <w:sz w:val="24"/>
                <w:szCs w:val="24"/>
                <w:lang w:eastAsia="zh-CN"/>
              </w:rPr>
              <w:t>和</w:t>
            </w:r>
            <w:r>
              <w:rPr>
                <w:rFonts w:hint="eastAsia" w:asciiTheme="minorEastAsia" w:hAnsiTheme="minorEastAsia" w:eastAsiaTheme="minorEastAsia" w:cstheme="minorEastAsia"/>
                <w:spacing w:val="12"/>
                <w:w w:val="95"/>
                <w:kern w:val="2"/>
                <w:sz w:val="24"/>
                <w:szCs w:val="24"/>
                <w:lang w:val="en-US" w:eastAsia="zh-CN"/>
              </w:rPr>
              <w:t>WiFi</w:t>
            </w:r>
            <w:r>
              <w:rPr>
                <w:rFonts w:hint="eastAsia" w:asciiTheme="minorEastAsia" w:hAnsiTheme="minorEastAsia" w:eastAsiaTheme="minorEastAsia" w:cstheme="minorEastAsia"/>
                <w:spacing w:val="12"/>
                <w:w w:val="95"/>
                <w:kern w:val="2"/>
                <w:sz w:val="24"/>
                <w:szCs w:val="24"/>
              </w:rPr>
              <w:t>白名单</w:t>
            </w:r>
          </w:p>
        </w:tc>
        <w:tc>
          <w:tcPr>
            <w:tcW w:w="3596" w:type="pct"/>
            <w:tcBorders>
              <w:top w:val="single" w:color="000000" w:sz="4" w:space="0"/>
              <w:left w:val="single" w:color="000000" w:sz="4" w:space="0"/>
              <w:bottom w:val="single" w:color="000000" w:sz="4" w:space="0"/>
              <w:right w:val="single" w:color="000000" w:sz="4" w:space="0"/>
            </w:tcBorders>
            <w:vAlign w:val="center"/>
          </w:tcPr>
          <w:p w14:paraId="24ED2747">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白名单内的WIFI设备，终端允许连接，白名单外的WIFI设备，终端禁止连接。</w:t>
            </w:r>
            <w:r>
              <w:rPr>
                <w:rFonts w:hint="eastAsia" w:asciiTheme="minorEastAsia" w:hAnsiTheme="minorEastAsia" w:eastAsiaTheme="minorEastAsia" w:cstheme="minorEastAsia"/>
                <w:spacing w:val="0"/>
                <w:w w:val="100"/>
                <w:kern w:val="2"/>
                <w:sz w:val="24"/>
                <w:szCs w:val="24"/>
              </w:rPr>
              <w:t>WIFI白名单</w:t>
            </w:r>
          </w:p>
        </w:tc>
      </w:tr>
      <w:tr w14:paraId="12BE8C34">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FB3E0FA">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096B41E">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★数据清除</w:t>
            </w:r>
          </w:p>
        </w:tc>
        <w:tc>
          <w:tcPr>
            <w:tcW w:w="3596" w:type="pct"/>
            <w:tcBorders>
              <w:top w:val="single" w:color="000000" w:sz="4" w:space="0"/>
              <w:left w:val="single" w:color="000000" w:sz="4" w:space="0"/>
              <w:bottom w:val="single" w:color="000000" w:sz="4" w:space="0"/>
              <w:right w:val="single" w:color="000000" w:sz="4" w:space="0"/>
            </w:tcBorders>
            <w:vAlign w:val="center"/>
          </w:tcPr>
          <w:p w14:paraId="6FA201CD">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终端从其他模式切换回生活模式时，能够自动清除其监狱执法工作相关APP的保留数据。同时也可以通过平台远程清除终端上监狱执法工作相关APP的保留数据。</w:t>
            </w:r>
          </w:p>
        </w:tc>
      </w:tr>
      <w:tr w14:paraId="6E41AB39">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79F72C17">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26834FA">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终端内网定位与轨迹</w:t>
            </w:r>
          </w:p>
        </w:tc>
        <w:tc>
          <w:tcPr>
            <w:tcW w:w="3596" w:type="pct"/>
            <w:tcBorders>
              <w:top w:val="single" w:color="000000" w:sz="4" w:space="0"/>
              <w:left w:val="single" w:color="000000" w:sz="4" w:space="0"/>
              <w:bottom w:val="single" w:color="000000" w:sz="4" w:space="0"/>
              <w:right w:val="single" w:color="000000" w:sz="4" w:space="0"/>
            </w:tcBorders>
            <w:vAlign w:val="center"/>
          </w:tcPr>
          <w:p w14:paraId="5F1583F9">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查看终端最后一次上报位置信息、轨迹信息，同时可以实时定位终端位置。</w:t>
            </w:r>
          </w:p>
        </w:tc>
      </w:tr>
      <w:tr w14:paraId="5013E9F4">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2A30090D">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044E65D">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硬恢复出厂管理</w:t>
            </w:r>
          </w:p>
        </w:tc>
        <w:tc>
          <w:tcPr>
            <w:tcW w:w="3596" w:type="pct"/>
            <w:tcBorders>
              <w:top w:val="single" w:color="000000" w:sz="4" w:space="0"/>
              <w:left w:val="single" w:color="000000" w:sz="4" w:space="0"/>
              <w:bottom w:val="single" w:color="000000" w:sz="4" w:space="0"/>
              <w:right w:val="single" w:color="000000" w:sz="4" w:space="0"/>
            </w:tcBorders>
            <w:vAlign w:val="center"/>
          </w:tcPr>
          <w:p w14:paraId="0AAC1DDF">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终端进入 Recovery 界面，分别格式化分区后系统重启，进入手机注册界面，未完成注册手机不能使用。</w:t>
            </w:r>
          </w:p>
        </w:tc>
      </w:tr>
      <w:tr w14:paraId="77868E05">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451AB78">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2B9D4A20">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管控软件系统权限保活</w:t>
            </w:r>
          </w:p>
        </w:tc>
        <w:tc>
          <w:tcPr>
            <w:tcW w:w="3596" w:type="pct"/>
            <w:tcBorders>
              <w:top w:val="single" w:color="000000" w:sz="4" w:space="0"/>
              <w:left w:val="single" w:color="000000" w:sz="4" w:space="0"/>
              <w:bottom w:val="single" w:color="000000" w:sz="4" w:space="0"/>
              <w:right w:val="single" w:color="000000" w:sz="4" w:space="0"/>
            </w:tcBorders>
            <w:vAlign w:val="center"/>
          </w:tcPr>
          <w:p w14:paraId="22893355">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在终端厂商自带的终端管家中取消管控软件的权限，这些权限不能被取消；系统清理内存模式下、低电量模式下管控软件进程依然保活</w:t>
            </w:r>
          </w:p>
        </w:tc>
      </w:tr>
      <w:tr w14:paraId="7846D459">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22A5954F">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0C85E43">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★门禁对接</w:t>
            </w:r>
          </w:p>
        </w:tc>
        <w:tc>
          <w:tcPr>
            <w:tcW w:w="3596" w:type="pct"/>
            <w:tcBorders>
              <w:top w:val="single" w:color="000000" w:sz="4" w:space="0"/>
              <w:left w:val="single" w:color="000000" w:sz="4" w:space="0"/>
              <w:bottom w:val="single" w:color="000000" w:sz="4" w:space="0"/>
              <w:right w:val="single" w:color="000000" w:sz="4" w:space="0"/>
            </w:tcBorders>
            <w:vAlign w:val="center"/>
          </w:tcPr>
          <w:p w14:paraId="57306828">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现门禁系统与移动终端系统切换联动。警察进入监管区时只能通过刷机（转换为执勤模式）同时配合人脸识别等完成身份认证，驱动辊闸进入监管区。离开监管区时也只能通过刷机（转化为工作模式）同时配合人脸识别等完成身份认证，驱动辊闸离开监管区。</w:t>
            </w:r>
          </w:p>
        </w:tc>
      </w:tr>
      <w:tr w14:paraId="387335F3">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54070565">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02D66CF0">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★考勤打卡</w:t>
            </w:r>
          </w:p>
        </w:tc>
        <w:tc>
          <w:tcPr>
            <w:tcW w:w="3596" w:type="pct"/>
            <w:tcBorders>
              <w:top w:val="single" w:color="000000" w:sz="4" w:space="0"/>
              <w:left w:val="single" w:color="000000" w:sz="4" w:space="0"/>
              <w:bottom w:val="single" w:color="000000" w:sz="4" w:space="0"/>
              <w:right w:val="single" w:color="000000" w:sz="4" w:space="0"/>
            </w:tcBorders>
            <w:vAlign w:val="center"/>
          </w:tcPr>
          <w:p w14:paraId="6A43DF53">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通过刷移动执法终端实现对机关工作人员的考勤打卡。</w:t>
            </w:r>
          </w:p>
        </w:tc>
      </w:tr>
      <w:tr w14:paraId="554DBC07">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6B081772">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1B204FA">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★安全性要求</w:t>
            </w:r>
          </w:p>
        </w:tc>
        <w:tc>
          <w:tcPr>
            <w:tcW w:w="3596" w:type="pct"/>
            <w:tcBorders>
              <w:top w:val="single" w:color="000000" w:sz="4" w:space="0"/>
              <w:left w:val="single" w:color="000000" w:sz="4" w:space="0"/>
              <w:bottom w:val="single" w:color="000000" w:sz="4" w:space="0"/>
              <w:right w:val="single" w:color="000000" w:sz="4" w:space="0"/>
            </w:tcBorders>
            <w:vAlign w:val="center"/>
          </w:tcPr>
          <w:p w14:paraId="70490CF4">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移动终端管控平台通过公安部《GAT_1466.2-2018：安全监控组件技术规范》检测和信息系统安全管理平台检测.</w:t>
            </w:r>
          </w:p>
        </w:tc>
      </w:tr>
      <w:tr w14:paraId="2021C851">
        <w:tblPrEx>
          <w:tblCellMar>
            <w:top w:w="0" w:type="dxa"/>
            <w:left w:w="0" w:type="dxa"/>
            <w:bottom w:w="0" w:type="dxa"/>
            <w:right w:w="0" w:type="dxa"/>
          </w:tblCellMar>
        </w:tblPrEx>
        <w:trPr>
          <w:trHeight w:val="515" w:hRule="atLeast"/>
          <w:jc w:val="center"/>
        </w:trPr>
        <w:tc>
          <w:tcPr>
            <w:tcW w:w="464" w:type="pct"/>
            <w:tcBorders>
              <w:top w:val="single" w:color="000000" w:sz="4" w:space="0"/>
              <w:left w:val="single" w:color="000000" w:sz="4" w:space="0"/>
              <w:bottom w:val="single" w:color="000000" w:sz="4" w:space="0"/>
              <w:right w:val="single" w:color="000000" w:sz="4" w:space="0"/>
            </w:tcBorders>
            <w:vAlign w:val="center"/>
          </w:tcPr>
          <w:p w14:paraId="45C0635C">
            <w:pPr>
              <w:pStyle w:val="11"/>
              <w:numPr>
                <w:ilvl w:val="0"/>
                <w:numId w:val="1"/>
              </w:numPr>
              <w:kinsoku w:val="0"/>
              <w:overflowPunct w:val="0"/>
              <w:spacing w:line="400" w:lineRule="exact"/>
              <w:ind w:left="0" w:firstLine="0" w:firstLineChars="0"/>
              <w:jc w:val="center"/>
              <w:rPr>
                <w:rFonts w:asciiTheme="minorEastAsia" w:hAnsiTheme="minorEastAsia" w:eastAsiaTheme="minorEastAsia" w:cstheme="minorEastAsia"/>
                <w:spacing w:val="12"/>
                <w:w w:val="95"/>
                <w:kern w:val="2"/>
                <w:sz w:val="24"/>
                <w:szCs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66B1A316">
            <w:pPr>
              <w:pStyle w:val="11"/>
              <w:kinsoku w:val="0"/>
              <w:overflowPunct w:val="0"/>
              <w:spacing w:line="400" w:lineRule="exact"/>
              <w:ind w:firstLine="0" w:firstLineChars="0"/>
              <w:jc w:val="center"/>
              <w:rPr>
                <w:rFonts w:asciiTheme="minorEastAsia" w:hAnsiTheme="minorEastAsia" w:eastAsiaTheme="minorEastAsia" w:cstheme="minorEastAsia"/>
                <w:spacing w:val="12"/>
                <w:w w:val="95"/>
                <w:kern w:val="2"/>
                <w:sz w:val="24"/>
                <w:szCs w:val="24"/>
              </w:rPr>
            </w:pPr>
            <w:r>
              <w:rPr>
                <w:rFonts w:hint="eastAsia" w:asciiTheme="minorEastAsia" w:hAnsiTheme="minorEastAsia" w:eastAsiaTheme="minorEastAsia" w:cstheme="minorEastAsia"/>
                <w:spacing w:val="12"/>
                <w:w w:val="95"/>
                <w:kern w:val="2"/>
                <w:sz w:val="24"/>
                <w:szCs w:val="24"/>
              </w:rPr>
              <w:t>★国产化要求</w:t>
            </w:r>
          </w:p>
        </w:tc>
        <w:tc>
          <w:tcPr>
            <w:tcW w:w="3596" w:type="pct"/>
            <w:tcBorders>
              <w:top w:val="single" w:color="000000" w:sz="4" w:space="0"/>
              <w:left w:val="single" w:color="000000" w:sz="4" w:space="0"/>
              <w:bottom w:val="single" w:color="000000" w:sz="4" w:space="0"/>
              <w:right w:val="single" w:color="000000" w:sz="4" w:space="0"/>
            </w:tcBorders>
            <w:vAlign w:val="center"/>
          </w:tcPr>
          <w:p w14:paraId="6CD0E91E">
            <w:pPr>
              <w:spacing w:line="400" w:lineRule="exact"/>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支持国产化部署，提供承诺函加盖原厂公章</w:t>
            </w:r>
          </w:p>
        </w:tc>
      </w:tr>
    </w:tbl>
    <w:p w14:paraId="2FE69591">
      <w:pPr>
        <w:spacing w:line="288" w:lineRule="auto"/>
        <w:ind w:firstLine="562"/>
        <w:outlineLvl w:val="2"/>
        <w:rPr>
          <w:rFonts w:asciiTheme="minorEastAsia" w:hAnsiTheme="minorEastAsia" w:eastAsiaTheme="minorEastAsia" w:cstheme="minorEastAsia"/>
          <w:b/>
          <w:sz w:val="28"/>
        </w:rPr>
      </w:pPr>
      <w:bookmarkStart w:id="5" w:name="_Toc1479363263"/>
      <w:r>
        <w:rPr>
          <w:rFonts w:hint="eastAsia" w:asciiTheme="minorEastAsia" w:hAnsiTheme="minorEastAsia" w:eastAsiaTheme="minorEastAsia" w:cstheme="minorEastAsia"/>
          <w:b/>
          <w:sz w:val="28"/>
        </w:rPr>
        <w:t>2.统一应用平台</w:t>
      </w:r>
      <w:bookmarkEnd w:id="5"/>
    </w:p>
    <w:p w14:paraId="4C26556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统一应用平台可实现在移动终端和办公计算机（国产化或非国产化办公计算机）上同时使用，针对监狱移动化应用提供统一管理、统一访问，整合监狱通讯录、消息中心等多项基础应用功能，信息一站式浏览和处理，支持组织和人员信息、通讯录等基础数据的外部导入和通过数据接口形式与其他系统实现组织和人员信息的数据同步（对接费用包含在本次服务中），帮助监狱实现业务移动化，有效保护监狱内部信息安全。</w:t>
      </w:r>
    </w:p>
    <w:p w14:paraId="60A81048">
      <w:pPr>
        <w:spacing w:line="288" w:lineRule="auto"/>
        <w:ind w:firstLine="560"/>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（1）即时通讯：监狱内部统一的沟通交流工具，支持文字、语音、表情、图片、视频、文件等多种消息类型。</w:t>
      </w:r>
    </w:p>
    <w:p w14:paraId="148634B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（2）监狱通讯录：通讯录作为监狱线上沟通核心切入点，需要支持监狱组织架构层级展示，部门与警察对应，找人更轻松。</w:t>
      </w:r>
    </w:p>
    <w:p w14:paraId="2EB6451E">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（3）工作圈：为监狱警察提供良好的沟通交流环境，可以通过共同兴趣话题为基础创建属于自己的圈子，供监狱内部警察评论互动、情感交流、提升凝聚力、激发监狱活力。</w:t>
      </w:r>
    </w:p>
    <w:p w14:paraId="5DFFA55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（4）消息中心：支持与甲方其他应用系统对接（对接费用包含在本次服务中），实现待代办消息推送，通知提醒等功能。</w:t>
      </w:r>
    </w:p>
    <w:p w14:paraId="7B28F62C">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功能需求如下，标★项为重要技术要求参数，需提供证明材料：</w:t>
      </w:r>
    </w:p>
    <w:tbl>
      <w:tblPr>
        <w:tblStyle w:val="8"/>
        <w:tblW w:w="5416" w:type="pct"/>
        <w:jc w:val="center"/>
        <w:tblLayout w:type="autofit"/>
        <w:tblCellMar>
          <w:top w:w="0" w:type="dxa"/>
          <w:left w:w="0" w:type="dxa"/>
          <w:bottom w:w="0" w:type="dxa"/>
          <w:right w:w="0" w:type="dxa"/>
        </w:tblCellMar>
      </w:tblPr>
      <w:tblGrid>
        <w:gridCol w:w="604"/>
        <w:gridCol w:w="1628"/>
        <w:gridCol w:w="7606"/>
      </w:tblGrid>
      <w:tr w14:paraId="44B772C4">
        <w:tblPrEx>
          <w:tblCellMar>
            <w:top w:w="0" w:type="dxa"/>
            <w:left w:w="0" w:type="dxa"/>
            <w:bottom w:w="0" w:type="dxa"/>
            <w:right w:w="0" w:type="dxa"/>
          </w:tblCellMar>
        </w:tblPrEx>
        <w:trPr>
          <w:trHeight w:val="443" w:hRule="atLeast"/>
          <w:jc w:val="center"/>
        </w:trPr>
        <w:tc>
          <w:tcPr>
            <w:tcW w:w="307"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740CB752">
            <w:pPr>
              <w:pStyle w:val="11"/>
              <w:kinsoku w:val="0"/>
              <w:overflowPunct w:val="0"/>
              <w:spacing w:line="288" w:lineRule="auto"/>
              <w:ind w:firstLine="0" w:firstLineChars="0"/>
              <w:jc w:val="center"/>
              <w:rPr>
                <w:rFonts w:asciiTheme="minorEastAsia" w:hAnsiTheme="minorEastAsia" w:eastAsiaTheme="minorEastAsia" w:cstheme="minorEastAsia"/>
                <w:b/>
                <w:bCs/>
                <w:kern w:val="2"/>
                <w:sz w:val="24"/>
                <w:szCs w:val="24"/>
              </w:rPr>
            </w:pPr>
            <w:bookmarkStart w:id="6" w:name="_Toc458272894"/>
            <w:r>
              <w:rPr>
                <w:rFonts w:hint="eastAsia" w:asciiTheme="minorEastAsia" w:hAnsiTheme="minorEastAsia" w:eastAsiaTheme="minorEastAsia" w:cstheme="minorEastAsia"/>
                <w:b/>
                <w:bCs/>
                <w:kern w:val="2"/>
                <w:sz w:val="24"/>
                <w:szCs w:val="24"/>
              </w:rPr>
              <w:t>序号</w:t>
            </w:r>
          </w:p>
        </w:tc>
        <w:tc>
          <w:tcPr>
            <w:tcW w:w="827"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0906311A">
            <w:pPr>
              <w:pStyle w:val="11"/>
              <w:kinsoku w:val="0"/>
              <w:overflowPunct w:val="0"/>
              <w:spacing w:line="288" w:lineRule="auto"/>
              <w:ind w:firstLine="0" w:firstLineChars="0"/>
              <w:jc w:val="center"/>
              <w:rPr>
                <w:rFonts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指标项</w:t>
            </w:r>
          </w:p>
        </w:tc>
        <w:tc>
          <w:tcPr>
            <w:tcW w:w="3864"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6F7253E8">
            <w:pPr>
              <w:pStyle w:val="11"/>
              <w:kinsoku w:val="0"/>
              <w:overflowPunct w:val="0"/>
              <w:spacing w:line="288" w:lineRule="auto"/>
              <w:ind w:firstLine="0" w:firstLineChars="0"/>
              <w:jc w:val="center"/>
              <w:rPr>
                <w:rFonts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功能指标要求</w:t>
            </w:r>
          </w:p>
        </w:tc>
      </w:tr>
      <w:tr w14:paraId="00B7A25B">
        <w:tblPrEx>
          <w:tblCellMar>
            <w:top w:w="0" w:type="dxa"/>
            <w:left w:w="0" w:type="dxa"/>
            <w:bottom w:w="0" w:type="dxa"/>
            <w:right w:w="0" w:type="dxa"/>
          </w:tblCellMar>
        </w:tblPrEx>
        <w:trPr>
          <w:trHeight w:val="1417"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55DC49F">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auto" w:sz="4" w:space="0"/>
              <w:right w:val="single" w:color="000000" w:sz="4" w:space="0"/>
            </w:tcBorders>
            <w:vAlign w:val="center"/>
          </w:tcPr>
          <w:p w14:paraId="61403AE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会话列表</w:t>
            </w:r>
          </w:p>
        </w:tc>
        <w:tc>
          <w:tcPr>
            <w:tcW w:w="3864" w:type="pct"/>
            <w:tcBorders>
              <w:top w:val="single" w:color="000000" w:sz="4" w:space="0"/>
              <w:left w:val="single" w:color="000000" w:sz="4" w:space="0"/>
              <w:bottom w:val="single" w:color="auto" w:sz="4" w:space="0"/>
              <w:right w:val="single" w:color="000000" w:sz="4" w:space="0"/>
            </w:tcBorders>
            <w:vAlign w:val="center"/>
          </w:tcPr>
          <w:p w14:paraId="324E0A5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会话列表聚合、会话列表按时间排序、会话置顶、会话删除：仅在列表删除，不删除信息或解散群、系统消息会话、会话新消息显示、会话时间显示、会话最后一条消息预览显示等。</w:t>
            </w:r>
          </w:p>
        </w:tc>
      </w:tr>
      <w:tr w14:paraId="7E77C02F">
        <w:tblPrEx>
          <w:tblCellMar>
            <w:top w:w="0" w:type="dxa"/>
            <w:left w:w="0" w:type="dxa"/>
            <w:bottom w:w="0" w:type="dxa"/>
            <w:right w:w="0" w:type="dxa"/>
          </w:tblCellMar>
        </w:tblPrEx>
        <w:trPr>
          <w:trHeight w:val="473" w:hRule="atLeast"/>
          <w:jc w:val="center"/>
        </w:trPr>
        <w:tc>
          <w:tcPr>
            <w:tcW w:w="307" w:type="pct"/>
            <w:tcBorders>
              <w:top w:val="single" w:color="000000" w:sz="4" w:space="0"/>
              <w:left w:val="single" w:color="000000" w:sz="4" w:space="0"/>
              <w:bottom w:val="single" w:color="000000" w:sz="4" w:space="0"/>
              <w:right w:val="single" w:color="auto" w:sz="4" w:space="0"/>
            </w:tcBorders>
            <w:vAlign w:val="center"/>
          </w:tcPr>
          <w:p w14:paraId="4FF9576F">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auto" w:sz="4" w:space="0"/>
              <w:bottom w:val="single" w:color="auto" w:sz="4" w:space="0"/>
              <w:right w:val="single" w:color="000000" w:sz="4" w:space="0"/>
            </w:tcBorders>
            <w:shd w:val="clear" w:color="auto" w:fill="auto"/>
            <w:vAlign w:val="center"/>
          </w:tcPr>
          <w:p w14:paraId="3C8A96D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rPr>
              <w:t>单聊</w:t>
            </w:r>
          </w:p>
        </w:tc>
        <w:tc>
          <w:tcPr>
            <w:tcW w:w="3864" w:type="pct"/>
            <w:tcBorders>
              <w:top w:val="single" w:color="auto" w:sz="4" w:space="0"/>
              <w:left w:val="single" w:color="000000" w:sz="4" w:space="0"/>
              <w:bottom w:val="single" w:color="auto" w:sz="4" w:space="0"/>
              <w:right w:val="single" w:color="auto" w:sz="4" w:space="0"/>
            </w:tcBorders>
            <w:shd w:val="clear" w:color="auto" w:fill="auto"/>
            <w:vAlign w:val="center"/>
          </w:tcPr>
          <w:p w14:paraId="78406583">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基本界面：消息时间、双方头像、对方姓名、查看对方资料、聊天详情、在线状态、发送文本消息、发送语音消息、表情消息、图片消息、图文消息（公众号消息）、支持分享的外部页面url解析为网页摘要（图文消息）、图片选择器（另 桌面版 支持截图编辑功能）、文本消息中的电话直拨、消息复制、聊天详情-置顶、聊天详情-聊天图片：查看双方聊天中发送的图片</w:t>
            </w:r>
          </w:p>
          <w:p w14:paraId="7FD7279A">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lang w:val="en-US" w:eastAsia="zh-CN" w:bidi="ar-SA"/>
              </w:rPr>
            </w:pPr>
            <w:r>
              <w:rPr>
                <w:rFonts w:hint="eastAsia" w:asciiTheme="minorEastAsia" w:hAnsiTheme="minorEastAsia" w:eastAsiaTheme="minorEastAsia" w:cstheme="minorEastAsia"/>
                <w:sz w:val="24"/>
                <w:szCs w:val="24"/>
              </w:rPr>
              <w:t>聊天详情-聊天文件：查看双方聊天中发送的文件、拉取历史消息、截屏、阅后即焚功能：消息被阅读后在一定时间内自动焚毁等。</w:t>
            </w:r>
          </w:p>
        </w:tc>
      </w:tr>
      <w:tr w14:paraId="7F125976">
        <w:tblPrEx>
          <w:tblCellMar>
            <w:top w:w="0" w:type="dxa"/>
            <w:left w:w="0" w:type="dxa"/>
            <w:bottom w:w="0" w:type="dxa"/>
            <w:right w:w="0" w:type="dxa"/>
          </w:tblCellMar>
        </w:tblPrEx>
        <w:trPr>
          <w:trHeight w:val="2948"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3252E25">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000000" w:sz="4" w:space="0"/>
              <w:right w:val="single" w:color="000000" w:sz="4" w:space="0"/>
            </w:tcBorders>
            <w:vAlign w:val="center"/>
          </w:tcPr>
          <w:p w14:paraId="4ED4E286">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群组功能</w:t>
            </w:r>
          </w:p>
        </w:tc>
        <w:tc>
          <w:tcPr>
            <w:tcW w:w="3864" w:type="pct"/>
            <w:tcBorders>
              <w:top w:val="single" w:color="auto" w:sz="4" w:space="0"/>
              <w:left w:val="single" w:color="000000" w:sz="4" w:space="0"/>
              <w:right w:val="single" w:color="000000" w:sz="4" w:space="0"/>
            </w:tcBorders>
            <w:vAlign w:val="center"/>
          </w:tcPr>
          <w:p w14:paraId="2E6D91BF">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企业群：不可自行创建，通过组织结构后台自动创建，群名称显示组织机构名称，群头像自动生成、普通群：可自行创建，可自动生成群名称，群头像、未读/已读录音消息提示：仅对接收方显示、消息发送失败提示、文件传输、复制文件可将文件粘贴到会话框并发送、消息删除、消息撤回、＂＠＂消息、" @ "联系人区分颜色并支持查看联系人名片、群成员加入通知、消息未读已读统计、发送名片消息、发送小视频功能、本地视频发送：移动端支持发送长度在5分钟以内的本地视频；PC端支持发送大小在 20M 以内的本地视频；截屏、音视频等</w:t>
            </w:r>
          </w:p>
        </w:tc>
      </w:tr>
      <w:tr w14:paraId="1DBAF59E">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D40490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2D828A8">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消息引用</w:t>
            </w:r>
          </w:p>
        </w:tc>
        <w:tc>
          <w:tcPr>
            <w:tcW w:w="3864" w:type="pct"/>
            <w:tcBorders>
              <w:top w:val="single" w:color="000000" w:sz="4" w:space="0"/>
              <w:left w:val="single" w:color="000000" w:sz="4" w:space="0"/>
              <w:bottom w:val="single" w:color="000000" w:sz="4" w:space="0"/>
              <w:right w:val="single" w:color="000000" w:sz="4" w:space="0"/>
            </w:tcBorders>
            <w:vAlign w:val="center"/>
          </w:tcPr>
          <w:p w14:paraId="152EA7F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“文本、图片、文件、图文”消息类型支持引用</w:t>
            </w:r>
          </w:p>
        </w:tc>
      </w:tr>
      <w:tr w14:paraId="50F8121F">
        <w:tblPrEx>
          <w:tblCellMar>
            <w:top w:w="0" w:type="dxa"/>
            <w:left w:w="0" w:type="dxa"/>
            <w:bottom w:w="0" w:type="dxa"/>
            <w:right w:w="0" w:type="dxa"/>
          </w:tblCellMar>
        </w:tblPrEx>
        <w:trPr>
          <w:trHeight w:val="1134"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3181D3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right w:val="single" w:color="000000" w:sz="4" w:space="0"/>
            </w:tcBorders>
            <w:vAlign w:val="center"/>
          </w:tcPr>
          <w:p w14:paraId="1F1E88B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音视频呼叫聊天</w:t>
            </w:r>
          </w:p>
        </w:tc>
        <w:tc>
          <w:tcPr>
            <w:tcW w:w="3864" w:type="pct"/>
            <w:tcBorders>
              <w:top w:val="single" w:color="000000" w:sz="4" w:space="0"/>
              <w:left w:val="single" w:color="000000" w:sz="4" w:space="0"/>
              <w:right w:val="single" w:color="000000" w:sz="4" w:space="0"/>
            </w:tcBorders>
            <w:vAlign w:val="center"/>
          </w:tcPr>
          <w:p w14:paraId="4A203F15">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发起/应答一对一通话呼叫、一对一语音通话、一对一视频通话、发起/应答群组通话呼叫、群组音频通话、群组视频通话、群组通话中加入其他人</w:t>
            </w:r>
          </w:p>
        </w:tc>
      </w:tr>
      <w:tr w14:paraId="4DAF4334">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B2B56C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4A9113CA">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文件小助手</w:t>
            </w:r>
          </w:p>
        </w:tc>
        <w:tc>
          <w:tcPr>
            <w:tcW w:w="3864" w:type="pct"/>
            <w:tcBorders>
              <w:top w:val="single" w:color="000000" w:sz="4" w:space="0"/>
              <w:left w:val="single" w:color="000000" w:sz="4" w:space="0"/>
              <w:bottom w:val="single" w:color="000000" w:sz="4" w:space="0"/>
              <w:right w:val="single" w:color="000000" w:sz="4" w:space="0"/>
            </w:tcBorders>
            <w:vAlign w:val="center"/>
          </w:tcPr>
          <w:p w14:paraId="60F3B76E">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可以在手机与电脑之间互传文件与消息</w:t>
            </w:r>
          </w:p>
        </w:tc>
      </w:tr>
      <w:tr w14:paraId="3952D816">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6529C45">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87A633D">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新建PIN</w:t>
            </w:r>
          </w:p>
        </w:tc>
        <w:tc>
          <w:tcPr>
            <w:tcW w:w="3864" w:type="pct"/>
            <w:tcBorders>
              <w:top w:val="single" w:color="000000" w:sz="4" w:space="0"/>
              <w:left w:val="single" w:color="000000" w:sz="4" w:space="0"/>
              <w:bottom w:val="single" w:color="000000" w:sz="4" w:space="0"/>
              <w:right w:val="single" w:color="000000" w:sz="4" w:space="0"/>
            </w:tcBorders>
            <w:vAlign w:val="center"/>
          </w:tcPr>
          <w:p w14:paraId="026E195B">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指定接收人发送信息并可收到回执消息，回执状态为“已确认/未确认”；</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可添加文字内容、附件，选择接收人，设置是否需要额外短信提醒，可设置“即时发送”或“定时发送”该消息</w:t>
            </w:r>
          </w:p>
        </w:tc>
      </w:tr>
      <w:tr w14:paraId="51F85524">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36C6CB64">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E4A6914">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收到的PIN</w:t>
            </w:r>
          </w:p>
        </w:tc>
        <w:tc>
          <w:tcPr>
            <w:tcW w:w="3864" w:type="pct"/>
            <w:tcBorders>
              <w:top w:val="single" w:color="000000" w:sz="4" w:space="0"/>
              <w:left w:val="single" w:color="000000" w:sz="4" w:space="0"/>
              <w:bottom w:val="single" w:color="000000" w:sz="4" w:space="0"/>
              <w:right w:val="single" w:color="000000" w:sz="4" w:space="0"/>
            </w:tcBorders>
            <w:vAlign w:val="center"/>
          </w:tcPr>
          <w:p w14:paraId="78A08571">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可查看消息内容、确认回执状态（未确认/已确认）、回复消息、删除消息</w:t>
            </w:r>
          </w:p>
        </w:tc>
      </w:tr>
      <w:tr w14:paraId="4AB2F5E8">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540A99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auto" w:sz="4" w:space="0"/>
              <w:right w:val="single" w:color="000000" w:sz="4" w:space="0"/>
            </w:tcBorders>
            <w:vAlign w:val="center"/>
          </w:tcPr>
          <w:p w14:paraId="7EAA4F53">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发出的PIN</w:t>
            </w:r>
          </w:p>
        </w:tc>
        <w:tc>
          <w:tcPr>
            <w:tcW w:w="3864" w:type="pct"/>
            <w:tcBorders>
              <w:top w:val="single" w:color="000000" w:sz="4" w:space="0"/>
              <w:left w:val="single" w:color="000000" w:sz="4" w:space="0"/>
              <w:bottom w:val="single" w:color="auto" w:sz="4" w:space="0"/>
              <w:right w:val="single" w:color="000000" w:sz="4" w:space="0"/>
            </w:tcBorders>
            <w:vAlign w:val="center"/>
          </w:tcPr>
          <w:p w14:paraId="32B6BA1B">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可查看消息内容、查看确认状态、回复消息、删除消息</w:t>
            </w:r>
          </w:p>
        </w:tc>
      </w:tr>
      <w:tr w14:paraId="56C20064">
        <w:tblPrEx>
          <w:tblCellMar>
            <w:top w:w="0" w:type="dxa"/>
            <w:left w:w="0" w:type="dxa"/>
            <w:bottom w:w="0" w:type="dxa"/>
            <w:right w:w="0" w:type="dxa"/>
          </w:tblCellMar>
        </w:tblPrEx>
        <w:trPr>
          <w:trHeight w:val="624" w:hRule="atLeast"/>
          <w:jc w:val="center"/>
        </w:trPr>
        <w:tc>
          <w:tcPr>
            <w:tcW w:w="307" w:type="pct"/>
            <w:tcBorders>
              <w:top w:val="single" w:color="000000" w:sz="4" w:space="0"/>
              <w:left w:val="single" w:color="000000" w:sz="4" w:space="0"/>
              <w:bottom w:val="single" w:color="000000" w:sz="4" w:space="0"/>
              <w:right w:val="single" w:color="auto" w:sz="4" w:space="0"/>
            </w:tcBorders>
            <w:vAlign w:val="center"/>
          </w:tcPr>
          <w:p w14:paraId="50DD5E24">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auto" w:sz="4" w:space="0"/>
              <w:bottom w:val="single" w:color="auto" w:sz="4" w:space="0"/>
              <w:right w:val="single" w:color="000000" w:sz="4" w:space="0"/>
            </w:tcBorders>
            <w:vAlign w:val="center"/>
          </w:tcPr>
          <w:p w14:paraId="716BF8D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系统消息通知</w:t>
            </w:r>
          </w:p>
        </w:tc>
        <w:tc>
          <w:tcPr>
            <w:tcW w:w="3864" w:type="pct"/>
            <w:tcBorders>
              <w:top w:val="single" w:color="auto" w:sz="4" w:space="0"/>
              <w:left w:val="single" w:color="000000" w:sz="4" w:space="0"/>
              <w:bottom w:val="single" w:color="auto" w:sz="4" w:space="0"/>
              <w:right w:val="single" w:color="auto" w:sz="4" w:space="0"/>
            </w:tcBorders>
            <w:vAlign w:val="center"/>
          </w:tcPr>
          <w:p w14:paraId="5B20066B">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接收系统消息通知；查看系统消息通知。</w:t>
            </w:r>
          </w:p>
        </w:tc>
      </w:tr>
      <w:tr w14:paraId="6E16112F">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35840AA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000000" w:sz="4" w:space="0"/>
              <w:bottom w:val="single" w:color="000000" w:sz="4" w:space="0"/>
              <w:right w:val="single" w:color="000000" w:sz="4" w:space="0"/>
            </w:tcBorders>
            <w:vAlign w:val="center"/>
          </w:tcPr>
          <w:p w14:paraId="1E21B11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异常本地通知</w:t>
            </w:r>
          </w:p>
        </w:tc>
        <w:tc>
          <w:tcPr>
            <w:tcW w:w="3864" w:type="pct"/>
            <w:tcBorders>
              <w:top w:val="single" w:color="auto" w:sz="4" w:space="0"/>
              <w:left w:val="single" w:color="000000" w:sz="4" w:space="0"/>
              <w:bottom w:val="single" w:color="000000" w:sz="4" w:space="0"/>
              <w:right w:val="single" w:color="000000" w:sz="4" w:space="0"/>
            </w:tcBorders>
            <w:vAlign w:val="center"/>
          </w:tcPr>
          <w:p w14:paraId="663F7A8A">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无法连接服务器通知（断网提示）</w:t>
            </w:r>
          </w:p>
        </w:tc>
      </w:tr>
      <w:tr w14:paraId="37EDD9DA">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73E93B4">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63DA91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小灰条状态通知</w:t>
            </w:r>
          </w:p>
        </w:tc>
        <w:tc>
          <w:tcPr>
            <w:tcW w:w="3864" w:type="pct"/>
            <w:tcBorders>
              <w:top w:val="single" w:color="000000" w:sz="4" w:space="0"/>
              <w:left w:val="single" w:color="000000" w:sz="4" w:space="0"/>
              <w:bottom w:val="single" w:color="000000" w:sz="4" w:space="0"/>
              <w:right w:val="single" w:color="000000" w:sz="4" w:space="0"/>
            </w:tcBorders>
            <w:vAlign w:val="center"/>
          </w:tcPr>
          <w:p w14:paraId="794104A5">
            <w:pPr>
              <w:kinsoku w:val="0"/>
              <w:overflowPunct w:val="0"/>
              <w:spacing w:line="400" w:lineRule="exact"/>
              <w:ind w:firstLine="48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行为完成通知（例如：A邀请了B加入群组）</w:t>
            </w:r>
          </w:p>
          <w:p w14:paraId="4CBB8FBF">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状态完成通知（例如：语音聊天已结束）</w:t>
            </w:r>
          </w:p>
        </w:tc>
      </w:tr>
      <w:tr w14:paraId="40AF89FD">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33B6CC7">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07D3A14">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企业通讯录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0EA6AE41">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显示企业组织结构（支持多公司的显示），人员基于组织结构显示</w:t>
            </w:r>
          </w:p>
        </w:tc>
      </w:tr>
      <w:tr w14:paraId="7EA4A900">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CA1C710">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3C7E85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我的群组</w:t>
            </w:r>
          </w:p>
        </w:tc>
        <w:tc>
          <w:tcPr>
            <w:tcW w:w="3864" w:type="pct"/>
            <w:tcBorders>
              <w:top w:val="single" w:color="000000" w:sz="4" w:space="0"/>
              <w:left w:val="single" w:color="000000" w:sz="4" w:space="0"/>
              <w:bottom w:val="single" w:color="000000" w:sz="4" w:space="0"/>
              <w:right w:val="single" w:color="000000" w:sz="4" w:space="0"/>
            </w:tcBorders>
            <w:vAlign w:val="center"/>
          </w:tcPr>
          <w:p w14:paraId="40ACECF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显示群组列表</w:t>
            </w:r>
          </w:p>
        </w:tc>
      </w:tr>
      <w:tr w14:paraId="4D6FBC01">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F25F707">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1A75F782">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我的好友</w:t>
            </w:r>
          </w:p>
        </w:tc>
        <w:tc>
          <w:tcPr>
            <w:tcW w:w="3864" w:type="pct"/>
            <w:tcBorders>
              <w:top w:val="single" w:color="000000" w:sz="4" w:space="0"/>
              <w:left w:val="single" w:color="000000" w:sz="4" w:space="0"/>
              <w:bottom w:val="single" w:color="000000" w:sz="4" w:space="0"/>
              <w:right w:val="single" w:color="000000" w:sz="4" w:space="0"/>
            </w:tcBorders>
            <w:vAlign w:val="center"/>
          </w:tcPr>
          <w:p w14:paraId="5FB177A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移动端和PC端通讯录显示我的好友入口和添加好友入口，展示好友列表，可以添加外部联系人为好友</w:t>
            </w:r>
          </w:p>
        </w:tc>
      </w:tr>
      <w:tr w14:paraId="2F27EE6B">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0635765">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E7F27C2">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星标联系人</w:t>
            </w:r>
          </w:p>
        </w:tc>
        <w:tc>
          <w:tcPr>
            <w:tcW w:w="3864" w:type="pct"/>
            <w:tcBorders>
              <w:top w:val="single" w:color="000000" w:sz="4" w:space="0"/>
              <w:left w:val="single" w:color="000000" w:sz="4" w:space="0"/>
              <w:bottom w:val="single" w:color="000000" w:sz="4" w:space="0"/>
              <w:right w:val="single" w:color="000000" w:sz="4" w:space="0"/>
            </w:tcBorders>
            <w:vAlign w:val="center"/>
          </w:tcPr>
          <w:p w14:paraId="311D5F9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显示星标联系人列表</w:t>
            </w:r>
          </w:p>
        </w:tc>
      </w:tr>
      <w:tr w14:paraId="380E05EE">
        <w:tblPrEx>
          <w:tblCellMar>
            <w:top w:w="0" w:type="dxa"/>
            <w:left w:w="0" w:type="dxa"/>
            <w:bottom w:w="0" w:type="dxa"/>
            <w:right w:w="0" w:type="dxa"/>
          </w:tblCellMar>
        </w:tblPrEx>
        <w:trPr>
          <w:trHeight w:val="1134" w:hRule="atLeast"/>
          <w:jc w:val="center"/>
        </w:trPr>
        <w:tc>
          <w:tcPr>
            <w:tcW w:w="307" w:type="pct"/>
            <w:tcBorders>
              <w:top w:val="single" w:color="000000" w:sz="4" w:space="0"/>
              <w:left w:val="single" w:color="000000" w:sz="4" w:space="0"/>
              <w:right w:val="single" w:color="000000" w:sz="4" w:space="0"/>
            </w:tcBorders>
            <w:vAlign w:val="center"/>
          </w:tcPr>
          <w:p w14:paraId="5FF2EE91">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right w:val="single" w:color="000000" w:sz="4" w:space="0"/>
            </w:tcBorders>
            <w:vAlign w:val="center"/>
          </w:tcPr>
          <w:p w14:paraId="4F30C9A4">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工作圈</w:t>
            </w:r>
          </w:p>
        </w:tc>
        <w:tc>
          <w:tcPr>
            <w:tcW w:w="3864" w:type="pct"/>
            <w:tcBorders>
              <w:top w:val="single" w:color="000000" w:sz="4" w:space="0"/>
              <w:left w:val="single" w:color="000000" w:sz="4" w:space="0"/>
              <w:bottom w:val="single" w:color="000000" w:sz="4" w:space="0"/>
              <w:right w:val="single" w:color="000000" w:sz="4" w:space="0"/>
            </w:tcBorders>
            <w:vAlign w:val="center"/>
          </w:tcPr>
          <w:p w14:paraId="713C9AC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支持文字、图片形式、可以查看其他人发布的工作圈动态、时间、点赞、评论、可以更换自己工作圈首页的封面图片、可以对工作圈动态信息进行评论、点赞互动操作</w:t>
            </w:r>
            <w:r>
              <w:rPr>
                <w:rFonts w:hint="eastAsia" w:asciiTheme="minorEastAsia" w:hAnsiTheme="minorEastAsia" w:eastAsiaTheme="minorEastAsia" w:cstheme="minorEastAsia"/>
                <w:spacing w:val="0"/>
                <w:kern w:val="2"/>
                <w:sz w:val="24"/>
                <w:szCs w:val="24"/>
              </w:rPr>
              <w:t>等</w:t>
            </w:r>
          </w:p>
        </w:tc>
      </w:tr>
      <w:tr w14:paraId="4BB40A1A">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13DFC3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F25040C">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搜索用户</w:t>
            </w:r>
          </w:p>
        </w:tc>
        <w:tc>
          <w:tcPr>
            <w:tcW w:w="3864" w:type="pct"/>
            <w:tcBorders>
              <w:top w:val="single" w:color="000000" w:sz="4" w:space="0"/>
              <w:left w:val="single" w:color="000000" w:sz="4" w:space="0"/>
              <w:bottom w:val="single" w:color="000000" w:sz="4" w:space="0"/>
              <w:right w:val="single" w:color="000000" w:sz="4" w:space="0"/>
            </w:tcBorders>
            <w:vAlign w:val="center"/>
          </w:tcPr>
          <w:p w14:paraId="240846A6">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支持联系人、职位、组织架构分类搜索项，通过名称、手机号码、邮箱地址搜索</w:t>
            </w:r>
          </w:p>
        </w:tc>
      </w:tr>
      <w:tr w14:paraId="6446DA25">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4A94CFA">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ABC2174">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搜索会话内容</w:t>
            </w:r>
          </w:p>
        </w:tc>
        <w:tc>
          <w:tcPr>
            <w:tcW w:w="3864" w:type="pct"/>
            <w:tcBorders>
              <w:top w:val="single" w:color="000000" w:sz="4" w:space="0"/>
              <w:left w:val="single" w:color="000000" w:sz="4" w:space="0"/>
              <w:bottom w:val="single" w:color="000000" w:sz="4" w:space="0"/>
              <w:right w:val="single" w:color="000000" w:sz="4" w:space="0"/>
            </w:tcBorders>
            <w:vAlign w:val="center"/>
          </w:tcPr>
          <w:p w14:paraId="51F40A82">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聊天信息关键词或字，搜索用户参与的单聊或群组聊天对话信息，并显示所在群组及消息产生时间</w:t>
            </w:r>
          </w:p>
        </w:tc>
      </w:tr>
      <w:tr w14:paraId="340193B5">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E69C598">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C63758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搜索群组</w:t>
            </w:r>
          </w:p>
        </w:tc>
        <w:tc>
          <w:tcPr>
            <w:tcW w:w="3864" w:type="pct"/>
            <w:tcBorders>
              <w:top w:val="single" w:color="000000" w:sz="4" w:space="0"/>
              <w:left w:val="single" w:color="000000" w:sz="4" w:space="0"/>
              <w:bottom w:val="single" w:color="000000" w:sz="4" w:space="0"/>
              <w:right w:val="single" w:color="000000" w:sz="4" w:space="0"/>
            </w:tcBorders>
            <w:vAlign w:val="center"/>
          </w:tcPr>
          <w:p w14:paraId="0ADA7E0B">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匹配群名称及群成员名称</w:t>
            </w:r>
          </w:p>
        </w:tc>
      </w:tr>
      <w:tr w14:paraId="20226157">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B1DF440">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4E3FA6E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全局搜索显示</w:t>
            </w:r>
          </w:p>
        </w:tc>
        <w:tc>
          <w:tcPr>
            <w:tcW w:w="3864" w:type="pct"/>
            <w:tcBorders>
              <w:top w:val="single" w:color="000000" w:sz="4" w:space="0"/>
              <w:left w:val="single" w:color="000000" w:sz="4" w:space="0"/>
              <w:bottom w:val="single" w:color="000000" w:sz="4" w:space="0"/>
              <w:right w:val="single" w:color="000000" w:sz="4" w:space="0"/>
            </w:tcBorders>
            <w:vAlign w:val="center"/>
          </w:tcPr>
          <w:p w14:paraId="6FED6036">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搜索用户、搜索会话内容、搜索群组聚合展示</w:t>
            </w:r>
          </w:p>
        </w:tc>
      </w:tr>
      <w:tr w14:paraId="3B1BBE4C">
        <w:tblPrEx>
          <w:tblCellMar>
            <w:top w:w="0" w:type="dxa"/>
            <w:left w:w="0" w:type="dxa"/>
            <w:bottom w:w="0" w:type="dxa"/>
            <w:right w:w="0" w:type="dxa"/>
          </w:tblCellMar>
        </w:tblPrEx>
        <w:trPr>
          <w:trHeight w:val="1134"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D97B072">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right w:val="single" w:color="000000" w:sz="4" w:space="0"/>
            </w:tcBorders>
            <w:vAlign w:val="center"/>
          </w:tcPr>
          <w:p w14:paraId="379302C8">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用户管理</w:t>
            </w:r>
          </w:p>
        </w:tc>
        <w:tc>
          <w:tcPr>
            <w:tcW w:w="3864" w:type="pct"/>
            <w:tcBorders>
              <w:top w:val="single" w:color="000000" w:sz="4" w:space="0"/>
              <w:left w:val="single" w:color="000000" w:sz="4" w:space="0"/>
              <w:right w:val="single" w:color="000000" w:sz="4" w:space="0"/>
            </w:tcBorders>
            <w:vAlign w:val="center"/>
          </w:tcPr>
          <w:p w14:paraId="762BFF6A">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现实信息：头像、姓名、邮箱、部门、手机号、电话、职位、上级、头像可编辑，其他不可编辑、手机号、电话直接拨出、邮箱可以直接调用系统邮箱发送邮件</w:t>
            </w:r>
          </w:p>
        </w:tc>
      </w:tr>
      <w:tr w14:paraId="72CB7AD8">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6458371">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50F300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新用户注册</w:t>
            </w:r>
          </w:p>
        </w:tc>
        <w:tc>
          <w:tcPr>
            <w:tcW w:w="3864" w:type="pct"/>
            <w:tcBorders>
              <w:top w:val="single" w:color="000000" w:sz="4" w:space="0"/>
              <w:left w:val="single" w:color="000000" w:sz="4" w:space="0"/>
              <w:bottom w:val="single" w:color="000000" w:sz="4" w:space="0"/>
              <w:right w:val="single" w:color="000000" w:sz="4" w:space="0"/>
            </w:tcBorders>
            <w:vAlign w:val="center"/>
          </w:tcPr>
          <w:p w14:paraId="150F330C">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在登录界面增加新用户注册入口，允许外部联系人自由注册用户</w:t>
            </w:r>
          </w:p>
        </w:tc>
      </w:tr>
      <w:tr w14:paraId="66E1F906">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4B03673">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13D318AF">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★多端登录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2EE582AD">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支持移动端和国产化办公计算机或非国产化计算机端同时登录</w:t>
            </w:r>
          </w:p>
        </w:tc>
      </w:tr>
      <w:tr w14:paraId="6089E213">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75F0350F">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13BD6A1">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★扫一扫登录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74AAD17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在会话列表菜单增加扫一扫入口，可通过扫描二维码快速登录PC端</w:t>
            </w:r>
          </w:p>
        </w:tc>
      </w:tr>
      <w:tr w14:paraId="5EF86D7B">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B587FAE">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40C496F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自动登录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2D60DD52">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开启启动登录后，30天内自动登录，无需输入账号密码</w:t>
            </w:r>
          </w:p>
        </w:tc>
      </w:tr>
      <w:tr w14:paraId="5AE7C157">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BE6A2C6">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635A0A1">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强制退登</w:t>
            </w:r>
          </w:p>
        </w:tc>
        <w:tc>
          <w:tcPr>
            <w:tcW w:w="3864" w:type="pct"/>
            <w:tcBorders>
              <w:top w:val="single" w:color="000000" w:sz="4" w:space="0"/>
              <w:left w:val="single" w:color="000000" w:sz="4" w:space="0"/>
              <w:bottom w:val="single" w:color="000000" w:sz="4" w:space="0"/>
              <w:right w:val="single" w:color="000000" w:sz="4" w:space="0"/>
            </w:tcBorders>
            <w:vAlign w:val="center"/>
          </w:tcPr>
          <w:p w14:paraId="28B4D8E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当一端修改密码后，其他端会强制退出登录，需要重新登录</w:t>
            </w:r>
          </w:p>
        </w:tc>
      </w:tr>
      <w:tr w14:paraId="7599904E">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612D041">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09509D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首次登录强制修改密码</w:t>
            </w:r>
          </w:p>
        </w:tc>
        <w:tc>
          <w:tcPr>
            <w:tcW w:w="3864" w:type="pct"/>
            <w:tcBorders>
              <w:top w:val="single" w:color="000000" w:sz="4" w:space="0"/>
              <w:left w:val="single" w:color="000000" w:sz="4" w:space="0"/>
              <w:bottom w:val="single" w:color="000000" w:sz="4" w:space="0"/>
              <w:right w:val="single" w:color="000000" w:sz="4" w:space="0"/>
            </w:tcBorders>
            <w:vAlign w:val="center"/>
          </w:tcPr>
          <w:p w14:paraId="51634D0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用户首次登录强制修改密码，弹出修改密码页面，不可跳过</w:t>
            </w:r>
          </w:p>
        </w:tc>
      </w:tr>
      <w:tr w14:paraId="2D0BCA24">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76AE065">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3E6A8BFA">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账号锁定机制</w:t>
            </w:r>
          </w:p>
        </w:tc>
        <w:tc>
          <w:tcPr>
            <w:tcW w:w="3864" w:type="pct"/>
            <w:tcBorders>
              <w:top w:val="single" w:color="000000" w:sz="4" w:space="0"/>
              <w:left w:val="single" w:color="000000" w:sz="4" w:space="0"/>
              <w:bottom w:val="single" w:color="000000" w:sz="4" w:space="0"/>
              <w:right w:val="single" w:color="000000" w:sz="4" w:space="0"/>
            </w:tcBorders>
            <w:vAlign w:val="center"/>
          </w:tcPr>
          <w:p w14:paraId="4F0E83E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同一账号在30分钟内输入5次登录密码错误锁定账号，该账号30分钟内不能登录</w:t>
            </w:r>
          </w:p>
        </w:tc>
      </w:tr>
      <w:tr w14:paraId="2D465C6E">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FC8FAD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DA1388D">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登录账号</w:t>
            </w:r>
          </w:p>
        </w:tc>
        <w:tc>
          <w:tcPr>
            <w:tcW w:w="3864" w:type="pct"/>
            <w:tcBorders>
              <w:top w:val="single" w:color="000000" w:sz="4" w:space="0"/>
              <w:left w:val="single" w:color="000000" w:sz="4" w:space="0"/>
              <w:bottom w:val="single" w:color="000000" w:sz="4" w:space="0"/>
              <w:right w:val="single" w:color="000000" w:sz="4" w:space="0"/>
            </w:tcBorders>
            <w:vAlign w:val="center"/>
          </w:tcPr>
          <w:p w14:paraId="687AE27C">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支持企业员工工号、手机号、邮箱登录</w:t>
            </w:r>
          </w:p>
        </w:tc>
      </w:tr>
      <w:tr w14:paraId="75CF1268">
        <w:tblPrEx>
          <w:tblCellMar>
            <w:top w:w="0" w:type="dxa"/>
            <w:left w:w="0" w:type="dxa"/>
            <w:bottom w:w="0" w:type="dxa"/>
            <w:right w:w="0" w:type="dxa"/>
          </w:tblCellMar>
        </w:tblPrEx>
        <w:trPr>
          <w:trHeight w:val="1134" w:hRule="atLeast"/>
          <w:jc w:val="center"/>
        </w:trPr>
        <w:tc>
          <w:tcPr>
            <w:tcW w:w="307" w:type="pct"/>
            <w:tcBorders>
              <w:top w:val="single" w:color="000000" w:sz="4" w:space="0"/>
              <w:left w:val="single" w:color="000000" w:sz="4" w:space="0"/>
              <w:right w:val="single" w:color="000000" w:sz="4" w:space="0"/>
            </w:tcBorders>
            <w:vAlign w:val="center"/>
          </w:tcPr>
          <w:p w14:paraId="5250FA7A">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right w:val="single" w:color="000000" w:sz="4" w:space="0"/>
            </w:tcBorders>
            <w:vAlign w:val="center"/>
          </w:tcPr>
          <w:p w14:paraId="188E9A7F">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多端登录管理</w:t>
            </w:r>
          </w:p>
        </w:tc>
        <w:tc>
          <w:tcPr>
            <w:tcW w:w="3864" w:type="pct"/>
            <w:tcBorders>
              <w:top w:val="single" w:color="000000" w:sz="4" w:space="0"/>
              <w:left w:val="single" w:color="000000" w:sz="4" w:space="0"/>
              <w:right w:val="single" w:color="000000" w:sz="4" w:space="0"/>
            </w:tcBorders>
            <w:vAlign w:val="center"/>
          </w:tcPr>
          <w:p w14:paraId="144AA0E8">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移动端支持退出PC</w:t>
            </w:r>
          </w:p>
          <w:p w14:paraId="6B089515">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移动端支持锁定/解锁电脑端</w:t>
            </w:r>
          </w:p>
          <w:p w14:paraId="45A53580">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移动端支持停止手机通知</w:t>
            </w:r>
          </w:p>
          <w:p w14:paraId="2A7DF4B0">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文件小助手功能入口</w:t>
            </w:r>
          </w:p>
        </w:tc>
      </w:tr>
      <w:tr w14:paraId="4AC5F616">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EBF7CD0">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38FDE6BA">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安全与登录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15C69262">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可设置锁屏保护功能开启与关闭</w:t>
            </w:r>
          </w:p>
        </w:tc>
      </w:tr>
      <w:tr w14:paraId="71BA8E59">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0D8B2CF">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124FEB6F">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主企业</w:t>
            </w:r>
          </w:p>
        </w:tc>
        <w:tc>
          <w:tcPr>
            <w:tcW w:w="3864" w:type="pct"/>
            <w:tcBorders>
              <w:top w:val="single" w:color="000000" w:sz="4" w:space="0"/>
              <w:left w:val="single" w:color="000000" w:sz="4" w:space="0"/>
              <w:bottom w:val="single" w:color="000000" w:sz="4" w:space="0"/>
              <w:right w:val="single" w:color="000000" w:sz="4" w:space="0"/>
            </w:tcBorders>
            <w:vAlign w:val="center"/>
          </w:tcPr>
          <w:p w14:paraId="2A54DE5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如员工属于多个公司，员工可设置所属的主企业</w:t>
            </w:r>
          </w:p>
        </w:tc>
      </w:tr>
      <w:tr w14:paraId="78F29B88">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7771374">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38ECEF6C">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快捷键显示</w:t>
            </w:r>
          </w:p>
        </w:tc>
        <w:tc>
          <w:tcPr>
            <w:tcW w:w="3864" w:type="pct"/>
            <w:tcBorders>
              <w:top w:val="single" w:color="000000" w:sz="4" w:space="0"/>
              <w:left w:val="single" w:color="000000" w:sz="4" w:space="0"/>
              <w:bottom w:val="single" w:color="000000" w:sz="4" w:space="0"/>
              <w:right w:val="single" w:color="000000" w:sz="4" w:space="0"/>
            </w:tcBorders>
            <w:vAlign w:val="center"/>
          </w:tcPr>
          <w:p w14:paraId="73DBB2A9">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PC 端增加用户操作快捷键显示</w:t>
            </w:r>
          </w:p>
        </w:tc>
      </w:tr>
      <w:tr w14:paraId="0F2E3202">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7C56E4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14F7B78">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外部联系人姓名修改</w:t>
            </w:r>
          </w:p>
        </w:tc>
        <w:tc>
          <w:tcPr>
            <w:tcW w:w="3864" w:type="pct"/>
            <w:tcBorders>
              <w:top w:val="single" w:color="000000" w:sz="4" w:space="0"/>
              <w:left w:val="single" w:color="000000" w:sz="4" w:space="0"/>
              <w:bottom w:val="single" w:color="000000" w:sz="4" w:space="0"/>
              <w:right w:val="single" w:color="000000" w:sz="4" w:space="0"/>
            </w:tcBorders>
            <w:vAlign w:val="center"/>
          </w:tcPr>
          <w:p w14:paraId="2EB2B375">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支持外部联系人修改姓名</w:t>
            </w:r>
          </w:p>
        </w:tc>
      </w:tr>
      <w:tr w14:paraId="58CB18D8">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7C388F32">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1FF293E3">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版本管理</w:t>
            </w:r>
          </w:p>
        </w:tc>
        <w:tc>
          <w:tcPr>
            <w:tcW w:w="3864" w:type="pct"/>
            <w:tcBorders>
              <w:top w:val="single" w:color="000000" w:sz="4" w:space="0"/>
              <w:left w:val="single" w:color="000000" w:sz="4" w:space="0"/>
              <w:bottom w:val="single" w:color="000000" w:sz="4" w:space="0"/>
              <w:right w:val="single" w:color="000000" w:sz="4" w:space="0"/>
            </w:tcBorders>
            <w:vAlign w:val="center"/>
          </w:tcPr>
          <w:p w14:paraId="51ACBF86">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版本更新、自动升级、手动升级</w:t>
            </w:r>
          </w:p>
        </w:tc>
      </w:tr>
      <w:tr w14:paraId="638A30D5">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C8F6EB3">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4960A1ED">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版本功能介绍</w:t>
            </w:r>
          </w:p>
        </w:tc>
        <w:tc>
          <w:tcPr>
            <w:tcW w:w="3864" w:type="pct"/>
            <w:tcBorders>
              <w:top w:val="single" w:color="000000" w:sz="4" w:space="0"/>
              <w:left w:val="single" w:color="000000" w:sz="4" w:space="0"/>
              <w:bottom w:val="single" w:color="000000" w:sz="4" w:space="0"/>
              <w:right w:val="single" w:color="000000" w:sz="4" w:space="0"/>
            </w:tcBorders>
            <w:vAlign w:val="center"/>
          </w:tcPr>
          <w:p w14:paraId="183EF432">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各版本更新时间、更新内容</w:t>
            </w:r>
          </w:p>
        </w:tc>
      </w:tr>
      <w:tr w14:paraId="1DC68ACF">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E48D43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798197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安全背景水印</w:t>
            </w:r>
          </w:p>
        </w:tc>
        <w:tc>
          <w:tcPr>
            <w:tcW w:w="3864" w:type="pct"/>
            <w:tcBorders>
              <w:top w:val="single" w:color="000000" w:sz="4" w:space="0"/>
              <w:left w:val="single" w:color="000000" w:sz="4" w:space="0"/>
              <w:bottom w:val="single" w:color="000000" w:sz="4" w:space="0"/>
              <w:right w:val="single" w:color="000000" w:sz="4" w:space="0"/>
            </w:tcBorders>
            <w:vAlign w:val="center"/>
          </w:tcPr>
          <w:p w14:paraId="45116B6E">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聊天会话背景</w:t>
            </w:r>
          </w:p>
        </w:tc>
      </w:tr>
      <w:tr w14:paraId="1D611901">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C37BE4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55EADD4E">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内外网文件隔离</w:t>
            </w:r>
          </w:p>
        </w:tc>
        <w:tc>
          <w:tcPr>
            <w:tcW w:w="3864" w:type="pct"/>
            <w:tcBorders>
              <w:top w:val="single" w:color="000000" w:sz="4" w:space="0"/>
              <w:left w:val="single" w:color="000000" w:sz="4" w:space="0"/>
              <w:bottom w:val="single" w:color="000000" w:sz="4" w:space="0"/>
              <w:right w:val="single" w:color="000000" w:sz="4" w:space="0"/>
            </w:tcBorders>
            <w:vAlign w:val="center"/>
          </w:tcPr>
          <w:p w14:paraId="0ADE215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支持图片、视频和文件内外网隔离</w:t>
            </w:r>
          </w:p>
        </w:tc>
      </w:tr>
      <w:tr w14:paraId="53E93FAB">
        <w:tblPrEx>
          <w:tblCellMar>
            <w:top w:w="0" w:type="dxa"/>
            <w:left w:w="0" w:type="dxa"/>
            <w:bottom w:w="0" w:type="dxa"/>
            <w:right w:w="0" w:type="dxa"/>
          </w:tblCellMar>
        </w:tblPrEx>
        <w:trPr>
          <w:trHeight w:val="3385" w:hRule="atLeast"/>
          <w:jc w:val="center"/>
        </w:trPr>
        <w:tc>
          <w:tcPr>
            <w:tcW w:w="307" w:type="pct"/>
            <w:vMerge w:val="restart"/>
            <w:tcBorders>
              <w:top w:val="single" w:color="000000" w:sz="4" w:space="0"/>
              <w:left w:val="single" w:color="000000" w:sz="4" w:space="0"/>
              <w:right w:val="single" w:color="000000" w:sz="4" w:space="0"/>
            </w:tcBorders>
            <w:vAlign w:val="center"/>
          </w:tcPr>
          <w:p w14:paraId="72109FE1">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vMerge w:val="restart"/>
            <w:tcBorders>
              <w:top w:val="single" w:color="000000" w:sz="4" w:space="0"/>
              <w:left w:val="single" w:color="000000" w:sz="4" w:space="0"/>
              <w:right w:val="single" w:color="000000" w:sz="4" w:space="0"/>
            </w:tcBorders>
            <w:vAlign w:val="center"/>
          </w:tcPr>
          <w:p w14:paraId="47F39654">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组织结构管理</w:t>
            </w:r>
          </w:p>
        </w:tc>
        <w:tc>
          <w:tcPr>
            <w:tcW w:w="3864" w:type="pct"/>
            <w:tcBorders>
              <w:top w:val="single" w:color="000000" w:sz="4" w:space="0"/>
              <w:left w:val="single" w:color="000000" w:sz="4" w:space="0"/>
              <w:bottom w:val="single" w:color="000000" w:sz="4" w:space="0"/>
              <w:right w:val="single" w:color="000000" w:sz="4" w:space="0"/>
            </w:tcBorders>
            <w:vAlign w:val="center"/>
          </w:tcPr>
          <w:p w14:paraId="57789804">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组织结构树：显示组织结构和下级部门结构</w:t>
            </w:r>
          </w:p>
          <w:p w14:paraId="6DA7915B">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编辑组织结构：可以编辑/删除组织结构中的部门</w:t>
            </w:r>
          </w:p>
          <w:p w14:paraId="3B280AED">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添加/删除部门：添加/删除部门，编辑部门名称、选择上级部门</w:t>
            </w:r>
          </w:p>
          <w:p w14:paraId="57B477DA">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部门手动调序：部门调序操作，可以手动拖拽进行调整部门顺序</w:t>
            </w:r>
          </w:p>
          <w:p w14:paraId="763A49F3">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多公司：可在后台创建并维护多个公司组织结构</w:t>
            </w:r>
          </w:p>
          <w:p w14:paraId="605F7693">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★支持组织和人员信息、通讯录等基础数据的外部导入和通过数据接口形式与其他系统实现组织和人员信息的数据同步</w:t>
            </w:r>
          </w:p>
        </w:tc>
      </w:tr>
      <w:tr w14:paraId="7D3F243B">
        <w:tblPrEx>
          <w:tblCellMar>
            <w:top w:w="0" w:type="dxa"/>
            <w:left w:w="0" w:type="dxa"/>
            <w:bottom w:w="0" w:type="dxa"/>
            <w:right w:w="0" w:type="dxa"/>
          </w:tblCellMar>
        </w:tblPrEx>
        <w:trPr>
          <w:trHeight w:val="1030" w:hRule="atLeast"/>
          <w:jc w:val="center"/>
        </w:trPr>
        <w:tc>
          <w:tcPr>
            <w:tcW w:w="307" w:type="pct"/>
            <w:tcBorders>
              <w:top w:val="single" w:color="000000" w:sz="4" w:space="0"/>
              <w:left w:val="single" w:color="000000" w:sz="4" w:space="0"/>
              <w:bottom w:val="single" w:color="auto" w:sz="4" w:space="0"/>
              <w:right w:val="single" w:color="000000" w:sz="4" w:space="0"/>
            </w:tcBorders>
            <w:vAlign w:val="center"/>
          </w:tcPr>
          <w:p w14:paraId="6AB39E82">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auto" w:sz="4" w:space="0"/>
              <w:right w:val="single" w:color="000000" w:sz="4" w:space="0"/>
            </w:tcBorders>
            <w:vAlign w:val="center"/>
          </w:tcPr>
          <w:p w14:paraId="06FAACB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部门群管理</w:t>
            </w:r>
          </w:p>
        </w:tc>
        <w:tc>
          <w:tcPr>
            <w:tcW w:w="3864" w:type="pct"/>
            <w:tcBorders>
              <w:top w:val="single" w:color="000000" w:sz="4" w:space="0"/>
              <w:left w:val="single" w:color="000000" w:sz="4" w:space="0"/>
              <w:bottom w:val="single" w:color="000000" w:sz="4" w:space="0"/>
              <w:right w:val="single" w:color="000000" w:sz="4" w:space="0"/>
            </w:tcBorders>
            <w:vAlign w:val="center"/>
          </w:tcPr>
          <w:p w14:paraId="54F721B6">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创建/解散部门群：通过选项控制，可自动创建、删除部门群</w:t>
            </w:r>
          </w:p>
          <w:p w14:paraId="574191C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群管理员：可以指定部门内人员为群管理员，并支持更换</w:t>
            </w:r>
          </w:p>
        </w:tc>
      </w:tr>
      <w:tr w14:paraId="0B782D98">
        <w:tblPrEx>
          <w:tblCellMar>
            <w:top w:w="0" w:type="dxa"/>
            <w:left w:w="0" w:type="dxa"/>
            <w:bottom w:w="0" w:type="dxa"/>
            <w:right w:w="0" w:type="dxa"/>
          </w:tblCellMar>
        </w:tblPrEx>
        <w:trPr>
          <w:trHeight w:val="1134" w:hRule="atLeast"/>
          <w:jc w:val="center"/>
        </w:trPr>
        <w:tc>
          <w:tcPr>
            <w:tcW w:w="307" w:type="pct"/>
            <w:tcBorders>
              <w:top w:val="single" w:color="auto" w:sz="4" w:space="0"/>
              <w:left w:val="single" w:color="auto" w:sz="4" w:space="0"/>
              <w:bottom w:val="single" w:color="auto" w:sz="4" w:space="0"/>
              <w:right w:val="single" w:color="000000" w:sz="4" w:space="0"/>
            </w:tcBorders>
            <w:vAlign w:val="center"/>
          </w:tcPr>
          <w:p w14:paraId="094A358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000000" w:sz="4" w:space="0"/>
              <w:bottom w:val="single" w:color="auto" w:sz="4" w:space="0"/>
              <w:right w:val="single" w:color="auto" w:sz="4" w:space="0"/>
            </w:tcBorders>
            <w:vAlign w:val="center"/>
          </w:tcPr>
          <w:p w14:paraId="5AD33C3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人员管理</w:t>
            </w:r>
          </w:p>
        </w:tc>
        <w:tc>
          <w:tcPr>
            <w:tcW w:w="3864" w:type="pct"/>
            <w:tcBorders>
              <w:top w:val="single" w:color="000000" w:sz="4" w:space="0"/>
              <w:left w:val="single" w:color="auto" w:sz="4" w:space="0"/>
              <w:bottom w:val="single" w:color="000000" w:sz="4" w:space="0"/>
              <w:right w:val="single" w:color="000000" w:sz="4" w:space="0"/>
            </w:tcBorders>
            <w:vAlign w:val="center"/>
          </w:tcPr>
          <w:p w14:paraId="7A3B976E">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添加/删除人员：添加人员、编辑姓名、手机号、工号等信息，选择上级部门和上级领导、人员可属于多个部门/公司（人员多岗）、人员操作：可以对单个人员选择删除、修改、启动、禁用、人员手动调序：人员调序操作，可以手动拖拽进行调整人员顺序等。</w:t>
            </w:r>
          </w:p>
        </w:tc>
      </w:tr>
      <w:tr w14:paraId="2ABFCC59">
        <w:tblPrEx>
          <w:tblCellMar>
            <w:top w:w="0" w:type="dxa"/>
            <w:left w:w="0" w:type="dxa"/>
            <w:bottom w:w="0" w:type="dxa"/>
            <w:right w:w="0" w:type="dxa"/>
          </w:tblCellMar>
        </w:tblPrEx>
        <w:trPr>
          <w:trHeight w:val="2125" w:hRule="atLeast"/>
          <w:jc w:val="center"/>
        </w:trPr>
        <w:tc>
          <w:tcPr>
            <w:tcW w:w="307" w:type="pct"/>
            <w:tcBorders>
              <w:top w:val="single" w:color="auto" w:sz="4" w:space="0"/>
              <w:left w:val="single" w:color="000000" w:sz="4" w:space="0"/>
              <w:right w:val="single" w:color="000000" w:sz="4" w:space="0"/>
            </w:tcBorders>
            <w:vAlign w:val="center"/>
          </w:tcPr>
          <w:p w14:paraId="587A4A46">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auto" w:sz="4" w:space="0"/>
              <w:left w:val="single" w:color="000000" w:sz="4" w:space="0"/>
              <w:right w:val="single" w:color="000000" w:sz="4" w:space="0"/>
            </w:tcBorders>
            <w:vAlign w:val="center"/>
          </w:tcPr>
          <w:p w14:paraId="38C59443">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统计</w:t>
            </w:r>
          </w:p>
        </w:tc>
        <w:tc>
          <w:tcPr>
            <w:tcW w:w="3864" w:type="pct"/>
            <w:tcBorders>
              <w:top w:val="single" w:color="000000" w:sz="4" w:space="0"/>
              <w:left w:val="single" w:color="000000" w:sz="4" w:space="0"/>
              <w:bottom w:val="single" w:color="000000" w:sz="4" w:space="0"/>
              <w:right w:val="single" w:color="000000" w:sz="4" w:space="0"/>
            </w:tcBorders>
            <w:vAlign w:val="center"/>
          </w:tcPr>
          <w:p w14:paraId="375AD7D1">
            <w:pPr>
              <w:spacing w:line="400" w:lineRule="exact"/>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统计总用户数、统计新增用户数、统计日活跃用户数、显示用户活跃度趋势图</w:t>
            </w:r>
          </w:p>
          <w:p w14:paraId="2C8562EF">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消息总数、上行消息量、显示趋势图</w:t>
            </w:r>
          </w:p>
          <w:p w14:paraId="7479548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总会话数、单聊总数、群聊总数、活跃单、群聊数、会话数据趋势图</w:t>
            </w:r>
          </w:p>
        </w:tc>
      </w:tr>
      <w:tr w14:paraId="16070C23">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513662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090DE75">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消息监控</w:t>
            </w:r>
          </w:p>
        </w:tc>
        <w:tc>
          <w:tcPr>
            <w:tcW w:w="3864" w:type="pct"/>
            <w:tcBorders>
              <w:top w:val="single" w:color="000000" w:sz="4" w:space="0"/>
              <w:left w:val="single" w:color="000000" w:sz="4" w:space="0"/>
              <w:bottom w:val="single" w:color="000000" w:sz="4" w:space="0"/>
              <w:right w:val="single" w:color="000000" w:sz="4" w:space="0"/>
            </w:tcBorders>
            <w:vAlign w:val="center"/>
          </w:tcPr>
          <w:p w14:paraId="2EEC9BE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根据查询结构展示会话消息相关内容，支持实时查消息内容</w:t>
            </w:r>
          </w:p>
        </w:tc>
      </w:tr>
      <w:tr w14:paraId="61343011">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F8B6B8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25B98D2">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操作监控</w:t>
            </w:r>
          </w:p>
        </w:tc>
        <w:tc>
          <w:tcPr>
            <w:tcW w:w="3864" w:type="pct"/>
            <w:tcBorders>
              <w:top w:val="single" w:color="000000" w:sz="4" w:space="0"/>
              <w:left w:val="single" w:color="000000" w:sz="4" w:space="0"/>
              <w:bottom w:val="single" w:color="000000" w:sz="4" w:space="0"/>
              <w:right w:val="single" w:color="000000" w:sz="4" w:space="0"/>
            </w:tcBorders>
            <w:vAlign w:val="bottom"/>
          </w:tcPr>
          <w:p w14:paraId="13BF3D9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查询维度：操作日期、操作类型、管理员、IP地址</w:t>
            </w:r>
          </w:p>
        </w:tc>
      </w:tr>
      <w:tr w14:paraId="66303EE0">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76CCB4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456C35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敏感词监控</w:t>
            </w:r>
          </w:p>
        </w:tc>
        <w:tc>
          <w:tcPr>
            <w:tcW w:w="3864" w:type="pct"/>
            <w:tcBorders>
              <w:top w:val="single" w:color="000000" w:sz="4" w:space="0"/>
              <w:left w:val="single" w:color="000000" w:sz="4" w:space="0"/>
              <w:bottom w:val="single" w:color="000000" w:sz="4" w:space="0"/>
              <w:right w:val="single" w:color="000000" w:sz="4" w:space="0"/>
            </w:tcBorders>
            <w:vAlign w:val="center"/>
          </w:tcPr>
          <w:p w14:paraId="2A18BFD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查询维度：敏感词、会话类型、发送时间</w:t>
            </w:r>
          </w:p>
        </w:tc>
      </w:tr>
      <w:tr w14:paraId="04D65A6B">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F5DECC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38DB6593">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设备监控</w:t>
            </w:r>
          </w:p>
        </w:tc>
        <w:tc>
          <w:tcPr>
            <w:tcW w:w="3864" w:type="pct"/>
            <w:tcBorders>
              <w:top w:val="single" w:color="000000" w:sz="4" w:space="0"/>
              <w:left w:val="single" w:color="000000" w:sz="4" w:space="0"/>
              <w:bottom w:val="single" w:color="000000" w:sz="4" w:space="0"/>
              <w:right w:val="single" w:color="000000" w:sz="4" w:space="0"/>
            </w:tcBorders>
            <w:vAlign w:val="center"/>
          </w:tcPr>
          <w:p w14:paraId="6C20B8A1">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统计账号登录过的所有设备的信息，提供锁定/解锁功能</w:t>
            </w:r>
          </w:p>
        </w:tc>
      </w:tr>
      <w:tr w14:paraId="079A0F40">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6F62272">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5058E43A">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敏感词设置</w:t>
            </w:r>
          </w:p>
        </w:tc>
        <w:tc>
          <w:tcPr>
            <w:tcW w:w="3864" w:type="pct"/>
            <w:tcBorders>
              <w:top w:val="single" w:color="000000" w:sz="4" w:space="0"/>
              <w:left w:val="single" w:color="000000" w:sz="4" w:space="0"/>
              <w:bottom w:val="single" w:color="000000" w:sz="4" w:space="0"/>
              <w:right w:val="single" w:color="000000" w:sz="4" w:space="0"/>
            </w:tcBorders>
            <w:vAlign w:val="center"/>
          </w:tcPr>
          <w:p w14:paraId="07076708">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功能：敏感词屏蔽、敏感词过滤</w:t>
            </w:r>
          </w:p>
        </w:tc>
      </w:tr>
      <w:tr w14:paraId="07B01DA5">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DAB3F4E">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1754F8EB">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公司设置</w:t>
            </w:r>
          </w:p>
        </w:tc>
        <w:tc>
          <w:tcPr>
            <w:tcW w:w="3864" w:type="pct"/>
            <w:tcBorders>
              <w:top w:val="single" w:color="000000" w:sz="4" w:space="0"/>
              <w:left w:val="single" w:color="000000" w:sz="4" w:space="0"/>
              <w:bottom w:val="single" w:color="000000" w:sz="4" w:space="0"/>
              <w:right w:val="single" w:color="000000" w:sz="4" w:space="0"/>
            </w:tcBorders>
            <w:vAlign w:val="center"/>
          </w:tcPr>
          <w:p w14:paraId="4B6F47C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编辑与管理总公司与子公司</w:t>
            </w:r>
          </w:p>
        </w:tc>
      </w:tr>
      <w:tr w14:paraId="0697132D">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5A5C768">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5D29F8FB">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权限设置</w:t>
            </w:r>
          </w:p>
        </w:tc>
        <w:tc>
          <w:tcPr>
            <w:tcW w:w="3864" w:type="pct"/>
            <w:tcBorders>
              <w:top w:val="single" w:color="000000" w:sz="4" w:space="0"/>
              <w:left w:val="single" w:color="000000" w:sz="4" w:space="0"/>
              <w:bottom w:val="single" w:color="000000" w:sz="4" w:space="0"/>
              <w:right w:val="single" w:color="000000" w:sz="4" w:space="0"/>
            </w:tcBorders>
            <w:vAlign w:val="center"/>
          </w:tcPr>
          <w:p w14:paraId="12866AE1">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设置与修改管理人员权限</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设置子管理员的管理权限范围，超级管理员、系统管理员</w:t>
            </w:r>
          </w:p>
        </w:tc>
      </w:tr>
      <w:tr w14:paraId="6FB72D77">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DC13B0B">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16A5D07">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聊天设置</w:t>
            </w:r>
          </w:p>
        </w:tc>
        <w:tc>
          <w:tcPr>
            <w:tcW w:w="3864" w:type="pct"/>
            <w:tcBorders>
              <w:top w:val="single" w:color="000000" w:sz="4" w:space="0"/>
              <w:left w:val="single" w:color="000000" w:sz="4" w:space="0"/>
              <w:bottom w:val="single" w:color="000000" w:sz="4" w:space="0"/>
              <w:right w:val="single" w:color="000000" w:sz="4" w:space="0"/>
            </w:tcBorders>
            <w:vAlign w:val="center"/>
          </w:tcPr>
          <w:p w14:paraId="6122AC6E">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设置应用中单个文件消息限制字节数大小</w:t>
            </w:r>
          </w:p>
        </w:tc>
      </w:tr>
      <w:tr w14:paraId="041420E6">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0E565E11">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5D9843E9">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登录注册设置</w:t>
            </w:r>
          </w:p>
        </w:tc>
        <w:tc>
          <w:tcPr>
            <w:tcW w:w="3864" w:type="pct"/>
            <w:tcBorders>
              <w:top w:val="single" w:color="000000" w:sz="4" w:space="0"/>
              <w:left w:val="single" w:color="000000" w:sz="4" w:space="0"/>
              <w:bottom w:val="single" w:color="000000" w:sz="4" w:space="0"/>
              <w:right w:val="single" w:color="000000" w:sz="4" w:space="0"/>
            </w:tcBorders>
            <w:vAlign w:val="center"/>
          </w:tcPr>
          <w:p w14:paraId="07D1A45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手机号为非登录项时，管理员可设置员工默认密码；手机号为登录项时，此功能隐藏，默认密码为手机号后六位</w:t>
            </w:r>
            <w:r>
              <w:rPr>
                <w:rFonts w:hint="eastAsia" w:asciiTheme="minorEastAsia" w:hAnsiTheme="minorEastAsia" w:eastAsiaTheme="minorEastAsia" w:cstheme="minorEastAsia"/>
                <w:sz w:val="24"/>
                <w:szCs w:val="24"/>
                <w:lang w:eastAsia="zh-CN"/>
              </w:rPr>
              <w:t>。</w:t>
            </w:r>
          </w:p>
        </w:tc>
      </w:tr>
      <w:tr w14:paraId="7A3AE236">
        <w:tblPrEx>
          <w:tblCellMar>
            <w:top w:w="0" w:type="dxa"/>
            <w:left w:w="0" w:type="dxa"/>
            <w:bottom w:w="0" w:type="dxa"/>
            <w:right w:w="0" w:type="dxa"/>
          </w:tblCellMar>
        </w:tblPrEx>
        <w:trPr>
          <w:trHeight w:val="334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69072D4A">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right w:val="single" w:color="000000" w:sz="4" w:space="0"/>
            </w:tcBorders>
            <w:vAlign w:val="center"/>
          </w:tcPr>
          <w:p w14:paraId="75073FF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安全与保密</w:t>
            </w:r>
          </w:p>
        </w:tc>
        <w:tc>
          <w:tcPr>
            <w:tcW w:w="3864" w:type="pct"/>
            <w:tcBorders>
              <w:top w:val="single" w:color="000000" w:sz="4" w:space="0"/>
              <w:left w:val="single" w:color="000000" w:sz="4" w:space="0"/>
              <w:right w:val="single" w:color="000000" w:sz="4" w:space="0"/>
            </w:tcBorders>
            <w:vAlign w:val="center"/>
          </w:tcPr>
          <w:p w14:paraId="2E8F5A49">
            <w:pPr>
              <w:kinsoku w:val="0"/>
              <w:overflowPunct w:val="0"/>
              <w:spacing w:line="400" w:lineRule="exact"/>
              <w:ind w:firstLine="48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强制修改密码：支持强制修改密码功能的开启与关闭</w:t>
            </w:r>
          </w:p>
          <w:p w14:paraId="4AA8C8CA">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背景水印：支持背景水印功能的开启与关闭</w:t>
            </w:r>
          </w:p>
          <w:p w14:paraId="32AA8325">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账号锁定：支持账号锁定功能的开启与关闭</w:t>
            </w:r>
          </w:p>
          <w:p w14:paraId="69B52F74">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隐藏手机号：支持隐藏全部用户手机号功能，开启后前端个人资料页隐藏手机号</w:t>
            </w:r>
          </w:p>
          <w:p w14:paraId="5A8C75A7">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手机号查看权限：后台支持配置指定人员查看通讯录内手机号权限，但对开启高管模式的人员除外；</w:t>
            </w:r>
          </w:p>
          <w:p w14:paraId="69643D40">
            <w:pPr>
              <w:kinsoku w:val="0"/>
              <w:overflowPunct w:val="0"/>
              <w:spacing w:line="400" w:lineRule="exact"/>
              <w:ind w:firstLine="480" w:firstLineChars="0"/>
              <w:jc w:val="both"/>
              <w:rPr>
                <w:rFonts w:hint="eastAsia" w:ascii="仿宋" w:hAnsi="仿宋" w:eastAsia="仿宋" w:cs="Times New Roman"/>
                <w:spacing w:val="0"/>
                <w:kern w:val="2"/>
                <w:sz w:val="24"/>
                <w:szCs w:val="24"/>
              </w:rPr>
            </w:pPr>
            <w:r>
              <w:rPr>
                <w:rFonts w:hint="eastAsia" w:asciiTheme="minorEastAsia" w:hAnsiTheme="minorEastAsia" w:eastAsiaTheme="minorEastAsia" w:cstheme="minorEastAsia"/>
                <w:sz w:val="24"/>
                <w:szCs w:val="24"/>
              </w:rPr>
              <w:t>内外网文件隔离设置：可设置是否开启内外网文件隔离功能</w:t>
            </w:r>
          </w:p>
        </w:tc>
      </w:tr>
      <w:tr w14:paraId="1E0D7B81">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329D5252">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0EA93C0">
            <w:pPr>
              <w:pStyle w:val="11"/>
              <w:kinsoku w:val="0"/>
              <w:overflowPunct w:val="0"/>
              <w:spacing w:line="400" w:lineRule="exact"/>
              <w:ind w:firstLine="0" w:firstLineChars="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IP V6支持</w:t>
            </w:r>
          </w:p>
        </w:tc>
        <w:tc>
          <w:tcPr>
            <w:tcW w:w="3864" w:type="pct"/>
            <w:tcBorders>
              <w:top w:val="single" w:color="000000" w:sz="4" w:space="0"/>
              <w:left w:val="single" w:color="000000" w:sz="4" w:space="0"/>
              <w:bottom w:val="single" w:color="000000" w:sz="4" w:space="0"/>
              <w:right w:val="single" w:color="000000" w:sz="4" w:space="0"/>
            </w:tcBorders>
            <w:vAlign w:val="center"/>
          </w:tcPr>
          <w:p w14:paraId="7805BB88">
            <w:pPr>
              <w:kinsoku w:val="0"/>
              <w:overflowPunct w:val="0"/>
              <w:spacing w:line="400" w:lineRule="exact"/>
              <w:ind w:firstLine="480" w:firstLineChars="0"/>
              <w:jc w:val="both"/>
              <w:rPr>
                <w:rFonts w:hint="eastAsia" w:asciiTheme="minorEastAsia" w:hAnsiTheme="minorEastAsia" w:eastAsiaTheme="minorEastAsia" w:cstheme="minorEastAsia"/>
                <w:spacing w:val="0"/>
                <w:kern w:val="2"/>
                <w:sz w:val="24"/>
                <w:szCs w:val="24"/>
              </w:rPr>
            </w:pPr>
            <w:r>
              <w:rPr>
                <w:rFonts w:hint="eastAsia" w:asciiTheme="minorEastAsia" w:hAnsiTheme="minorEastAsia" w:eastAsiaTheme="minorEastAsia" w:cstheme="minorEastAsia"/>
                <w:sz w:val="24"/>
                <w:szCs w:val="24"/>
              </w:rPr>
              <w:t>全端支持 IPV6</w:t>
            </w:r>
          </w:p>
        </w:tc>
      </w:tr>
      <w:tr w14:paraId="12939415">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4263C2ED">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411418D">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★消息中心</w:t>
            </w:r>
          </w:p>
        </w:tc>
        <w:tc>
          <w:tcPr>
            <w:tcW w:w="3864" w:type="pct"/>
            <w:tcBorders>
              <w:top w:val="single" w:color="000000" w:sz="4" w:space="0"/>
              <w:left w:val="single" w:color="000000" w:sz="4" w:space="0"/>
              <w:bottom w:val="single" w:color="000000" w:sz="4" w:space="0"/>
              <w:right w:val="single" w:color="000000" w:sz="4" w:space="0"/>
            </w:tcBorders>
            <w:vAlign w:val="center"/>
          </w:tcPr>
          <w:p w14:paraId="30C9AFBF">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支持与其他应用系统对接，实现待代办消息推送，通知提醒等功能。</w:t>
            </w:r>
          </w:p>
        </w:tc>
      </w:tr>
      <w:tr w14:paraId="6646C79C">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221645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C991CB5">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★加密信息</w:t>
            </w:r>
          </w:p>
        </w:tc>
        <w:tc>
          <w:tcPr>
            <w:tcW w:w="3864" w:type="pct"/>
            <w:tcBorders>
              <w:top w:val="single" w:color="000000" w:sz="4" w:space="0"/>
              <w:left w:val="single" w:color="000000" w:sz="4" w:space="0"/>
              <w:bottom w:val="single" w:color="000000" w:sz="4" w:space="0"/>
              <w:right w:val="single" w:color="000000" w:sz="4" w:space="0"/>
            </w:tcBorders>
            <w:vAlign w:val="center"/>
          </w:tcPr>
          <w:p w14:paraId="6EABE3FC">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支持在应用内实现加密信息的接受与发送，类型包括文字、本地照片、拍照、本地视频、表情、文件、短语音、语音通话、视频通话、名片；</w:t>
            </w:r>
          </w:p>
        </w:tc>
      </w:tr>
      <w:tr w14:paraId="2BC30F5C">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73965EA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0D94771B">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★加密信息安全</w:t>
            </w:r>
          </w:p>
        </w:tc>
        <w:tc>
          <w:tcPr>
            <w:tcW w:w="3864" w:type="pct"/>
            <w:tcBorders>
              <w:top w:val="single" w:color="000000" w:sz="4" w:space="0"/>
              <w:left w:val="single" w:color="000000" w:sz="4" w:space="0"/>
              <w:bottom w:val="single" w:color="000000" w:sz="4" w:space="0"/>
              <w:right w:val="single" w:color="000000" w:sz="4" w:space="0"/>
            </w:tcBorders>
            <w:vAlign w:val="center"/>
          </w:tcPr>
          <w:p w14:paraId="718C5FF4">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支持在应用内实现信息发送的加密模式与普通模式的切换，同时采用禁止截屏、录屏黑屏等方式加强信息的安全性，加密模式还可实现消息的阅后即焚；</w:t>
            </w:r>
          </w:p>
        </w:tc>
      </w:tr>
      <w:tr w14:paraId="3516C413">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2E7F10BC">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255D3A54">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加密通信录</w:t>
            </w:r>
          </w:p>
        </w:tc>
        <w:tc>
          <w:tcPr>
            <w:tcW w:w="3864" w:type="pct"/>
            <w:tcBorders>
              <w:top w:val="single" w:color="000000" w:sz="4" w:space="0"/>
              <w:left w:val="single" w:color="000000" w:sz="4" w:space="0"/>
              <w:bottom w:val="single" w:color="000000" w:sz="4" w:space="0"/>
              <w:right w:val="single" w:color="000000" w:sz="4" w:space="0"/>
            </w:tcBorders>
            <w:vAlign w:val="center"/>
          </w:tcPr>
          <w:p w14:paraId="11192155">
            <w:pPr>
              <w:spacing w:line="400" w:lineRule="exact"/>
              <w:ind w:firstLine="480" w:firstLineChars="0"/>
              <w:jc w:val="both"/>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支持加密通讯录相关功能，支持单位通讯录展示，展示内容包括组织架构、人员信息等内容。</w:t>
            </w:r>
          </w:p>
        </w:tc>
      </w:tr>
      <w:tr w14:paraId="00869F62">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57196B3F">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69E1F008">
            <w:pPr>
              <w:pStyle w:val="11"/>
              <w:kinsoku w:val="0"/>
              <w:overflowPunct w:val="0"/>
              <w:spacing w:line="400" w:lineRule="exact"/>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密码能力</w:t>
            </w:r>
          </w:p>
        </w:tc>
        <w:tc>
          <w:tcPr>
            <w:tcW w:w="3864" w:type="pct"/>
            <w:tcBorders>
              <w:top w:val="single" w:color="000000" w:sz="4" w:space="0"/>
              <w:left w:val="single" w:color="000000" w:sz="4" w:space="0"/>
              <w:bottom w:val="single" w:color="000000" w:sz="4" w:space="0"/>
              <w:right w:val="single" w:color="000000" w:sz="4" w:space="0"/>
            </w:tcBorders>
            <w:vAlign w:val="center"/>
          </w:tcPr>
          <w:p w14:paraId="7F2D0A64">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加密安全盾由密码服务能力、密钥可视化能力组成。</w:t>
            </w:r>
          </w:p>
        </w:tc>
      </w:tr>
      <w:tr w14:paraId="4C58000A">
        <w:tblPrEx>
          <w:tblCellMar>
            <w:top w:w="0" w:type="dxa"/>
            <w:left w:w="0" w:type="dxa"/>
            <w:bottom w:w="0" w:type="dxa"/>
            <w:right w:w="0" w:type="dxa"/>
          </w:tblCellMar>
        </w:tblPrEx>
        <w:trPr>
          <w:trHeight w:val="515" w:hRule="atLeast"/>
          <w:jc w:val="center"/>
        </w:trPr>
        <w:tc>
          <w:tcPr>
            <w:tcW w:w="307" w:type="pct"/>
            <w:tcBorders>
              <w:top w:val="single" w:color="000000" w:sz="4" w:space="0"/>
              <w:left w:val="single" w:color="000000" w:sz="4" w:space="0"/>
              <w:bottom w:val="single" w:color="000000" w:sz="4" w:space="0"/>
              <w:right w:val="single" w:color="000000" w:sz="4" w:space="0"/>
            </w:tcBorders>
            <w:vAlign w:val="center"/>
          </w:tcPr>
          <w:p w14:paraId="124F4A49">
            <w:pPr>
              <w:pStyle w:val="11"/>
              <w:numPr>
                <w:ilvl w:val="0"/>
                <w:numId w:val="2"/>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827" w:type="pct"/>
            <w:tcBorders>
              <w:top w:val="single" w:color="000000" w:sz="4" w:space="0"/>
              <w:left w:val="single" w:color="000000" w:sz="4" w:space="0"/>
              <w:bottom w:val="single" w:color="000000" w:sz="4" w:space="0"/>
              <w:right w:val="single" w:color="000000" w:sz="4" w:space="0"/>
            </w:tcBorders>
            <w:vAlign w:val="center"/>
          </w:tcPr>
          <w:p w14:paraId="7D905284">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★密码技术</w:t>
            </w:r>
          </w:p>
        </w:tc>
        <w:tc>
          <w:tcPr>
            <w:tcW w:w="3864" w:type="pct"/>
            <w:tcBorders>
              <w:top w:val="single" w:color="000000" w:sz="4" w:space="0"/>
              <w:left w:val="single" w:color="000000" w:sz="4" w:space="0"/>
              <w:bottom w:val="single" w:color="000000" w:sz="4" w:space="0"/>
              <w:right w:val="single" w:color="000000" w:sz="4" w:space="0"/>
            </w:tcBorders>
            <w:vAlign w:val="center"/>
          </w:tcPr>
          <w:p w14:paraId="0DE8494A">
            <w:pPr>
              <w:kinsoku w:val="0"/>
              <w:overflowPunct w:val="0"/>
              <w:spacing w:line="400" w:lineRule="exact"/>
              <w:ind w:firstLine="480" w:firstLineChars="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安全身份认证系统采用安全密码技术和SM2、SM4商密算法，支持</w:t>
            </w:r>
            <w:r>
              <w:rPr>
                <w:rFonts w:hint="eastAsia" w:asciiTheme="minorEastAsia" w:hAnsiTheme="minorEastAsia" w:eastAsiaTheme="minorEastAsia" w:cstheme="minorEastAsia"/>
                <w:kern w:val="0"/>
                <w:sz w:val="24"/>
                <w:szCs w:val="24"/>
              </w:rPr>
              <w:t>CAS协议与密钥结合认证，单聊模式通过“一次一密”高频更</w:t>
            </w:r>
            <w:r>
              <w:rPr>
                <w:rFonts w:hint="eastAsia" w:asciiTheme="minorEastAsia" w:hAnsiTheme="minorEastAsia" w:eastAsiaTheme="minorEastAsia" w:cstheme="minorEastAsia"/>
                <w:sz w:val="24"/>
                <w:szCs w:val="24"/>
              </w:rPr>
              <w:t>换密钥，提升加密业务的性能，确保信息安全。</w:t>
            </w:r>
          </w:p>
        </w:tc>
      </w:tr>
    </w:tbl>
    <w:p w14:paraId="1A032802">
      <w:pPr>
        <w:spacing w:line="288" w:lineRule="auto"/>
        <w:ind w:firstLine="562"/>
        <w:outlineLvl w:val="2"/>
        <w:rPr>
          <w:rFonts w:hint="eastAsia" w:asciiTheme="minorEastAsia" w:hAnsiTheme="minorEastAsia" w:eastAsiaTheme="minorEastAsia" w:cstheme="minorEastAsia"/>
          <w:b/>
          <w:bCs w:val="0"/>
          <w:sz w:val="28"/>
        </w:rPr>
      </w:pPr>
      <w:r>
        <w:rPr>
          <w:rFonts w:hint="eastAsia" w:asciiTheme="minorEastAsia" w:hAnsiTheme="minorEastAsia" w:eastAsiaTheme="minorEastAsia" w:cstheme="minorEastAsia"/>
          <w:b/>
          <w:bCs w:val="0"/>
          <w:sz w:val="28"/>
        </w:rPr>
        <w:t>3.应急指挥调度平台</w:t>
      </w:r>
      <w:bookmarkEnd w:id="6"/>
    </w:p>
    <w:p w14:paraId="674A6A9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融合通讯平台整合监狱内各类终端及音视频子系统，支持接入监区内视频监控、可视对讲、对讲机、移动执法终端、执法记录仪等，贯穿监区-监狱-区局提供资源可视化、一键指挥调度功能。</w:t>
      </w:r>
    </w:p>
    <w:p w14:paraId="689FC83E">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统一接入与管理：支持固定电话、对讲、移动单兵、警务通、广播、调音台等各类音频系统的统一接入，进行集中管理与调度。</w:t>
      </w:r>
    </w:p>
    <w:p w14:paraId="4BB8503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无缝互通：支持各种音频系统之间的无缝互联互通。</w:t>
      </w:r>
    </w:p>
    <w:p w14:paraId="70D3287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交互协作：可与其他视频系统、业务系统交互，使指挥中心能够通过一个话筒或电话，对现场不同终端进行通话、指挥和调度，满足统一指挥与协同工作需求。</w:t>
      </w:r>
    </w:p>
    <w:p w14:paraId="65DC761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资源融合接入：支持融合固定视频监控、移动车载监控、宽带集群终端、执法记录仪、移动执法终端、布控球和无人机等各类视频资源。</w:t>
      </w:r>
    </w:p>
    <w:p w14:paraId="08E3C84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多功能应用：实现群组会议、远程视频查看、云台控制、视频轮巡等功能。</w:t>
      </w:r>
    </w:p>
    <w:p w14:paraId="1F56F19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数据采集存储：支持统一采集、存储各系统终端的定位数据，可获取视频监控系统的固定/移动摄像头、宽带集群终端、记录仪以及公网终端的位置信息。</w:t>
      </w:r>
    </w:p>
    <w:p w14:paraId="62B9B8E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位置功能实现：提供位置上报、地图点选/圈选、轨迹回放、地理围栏等功能。</w:t>
      </w:r>
    </w:p>
    <w:p w14:paraId="1A9B426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即时消息：提供即时消息功能，实现融合通信系统调度台与使用移动APP的人员发起一对一、一对多群组消息，支持文字、图片、视频、文件的发送。</w:t>
      </w:r>
    </w:p>
    <w:p w14:paraId="53E4B55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用户信息管理：涵盖用户群组服务、通讯录服务等。</w:t>
      </w:r>
    </w:p>
    <w:p w14:paraId="6B72AB5B">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部门管理：通过给用户指定部门实现分级分权管理，支持最大五级部门，上级部门对下级部门有资源查看和调配权限，下级部门仅拥有本部门资源调度管理权限，同级别间不越权。</w:t>
      </w:r>
    </w:p>
    <w:p w14:paraId="206B835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录音录像基础功能：具备录音录像功能、录音录像回放功能、录音录像下载和录音录像查询功能。</w:t>
      </w:r>
    </w:p>
    <w:p w14:paraId="210D783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多种录音类型：支持语音点呼录音、视频点呼录音、组呼录音等。</w:t>
      </w:r>
    </w:p>
    <w:p w14:paraId="6F6D36C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群组录音管理：可对群组通话语音进行存储，对存储文件进行查询、下载和删除等操作。</w:t>
      </w:r>
    </w:p>
    <w:p w14:paraId="49BCA10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视频回传录像管理：对手持终端和摄像头回传的视频进行存储，对存储文件进行查询、下载和删除。</w:t>
      </w:r>
    </w:p>
    <w:p w14:paraId="5A42395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融合通讯平台集成能力均可对外开放统一接口，服务业务平台，实现能力嫁接。</w:t>
      </w:r>
    </w:p>
    <w:p w14:paraId="58FC6180">
      <w:pPr>
        <w:spacing w:line="288" w:lineRule="auto"/>
        <w:ind w:firstLine="560"/>
        <w:rPr>
          <w:rFonts w:asciiTheme="minorEastAsia" w:hAnsiTheme="minorEastAsia" w:eastAsiaTheme="minorEastAsia" w:cstheme="minorEastAsia"/>
          <w:sz w:val="28"/>
        </w:rPr>
      </w:pPr>
      <w:bookmarkStart w:id="7" w:name="_Toc130543936"/>
      <w:r>
        <w:rPr>
          <w:rFonts w:hint="eastAsia" w:asciiTheme="minorEastAsia" w:hAnsiTheme="minorEastAsia" w:eastAsiaTheme="minorEastAsia" w:cstheme="minorEastAsia"/>
          <w:sz w:val="28"/>
        </w:rPr>
        <w:t>视频监控平台接入</w:t>
      </w:r>
      <w:bookmarkEnd w:id="7"/>
      <w:r>
        <w:rPr>
          <w:rFonts w:hint="eastAsia" w:asciiTheme="minorEastAsia" w:hAnsiTheme="minorEastAsia" w:eastAsiaTheme="minorEastAsia" w:cstheme="minorEastAsia"/>
          <w:sz w:val="28"/>
        </w:rPr>
        <w:t>：对于已建视频联网监控平台的行业单位，视频监控平台符合国标GB/T 28181、Onvif协议要求的，融合通信平台可按照国标GB/T 28181、Onvif协议直接与平台进行对接；对于不符合GB/T28181、Onvif协议要求的视频监控平台，需要额外通过代理转换服务器或协议转换网关将私有协议转换为标准的GB/T28181协议，经过转换之后，获取支持标准GB/T28181协议的视频监控码流，融合通信平台再进行平台对接，实现实时视音频点播、设备控制、设备信息查询、状态信息查询、历史视音频文件检索、历史视音频回放、设备定位等功能。支持直接对接前端国标摄像机，实现实时视音频点播、设备控制、设备定位等功能。</w:t>
      </w:r>
    </w:p>
    <w:p w14:paraId="21D73E28">
      <w:pPr>
        <w:spacing w:line="288" w:lineRule="auto"/>
        <w:ind w:firstLine="560"/>
        <w:rPr>
          <w:rFonts w:asciiTheme="minorEastAsia" w:hAnsiTheme="minorEastAsia" w:eastAsiaTheme="minorEastAsia" w:cstheme="minorEastAsia"/>
          <w:sz w:val="28"/>
        </w:rPr>
      </w:pPr>
      <w:bookmarkStart w:id="8" w:name="_Toc130543938"/>
      <w:r>
        <w:rPr>
          <w:rFonts w:hint="eastAsia" w:asciiTheme="minorEastAsia" w:hAnsiTheme="minorEastAsia" w:eastAsiaTheme="minorEastAsia" w:cstheme="minorEastAsia"/>
          <w:sz w:val="28"/>
        </w:rPr>
        <w:t>集群对讲</w:t>
      </w:r>
      <w:bookmarkEnd w:id="8"/>
      <w:r>
        <w:rPr>
          <w:rFonts w:hint="eastAsia" w:asciiTheme="minorEastAsia" w:hAnsiTheme="minorEastAsia" w:eastAsiaTheme="minorEastAsia" w:cstheme="minorEastAsia"/>
          <w:sz w:val="28"/>
        </w:rPr>
        <w:t>接入：支持公安350MHz集群（PDT）系统、800MHz集群（Tetra）系统、模拟/数字常规（DMR）系统（频道点对点通信）、短波系统接入，在不影响当前系统的正常通信基础上，实现与融合通信平台内其他通信手段实现互联互通。</w:t>
      </w:r>
    </w:p>
    <w:p w14:paraId="2286F69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移动执法终端接入：系统支持移动执法终端通过预置即时消息软件完成平台接入，实现视频远程实时浏览，音频双向通话、GIS定位上图，并支持与融合通信平台内其他通信手段实现互联互通。</w:t>
      </w:r>
    </w:p>
    <w:p w14:paraId="14413995">
      <w:pPr>
        <w:spacing w:line="288" w:lineRule="auto"/>
        <w:ind w:firstLine="560"/>
        <w:rPr>
          <w:rFonts w:asciiTheme="minorEastAsia" w:hAnsiTheme="minorEastAsia" w:eastAsiaTheme="minorEastAsia" w:cstheme="minorEastAsia"/>
          <w:sz w:val="28"/>
          <w:lang w:val="zh-CN"/>
        </w:rPr>
      </w:pPr>
      <w:r>
        <w:rPr>
          <w:rFonts w:hint="eastAsia" w:asciiTheme="minorEastAsia" w:hAnsiTheme="minorEastAsia" w:eastAsiaTheme="minorEastAsia" w:cstheme="minorEastAsia"/>
          <w:sz w:val="28"/>
        </w:rPr>
        <w:t>执法记录仪接入：</w:t>
      </w:r>
      <w:r>
        <w:rPr>
          <w:rFonts w:hint="eastAsia" w:asciiTheme="minorEastAsia" w:hAnsiTheme="minorEastAsia" w:eastAsiaTheme="minorEastAsia" w:cstheme="minorEastAsia"/>
          <w:sz w:val="28"/>
          <w:lang w:val="zh-CN"/>
        </w:rPr>
        <w:t>支持和执法记录仪的对接，执法记录仪已内置了集群通信软件，通过该软件可以直接接入融合通信平台，实现语音点呼/组呼、视频点呼、视频监控功能等功能。</w:t>
      </w:r>
    </w:p>
    <w:p w14:paraId="0C2F03CB">
      <w:pPr>
        <w:pStyle w:val="6"/>
        <w:ind w:left="1042" w:hanging="562"/>
        <w:rPr>
          <w:lang w:val="zh-CN"/>
        </w:rPr>
      </w:pPr>
      <w:r>
        <w:rPr>
          <w:rFonts w:hint="eastAsia" w:asciiTheme="minorEastAsia" w:hAnsiTheme="minorEastAsia" w:eastAsiaTheme="minorEastAsia" w:cstheme="minorEastAsia"/>
          <w:b/>
          <w:sz w:val="28"/>
        </w:rPr>
        <w:t>功能需求如下，标★项为重要技术要求参数，需提供证明材料：</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224"/>
        <w:gridCol w:w="7381"/>
      </w:tblGrid>
      <w:tr w14:paraId="604F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66" w:type="pct"/>
            <w:shd w:val="clear" w:color="auto" w:fill="CFCECE" w:themeFill="background2" w:themeFillShade="E5"/>
            <w:vAlign w:val="center"/>
          </w:tcPr>
          <w:p w14:paraId="64E18BF4">
            <w:pPr>
              <w:spacing w:line="288" w:lineRule="auto"/>
              <w:ind w:firstLine="0" w:firstLineChars="0"/>
              <w:jc w:val="center"/>
              <w:rPr>
                <w:rFonts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序号</w:t>
            </w:r>
          </w:p>
        </w:tc>
        <w:tc>
          <w:tcPr>
            <w:tcW w:w="659" w:type="pct"/>
            <w:shd w:val="clear" w:color="auto" w:fill="CFCECE" w:themeFill="background2" w:themeFillShade="E5"/>
            <w:vAlign w:val="center"/>
          </w:tcPr>
          <w:p w14:paraId="3D00386A">
            <w:pPr>
              <w:spacing w:line="288" w:lineRule="auto"/>
              <w:ind w:firstLine="0" w:firstLineChars="0"/>
              <w:jc w:val="center"/>
              <w:rPr>
                <w:rFonts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指标项</w:t>
            </w:r>
          </w:p>
        </w:tc>
        <w:tc>
          <w:tcPr>
            <w:tcW w:w="3974" w:type="pct"/>
            <w:shd w:val="clear" w:color="auto" w:fill="CFCECE" w:themeFill="background2" w:themeFillShade="E5"/>
            <w:vAlign w:val="center"/>
          </w:tcPr>
          <w:p w14:paraId="043E9FA0">
            <w:pPr>
              <w:spacing w:line="288" w:lineRule="auto"/>
              <w:ind w:firstLine="0" w:firstLineChars="0"/>
              <w:jc w:val="center"/>
              <w:rPr>
                <w:rFonts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功能指标要求</w:t>
            </w:r>
          </w:p>
        </w:tc>
      </w:tr>
      <w:tr w14:paraId="22A2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66" w:type="pct"/>
            <w:vMerge w:val="restart"/>
            <w:vAlign w:val="center"/>
          </w:tcPr>
          <w:p w14:paraId="04FB9CD3">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659" w:type="pct"/>
            <w:vMerge w:val="restart"/>
            <w:vAlign w:val="center"/>
          </w:tcPr>
          <w:p w14:paraId="2E2B5E49">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融合通信基础系统</w:t>
            </w:r>
          </w:p>
        </w:tc>
        <w:tc>
          <w:tcPr>
            <w:tcW w:w="3974" w:type="pct"/>
            <w:vAlign w:val="center"/>
          </w:tcPr>
          <w:p w14:paraId="554221C4">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1.支持语音调度、集群调度、视频调度、音视频会议、多媒体调度、GIS可视化调度、公网集群等通信调度功能；（提供功能截图并加盖公章）</w:t>
            </w:r>
          </w:p>
          <w:p w14:paraId="30A4EDAF">
            <w:pPr>
              <w:widowControl/>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2.支持语音业务：支持对快捷组成员或通讯录成员(终端类型包括但不限于固话、手机、PDT终端、智能单兵等)进行一键组呼、广播、轮询、点名、组呼通知等快捷操作。（提供功能截图并加盖公章）</w:t>
            </w:r>
          </w:p>
          <w:p w14:paraId="42E34F63">
            <w:pPr>
              <w:widowControl/>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3.支持呼入队列业务：对呼入指挥中心的电话进行智能排队管理，可根据电话呼入时间或者成员用户等级排队等待，</w:t>
            </w:r>
          </w:p>
          <w:p w14:paraId="2ECCA9D5">
            <w:pPr>
              <w:widowControl/>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4.支持视频业务：支持对接入的各类视频资源进行分类管理，包括视频终端。（提供功能截图并加盖公章）</w:t>
            </w:r>
          </w:p>
          <w:p w14:paraId="6A6D3869">
            <w:pPr>
              <w:widowControl/>
              <w:spacing w:line="400" w:lineRule="exact"/>
              <w:ind w:firstLine="480" w:firstLineChars="200"/>
              <w:jc w:val="both"/>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rPr>
              <w:t>★5.视频监控：支持在调度台监控、对讲、定位、云台控制，历史音视频检索及调看、设备在线状态及定位信息上报、组织结构及目录设备同步等功能，支持监控画面通过流媒体链接转发浏览器播放。（提供功能截图并加盖公章）</w:t>
            </w:r>
          </w:p>
        </w:tc>
      </w:tr>
      <w:tr w14:paraId="6974A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366" w:type="pct"/>
            <w:vMerge w:val="restart"/>
            <w:vAlign w:val="center"/>
          </w:tcPr>
          <w:p w14:paraId="4D6F8E67">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659" w:type="pct"/>
            <w:vMerge w:val="restart"/>
            <w:vAlign w:val="center"/>
          </w:tcPr>
          <w:p w14:paraId="59B991F0">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用户管理模块</w:t>
            </w:r>
          </w:p>
        </w:tc>
        <w:tc>
          <w:tcPr>
            <w:tcW w:w="3974" w:type="pct"/>
            <w:vAlign w:val="center"/>
          </w:tcPr>
          <w:p w14:paraId="048FE8CC">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1.支持人员账号管理：管理员通过浏览器进行账号管理。</w:t>
            </w:r>
          </w:p>
          <w:p w14:paraId="446B5794">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2.支持通讯录管理：支持进行单个添加或批量添加通讯录，批量添加提供模板，通讯信息包括：部门、成员姓名、性别、成员类型、分机号码、手机号码、成员等级信息。</w:t>
            </w:r>
          </w:p>
          <w:p w14:paraId="1A4E66BA">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3.支持对调度快捷组管理：支持对调度快捷组及快捷组下的成员进行新增、删除、修改等操作。</w:t>
            </w:r>
          </w:p>
          <w:p w14:paraId="345753AD">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4.支持权限管理：支持对账号角色进行权限控制，实现对账号可应用的功能进行限制。</w:t>
            </w:r>
          </w:p>
          <w:p w14:paraId="75805289">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5.支持登录鉴权功能：支持用户和设备的接入鉴权和认证功能。</w:t>
            </w:r>
          </w:p>
          <w:p w14:paraId="7CA1DDFA">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6.支持操作日志查询：可查询系统操作日志，内容包含账号、IP、操作内容、时间等。</w:t>
            </w:r>
          </w:p>
        </w:tc>
      </w:tr>
      <w:tr w14:paraId="0D48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366" w:type="pct"/>
            <w:vMerge w:val="restart"/>
            <w:vAlign w:val="center"/>
          </w:tcPr>
          <w:p w14:paraId="3AF78E3F">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c>
          <w:tcPr>
            <w:tcW w:w="659" w:type="pct"/>
            <w:vMerge w:val="restart"/>
            <w:vAlign w:val="center"/>
          </w:tcPr>
          <w:p w14:paraId="1148C593">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录音录像模块</w:t>
            </w:r>
          </w:p>
        </w:tc>
        <w:tc>
          <w:tcPr>
            <w:tcW w:w="3974" w:type="pct"/>
            <w:vAlign w:val="center"/>
          </w:tcPr>
          <w:p w14:paraId="7322630E">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1.具备录音录像功能、录音录像回放功能、录音录像下载和录音录像查询功能等。</w:t>
            </w:r>
          </w:p>
          <w:p w14:paraId="11D4C605">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2.支持对系统内发起的通话和会议进行自动或手动录音/录像。</w:t>
            </w:r>
          </w:p>
          <w:p w14:paraId="03DEC256">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3.录音文件以 WAV 格式，录像文件以 mp4 格式进行存储。</w:t>
            </w:r>
          </w:p>
        </w:tc>
      </w:tr>
      <w:tr w14:paraId="6193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66" w:type="pct"/>
            <w:vMerge w:val="restart"/>
            <w:vAlign w:val="center"/>
          </w:tcPr>
          <w:p w14:paraId="0E236446">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659" w:type="pct"/>
            <w:vMerge w:val="restart"/>
            <w:vAlign w:val="center"/>
          </w:tcPr>
          <w:p w14:paraId="1A1FCB52">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PC端调度软件</w:t>
            </w:r>
          </w:p>
        </w:tc>
        <w:tc>
          <w:tcPr>
            <w:tcW w:w="3974" w:type="pct"/>
            <w:vAlign w:val="center"/>
          </w:tcPr>
          <w:p w14:paraId="1630F659">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1.应提供BS调度客户端，支持语音调度、视频调度、语音会议、会商调度、GIS调度、即时消息、录音录像等多种通信调度模式；。</w:t>
            </w:r>
          </w:p>
          <w:p w14:paraId="285770C0">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2.调度台具备GIS图形化操作，具备群组、通讯录、会商、监控、电话等便捷调度模块，在GIS调度模块上实现对讲、音视频通话、会商监控查看等音视频调度功能，相应功能需提供测试报告作为证明材料。</w:t>
            </w:r>
          </w:p>
          <w:p w14:paraId="2FDC8E95">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调度台支持查看各部门成员基本信息，包括名称、部门、职务、电话等信息；需具备建立调度快捷组,对快捷组进行删除、增加等功能；需具备对通讯录或快捷组的成员进行呼叫、加入会场、一号通、监听、强插、强拆、转接等语音调度等功能。</w:t>
            </w:r>
          </w:p>
          <w:p w14:paraId="4D798804">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4.调度台支持和终端用户之间、调度台之间的点对点、点对群组即时消息收发。</w:t>
            </w:r>
          </w:p>
          <w:p w14:paraId="41217C79">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5.调度台支持视频业务，包括视频呼叫、视频点播，支持不少于12路1080视频解码能力；</w:t>
            </w:r>
          </w:p>
          <w:p w14:paraId="19B1EDD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6.调度台支持对视频点播画面进行本地录像和截图等操作。</w:t>
            </w:r>
          </w:p>
          <w:p w14:paraId="219930FB">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7.调度台支持资源列表显示，内容包括用户列表、群组列表的功能。</w:t>
            </w:r>
          </w:p>
        </w:tc>
      </w:tr>
      <w:tr w14:paraId="19D8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366" w:type="pct"/>
            <w:vMerge w:val="restart"/>
            <w:vAlign w:val="center"/>
          </w:tcPr>
          <w:p w14:paraId="043C9574">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w:t>
            </w:r>
          </w:p>
        </w:tc>
        <w:tc>
          <w:tcPr>
            <w:tcW w:w="659" w:type="pct"/>
            <w:vMerge w:val="restart"/>
            <w:vAlign w:val="center"/>
          </w:tcPr>
          <w:p w14:paraId="211061BB">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移动端调度软件</w:t>
            </w:r>
          </w:p>
        </w:tc>
        <w:tc>
          <w:tcPr>
            <w:tcW w:w="3974" w:type="pct"/>
            <w:vAlign w:val="center"/>
          </w:tcPr>
          <w:p w14:paraId="0AFF4003">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1.支持公网终端接入，包括终端的账号管理、注册、状态查询等，为业务调度提供基础。</w:t>
            </w:r>
          </w:p>
          <w:p w14:paraId="6BA4C166">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2.支持终端之间的语音单呼、视频呼叫、视频点播、即时消息收发等音视频业务互通功能，支撑终端间的本地业务调度。 </w:t>
            </w:r>
          </w:p>
          <w:p w14:paraId="457045E4">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3.支持集群调度：支持不同对讲机组的切换，选择进入对讲组后进行对讲通话，需支持创建临时对讲组。</w:t>
            </w:r>
          </w:p>
          <w:p w14:paraId="2DCED5BA">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4.支持视频调度：视频点播及推送功能，需支持视频监控查看、云台控制等功能，并支持把监控推送给通讯录成员。</w:t>
            </w:r>
          </w:p>
          <w:p w14:paraId="716B12D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5.支持通讯录同步功能，支持自动同步系统的通讯录，同时可导入显示设备本地通讯录。</w:t>
            </w:r>
          </w:p>
          <w:p w14:paraId="6CCB18BA">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6.支持通话记录查询功能，需支持未接来电、所有通话等记录查询。</w:t>
            </w:r>
          </w:p>
        </w:tc>
      </w:tr>
      <w:tr w14:paraId="7DE25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6" w:type="pct"/>
            <w:vMerge w:val="restart"/>
            <w:vAlign w:val="center"/>
          </w:tcPr>
          <w:p w14:paraId="31C791A1">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6</w:t>
            </w:r>
          </w:p>
        </w:tc>
        <w:tc>
          <w:tcPr>
            <w:tcW w:w="659" w:type="pct"/>
            <w:vMerge w:val="restart"/>
            <w:vAlign w:val="center"/>
          </w:tcPr>
          <w:p w14:paraId="46424D6C">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视频融合模块</w:t>
            </w:r>
          </w:p>
        </w:tc>
        <w:tc>
          <w:tcPr>
            <w:tcW w:w="3974" w:type="pct"/>
            <w:vAlign w:val="center"/>
          </w:tcPr>
          <w:p w14:paraId="1FD9F507">
            <w:pPr>
              <w:widowControl/>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auto"/>
                <w:kern w:val="0"/>
                <w:sz w:val="24"/>
                <w:szCs w:val="24"/>
              </w:rPr>
              <w:t>1.支持GB28181协议与第三方监控平台对接，对接后可实现目录同步、实时视频查看、历史视频查看和云台控制等功能。（提供功能截图并加盖公章）</w:t>
            </w:r>
          </w:p>
          <w:p w14:paraId="6A93C623">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2.支持接入视频的实时媒体点播，设备控制，设备信息查询，设备状态信息报送，订阅和通知。</w:t>
            </w:r>
          </w:p>
          <w:p w14:paraId="33E2E77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3.支持对接入视频的实时媒体点播。（提供功能截图并加盖公章）</w:t>
            </w:r>
          </w:p>
          <w:p w14:paraId="05C5C382">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4.支持对接入系统的视频资源设备的状态查询。（提供功能截图并加盖公章）</w:t>
            </w:r>
          </w:p>
          <w:p w14:paraId="6A42FDB3">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5.支持系统间视频设备的GIS信息订阅和上报。</w:t>
            </w:r>
          </w:p>
          <w:p w14:paraId="52C25781">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6.支持调阅手持终端的移动视频。</w:t>
            </w:r>
          </w:p>
          <w:p w14:paraId="1E8FCAD0">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7.支持多媒体调度台或手持终端上可以调阅视频平台的固定摄像头。</w:t>
            </w:r>
          </w:p>
          <w:p w14:paraId="0B7C8365">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8.需符合《GB/T28181-2022公共安全视频监控联网系统信息传输、交换、控制技术要求》。</w:t>
            </w:r>
          </w:p>
          <w:p w14:paraId="0036354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auto"/>
                <w:kern w:val="0"/>
                <w:sz w:val="24"/>
                <w:szCs w:val="24"/>
              </w:rPr>
              <w:t>9.支持不低于50000个摄像头许可。（提供承诺函并加盖原厂公章）</w:t>
            </w:r>
          </w:p>
          <w:p w14:paraId="5C634B0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auto"/>
                <w:kern w:val="0"/>
                <w:sz w:val="24"/>
                <w:szCs w:val="24"/>
              </w:rPr>
              <w:t>10.需支持国标GB/T28181协议与监控平台对接，对接后可实现目录同步、实时视频查看、历史视频查看和云台控制等功能；（提供功能截图并加盖公章）</w:t>
            </w:r>
          </w:p>
          <w:p w14:paraId="5572AC11">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11.支持GB28181协议配置功能。</w:t>
            </w:r>
          </w:p>
        </w:tc>
      </w:tr>
      <w:tr w14:paraId="2C7C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366" w:type="pct"/>
            <w:vMerge w:val="restart"/>
            <w:vAlign w:val="center"/>
          </w:tcPr>
          <w:p w14:paraId="43A4C2C6">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7</w:t>
            </w:r>
          </w:p>
        </w:tc>
        <w:tc>
          <w:tcPr>
            <w:tcW w:w="659" w:type="pct"/>
            <w:vMerge w:val="restart"/>
            <w:vAlign w:val="center"/>
          </w:tcPr>
          <w:p w14:paraId="6F3BB01F">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窄带对讲融合模块</w:t>
            </w:r>
          </w:p>
        </w:tc>
        <w:tc>
          <w:tcPr>
            <w:tcW w:w="3974" w:type="pct"/>
            <w:vAlign w:val="center"/>
          </w:tcPr>
          <w:p w14:paraId="419772CD">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1.需支持COR检测和VOX检测方式。</w:t>
            </w:r>
          </w:p>
          <w:p w14:paraId="7CFB9EEE">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2.需支持过压过流保护。</w:t>
            </w:r>
          </w:p>
          <w:p w14:paraId="2B9FB593">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3.需支持配置管理：能够实现对系统运行参数的修改和查询等功能。</w:t>
            </w:r>
          </w:p>
          <w:p w14:paraId="00F93071">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auto"/>
                <w:kern w:val="0"/>
                <w:sz w:val="24"/>
                <w:szCs w:val="24"/>
              </w:rPr>
              <w:t>4.需支持无线对讲系统接入，实现与无线对讲系统语音对讲。（提供功能截图并加盖公章）</w:t>
            </w:r>
          </w:p>
          <w:p w14:paraId="72FE963C">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5.需提供不少于2路无线集群接口(应支持短波/超短波信道机)。</w:t>
            </w:r>
          </w:p>
          <w:p w14:paraId="7C621889">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6.需支持对COR触发灵敏度进行配置。</w:t>
            </w:r>
          </w:p>
          <w:p w14:paraId="066B44CA">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7.需支持对Vox延迟失效时间进行配置。</w:t>
            </w:r>
          </w:p>
        </w:tc>
      </w:tr>
      <w:tr w14:paraId="4615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trPr>
        <w:tc>
          <w:tcPr>
            <w:tcW w:w="366" w:type="pct"/>
            <w:vAlign w:val="center"/>
          </w:tcPr>
          <w:p w14:paraId="4D7FE9B9">
            <w:pPr>
              <w:spacing w:line="288" w:lineRule="auto"/>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8</w:t>
            </w:r>
          </w:p>
        </w:tc>
        <w:tc>
          <w:tcPr>
            <w:tcW w:w="659" w:type="pct"/>
            <w:vAlign w:val="center"/>
          </w:tcPr>
          <w:p w14:paraId="5C581073">
            <w:pPr>
              <w:spacing w:line="400" w:lineRule="exact"/>
              <w:ind w:firstLine="0" w:firstLineChars="0"/>
              <w:jc w:val="center"/>
              <w:rPr>
                <w:rFonts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北向融合通信服务接口模块</w:t>
            </w:r>
          </w:p>
        </w:tc>
        <w:tc>
          <w:tcPr>
            <w:tcW w:w="3974" w:type="pct"/>
            <w:vAlign w:val="center"/>
          </w:tcPr>
          <w:p w14:paraId="096E9849">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支持第三方业务系统对接开发，开放接口，提供统一的接口给上层业务系统调用，可支持第三方业务系统实现通信调度功能，包括实现语音呼叫、视频呼叫、组呼、组呼通知、点名、创建会场、录音录像等通信功能。</w:t>
            </w:r>
          </w:p>
          <w:p w14:paraId="18B168CF">
            <w:pPr>
              <w:spacing w:line="400" w:lineRule="exact"/>
              <w:ind w:firstLine="480" w:firstLineChars="200"/>
              <w:jc w:val="both"/>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2.提供语音能力开放、视频能力开放、数据能力开放、位置能力开放等服务能力；</w:t>
            </w:r>
          </w:p>
        </w:tc>
      </w:tr>
    </w:tbl>
    <w:p w14:paraId="026D2104">
      <w:pPr>
        <w:spacing w:line="288" w:lineRule="auto"/>
        <w:ind w:firstLine="562"/>
        <w:outlineLvl w:val="2"/>
        <w:rPr>
          <w:rFonts w:asciiTheme="minorEastAsia" w:hAnsiTheme="minorEastAsia" w:eastAsiaTheme="minorEastAsia" w:cstheme="minorEastAsia"/>
          <w:b/>
          <w:sz w:val="28"/>
        </w:rPr>
      </w:pPr>
      <w:bookmarkStart w:id="9" w:name="_Toc1410857463"/>
      <w:r>
        <w:rPr>
          <w:rFonts w:hint="eastAsia" w:asciiTheme="minorEastAsia" w:hAnsiTheme="minorEastAsia" w:eastAsiaTheme="minorEastAsia" w:cstheme="minorEastAsia"/>
          <w:b/>
          <w:sz w:val="28"/>
        </w:rPr>
        <w:t>4.短信服务平台</w:t>
      </w:r>
      <w:bookmarkEnd w:id="9"/>
    </w:p>
    <w:p w14:paraId="236159E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短信服务平台需能够向接入运营商的移动通信网络中的任何通讯终端发送短信。在保证安全的情况下与其他业务系统进行对接，满足工作短信发送需要。支持对接入运营商的移动通信网络中的通讯终端发送短信，不限于特定号码，任意在网号码均可发送信息。提供仪表台、组织机构人员管理、短信管理、统计分析、接口管理、系统配置等业务服务模块。具备与第三方系统对接能力（对接相关费用包含在总投标报价中）。</w:t>
      </w:r>
    </w:p>
    <w:p w14:paraId="02D3CFC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短信服务平台提供后台管理界面，组织机构人员管理模块支持对组织机构、人员信息进行统一管理，同时支持角色管理、权限管理等分级管理；短信管理支持分级、分组、自定义发送短信；支持自定义短信签名，可对发送方自定义特定的短信签名，短信签名显示在短信内容中用于标识短信发送方。</w:t>
      </w:r>
    </w:p>
    <w:p w14:paraId="5AFA7870">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短信服务平台需具备较强的系统处理能力，峰值达到150条/秒的发送速度（网关峰值50条/秒），可保障每月不少于20000条的短信发送需求，网内发送成功率达到95%以上。</w:t>
      </w:r>
    </w:p>
    <w:p w14:paraId="70C509C0">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功能需求如下，标★项为重要技术要求，需提供相应证明材料：</w:t>
      </w:r>
    </w:p>
    <w:tbl>
      <w:tblPr>
        <w:tblStyle w:val="8"/>
        <w:tblW w:w="5015" w:type="pct"/>
        <w:jc w:val="center"/>
        <w:tblLayout w:type="autofit"/>
        <w:tblCellMar>
          <w:top w:w="0" w:type="dxa"/>
          <w:left w:w="0" w:type="dxa"/>
          <w:bottom w:w="0" w:type="dxa"/>
          <w:right w:w="0" w:type="dxa"/>
        </w:tblCellMar>
      </w:tblPr>
      <w:tblGrid>
        <w:gridCol w:w="1040"/>
        <w:gridCol w:w="1752"/>
        <w:gridCol w:w="6317"/>
      </w:tblGrid>
      <w:tr w14:paraId="3D4ECEA1">
        <w:tblPrEx>
          <w:tblCellMar>
            <w:top w:w="0" w:type="dxa"/>
            <w:left w:w="0" w:type="dxa"/>
            <w:bottom w:w="0" w:type="dxa"/>
            <w:right w:w="0" w:type="dxa"/>
          </w:tblCellMar>
        </w:tblPrEx>
        <w:trPr>
          <w:trHeight w:val="408" w:hRule="atLeast"/>
          <w:jc w:val="center"/>
        </w:trPr>
        <w:tc>
          <w:tcPr>
            <w:tcW w:w="571"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3BDB99C5">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序号</w:t>
            </w:r>
          </w:p>
        </w:tc>
        <w:tc>
          <w:tcPr>
            <w:tcW w:w="961"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701A1202">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指标项</w:t>
            </w:r>
          </w:p>
        </w:tc>
        <w:tc>
          <w:tcPr>
            <w:tcW w:w="3466"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5E7810AF">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功能指标要求</w:t>
            </w:r>
          </w:p>
        </w:tc>
      </w:tr>
      <w:tr w14:paraId="2A85F2A0">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658E04D6">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1B50C434">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组织管理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2ACA3D2F">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rPr>
            </w:pPr>
            <w:r>
              <w:rPr>
                <w:rFonts w:hint="eastAsia" w:asciiTheme="minorEastAsia" w:hAnsiTheme="minorEastAsia" w:eastAsiaTheme="minorEastAsia" w:cstheme="minorEastAsia"/>
                <w:color w:val="000000"/>
                <w:kern w:val="0"/>
                <w:sz w:val="24"/>
                <w:szCs w:val="24"/>
              </w:rPr>
              <w:t xml:space="preserve">系统后台支持分级管理，对部门的增、删、改、查、批量导入 </w:t>
            </w:r>
          </w:p>
        </w:tc>
      </w:tr>
      <w:tr w14:paraId="2BAD51FC">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55940C73">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76C28A76">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人员管理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336051DF">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rPr>
            </w:pPr>
            <w:r>
              <w:rPr>
                <w:rFonts w:hint="eastAsia" w:asciiTheme="minorEastAsia" w:hAnsiTheme="minorEastAsia" w:eastAsiaTheme="minorEastAsia" w:cstheme="minorEastAsia"/>
                <w:color w:val="000000"/>
                <w:kern w:val="0"/>
                <w:sz w:val="24"/>
                <w:szCs w:val="24"/>
              </w:rPr>
              <w:t>系统后台支持人员的增、改、查、批量导入</w:t>
            </w:r>
            <w:r>
              <w:rPr>
                <w:rFonts w:hint="eastAsia" w:asciiTheme="minorEastAsia" w:hAnsiTheme="minorEastAsia" w:eastAsiaTheme="minorEastAsia" w:cstheme="minorEastAsia"/>
                <w:kern w:val="0"/>
                <w:sz w:val="24"/>
                <w:szCs w:val="24"/>
              </w:rPr>
              <w:t xml:space="preserve"> </w:t>
            </w:r>
          </w:p>
        </w:tc>
      </w:tr>
      <w:tr w14:paraId="453220E3">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0536A7A">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331447BC">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群组管理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331E0135">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rPr>
            </w:pPr>
            <w:r>
              <w:rPr>
                <w:rFonts w:hint="eastAsia" w:asciiTheme="minorEastAsia" w:hAnsiTheme="minorEastAsia" w:eastAsiaTheme="minorEastAsia" w:cstheme="minorEastAsia"/>
                <w:color w:val="000000"/>
                <w:kern w:val="0"/>
                <w:sz w:val="24"/>
                <w:szCs w:val="24"/>
              </w:rPr>
              <w:t>系统后台支持群组管理，可根据管理要求创建不同的人员分组，支持分组增、改、查操作，且可对分组群发短信</w:t>
            </w:r>
          </w:p>
        </w:tc>
      </w:tr>
      <w:tr w14:paraId="41E75027">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4401976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163F67AD">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角色管理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160FC45D">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rPr>
            </w:pPr>
            <w:r>
              <w:rPr>
                <w:rFonts w:hint="eastAsia" w:asciiTheme="minorEastAsia" w:hAnsiTheme="minorEastAsia" w:eastAsiaTheme="minorEastAsia" w:cstheme="minorEastAsia"/>
                <w:color w:val="000000"/>
                <w:kern w:val="0"/>
                <w:sz w:val="24"/>
                <w:szCs w:val="24"/>
              </w:rPr>
              <w:t>系统后台通过不同管理功能的配置将管理员进行角色化区分</w:t>
            </w:r>
            <w:r>
              <w:rPr>
                <w:rFonts w:hint="eastAsia" w:asciiTheme="minorEastAsia" w:hAnsiTheme="minorEastAsia" w:eastAsiaTheme="minorEastAsia" w:cstheme="minorEastAsia"/>
                <w:kern w:val="0"/>
                <w:sz w:val="24"/>
                <w:szCs w:val="24"/>
              </w:rPr>
              <w:t xml:space="preserve"> </w:t>
            </w:r>
          </w:p>
        </w:tc>
      </w:tr>
      <w:tr w14:paraId="2F11686F">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8C9840C">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494F15FF">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管理员管理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68CD1B46">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lang w:eastAsia="zh-CN"/>
              </w:rPr>
            </w:pPr>
            <w:r>
              <w:rPr>
                <w:rFonts w:hint="eastAsia" w:asciiTheme="minorEastAsia" w:hAnsiTheme="minorEastAsia" w:eastAsiaTheme="minorEastAsia" w:cstheme="minorEastAsia"/>
                <w:color w:val="000000"/>
                <w:kern w:val="0"/>
                <w:sz w:val="24"/>
                <w:szCs w:val="24"/>
              </w:rPr>
              <w:t>系统后台可对管理员进行增、删、改、查、角色分配</w:t>
            </w:r>
            <w:r>
              <w:rPr>
                <w:rFonts w:hint="eastAsia" w:asciiTheme="minorEastAsia" w:hAnsiTheme="minorEastAsia" w:eastAsiaTheme="minorEastAsia" w:cstheme="minorEastAsia"/>
                <w:color w:val="000000"/>
                <w:kern w:val="0"/>
                <w:sz w:val="24"/>
                <w:szCs w:val="24"/>
                <w:lang w:eastAsia="zh-CN"/>
              </w:rPr>
              <w:t>。</w:t>
            </w:r>
          </w:p>
        </w:tc>
      </w:tr>
      <w:tr w14:paraId="05C569D0">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52B1E2D">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4CB55C6D">
            <w:pPr>
              <w:pStyle w:val="11"/>
              <w:kinsoku w:val="0"/>
              <w:overflowPunct w:val="0"/>
              <w:spacing w:line="288" w:lineRule="auto"/>
              <w:ind w:firstLine="0" w:firstLineChars="0"/>
              <w:jc w:val="center"/>
              <w:rPr>
                <w:rFonts w:asciiTheme="minorEastAsia" w:hAnsiTheme="minorEastAsia" w:eastAsiaTheme="minorEastAsia" w:cstheme="minorEastAsia"/>
                <w:w w:val="95"/>
                <w:kern w:val="2"/>
                <w:sz w:val="24"/>
                <w:szCs w:val="24"/>
              </w:rPr>
            </w:pPr>
            <w:r>
              <w:rPr>
                <w:rFonts w:hint="eastAsia" w:asciiTheme="minorEastAsia" w:hAnsiTheme="minorEastAsia" w:eastAsiaTheme="minorEastAsia" w:cstheme="minorEastAsia"/>
                <w:color w:val="000000"/>
                <w:sz w:val="24"/>
                <w:szCs w:val="24"/>
              </w:rPr>
              <w:t>修改管理员密码</w:t>
            </w:r>
          </w:p>
        </w:tc>
        <w:tc>
          <w:tcPr>
            <w:tcW w:w="3466" w:type="pct"/>
            <w:tcBorders>
              <w:top w:val="single" w:color="000000" w:sz="4" w:space="0"/>
              <w:left w:val="single" w:color="000000" w:sz="4" w:space="0"/>
              <w:bottom w:val="single" w:color="000000" w:sz="4" w:space="0"/>
              <w:right w:val="single" w:color="000000" w:sz="4" w:space="0"/>
            </w:tcBorders>
            <w:vAlign w:val="center"/>
          </w:tcPr>
          <w:p w14:paraId="48ED832C">
            <w:pPr>
              <w:kinsoku w:val="0"/>
              <w:overflowPunct w:val="0"/>
              <w:spacing w:line="400" w:lineRule="exact"/>
              <w:ind w:firstLine="480" w:firstLineChars="200"/>
              <w:jc w:val="both"/>
              <w:rPr>
                <w:rFonts w:hint="eastAsia" w:asciiTheme="minorEastAsia" w:hAnsiTheme="minorEastAsia" w:eastAsiaTheme="minorEastAsia" w:cstheme="minorEastAsia"/>
                <w:w w:val="100"/>
                <w:kern w:val="0"/>
                <w:sz w:val="24"/>
                <w:szCs w:val="24"/>
              </w:rPr>
            </w:pPr>
            <w:r>
              <w:rPr>
                <w:rFonts w:hint="eastAsia" w:asciiTheme="minorEastAsia" w:hAnsiTheme="minorEastAsia" w:eastAsiaTheme="minorEastAsia" w:cstheme="minorEastAsia"/>
                <w:color w:val="000000"/>
                <w:kern w:val="0"/>
                <w:sz w:val="24"/>
                <w:szCs w:val="24"/>
              </w:rPr>
              <w:t>系统后台支持修改管理员系统登录密码；</w:t>
            </w:r>
          </w:p>
        </w:tc>
      </w:tr>
      <w:tr w14:paraId="19D43C58">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6704C1D5">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B3CB418">
            <w:pPr>
              <w:pStyle w:val="11"/>
              <w:kinsoku w:val="0"/>
              <w:overflowPunct w:val="0"/>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多网对接</w:t>
            </w:r>
          </w:p>
        </w:tc>
        <w:tc>
          <w:tcPr>
            <w:tcW w:w="3466" w:type="pct"/>
            <w:tcBorders>
              <w:top w:val="single" w:color="000000" w:sz="4" w:space="0"/>
              <w:left w:val="single" w:color="000000" w:sz="4" w:space="0"/>
              <w:bottom w:val="single" w:color="000000" w:sz="4" w:space="0"/>
              <w:right w:val="single" w:color="000000" w:sz="4" w:space="0"/>
            </w:tcBorders>
            <w:vAlign w:val="center"/>
          </w:tcPr>
          <w:p w14:paraId="09CC9BD4">
            <w:pPr>
              <w:kinsoku w:val="0"/>
              <w:overflowPunct w:val="0"/>
              <w:spacing w:line="400" w:lineRule="exact"/>
              <w:ind w:firstLine="480" w:firstLineChars="200"/>
              <w:jc w:val="both"/>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支持对营运商对接，支持包括、移动CMPP2.0网关、电信SMGP3.0网关、联通SGIP1.2网关等网关协议。</w:t>
            </w:r>
          </w:p>
        </w:tc>
      </w:tr>
      <w:tr w14:paraId="0D3DE32A">
        <w:tblPrEx>
          <w:tblCellMar>
            <w:top w:w="0" w:type="dxa"/>
            <w:left w:w="0" w:type="dxa"/>
            <w:bottom w:w="0" w:type="dxa"/>
            <w:right w:w="0" w:type="dxa"/>
          </w:tblCellMar>
        </w:tblPrEx>
        <w:trPr>
          <w:trHeight w:val="409"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AD0DE0C">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0619CA8">
            <w:pPr>
              <w:pStyle w:val="11"/>
              <w:kinsoku w:val="0"/>
              <w:overflowPunct w:val="0"/>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多网短信推送</w:t>
            </w:r>
          </w:p>
        </w:tc>
        <w:tc>
          <w:tcPr>
            <w:tcW w:w="3466" w:type="pct"/>
            <w:tcBorders>
              <w:top w:val="single" w:color="000000" w:sz="4" w:space="0"/>
              <w:left w:val="single" w:color="000000" w:sz="4" w:space="0"/>
              <w:bottom w:val="single" w:color="000000" w:sz="4" w:space="0"/>
              <w:right w:val="single" w:color="000000" w:sz="4" w:space="0"/>
            </w:tcBorders>
            <w:vAlign w:val="center"/>
          </w:tcPr>
          <w:p w14:paraId="64E7C636">
            <w:pPr>
              <w:kinsoku w:val="0"/>
              <w:overflowPunct w:val="0"/>
              <w:spacing w:line="400" w:lineRule="exact"/>
              <w:ind w:firstLine="480" w:firstLineChars="200"/>
              <w:jc w:val="both"/>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rPr>
              <w:t>平台支持对接入运营商的移动通信网络中的通讯终端发送短信，不限于特定号码，任意在网号码均可发送信息。</w:t>
            </w:r>
          </w:p>
        </w:tc>
      </w:tr>
      <w:tr w14:paraId="6C02002A">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4132C75">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18C78F7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sz w:val="24"/>
                <w:szCs w:val="24"/>
              </w:rPr>
              <w:t>短信单发</w:t>
            </w:r>
          </w:p>
        </w:tc>
        <w:tc>
          <w:tcPr>
            <w:tcW w:w="3466" w:type="pct"/>
            <w:tcBorders>
              <w:top w:val="single" w:color="000000" w:sz="4" w:space="0"/>
              <w:left w:val="single" w:color="000000" w:sz="4" w:space="0"/>
              <w:bottom w:val="single" w:color="000000" w:sz="4" w:space="0"/>
              <w:right w:val="single" w:color="000000" w:sz="4" w:space="0"/>
            </w:tcBorders>
            <w:vAlign w:val="center"/>
          </w:tcPr>
          <w:p w14:paraId="1EB3E27F">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支持对指定用户进行短信单发，满足指定通知、短信验证码等场景。</w:t>
            </w:r>
          </w:p>
        </w:tc>
      </w:tr>
      <w:tr w14:paraId="27F566CB">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45E38EC5">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7F79490A">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长短信发送</w:t>
            </w:r>
          </w:p>
        </w:tc>
        <w:tc>
          <w:tcPr>
            <w:tcW w:w="3466" w:type="pct"/>
            <w:tcBorders>
              <w:top w:val="single" w:color="000000" w:sz="4" w:space="0"/>
              <w:left w:val="single" w:color="000000" w:sz="4" w:space="0"/>
              <w:bottom w:val="single" w:color="000000" w:sz="4" w:space="0"/>
              <w:right w:val="single" w:color="000000" w:sz="4" w:space="0"/>
            </w:tcBorders>
            <w:vAlign w:val="center"/>
          </w:tcPr>
          <w:p w14:paraId="656C1018">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支持长短信发送。可支持超过70字不进行分割发送，最长支持2000字符。</w:t>
            </w:r>
          </w:p>
        </w:tc>
      </w:tr>
      <w:tr w14:paraId="611C8975">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40F90FB2">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D50856E">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短号转长号发送</w:t>
            </w:r>
          </w:p>
        </w:tc>
        <w:tc>
          <w:tcPr>
            <w:tcW w:w="3466" w:type="pct"/>
            <w:tcBorders>
              <w:top w:val="single" w:color="000000" w:sz="4" w:space="0"/>
              <w:left w:val="single" w:color="000000" w:sz="4" w:space="0"/>
              <w:bottom w:val="single" w:color="000000" w:sz="4" w:space="0"/>
              <w:right w:val="single" w:color="000000" w:sz="4" w:space="0"/>
            </w:tcBorders>
            <w:vAlign w:val="center"/>
          </w:tcPr>
          <w:p w14:paraId="75BAADB6">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在部分业务系统内只有短号的情况下，支持短号转长号发送短信。</w:t>
            </w:r>
          </w:p>
        </w:tc>
      </w:tr>
      <w:tr w14:paraId="4C71DDD8">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2842E990">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986DB35">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短信签名</w:t>
            </w:r>
          </w:p>
        </w:tc>
        <w:tc>
          <w:tcPr>
            <w:tcW w:w="3466" w:type="pct"/>
            <w:tcBorders>
              <w:top w:val="single" w:color="000000" w:sz="4" w:space="0"/>
              <w:left w:val="single" w:color="000000" w:sz="4" w:space="0"/>
              <w:bottom w:val="single" w:color="000000" w:sz="4" w:space="0"/>
              <w:right w:val="single" w:color="000000" w:sz="4" w:space="0"/>
            </w:tcBorders>
            <w:vAlign w:val="center"/>
          </w:tcPr>
          <w:p w14:paraId="17DB6543">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 xml:space="preserve">支持短信签名，短信签名附加在短信内容前，用于标识业务或通知发送者。 </w:t>
            </w:r>
          </w:p>
        </w:tc>
      </w:tr>
      <w:tr w14:paraId="3ECF3396">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F240BF5">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5D5DC88">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短信上行</w:t>
            </w:r>
          </w:p>
        </w:tc>
        <w:tc>
          <w:tcPr>
            <w:tcW w:w="3466" w:type="pct"/>
            <w:tcBorders>
              <w:top w:val="single" w:color="000000" w:sz="4" w:space="0"/>
              <w:left w:val="single" w:color="000000" w:sz="4" w:space="0"/>
              <w:bottom w:val="single" w:color="000000" w:sz="4" w:space="0"/>
              <w:right w:val="single" w:color="000000" w:sz="4" w:space="0"/>
            </w:tcBorders>
            <w:vAlign w:val="center"/>
          </w:tcPr>
          <w:p w14:paraId="2E3E48C9">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支持处理用户短信的上行信息</w:t>
            </w:r>
          </w:p>
        </w:tc>
      </w:tr>
      <w:tr w14:paraId="0EB703D0">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6BC32E2">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0F483F13">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短信回执</w:t>
            </w:r>
          </w:p>
        </w:tc>
        <w:tc>
          <w:tcPr>
            <w:tcW w:w="3466" w:type="pct"/>
            <w:tcBorders>
              <w:top w:val="single" w:color="000000" w:sz="4" w:space="0"/>
              <w:left w:val="single" w:color="000000" w:sz="4" w:space="0"/>
              <w:bottom w:val="single" w:color="000000" w:sz="4" w:space="0"/>
              <w:right w:val="single" w:color="000000" w:sz="4" w:space="0"/>
            </w:tcBorders>
            <w:vAlign w:val="center"/>
          </w:tcPr>
          <w:p w14:paraId="3F514E6C">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支持获取短信回执，可查看短信群发中的推送设备的反馈。</w:t>
            </w:r>
          </w:p>
        </w:tc>
      </w:tr>
      <w:tr w14:paraId="7A0A9076">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276866D">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76E61C36">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highlight w:val="none"/>
              </w:rPr>
            </w:pPr>
            <w:r>
              <w:rPr>
                <w:rFonts w:hint="eastAsia" w:asciiTheme="minorEastAsia" w:hAnsiTheme="minorEastAsia" w:eastAsiaTheme="minorEastAsia" w:cstheme="minorEastAsia"/>
                <w:sz w:val="24"/>
                <w:szCs w:val="24"/>
                <w:highlight w:val="none"/>
              </w:rPr>
              <w:t>短信存储转发</w:t>
            </w:r>
          </w:p>
        </w:tc>
        <w:tc>
          <w:tcPr>
            <w:tcW w:w="3466" w:type="pct"/>
            <w:tcBorders>
              <w:top w:val="single" w:color="000000" w:sz="4" w:space="0"/>
              <w:left w:val="single" w:color="000000" w:sz="4" w:space="0"/>
              <w:bottom w:val="single" w:color="000000" w:sz="4" w:space="0"/>
              <w:right w:val="single" w:color="000000" w:sz="4" w:space="0"/>
            </w:tcBorders>
            <w:vAlign w:val="center"/>
          </w:tcPr>
          <w:p w14:paraId="41221622">
            <w:pPr>
              <w:spacing w:line="400" w:lineRule="exact"/>
              <w:ind w:firstLine="480" w:firstLineChars="200"/>
              <w:jc w:val="both"/>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支持短信存储转发，如用户未能接受短信，由短信平台存储信息，待用户可接收时再转发至用户</w:t>
            </w:r>
          </w:p>
        </w:tc>
      </w:tr>
      <w:tr w14:paraId="60853F1D">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6A0D3E7F">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06C2906">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有效性验证</w:t>
            </w:r>
          </w:p>
        </w:tc>
        <w:tc>
          <w:tcPr>
            <w:tcW w:w="3466" w:type="pct"/>
            <w:tcBorders>
              <w:top w:val="single" w:color="000000" w:sz="4" w:space="0"/>
              <w:left w:val="single" w:color="000000" w:sz="4" w:space="0"/>
              <w:bottom w:val="single" w:color="000000" w:sz="4" w:space="0"/>
              <w:right w:val="single" w:color="000000" w:sz="4" w:space="0"/>
            </w:tcBorders>
            <w:vAlign w:val="center"/>
          </w:tcPr>
          <w:p w14:paraId="439D6BA3">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支持对短信有效性进行验证，对无效短信不进行发送</w:t>
            </w:r>
          </w:p>
        </w:tc>
      </w:tr>
      <w:tr w14:paraId="009052F2">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0DBAF3A5">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06285029">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路由查询</w:t>
            </w:r>
          </w:p>
        </w:tc>
        <w:tc>
          <w:tcPr>
            <w:tcW w:w="3466" w:type="pct"/>
            <w:tcBorders>
              <w:top w:val="single" w:color="000000" w:sz="4" w:space="0"/>
              <w:left w:val="single" w:color="000000" w:sz="4" w:space="0"/>
              <w:bottom w:val="single" w:color="000000" w:sz="4" w:space="0"/>
              <w:right w:val="single" w:color="000000" w:sz="4" w:space="0"/>
            </w:tcBorders>
            <w:vAlign w:val="center"/>
          </w:tcPr>
          <w:p w14:paraId="6CBA3005">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支持短信的路由查询，根据路由规则查找相应的短信通道，以实现短信的快速送达</w:t>
            </w:r>
          </w:p>
        </w:tc>
      </w:tr>
      <w:tr w14:paraId="04508036">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270936FA">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4036B78A">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黑名单验证</w:t>
            </w:r>
          </w:p>
        </w:tc>
        <w:tc>
          <w:tcPr>
            <w:tcW w:w="3466" w:type="pct"/>
            <w:tcBorders>
              <w:top w:val="single" w:color="000000" w:sz="4" w:space="0"/>
              <w:left w:val="single" w:color="000000" w:sz="4" w:space="0"/>
              <w:bottom w:val="single" w:color="000000" w:sz="4" w:space="0"/>
              <w:right w:val="single" w:color="000000" w:sz="4" w:space="0"/>
            </w:tcBorders>
            <w:vAlign w:val="center"/>
          </w:tcPr>
          <w:p w14:paraId="1F2A82F5">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设置短信黑名单，支持在短信发送前进行黑名单验证，对黑名单内的用户不发送短信，并产生相应的状态报告</w:t>
            </w:r>
          </w:p>
        </w:tc>
      </w:tr>
      <w:tr w14:paraId="5571D92E">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2781E73">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7609FDFE">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内容过滤</w:t>
            </w:r>
          </w:p>
        </w:tc>
        <w:tc>
          <w:tcPr>
            <w:tcW w:w="3466" w:type="pct"/>
            <w:tcBorders>
              <w:top w:val="single" w:color="000000" w:sz="4" w:space="0"/>
              <w:left w:val="single" w:color="000000" w:sz="4" w:space="0"/>
              <w:bottom w:val="single" w:color="000000" w:sz="4" w:space="0"/>
              <w:right w:val="single" w:color="000000" w:sz="4" w:space="0"/>
            </w:tcBorders>
            <w:vAlign w:val="center"/>
          </w:tcPr>
          <w:p w14:paraId="378C626F">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配置关键字库，支持对短信进行内容过滤，识别到短信中存在关键字时停止发送短信，并产生相应的状态报告</w:t>
            </w:r>
          </w:p>
        </w:tc>
      </w:tr>
      <w:tr w14:paraId="0D953FD7">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32D6900">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E600BFB">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状态报告匹配</w:t>
            </w:r>
          </w:p>
        </w:tc>
        <w:tc>
          <w:tcPr>
            <w:tcW w:w="3466" w:type="pct"/>
            <w:tcBorders>
              <w:top w:val="single" w:color="000000" w:sz="4" w:space="0"/>
              <w:left w:val="single" w:color="000000" w:sz="4" w:space="0"/>
              <w:bottom w:val="single" w:color="000000" w:sz="4" w:space="0"/>
              <w:right w:val="single" w:color="000000" w:sz="4" w:space="0"/>
            </w:tcBorders>
            <w:vAlign w:val="center"/>
          </w:tcPr>
          <w:p w14:paraId="7B67F998">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支持对短信状态报告进行匹配，精确对应至用户、短信、状态</w:t>
            </w:r>
          </w:p>
        </w:tc>
      </w:tr>
      <w:tr w14:paraId="448E15F5">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4E99CAD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4DE85A0B">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配置管理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555EB6AE">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支持对短信平台进行配置管理，包括模版管理、关键词管理、黑名单管理等</w:t>
            </w:r>
          </w:p>
        </w:tc>
      </w:tr>
      <w:tr w14:paraId="09D40D7A">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61E565C">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21418C19">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用户管理</w:t>
            </w:r>
          </w:p>
        </w:tc>
        <w:tc>
          <w:tcPr>
            <w:tcW w:w="3466" w:type="pct"/>
            <w:tcBorders>
              <w:top w:val="single" w:color="000000" w:sz="4" w:space="0"/>
              <w:left w:val="single" w:color="000000" w:sz="4" w:space="0"/>
              <w:bottom w:val="single" w:color="000000" w:sz="4" w:space="0"/>
              <w:right w:val="single" w:color="000000" w:sz="4" w:space="0"/>
            </w:tcBorders>
            <w:vAlign w:val="center"/>
          </w:tcPr>
          <w:p w14:paraId="1E81C34A">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支持对用户信息进行统一管理</w:t>
            </w:r>
          </w:p>
        </w:tc>
      </w:tr>
      <w:tr w14:paraId="3983ABC1">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226E504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5285BD37">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highlight w:val="none"/>
              </w:rPr>
            </w:pPr>
            <w:r>
              <w:rPr>
                <w:rFonts w:hint="eastAsia" w:asciiTheme="minorEastAsia" w:hAnsiTheme="minorEastAsia" w:eastAsiaTheme="minorEastAsia" w:cstheme="minorEastAsia"/>
                <w:sz w:val="24"/>
                <w:szCs w:val="24"/>
                <w:highlight w:val="none"/>
              </w:rPr>
              <w:t>信息内容自定义</w:t>
            </w:r>
          </w:p>
        </w:tc>
        <w:tc>
          <w:tcPr>
            <w:tcW w:w="3466" w:type="pct"/>
            <w:tcBorders>
              <w:top w:val="single" w:color="000000" w:sz="4" w:space="0"/>
              <w:left w:val="single" w:color="000000" w:sz="4" w:space="0"/>
              <w:bottom w:val="single" w:color="000000" w:sz="4" w:space="0"/>
              <w:right w:val="single" w:color="000000" w:sz="4" w:space="0"/>
            </w:tcBorders>
            <w:vAlign w:val="center"/>
          </w:tcPr>
          <w:p w14:paraId="41B3CB21">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highlight w:val="none"/>
              </w:rPr>
            </w:pPr>
            <w:r>
              <w:rPr>
                <w:rFonts w:hint="eastAsia" w:asciiTheme="minorEastAsia" w:hAnsiTheme="minorEastAsia" w:eastAsiaTheme="minorEastAsia" w:cstheme="minorEastAsia"/>
                <w:kern w:val="0"/>
                <w:sz w:val="24"/>
                <w:szCs w:val="24"/>
                <w:highlight w:val="none"/>
              </w:rPr>
              <w:t xml:space="preserve">支持在线编辑短信，自定义信息内容，可支持最长2000字的短信文本编辑 </w:t>
            </w:r>
          </w:p>
        </w:tc>
      </w:tr>
      <w:tr w14:paraId="78323D12">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457A92E3">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2E7E45D5">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highlight w:val="none"/>
              </w:rPr>
            </w:pPr>
            <w:r>
              <w:rPr>
                <w:rFonts w:hint="eastAsia" w:asciiTheme="minorEastAsia" w:hAnsiTheme="minorEastAsia" w:eastAsiaTheme="minorEastAsia" w:cstheme="minorEastAsia"/>
                <w:sz w:val="24"/>
                <w:szCs w:val="24"/>
                <w:highlight w:val="none"/>
              </w:rPr>
              <w:t>群组发送</w:t>
            </w:r>
          </w:p>
        </w:tc>
        <w:tc>
          <w:tcPr>
            <w:tcW w:w="3466" w:type="pct"/>
            <w:tcBorders>
              <w:top w:val="single" w:color="000000" w:sz="4" w:space="0"/>
              <w:left w:val="single" w:color="000000" w:sz="4" w:space="0"/>
              <w:bottom w:val="single" w:color="000000" w:sz="4" w:space="0"/>
              <w:right w:val="single" w:color="000000" w:sz="4" w:space="0"/>
            </w:tcBorders>
            <w:vAlign w:val="center"/>
          </w:tcPr>
          <w:p w14:paraId="719C6F8C">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highlight w:val="none"/>
              </w:rPr>
            </w:pPr>
            <w:r>
              <w:rPr>
                <w:rFonts w:hint="eastAsia" w:asciiTheme="minorEastAsia" w:hAnsiTheme="minorEastAsia" w:eastAsiaTheme="minorEastAsia" w:cstheme="minorEastAsia"/>
                <w:kern w:val="0"/>
                <w:sz w:val="24"/>
                <w:szCs w:val="24"/>
                <w:highlight w:val="none"/>
              </w:rPr>
              <w:t xml:space="preserve">支持按照组织机构/筛选条件/全量等不同范围进行短信群发。 </w:t>
            </w:r>
          </w:p>
        </w:tc>
      </w:tr>
      <w:tr w14:paraId="383AB274">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7B07F33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0D02CE61">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定时发送</w:t>
            </w:r>
          </w:p>
        </w:tc>
        <w:tc>
          <w:tcPr>
            <w:tcW w:w="3466" w:type="pct"/>
            <w:tcBorders>
              <w:top w:val="single" w:color="000000" w:sz="4" w:space="0"/>
              <w:left w:val="single" w:color="000000" w:sz="4" w:space="0"/>
              <w:bottom w:val="single" w:color="000000" w:sz="4" w:space="0"/>
              <w:right w:val="single" w:color="000000" w:sz="4" w:space="0"/>
            </w:tcBorders>
            <w:vAlign w:val="center"/>
          </w:tcPr>
          <w:p w14:paraId="2102D6A3">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 xml:space="preserve">支持精确到分级别的定时发送功能，精准定时，自动发送。 </w:t>
            </w:r>
          </w:p>
        </w:tc>
      </w:tr>
      <w:tr w14:paraId="1A35CEF8">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5E580FC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F5DB7F4">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统计报表</w:t>
            </w:r>
          </w:p>
        </w:tc>
        <w:tc>
          <w:tcPr>
            <w:tcW w:w="3466" w:type="pct"/>
            <w:tcBorders>
              <w:top w:val="single" w:color="000000" w:sz="4" w:space="0"/>
              <w:left w:val="single" w:color="000000" w:sz="4" w:space="0"/>
              <w:bottom w:val="single" w:color="000000" w:sz="4" w:space="0"/>
              <w:right w:val="single" w:color="000000" w:sz="4" w:space="0"/>
            </w:tcBorders>
            <w:vAlign w:val="center"/>
          </w:tcPr>
          <w:p w14:paraId="7B97D714">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支持详细的统计报表，支持多维度查看短信发送信息，包括短信发送量、发送记录、发送状态等</w:t>
            </w:r>
          </w:p>
        </w:tc>
      </w:tr>
      <w:tr w14:paraId="17879566">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725EE399">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highlight w:val="none"/>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1657421D">
            <w:pPr>
              <w:pStyle w:val="11"/>
              <w:kinsoku w:val="0"/>
              <w:overflowPunct w:val="0"/>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短信服务接口</w:t>
            </w:r>
          </w:p>
        </w:tc>
        <w:tc>
          <w:tcPr>
            <w:tcW w:w="3466" w:type="pct"/>
            <w:tcBorders>
              <w:top w:val="single" w:color="000000" w:sz="4" w:space="0"/>
              <w:left w:val="single" w:color="000000" w:sz="4" w:space="0"/>
              <w:bottom w:val="single" w:color="000000" w:sz="4" w:space="0"/>
              <w:right w:val="single" w:color="000000" w:sz="4" w:space="0"/>
            </w:tcBorders>
            <w:vAlign w:val="center"/>
          </w:tcPr>
          <w:p w14:paraId="42827C27">
            <w:pPr>
              <w:kinsoku w:val="0"/>
              <w:overflowPunct w:val="0"/>
              <w:spacing w:line="400" w:lineRule="exact"/>
              <w:ind w:firstLine="480" w:firstLineChars="200"/>
              <w:jc w:val="both"/>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rPr>
              <w:t>提供短信服务接口，支持授权给监狱系统各类软件系统，业务软件系统可请求接口发送短信，以满足软件系统的短信发送需要。</w:t>
            </w:r>
          </w:p>
        </w:tc>
      </w:tr>
      <w:tr w14:paraId="4B8B3FCF">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1133EABD">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57D13BD">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成功率95%</w:t>
            </w:r>
          </w:p>
        </w:tc>
        <w:tc>
          <w:tcPr>
            <w:tcW w:w="3466" w:type="pct"/>
            <w:tcBorders>
              <w:top w:val="single" w:color="000000" w:sz="4" w:space="0"/>
              <w:left w:val="single" w:color="000000" w:sz="4" w:space="0"/>
              <w:bottom w:val="single" w:color="000000" w:sz="4" w:space="0"/>
              <w:right w:val="single" w:color="000000" w:sz="4" w:space="0"/>
            </w:tcBorders>
            <w:vAlign w:val="center"/>
          </w:tcPr>
          <w:p w14:paraId="161019BB">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网内发送成功率95%以上</w:t>
            </w:r>
          </w:p>
        </w:tc>
      </w:tr>
      <w:tr w14:paraId="606CB3B0">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3A3751FA">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1A34A92C">
            <w:pPr>
              <w:pStyle w:val="11"/>
              <w:kinsoku w:val="0"/>
              <w:overflowPunct w:val="0"/>
              <w:spacing w:line="288" w:lineRule="auto"/>
              <w:ind w:firstLine="0" w:firstLineChars="0"/>
              <w:jc w:val="center"/>
              <w:rPr>
                <w:rFonts w:asciiTheme="minorEastAsia" w:hAnsiTheme="minorEastAsia" w:eastAsiaTheme="minorEastAsia" w:cstheme="minorEastAsia"/>
                <w:spacing w:val="-10"/>
                <w:w w:val="95"/>
                <w:kern w:val="2"/>
                <w:sz w:val="24"/>
                <w:szCs w:val="24"/>
              </w:rPr>
            </w:pPr>
            <w:r>
              <w:rPr>
                <w:rFonts w:hint="eastAsia" w:asciiTheme="minorEastAsia" w:hAnsiTheme="minorEastAsia" w:eastAsiaTheme="minorEastAsia" w:cstheme="minorEastAsia"/>
                <w:sz w:val="24"/>
                <w:szCs w:val="24"/>
              </w:rPr>
              <w:t>发送速度</w:t>
            </w:r>
          </w:p>
        </w:tc>
        <w:tc>
          <w:tcPr>
            <w:tcW w:w="3466" w:type="pct"/>
            <w:tcBorders>
              <w:top w:val="single" w:color="000000" w:sz="4" w:space="0"/>
              <w:left w:val="single" w:color="000000" w:sz="4" w:space="0"/>
              <w:bottom w:val="single" w:color="000000" w:sz="4" w:space="0"/>
              <w:right w:val="single" w:color="000000" w:sz="4" w:space="0"/>
            </w:tcBorders>
            <w:vAlign w:val="center"/>
          </w:tcPr>
          <w:p w14:paraId="1E71C89B">
            <w:pPr>
              <w:kinsoku w:val="0"/>
              <w:overflowPunct w:val="0"/>
              <w:spacing w:line="400" w:lineRule="exact"/>
              <w:ind w:firstLine="480" w:firstLineChars="200"/>
              <w:jc w:val="both"/>
              <w:rPr>
                <w:rFonts w:hint="eastAsia" w:asciiTheme="minorEastAsia" w:hAnsiTheme="minorEastAsia" w:eastAsiaTheme="minorEastAsia" w:cstheme="minorEastAsia"/>
                <w:spacing w:val="0"/>
                <w:w w:val="100"/>
                <w:kern w:val="0"/>
                <w:sz w:val="24"/>
                <w:szCs w:val="24"/>
              </w:rPr>
            </w:pPr>
            <w:r>
              <w:rPr>
                <w:rFonts w:hint="eastAsia" w:asciiTheme="minorEastAsia" w:hAnsiTheme="minorEastAsia" w:eastAsiaTheme="minorEastAsia" w:cstheme="minorEastAsia"/>
                <w:kern w:val="0"/>
                <w:sz w:val="24"/>
                <w:szCs w:val="24"/>
              </w:rPr>
              <w:t>峰值达到150条/秒的发送速度（</w:t>
            </w:r>
            <w:r>
              <w:rPr>
                <w:rFonts w:hint="eastAsia" w:asciiTheme="minorEastAsia" w:hAnsiTheme="minorEastAsia" w:eastAsiaTheme="minorEastAsia" w:cstheme="minorEastAsia"/>
                <w:kern w:val="0"/>
                <w:sz w:val="24"/>
                <w:szCs w:val="24"/>
                <w:lang w:eastAsia="zh-CN"/>
              </w:rPr>
              <w:t>单个</w:t>
            </w:r>
            <w:r>
              <w:rPr>
                <w:rFonts w:hint="eastAsia" w:asciiTheme="minorEastAsia" w:hAnsiTheme="minorEastAsia" w:eastAsiaTheme="minorEastAsia" w:cstheme="minorEastAsia"/>
                <w:kern w:val="0"/>
                <w:sz w:val="24"/>
                <w:szCs w:val="24"/>
              </w:rPr>
              <w:t>运营商网关峰值分别达到50条/秒）</w:t>
            </w:r>
          </w:p>
        </w:tc>
      </w:tr>
      <w:tr w14:paraId="486299F6">
        <w:tblPrEx>
          <w:tblCellMar>
            <w:top w:w="0" w:type="dxa"/>
            <w:left w:w="0" w:type="dxa"/>
            <w:bottom w:w="0" w:type="dxa"/>
            <w:right w:w="0" w:type="dxa"/>
          </w:tblCellMar>
        </w:tblPrEx>
        <w:trPr>
          <w:trHeight w:val="737" w:hRule="atLeast"/>
          <w:jc w:val="center"/>
        </w:trPr>
        <w:tc>
          <w:tcPr>
            <w:tcW w:w="571" w:type="pct"/>
            <w:tcBorders>
              <w:top w:val="single" w:color="000000" w:sz="4" w:space="0"/>
              <w:left w:val="single" w:color="000000" w:sz="4" w:space="0"/>
              <w:bottom w:val="single" w:color="000000" w:sz="4" w:space="0"/>
              <w:right w:val="single" w:color="000000" w:sz="4" w:space="0"/>
            </w:tcBorders>
            <w:vAlign w:val="center"/>
          </w:tcPr>
          <w:p w14:paraId="50E54794">
            <w:pPr>
              <w:pStyle w:val="11"/>
              <w:numPr>
                <w:ilvl w:val="0"/>
                <w:numId w:val="3"/>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961" w:type="pct"/>
            <w:tcBorders>
              <w:top w:val="single" w:color="000000" w:sz="4" w:space="0"/>
              <w:left w:val="single" w:color="000000" w:sz="4" w:space="0"/>
              <w:bottom w:val="single" w:color="000000" w:sz="4" w:space="0"/>
              <w:right w:val="single" w:color="000000" w:sz="4" w:space="0"/>
            </w:tcBorders>
            <w:vAlign w:val="center"/>
          </w:tcPr>
          <w:p w14:paraId="69ECCA43">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每月短信数量</w:t>
            </w:r>
          </w:p>
        </w:tc>
        <w:tc>
          <w:tcPr>
            <w:tcW w:w="3466" w:type="pct"/>
            <w:tcBorders>
              <w:top w:val="single" w:color="000000" w:sz="4" w:space="0"/>
              <w:left w:val="single" w:color="000000" w:sz="4" w:space="0"/>
              <w:bottom w:val="single" w:color="000000" w:sz="4" w:space="0"/>
              <w:right w:val="single" w:color="000000" w:sz="4" w:space="0"/>
            </w:tcBorders>
            <w:vAlign w:val="center"/>
          </w:tcPr>
          <w:p w14:paraId="677935AA">
            <w:pPr>
              <w:kinsoku w:val="0"/>
              <w:overflowPunct w:val="0"/>
              <w:spacing w:line="400" w:lineRule="exact"/>
              <w:ind w:firstLine="480" w:firstLineChars="2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kern w:val="0"/>
                <w:sz w:val="24"/>
                <w:szCs w:val="24"/>
                <w:highlight w:val="none"/>
              </w:rPr>
              <w:t>平台</w:t>
            </w:r>
            <w:r>
              <w:rPr>
                <w:rFonts w:hint="eastAsia" w:asciiTheme="minorEastAsia" w:hAnsiTheme="minorEastAsia" w:eastAsiaTheme="minorEastAsia" w:cstheme="minorEastAsia"/>
                <w:color w:val="000000"/>
                <w:kern w:val="0"/>
                <w:sz w:val="24"/>
                <w:szCs w:val="24"/>
                <w:highlight w:val="none"/>
                <w:lang w:val="en-US" w:eastAsia="zh-CN"/>
              </w:rPr>
              <w:t>支持向接入运营商的移动通信网络中的任何通讯终端发送短信，</w:t>
            </w:r>
            <w:r>
              <w:rPr>
                <w:rFonts w:hint="eastAsia" w:asciiTheme="minorEastAsia" w:hAnsiTheme="minorEastAsia" w:eastAsiaTheme="minorEastAsia" w:cstheme="minorEastAsia"/>
                <w:color w:val="000000"/>
                <w:kern w:val="0"/>
                <w:sz w:val="24"/>
                <w:szCs w:val="24"/>
                <w:highlight w:val="none"/>
              </w:rPr>
              <w:t>每月短信数不少于20000条。提供承诺函并加盖投标人公章。</w:t>
            </w:r>
          </w:p>
        </w:tc>
      </w:tr>
    </w:tbl>
    <w:p w14:paraId="403CE57B">
      <w:pPr>
        <w:spacing w:line="288" w:lineRule="auto"/>
        <w:ind w:firstLine="562"/>
        <w:outlineLvl w:val="2"/>
        <w:rPr>
          <w:rFonts w:hint="eastAsia" w:asciiTheme="minorEastAsia" w:hAnsiTheme="minorEastAsia" w:eastAsiaTheme="minorEastAsia" w:cstheme="minorEastAsia"/>
          <w:b/>
          <w:bCs w:val="0"/>
          <w:sz w:val="28"/>
        </w:rPr>
      </w:pPr>
      <w:bookmarkStart w:id="10" w:name="_Toc1634225249"/>
      <w:r>
        <w:rPr>
          <w:rFonts w:hint="eastAsia" w:asciiTheme="minorEastAsia" w:hAnsiTheme="minorEastAsia" w:eastAsiaTheme="minorEastAsia" w:cstheme="minorEastAsia"/>
          <w:b/>
          <w:bCs w:val="0"/>
          <w:sz w:val="28"/>
        </w:rPr>
        <w:t>5.线上视频会议服务</w:t>
      </w:r>
      <w:bookmarkEnd w:id="10"/>
    </w:p>
    <w:p w14:paraId="3B32548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视频会议系统满足同时召开4个以上会议，且每个会议至少50人通过安全加密通道同时在线视频会议的需要，平台需支持全虚拟化部署，可实现不同分辨率、帧率的视频码流，可根据网络带宽情况，自适应不同终端和网络情况，动态调整传输分辨率，无需人为干预。当网络闪断时，客户端能够保持状态，当网络恢复时自动连入会议。</w:t>
      </w:r>
    </w:p>
    <w:p w14:paraId="1C986DB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视频会议过程中，任何参会方都可以通过手机、PC等终端设备进行屏幕共享，包括PPT、word、excel、PD、视频、音频、网上资讯的同步浏览、手机图片的分享等，同时发起方还可以进行标注，包括笔、箭头、图形等。</w:t>
      </w:r>
    </w:p>
    <w:p w14:paraId="4703546E">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功能需求如下：</w:t>
      </w:r>
    </w:p>
    <w:tbl>
      <w:tblPr>
        <w:tblStyle w:val="8"/>
        <w:tblW w:w="5004" w:type="pct"/>
        <w:jc w:val="center"/>
        <w:tblLayout w:type="autofit"/>
        <w:tblCellMar>
          <w:top w:w="0" w:type="dxa"/>
          <w:left w:w="0" w:type="dxa"/>
          <w:bottom w:w="0" w:type="dxa"/>
          <w:right w:w="0" w:type="dxa"/>
        </w:tblCellMar>
      </w:tblPr>
      <w:tblGrid>
        <w:gridCol w:w="1041"/>
        <w:gridCol w:w="1369"/>
        <w:gridCol w:w="6679"/>
      </w:tblGrid>
      <w:tr w14:paraId="1F761B2B">
        <w:tblPrEx>
          <w:tblCellMar>
            <w:top w:w="0" w:type="dxa"/>
            <w:left w:w="0" w:type="dxa"/>
            <w:bottom w:w="0" w:type="dxa"/>
            <w:right w:w="0" w:type="dxa"/>
          </w:tblCellMar>
        </w:tblPrEx>
        <w:trPr>
          <w:trHeight w:val="408" w:hRule="atLeast"/>
          <w:jc w:val="center"/>
        </w:trPr>
        <w:tc>
          <w:tcPr>
            <w:tcW w:w="573"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5BAA4629">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序号</w:t>
            </w:r>
          </w:p>
        </w:tc>
        <w:tc>
          <w:tcPr>
            <w:tcW w:w="753"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50933028">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指标项</w:t>
            </w:r>
          </w:p>
        </w:tc>
        <w:tc>
          <w:tcPr>
            <w:tcW w:w="3674"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22BDB5FF">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功能指标要求</w:t>
            </w:r>
          </w:p>
        </w:tc>
      </w:tr>
      <w:tr w14:paraId="5FA3C1B7">
        <w:tblPrEx>
          <w:tblCellMar>
            <w:top w:w="0" w:type="dxa"/>
            <w:left w:w="0" w:type="dxa"/>
            <w:bottom w:w="0" w:type="dxa"/>
            <w:right w:w="0" w:type="dxa"/>
          </w:tblCellMar>
        </w:tblPrEx>
        <w:trPr>
          <w:trHeight w:val="409"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149D821D">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34F4E00D">
            <w:pPr>
              <w:pStyle w:val="11"/>
              <w:kinsoku w:val="0"/>
              <w:overflowPunct w:val="0"/>
              <w:spacing w:line="288" w:lineRule="auto"/>
              <w:ind w:firstLine="0" w:firstLineChars="0"/>
              <w:rPr>
                <w:rFonts w:asciiTheme="minorEastAsia" w:hAnsiTheme="minorEastAsia" w:eastAsiaTheme="minorEastAsia" w:cstheme="minorEastAsia"/>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74850299">
            <w:pPr>
              <w:kinsoku w:val="0"/>
              <w:overflowPunct w:val="0"/>
              <w:spacing w:line="400" w:lineRule="exact"/>
              <w:ind w:firstLine="480" w:firstLineChars="200"/>
              <w:jc w:val="both"/>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单会议最大支持并发数不低于100并发</w:t>
            </w:r>
          </w:p>
        </w:tc>
      </w:tr>
      <w:tr w14:paraId="2EC6E5B6">
        <w:tblPrEx>
          <w:tblCellMar>
            <w:top w:w="0" w:type="dxa"/>
            <w:left w:w="0" w:type="dxa"/>
            <w:bottom w:w="0" w:type="dxa"/>
            <w:right w:w="0" w:type="dxa"/>
          </w:tblCellMar>
        </w:tblPrEx>
        <w:trPr>
          <w:trHeight w:val="409"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17E822C7">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18AEB591">
            <w:pPr>
              <w:pStyle w:val="11"/>
              <w:kinsoku w:val="0"/>
              <w:overflowPunct w:val="0"/>
              <w:spacing w:line="288" w:lineRule="auto"/>
              <w:ind w:firstLine="0" w:firstLineChars="0"/>
              <w:rPr>
                <w:rFonts w:asciiTheme="minorEastAsia" w:hAnsiTheme="minorEastAsia" w:eastAsiaTheme="minorEastAsia" w:cstheme="minorEastAsia"/>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6E10A79B">
            <w:pPr>
              <w:kinsoku w:val="0"/>
              <w:overflowPunct w:val="0"/>
              <w:spacing w:line="400" w:lineRule="exact"/>
              <w:ind w:firstLine="480" w:firstLineChars="200"/>
              <w:jc w:val="both"/>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会议音频协议兼容OPUS、G.711A、G.711U、G.722、G.722.1C协议，支持44.1KHz采样频率</w:t>
            </w:r>
          </w:p>
        </w:tc>
      </w:tr>
      <w:tr w14:paraId="60DB2D07">
        <w:tblPrEx>
          <w:tblCellMar>
            <w:top w:w="0" w:type="dxa"/>
            <w:left w:w="0" w:type="dxa"/>
            <w:bottom w:w="0" w:type="dxa"/>
            <w:right w:w="0" w:type="dxa"/>
          </w:tblCellMar>
        </w:tblPrEx>
        <w:trPr>
          <w:trHeight w:val="409"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5647B2F0">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0D5E7FFE">
            <w:pPr>
              <w:pStyle w:val="11"/>
              <w:kinsoku w:val="0"/>
              <w:overflowPunct w:val="0"/>
              <w:spacing w:line="288" w:lineRule="auto"/>
              <w:ind w:firstLine="0" w:firstLineChars="0"/>
              <w:rPr>
                <w:rFonts w:asciiTheme="minorEastAsia" w:hAnsiTheme="minorEastAsia" w:eastAsiaTheme="minorEastAsia" w:cstheme="minorEastAsia"/>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13317A57">
            <w:pPr>
              <w:kinsoku w:val="0"/>
              <w:overflowPunct w:val="0"/>
              <w:spacing w:line="400" w:lineRule="exact"/>
              <w:ind w:firstLine="480" w:firstLineChars="200"/>
              <w:jc w:val="both"/>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支持大规模音频混音逻辑，保证大规模会议的音频流畅清晰</w:t>
            </w:r>
          </w:p>
        </w:tc>
      </w:tr>
      <w:tr w14:paraId="2660B4A0">
        <w:tblPrEx>
          <w:tblCellMar>
            <w:top w:w="0" w:type="dxa"/>
            <w:left w:w="0" w:type="dxa"/>
            <w:bottom w:w="0" w:type="dxa"/>
            <w:right w:w="0" w:type="dxa"/>
          </w:tblCellMar>
        </w:tblPrEx>
        <w:trPr>
          <w:trHeight w:val="409"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7513EF62">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2C353315">
            <w:pPr>
              <w:pStyle w:val="11"/>
              <w:kinsoku w:val="0"/>
              <w:overflowPunct w:val="0"/>
              <w:spacing w:line="288" w:lineRule="auto"/>
              <w:ind w:firstLine="0" w:firstLineChars="0"/>
              <w:rPr>
                <w:rFonts w:asciiTheme="minorEastAsia" w:hAnsiTheme="minorEastAsia" w:eastAsiaTheme="minorEastAsia" w:cstheme="minorEastAsia"/>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16C5197C">
            <w:pPr>
              <w:kinsoku w:val="0"/>
              <w:overflowPunct w:val="0"/>
              <w:spacing w:line="400" w:lineRule="exact"/>
              <w:ind w:firstLine="480" w:firstLineChars="200"/>
              <w:jc w:val="both"/>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支持H.264SVC、GB28181、H.239、BFCP、H.265等视频协议；支持H.323、SIP等呼叫类型</w:t>
            </w:r>
          </w:p>
        </w:tc>
      </w:tr>
      <w:tr w14:paraId="2E749FF2">
        <w:tblPrEx>
          <w:tblCellMar>
            <w:top w:w="0" w:type="dxa"/>
            <w:left w:w="0" w:type="dxa"/>
            <w:bottom w:w="0" w:type="dxa"/>
            <w:right w:w="0" w:type="dxa"/>
          </w:tblCellMar>
        </w:tblPrEx>
        <w:trPr>
          <w:trHeight w:val="409"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078AA6E2">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w w:val="99"/>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50953EB4">
            <w:pPr>
              <w:pStyle w:val="11"/>
              <w:kinsoku w:val="0"/>
              <w:overflowPunct w:val="0"/>
              <w:spacing w:line="288" w:lineRule="auto"/>
              <w:ind w:firstLine="0" w:firstLineChars="0"/>
              <w:rPr>
                <w:rFonts w:asciiTheme="minorEastAsia" w:hAnsiTheme="minorEastAsia" w:eastAsiaTheme="minorEastAsia" w:cstheme="minorEastAsia"/>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16EA9765">
            <w:pPr>
              <w:kinsoku w:val="0"/>
              <w:overflowPunct w:val="0"/>
              <w:spacing w:line="400" w:lineRule="exact"/>
              <w:ind w:firstLine="480" w:firstLineChars="200"/>
              <w:jc w:val="both"/>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最大支持1080P的数据共享分辨率，支持VBR码率控制算法，一般会议场景平均码率在50~300kbps</w:t>
            </w:r>
          </w:p>
        </w:tc>
      </w:tr>
      <w:tr w14:paraId="325E6A71">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6C3CD99F">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1F9813E9">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3B9FD188">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支持H.264SVC多层编解码协议，且支持按需转发音视频</w:t>
            </w:r>
          </w:p>
        </w:tc>
      </w:tr>
      <w:tr w14:paraId="1EDAFFA9">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51E5818E">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1C0CA4B3">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35D3110D">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支持标准的H.239及BFCP共享通信协议以及兼容媒体流标准H.264编码</w:t>
            </w:r>
          </w:p>
        </w:tc>
      </w:tr>
      <w:tr w14:paraId="5FBBFC2C">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7AFB4EA3">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630416C9">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07B80997">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支持监控注册接入，支持GB28181、RTSP、ONVIF协议，无缝接入会议</w:t>
            </w:r>
          </w:p>
        </w:tc>
      </w:tr>
      <w:tr w14:paraId="7784CAA3">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50FC9487">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02E435E8">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047E042B">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支持H.323终端、SIP终端、软件客户端、监控实时流、监控录像流、媒体流终端加入同一会议</w:t>
            </w:r>
          </w:p>
        </w:tc>
      </w:tr>
      <w:tr w14:paraId="2742FC14">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6161DB92">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3CCE550A">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05D79089">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支持服务切换过程中，保持原有音视频通信连线状态，可自动入会</w:t>
            </w:r>
          </w:p>
        </w:tc>
      </w:tr>
      <w:tr w14:paraId="741F958E">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6F321C65">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17285E2E">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0CAC1B49">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支持码流的前向纠错传输算法，支持NACK重传机制。10%以内丢包率基本不影响视频流畅度和品质，20%以内丢包率能够正常观看视频，30%以内丢包率保证音视频流畅。</w:t>
            </w:r>
          </w:p>
        </w:tc>
      </w:tr>
      <w:tr w14:paraId="29C528D9">
        <w:tblPrEx>
          <w:tblCellMar>
            <w:top w:w="0" w:type="dxa"/>
            <w:left w:w="0" w:type="dxa"/>
            <w:bottom w:w="0" w:type="dxa"/>
            <w:right w:w="0" w:type="dxa"/>
          </w:tblCellMar>
        </w:tblPrEx>
        <w:trPr>
          <w:trHeight w:val="737" w:hRule="atLeast"/>
          <w:jc w:val="center"/>
        </w:trPr>
        <w:tc>
          <w:tcPr>
            <w:tcW w:w="573" w:type="pct"/>
            <w:tcBorders>
              <w:top w:val="single" w:color="000000" w:sz="4" w:space="0"/>
              <w:left w:val="single" w:color="000000" w:sz="4" w:space="0"/>
              <w:bottom w:val="single" w:color="000000" w:sz="4" w:space="0"/>
              <w:right w:val="single" w:color="000000" w:sz="4" w:space="0"/>
            </w:tcBorders>
            <w:vAlign w:val="center"/>
          </w:tcPr>
          <w:p w14:paraId="4B60632C">
            <w:pPr>
              <w:pStyle w:val="11"/>
              <w:numPr>
                <w:ilvl w:val="0"/>
                <w:numId w:val="4"/>
              </w:numPr>
              <w:kinsoku w:val="0"/>
              <w:overflowPunct w:val="0"/>
              <w:spacing w:line="288" w:lineRule="auto"/>
              <w:ind w:left="0" w:firstLine="0" w:firstLineChars="0"/>
              <w:jc w:val="center"/>
              <w:rPr>
                <w:rFonts w:asciiTheme="minorEastAsia" w:hAnsiTheme="minorEastAsia" w:eastAsiaTheme="minorEastAsia" w:cstheme="minorEastAsia"/>
                <w:b/>
                <w:bCs/>
                <w:kern w:val="2"/>
                <w:sz w:val="24"/>
                <w:szCs w:val="24"/>
              </w:rPr>
            </w:pPr>
          </w:p>
        </w:tc>
        <w:tc>
          <w:tcPr>
            <w:tcW w:w="753" w:type="pct"/>
            <w:tcBorders>
              <w:top w:val="single" w:color="000000" w:sz="4" w:space="0"/>
              <w:left w:val="single" w:color="000000" w:sz="4" w:space="0"/>
              <w:bottom w:val="single" w:color="000000" w:sz="4" w:space="0"/>
              <w:right w:val="single" w:color="000000" w:sz="4" w:space="0"/>
            </w:tcBorders>
            <w:vAlign w:val="center"/>
          </w:tcPr>
          <w:p w14:paraId="62F5BEA9">
            <w:pPr>
              <w:pStyle w:val="11"/>
              <w:kinsoku w:val="0"/>
              <w:overflowPunct w:val="0"/>
              <w:spacing w:line="288" w:lineRule="auto"/>
              <w:ind w:firstLine="0" w:firstLineChars="0"/>
              <w:rPr>
                <w:rFonts w:asciiTheme="minorEastAsia" w:hAnsiTheme="minorEastAsia" w:eastAsiaTheme="minorEastAsia" w:cstheme="minorEastAsia"/>
                <w:spacing w:val="-10"/>
                <w:w w:val="95"/>
                <w:kern w:val="2"/>
                <w:sz w:val="24"/>
                <w:szCs w:val="24"/>
              </w:rPr>
            </w:pPr>
          </w:p>
        </w:tc>
        <w:tc>
          <w:tcPr>
            <w:tcW w:w="3674" w:type="pct"/>
            <w:tcBorders>
              <w:top w:val="single" w:color="000000" w:sz="4" w:space="0"/>
              <w:left w:val="single" w:color="000000" w:sz="4" w:space="0"/>
              <w:bottom w:val="single" w:color="000000" w:sz="4" w:space="0"/>
              <w:right w:val="single" w:color="000000" w:sz="4" w:space="0"/>
            </w:tcBorders>
            <w:vAlign w:val="center"/>
          </w:tcPr>
          <w:p w14:paraId="1BD84A1E">
            <w:pPr>
              <w:widowControl/>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支持网络情况差或有大量数据拥堵情况下对音视频数据有极好的适应性</w:t>
            </w:r>
          </w:p>
        </w:tc>
      </w:tr>
    </w:tbl>
    <w:p w14:paraId="4DDB90B8">
      <w:pPr>
        <w:spacing w:line="288" w:lineRule="auto"/>
        <w:ind w:firstLine="562"/>
        <w:outlineLvl w:val="1"/>
        <w:rPr>
          <w:rFonts w:hint="eastAsia" w:asciiTheme="minorEastAsia" w:hAnsiTheme="minorEastAsia" w:eastAsiaTheme="minorEastAsia" w:cstheme="minorEastAsia"/>
          <w:b/>
          <w:bCs w:val="0"/>
          <w:sz w:val="28"/>
        </w:rPr>
      </w:pPr>
      <w:bookmarkStart w:id="11" w:name="_Toc324676642"/>
      <w:r>
        <w:rPr>
          <w:rFonts w:hint="eastAsia" w:asciiTheme="minorEastAsia" w:hAnsiTheme="minorEastAsia" w:eastAsiaTheme="minorEastAsia" w:cstheme="minorEastAsia"/>
          <w:b/>
          <w:bCs w:val="0"/>
          <w:sz w:val="28"/>
        </w:rPr>
        <w:t>（三）数据支撑平台升级改造</w:t>
      </w:r>
      <w:bookmarkEnd w:id="11"/>
    </w:p>
    <w:p w14:paraId="68CBD59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宁夏监狱管理局现有数据支撑平台已经完成562项业务数据标准规范、2类数据交换标准规范、68项信息共享目录标准规范、87项服务标准规范的制定，搭建宁夏监狱管理局综合信息库。2024年2月司法部监狱管理局下发关于重要（重点）数据库项目采集的通知，需要完成167张信息表的数据上报，与宁夏监狱管理局现行数据标准存在一定差异，且对数据采集的数据完整度、数据填报率等指标做出明确要求。</w:t>
      </w:r>
    </w:p>
    <w:p w14:paraId="731C5BA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本期项目依托已有的数据支撑平台建设框架，依据司法部发布的《监狱罪犯基础数据元和代码集》（SF/T0054—2024），梳理出已有数据表与上述标准的差异清单，包括但不限于漏项、数据名称和格式不一致等，设计各监狱需要填报的数据表单，补充采集各类数据，为打造全省上下贯通、业务协同、数据融合的标准化数据，完善统一的数据上报机制，各监狱通过统一的数据上报规则进行业务数据填报，实现依据上述标准完整准确向司法部上报数据。同时，响应局机关计划建设的综合业务平台的目标，需全面接入将依照司法部标准建设的综合业务平台的全部数据，将其作为数据支撑平台的的主要数据来源，从而提高数据质量和数据完整度，为数据应用提供有效支撑。具体内容如下：</w:t>
      </w:r>
    </w:p>
    <w:p w14:paraId="02E2166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1.数据处理实施服务</w:t>
      </w:r>
    </w:p>
    <w:p w14:paraId="29C21D3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数据项缺失情况梳理</w:t>
      </w:r>
    </w:p>
    <w:p w14:paraId="037DB807">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按照司法部下发的数据上报通知的基本要求，对7个监狱上报的数据资源重新进行梳理，梳理内容包括18张基础表、139张业务信息表报送情况表的缺失表、缺失项以及字典调整项。针对缺失内容采集、处理、补充的全面规划。</w:t>
      </w:r>
    </w:p>
    <w:p w14:paraId="31363F9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缺失情况补充</w:t>
      </w:r>
    </w:p>
    <w:p w14:paraId="40D8B5F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针对缺失的数据表、数据项以及需调整的数据字典，按清单开展数据补全工作，减少不匹配字段、减少字典编码错误等问题，提高数据完整度、数据质量，保证长期有效的数据支撑。</w:t>
      </w:r>
    </w:p>
    <w:p w14:paraId="6B258AE0">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2.数据接入</w:t>
      </w:r>
    </w:p>
    <w:p w14:paraId="74BE03EB">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依照司法部重要（重点）数据采集标准，按照综合业务平台数据的实际要求，调整完善数据中台数据来源，进行数据筛查、数据清洗。</w:t>
      </w:r>
    </w:p>
    <w:p w14:paraId="7DBCFE4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3.数据上报</w:t>
      </w:r>
    </w:p>
    <w:p w14:paraId="7E39178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能够按照司法部数据上报工作的具体要求，对数据进行抽取、转换和归集并导出符合上报要求的数据文件。</w:t>
      </w:r>
    </w:p>
    <w:p w14:paraId="1C09B921">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rPr>
        <w:t>功能需求如下，标★项为重要技术要求，需提供相应证明材料：</w:t>
      </w:r>
    </w:p>
    <w:tbl>
      <w:tblPr>
        <w:tblStyle w:val="8"/>
        <w:tblW w:w="4998" w:type="pct"/>
        <w:jc w:val="center"/>
        <w:tblLayout w:type="autofit"/>
        <w:tblCellMar>
          <w:top w:w="0" w:type="dxa"/>
          <w:left w:w="108" w:type="dxa"/>
          <w:bottom w:w="0" w:type="dxa"/>
          <w:right w:w="108" w:type="dxa"/>
        </w:tblCellMar>
      </w:tblPr>
      <w:tblGrid>
        <w:gridCol w:w="1138"/>
        <w:gridCol w:w="1283"/>
        <w:gridCol w:w="6863"/>
      </w:tblGrid>
      <w:tr w14:paraId="6AC3FD86">
        <w:tblPrEx>
          <w:tblCellMar>
            <w:top w:w="0" w:type="dxa"/>
            <w:left w:w="108" w:type="dxa"/>
            <w:bottom w:w="0" w:type="dxa"/>
            <w:right w:w="108" w:type="dxa"/>
          </w:tblCellMar>
        </w:tblPrEx>
        <w:trPr>
          <w:trHeight w:val="514" w:hRule="atLeast"/>
          <w:jc w:val="center"/>
        </w:trPr>
        <w:tc>
          <w:tcPr>
            <w:tcW w:w="613" w:type="pct"/>
            <w:tcBorders>
              <w:top w:val="single" w:color="000000" w:sz="4" w:space="0"/>
              <w:left w:val="single" w:color="000000" w:sz="4" w:space="0"/>
              <w:bottom w:val="single" w:color="000000" w:sz="4" w:space="0"/>
              <w:right w:val="single" w:color="000000" w:sz="4" w:space="0"/>
            </w:tcBorders>
            <w:shd w:val="clear" w:color="auto" w:fill="CFCECE" w:themeFill="background2" w:themeFillShade="E5"/>
            <w:noWrap/>
            <w:vAlign w:val="center"/>
          </w:tcPr>
          <w:p w14:paraId="622A17BE">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691" w:type="pct"/>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14:paraId="17C3AC91">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指标项</w:t>
            </w:r>
          </w:p>
        </w:tc>
        <w:tc>
          <w:tcPr>
            <w:tcW w:w="3695" w:type="pct"/>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14:paraId="50683D3D">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功能指标要求</w:t>
            </w:r>
          </w:p>
        </w:tc>
      </w:tr>
      <w:tr w14:paraId="5003383F">
        <w:tblPrEx>
          <w:tblCellMar>
            <w:top w:w="0" w:type="dxa"/>
            <w:left w:w="108" w:type="dxa"/>
            <w:bottom w:w="0" w:type="dxa"/>
            <w:right w:w="108" w:type="dxa"/>
          </w:tblCellMar>
        </w:tblPrEx>
        <w:trPr>
          <w:trHeight w:val="1560" w:hRule="atLeast"/>
          <w:jc w:val="center"/>
        </w:trPr>
        <w:tc>
          <w:tcPr>
            <w:tcW w:w="6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973F">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B2F8">
            <w:pPr>
              <w:spacing w:line="288" w:lineRule="auto"/>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sz w:val="24"/>
                <w:szCs w:val="24"/>
              </w:rPr>
              <w:t>数据项缺失情况梳理</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4058">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照司法部下发的数据上报通知的基本要求，对7个监狱上报的数据资源重新进行梳理，梳理内容包括18张基础表、139张业务信息表报送情况表的缺失表、缺失项以及字典调整项。针对缺失内容采集、处理、补充的全面规划。（提供数据支撑平台原厂商承诺函并加盖原厂商公章）</w:t>
            </w:r>
          </w:p>
        </w:tc>
      </w:tr>
      <w:tr w14:paraId="04EC14FE">
        <w:tblPrEx>
          <w:tblCellMar>
            <w:top w:w="0" w:type="dxa"/>
            <w:left w:w="108" w:type="dxa"/>
            <w:bottom w:w="0" w:type="dxa"/>
            <w:right w:w="108" w:type="dxa"/>
          </w:tblCellMar>
        </w:tblPrEx>
        <w:trPr>
          <w:trHeight w:val="864" w:hRule="atLeast"/>
          <w:jc w:val="center"/>
        </w:trPr>
        <w:tc>
          <w:tcPr>
            <w:tcW w:w="6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CF68">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A7BED">
            <w:pPr>
              <w:spacing w:line="288" w:lineRule="auto"/>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sz w:val="24"/>
                <w:szCs w:val="24"/>
              </w:rPr>
              <w:t>缺失情况补充</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02D5">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针对缺失的数据表、数据项以及需调整的数据字典，减少不匹配字段、减少字典编码错误等问题。保证长期有效的数据支撑。</w:t>
            </w:r>
          </w:p>
        </w:tc>
      </w:tr>
      <w:tr w14:paraId="32F8FE59">
        <w:tblPrEx>
          <w:tblCellMar>
            <w:top w:w="0" w:type="dxa"/>
            <w:left w:w="108" w:type="dxa"/>
            <w:bottom w:w="0" w:type="dxa"/>
            <w:right w:w="108" w:type="dxa"/>
          </w:tblCellMar>
        </w:tblPrEx>
        <w:trPr>
          <w:trHeight w:val="864" w:hRule="atLeast"/>
          <w:jc w:val="center"/>
        </w:trPr>
        <w:tc>
          <w:tcPr>
            <w:tcW w:w="6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7602">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A20F8">
            <w:pPr>
              <w:spacing w:line="288" w:lineRule="auto"/>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sz w:val="24"/>
                <w:szCs w:val="24"/>
              </w:rPr>
              <w:t>数据接入</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50B4D">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依照司法部重要（重点）数据采集标准，按照综合业务平台数据的实际要求，调整完善数据中台数据来源，进行数据筛查、数据清洗。</w:t>
            </w:r>
          </w:p>
        </w:tc>
      </w:tr>
      <w:tr w14:paraId="5DF17026">
        <w:tblPrEx>
          <w:tblCellMar>
            <w:top w:w="0" w:type="dxa"/>
            <w:left w:w="108" w:type="dxa"/>
            <w:bottom w:w="0" w:type="dxa"/>
            <w:right w:w="108" w:type="dxa"/>
          </w:tblCellMar>
        </w:tblPrEx>
        <w:trPr>
          <w:trHeight w:val="864" w:hRule="atLeast"/>
          <w:jc w:val="center"/>
        </w:trPr>
        <w:tc>
          <w:tcPr>
            <w:tcW w:w="6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621E3">
            <w:pPr>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E867">
            <w:pPr>
              <w:spacing w:line="288" w:lineRule="auto"/>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sz w:val="24"/>
                <w:szCs w:val="24"/>
              </w:rPr>
              <w:t>数据上报</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4574">
            <w:pPr>
              <w:spacing w:line="40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能够按照司法部数据上报工作的具体要求，对数据进行抽取、转换和归集并导出符合上报要求的数据文件。</w:t>
            </w:r>
          </w:p>
        </w:tc>
      </w:tr>
    </w:tbl>
    <w:p w14:paraId="757F4830">
      <w:pPr>
        <w:spacing w:line="288" w:lineRule="auto"/>
        <w:ind w:firstLine="562"/>
        <w:outlineLvl w:val="1"/>
        <w:rPr>
          <w:rFonts w:hint="eastAsia" w:asciiTheme="minorEastAsia" w:hAnsiTheme="minorEastAsia" w:eastAsiaTheme="minorEastAsia" w:cstheme="minorEastAsia"/>
          <w:b/>
          <w:bCs w:val="0"/>
          <w:sz w:val="28"/>
        </w:rPr>
      </w:pPr>
      <w:bookmarkStart w:id="12" w:name="_Toc1796099148"/>
      <w:r>
        <w:rPr>
          <w:rFonts w:hint="eastAsia" w:asciiTheme="minorEastAsia" w:hAnsiTheme="minorEastAsia" w:eastAsiaTheme="minorEastAsia" w:cstheme="minorEastAsia"/>
          <w:b/>
          <w:bCs w:val="0"/>
          <w:sz w:val="28"/>
        </w:rPr>
        <w:t>（四）智能化移动警务服务</w:t>
      </w:r>
      <w:bookmarkEnd w:id="12"/>
    </w:p>
    <w:p w14:paraId="2F257467">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双系统移动警务服务安全性要求</w:t>
      </w:r>
    </w:p>
    <w:p w14:paraId="7A132F7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1.操作系统安全</w:t>
      </w:r>
    </w:p>
    <w:p w14:paraId="0D449EDB">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（1）支持基于国产化操作系统开发的安全双系统，针对需求进行定制设计，具有国产化评测证书。</w:t>
      </w:r>
    </w:p>
    <w:p w14:paraId="6239D46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（2）双系统隔离</w:t>
      </w:r>
    </w:p>
    <w:p w14:paraId="77652BF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①两个操作系统运行在不同的ROM空间，通过容器技术进行系统级划分，实现独立运行，完全隔离。</w:t>
      </w:r>
    </w:p>
    <w:p w14:paraId="44A2B4A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②两个系统的文件系统、网络连接、外围接口、用户数据都彼此隔离，不能相互访问。</w:t>
      </w:r>
    </w:p>
    <w:p w14:paraId="78907F1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③两个系统的通话记录、通讯录、图片、视频以及其他信息不能互相访问。</w:t>
      </w:r>
    </w:p>
    <w:p w14:paraId="108BD9DB">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④任何一个系统不能删除、创建或控制另外一个系统；一个系统重置不影响另外一个系统。</w:t>
      </w:r>
    </w:p>
    <w:p w14:paraId="293D635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（3）指纹和面部识别</w:t>
      </w:r>
    </w:p>
    <w:p w14:paraId="02AE3C7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①双系统独立设置指纹解锁，支持息屏状态下使用不同指纹直接进入相应系统。</w:t>
      </w:r>
    </w:p>
    <w:p w14:paraId="683C93E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②无需亮屏，指纹或面部都能1秒快速解锁。</w:t>
      </w:r>
    </w:p>
    <w:p w14:paraId="76B04B3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③两个操作系统间支持一键快速切换、指纹切换、NFC感应切换。</w:t>
      </w:r>
    </w:p>
    <w:p w14:paraId="6C5D349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（4）外设控制</w:t>
      </w:r>
    </w:p>
    <w:p w14:paraId="35BFB76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①提供丰富的MDM管控接口，支持Wi-Fi/数据网络/蓝牙/USB/通话/短信/麦克风/扬声器/摄像头等功能管控。</w:t>
      </w:r>
    </w:p>
    <w:p w14:paraId="22CD503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②工作区的USB只能充电，不能传输数据。</w:t>
      </w:r>
    </w:p>
    <w:p w14:paraId="1596CF40">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③支持蓝牙由MDM远程控制，不能随意开启，支持按照蓝牙设备类型或者Mac地址白名单进行精准管控。</w:t>
      </w:r>
    </w:p>
    <w:p w14:paraId="2537FD4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（5）支持WiFi只能扫描热点信息，不能传输数据，也可以设置WiFi热点白名单，仅允许接入白名单内的WiFi热点传输数据，实现精准管控。</w:t>
      </w:r>
    </w:p>
    <w:p w14:paraId="0395AFD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（6）专用通道：支持生活区接入公共APN、工作区接入专属APN，APN同时在线，实现双系统的网络隔离。</w:t>
      </w:r>
    </w:p>
    <w:p w14:paraId="33A7FA8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2.双系统终端硬件配置要求</w:t>
      </w:r>
    </w:p>
    <w:p w14:paraId="7AA49BC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（1）终端服务制式要求：双卡双待双通。</w:t>
      </w:r>
    </w:p>
    <w:p w14:paraId="79D5C02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（2）NFC：内置NFC模块，支持NFC。</w:t>
      </w:r>
    </w:p>
    <w:p w14:paraId="0E7E8157">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（3）内存：RAM≥12GB，ROM≥512GB。</w:t>
      </w:r>
    </w:p>
    <w:p w14:paraId="36F666D2">
      <w:pPr>
        <w:spacing w:line="288" w:lineRule="auto"/>
        <w:ind w:firstLine="560"/>
        <w:rPr>
          <w:rFonts w:asciiTheme="minorEastAsia" w:hAnsiTheme="minorEastAsia" w:eastAsiaTheme="minorEastAsia" w:cstheme="minorEastAsia"/>
          <w:sz w:val="28"/>
          <w:highlight w:val="none"/>
          <w:u w:val="none"/>
        </w:rPr>
      </w:pPr>
      <w:r>
        <w:rPr>
          <w:rFonts w:hint="eastAsia" w:asciiTheme="minorEastAsia" w:hAnsiTheme="minorEastAsia" w:eastAsiaTheme="minorEastAsia" w:cstheme="minorEastAsia"/>
          <w:sz w:val="28"/>
          <w:highlight w:val="none"/>
        </w:rPr>
        <w:t>（4）显示：≥6.7英寸，</w:t>
      </w:r>
      <w:r>
        <w:rPr>
          <w:rFonts w:hint="eastAsia" w:asciiTheme="minorEastAsia" w:hAnsiTheme="minorEastAsia" w:eastAsiaTheme="minorEastAsia" w:cstheme="minorEastAsia"/>
          <w:sz w:val="28"/>
          <w:highlight w:val="none"/>
          <w:u w:val="none"/>
          <w:lang w:val="en-US" w:eastAsia="zh-CN"/>
        </w:rPr>
        <w:t>分辨率不低于 1216×2688</w:t>
      </w:r>
      <w:r>
        <w:rPr>
          <w:rFonts w:hint="default" w:asciiTheme="minorEastAsia" w:hAnsiTheme="minorEastAsia" w:eastAsiaTheme="minorEastAsia" w:cstheme="minorEastAsia"/>
          <w:sz w:val="28"/>
          <w:highlight w:val="none"/>
          <w:u w:val="none"/>
          <w:lang w:val="en-US" w:eastAsia="zh-CN"/>
        </w:rPr>
        <w:t>像素</w:t>
      </w:r>
      <w:r>
        <w:rPr>
          <w:rFonts w:hint="eastAsia" w:asciiTheme="minorEastAsia" w:hAnsiTheme="minorEastAsia" w:eastAsiaTheme="minorEastAsia" w:cstheme="minorEastAsia"/>
          <w:sz w:val="28"/>
          <w:highlight w:val="none"/>
          <w:u w:val="none"/>
        </w:rPr>
        <w:t>，</w:t>
      </w:r>
      <w:r>
        <w:rPr>
          <w:rFonts w:hint="eastAsia" w:asciiTheme="minorEastAsia" w:hAnsiTheme="minorEastAsia" w:eastAsiaTheme="minorEastAsia" w:cstheme="minorEastAsia"/>
          <w:sz w:val="28"/>
          <w:highlight w:val="none"/>
          <w:u w:val="none"/>
          <w:lang w:eastAsia="zh-CN"/>
        </w:rPr>
        <w:t>≥</w:t>
      </w:r>
      <w:r>
        <w:rPr>
          <w:rFonts w:hint="eastAsia" w:asciiTheme="minorEastAsia" w:hAnsiTheme="minorEastAsia" w:eastAsiaTheme="minorEastAsia" w:cstheme="minorEastAsia"/>
          <w:sz w:val="28"/>
          <w:highlight w:val="none"/>
          <w:u w:val="none"/>
        </w:rPr>
        <w:t>1440HzPWM调光，屏幕材质具备第三方机构签发的抗跌耐摔认证证书。</w:t>
      </w:r>
    </w:p>
    <w:p w14:paraId="01A0C24E">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highlight w:val="none"/>
          <w:u w:val="none"/>
        </w:rPr>
        <w:t>（5）摄像头：后置摄像头：最高主摄不低于5000万像素，支持</w:t>
      </w:r>
      <w:r>
        <w:rPr>
          <w:rFonts w:hint="eastAsia" w:asciiTheme="minorEastAsia" w:hAnsiTheme="minorEastAsia" w:eastAsiaTheme="minorEastAsia" w:cstheme="minorEastAsia"/>
          <w:sz w:val="28"/>
          <w:highlight w:val="none"/>
          <w:u w:val="none"/>
          <w:lang w:eastAsia="zh-CN"/>
        </w:rPr>
        <w:t>不低于</w:t>
      </w:r>
      <w:r>
        <w:rPr>
          <w:rFonts w:hint="eastAsia" w:asciiTheme="minorEastAsia" w:hAnsiTheme="minorEastAsia" w:eastAsiaTheme="minorEastAsia" w:cstheme="minorEastAsia"/>
          <w:sz w:val="28"/>
          <w:highlight w:val="none"/>
          <w:u w:val="none"/>
          <w:lang w:val="en-US" w:eastAsia="zh-CN"/>
        </w:rPr>
        <w:t>3</w:t>
      </w:r>
      <w:r>
        <w:rPr>
          <w:rFonts w:hint="eastAsia" w:asciiTheme="minorEastAsia" w:hAnsiTheme="minorEastAsia" w:eastAsiaTheme="minorEastAsia" w:cstheme="minorEastAsia"/>
          <w:sz w:val="28"/>
          <w:highlight w:val="none"/>
          <w:u w:val="none"/>
        </w:rPr>
        <w:t>倍光学变焦、OIS/AIS防抖，前置</w:t>
      </w:r>
      <w:r>
        <w:rPr>
          <w:rFonts w:hint="eastAsia" w:asciiTheme="minorEastAsia" w:hAnsiTheme="minorEastAsia" w:eastAsiaTheme="minorEastAsia" w:cstheme="minorEastAsia"/>
          <w:sz w:val="28"/>
        </w:rPr>
        <w:t>摄像头：不低于1300万像素摄像头。</w:t>
      </w:r>
    </w:p>
    <w:p w14:paraId="0FEBE2EB">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（6）传感器：支持环境光传感器、红外传感器、指纹传感器、陀螺仪、指南针、NFC、接近光传感器、重力传感器、Camera激光对焦传感器、色温传感器。</w:t>
      </w:r>
    </w:p>
    <w:p w14:paraId="794F705D">
      <w:pPr>
        <w:spacing w:line="288" w:lineRule="auto"/>
        <w:ind w:firstLine="560"/>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（7）防护能力：在正常使用状态下可防溅、抗水、防尘，在受控实验室条件下经测试，其效果在GB/T 4208-2017（国内）标准下高于 IP68级别。</w:t>
      </w:r>
    </w:p>
    <w:p w14:paraId="5EB0C047">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（8）电池和充电：电池容量≥5300mAh，支持不低于66W有线超级快充，支持</w:t>
      </w:r>
      <w:r>
        <w:rPr>
          <w:rFonts w:hint="eastAsia" w:asciiTheme="minorEastAsia" w:hAnsiTheme="minorEastAsia" w:eastAsiaTheme="minorEastAsia" w:cstheme="minorEastAsia"/>
          <w:sz w:val="28"/>
          <w:lang w:eastAsia="zh-CN"/>
        </w:rPr>
        <w:t>不低于</w:t>
      </w:r>
      <w:r>
        <w:rPr>
          <w:rFonts w:hint="eastAsia" w:asciiTheme="minorEastAsia" w:hAnsiTheme="minorEastAsia" w:eastAsiaTheme="minorEastAsia" w:cstheme="minorEastAsia"/>
          <w:sz w:val="28"/>
        </w:rPr>
        <w:t>50W无线超级快充，支持无线反向充电。</w:t>
      </w:r>
    </w:p>
    <w:p w14:paraId="7769BB9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（9）定位系统：支持定位，提供检测报告。</w:t>
      </w:r>
    </w:p>
    <w:p w14:paraId="2AF0F13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（10）其他功能：为保障应急和极端场景下的通信要求，所投移动终端可在无地面网络信号覆盖或网络中断的环境下,支持双向卫星消息。</w:t>
      </w:r>
    </w:p>
    <w:tbl>
      <w:tblPr>
        <w:tblStyle w:val="9"/>
        <w:tblpPr w:leftFromText="180" w:rightFromText="180" w:vertAnchor="text" w:horzAnchor="page" w:tblpX="1441" w:tblpY="184"/>
        <w:tblOverlap w:val="never"/>
        <w:tblW w:w="52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286"/>
        <w:gridCol w:w="7550"/>
      </w:tblGrid>
      <w:tr w14:paraId="5EB5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42" w:type="pct"/>
            <w:shd w:val="clear" w:color="auto" w:fill="CFCECE" w:themeFill="background2" w:themeFillShade="E5"/>
            <w:vAlign w:val="center"/>
          </w:tcPr>
          <w:p w14:paraId="2736789A">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序号</w:t>
            </w:r>
          </w:p>
        </w:tc>
        <w:tc>
          <w:tcPr>
            <w:tcW w:w="663" w:type="pct"/>
            <w:shd w:val="clear" w:color="auto" w:fill="CFCECE" w:themeFill="background2" w:themeFillShade="E5"/>
            <w:vAlign w:val="center"/>
          </w:tcPr>
          <w:p w14:paraId="78ED8BA3">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指标项</w:t>
            </w:r>
          </w:p>
        </w:tc>
        <w:tc>
          <w:tcPr>
            <w:tcW w:w="3894" w:type="pct"/>
            <w:shd w:val="clear" w:color="auto" w:fill="CFCECE" w:themeFill="background2" w:themeFillShade="E5"/>
            <w:vAlign w:val="center"/>
          </w:tcPr>
          <w:p w14:paraId="324DB195">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功能指标要求</w:t>
            </w:r>
          </w:p>
        </w:tc>
      </w:tr>
      <w:tr w14:paraId="20544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42" w:type="pct"/>
            <w:vAlign w:val="center"/>
          </w:tcPr>
          <w:p w14:paraId="7C0CFE3E">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663" w:type="pct"/>
            <w:vAlign w:val="center"/>
          </w:tcPr>
          <w:p w14:paraId="326E35E4">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智能化移动警务服务</w:t>
            </w:r>
          </w:p>
        </w:tc>
        <w:tc>
          <w:tcPr>
            <w:tcW w:w="3894" w:type="pct"/>
            <w:vAlign w:val="center"/>
          </w:tcPr>
          <w:p w14:paraId="7F37705E">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1、终端服务制式要求：双卡双待双通。</w:t>
            </w:r>
          </w:p>
          <w:p w14:paraId="276CB9A9">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2、NFC：内置NFC模块，支持NFC。</w:t>
            </w:r>
          </w:p>
          <w:p w14:paraId="3857BB77">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内存：RAM≥12GB，ROM≥512GB。</w:t>
            </w:r>
          </w:p>
          <w:p w14:paraId="37DB1506">
            <w:pPr>
              <w:spacing w:line="400" w:lineRule="exact"/>
              <w:ind w:firstLine="480" w:firstLineChars="200"/>
              <w:jc w:val="both"/>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显示：≥</w:t>
            </w:r>
            <w:r>
              <w:rPr>
                <w:rFonts w:asciiTheme="minorEastAsia" w:hAnsiTheme="minorEastAsia" w:eastAsiaTheme="minorEastAsia" w:cstheme="minorEastAsia"/>
                <w:kern w:val="0"/>
                <w:sz w:val="24"/>
                <w:szCs w:val="24"/>
              </w:rPr>
              <w:t>6.7英寸</w:t>
            </w:r>
            <w:r>
              <w:rPr>
                <w:rFonts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分辨率不低于 1216×2688</w:t>
            </w:r>
            <w:r>
              <w:rPr>
                <w:rFonts w:hint="default" w:asciiTheme="minorEastAsia" w:hAnsiTheme="minorEastAsia" w:eastAsiaTheme="minorEastAsia" w:cstheme="minorEastAsia"/>
                <w:kern w:val="0"/>
                <w:sz w:val="24"/>
                <w:szCs w:val="24"/>
                <w:highlight w:val="none"/>
                <w:lang w:val="en-US" w:eastAsia="zh-CN"/>
              </w:rPr>
              <w:t>像素</w:t>
            </w: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1440HzPWM调光，屏幕材质具备第三方机构签发的抗跌耐摔认证证书。</w:t>
            </w:r>
          </w:p>
          <w:p w14:paraId="7C25827D">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highlight w:val="none"/>
              </w:rPr>
              <w:t>5、摄像头：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kern w:val="0"/>
                <w:sz w:val="24"/>
                <w:szCs w:val="24"/>
                <w:highlight w:val="none"/>
              </w:rPr>
              <w:t>后置摄像头：最高主摄不低于5000万像素，支持</w:t>
            </w:r>
            <w:r>
              <w:rPr>
                <w:rFonts w:hint="eastAsia" w:asciiTheme="minorEastAsia" w:hAnsiTheme="minorEastAsia" w:eastAsiaTheme="minorEastAsia" w:cstheme="minorEastAsia"/>
                <w:kern w:val="0"/>
                <w:sz w:val="24"/>
                <w:szCs w:val="24"/>
                <w:highlight w:val="none"/>
                <w:lang w:eastAsia="zh-CN"/>
              </w:rPr>
              <w:t>不低于</w:t>
            </w:r>
            <w:r>
              <w:rPr>
                <w:rFonts w:hint="eastAsia" w:asciiTheme="minorEastAsia" w:hAnsiTheme="minorEastAsia" w:eastAsia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 xml:space="preserve"> 倍光学变焦、</w:t>
            </w:r>
            <w:r>
              <w:rPr>
                <w:rFonts w:hint="eastAsia" w:asciiTheme="minorEastAsia" w:hAnsiTheme="minorEastAsia" w:eastAsiaTheme="minorEastAsia" w:cstheme="minorEastAsia"/>
                <w:kern w:val="0"/>
                <w:sz w:val="24"/>
                <w:szCs w:val="24"/>
              </w:rPr>
              <w:t>OIS/AIS防抖，前置摄像头：不低于1300万像素摄像头。</w:t>
            </w:r>
          </w:p>
          <w:p w14:paraId="4B614022">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6、传感器：支持环境光传感器、红外传感器、指纹传感器、陀螺仪、指南针、NFC、接近光传感器、重力传感器、Camera激光对焦传感器、色温传感器。</w:t>
            </w:r>
          </w:p>
          <w:p w14:paraId="30363CCF">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7、防护能力：在正常使用状态下可防溅、抗水、防尘，在受控实验室条件下经测试，其效果在GB/T 4208-2017（国内）标准下高于 IP68级别。</w:t>
            </w:r>
          </w:p>
          <w:p w14:paraId="590E22AC">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8、电池和充电：电池容量≥5300mAh，支持不低于66W有线超级快充，支持</w:t>
            </w:r>
            <w:r>
              <w:rPr>
                <w:rFonts w:hint="eastAsia" w:asciiTheme="minorEastAsia" w:hAnsiTheme="minorEastAsia" w:eastAsiaTheme="minorEastAsia" w:cstheme="minorEastAsia"/>
                <w:kern w:val="0"/>
                <w:sz w:val="24"/>
                <w:szCs w:val="24"/>
                <w:lang w:eastAsia="zh-CN"/>
              </w:rPr>
              <w:t>不低于</w:t>
            </w:r>
            <w:r>
              <w:rPr>
                <w:rFonts w:hint="eastAsia" w:asciiTheme="minorEastAsia" w:hAnsiTheme="minorEastAsia" w:eastAsiaTheme="minorEastAsia" w:cstheme="minorEastAsia"/>
                <w:kern w:val="0"/>
                <w:sz w:val="24"/>
                <w:szCs w:val="24"/>
              </w:rPr>
              <w:t>50W无线超级快充，支持无线反向充电。</w:t>
            </w:r>
          </w:p>
          <w:p w14:paraId="7F3F5A87">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9、定位系统：支持定位，提供检测报告。</w:t>
            </w:r>
          </w:p>
          <w:p w14:paraId="2011BBDE">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10、双系统隔离：★两个操作系统运行在不同ROM空间，独立运行，完全隔离。</w:t>
            </w:r>
          </w:p>
          <w:p w14:paraId="71B65ACD">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11、双系统同时在线：★支持公共APN和专属APN同时接入、同时在线。当前系统能接收到另外一个系统的通知栏消息，但看不到数据。</w:t>
            </w:r>
          </w:p>
          <w:p w14:paraId="637521B6">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12、安全认证：★符合公安部安全与警用电子产品质量检测中心检测要求，并取得相关资质认证</w:t>
            </w:r>
          </w:p>
          <w:p w14:paraId="1FBB0B9B">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13、其他功能：★为保障应急和极端场景下的通信要求，所投移动终端可在无地面网络信号覆盖或网络中断的环境下,支持双向卫星消息、卫星图片消息。</w:t>
            </w:r>
          </w:p>
        </w:tc>
      </w:tr>
      <w:tr w14:paraId="58C5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42" w:type="pct"/>
            <w:vAlign w:val="center"/>
          </w:tcPr>
          <w:p w14:paraId="6B59BAF4">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663" w:type="pct"/>
            <w:vAlign w:val="center"/>
          </w:tcPr>
          <w:p w14:paraId="10643142">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终端使用数据套餐</w:t>
            </w:r>
          </w:p>
        </w:tc>
        <w:tc>
          <w:tcPr>
            <w:tcW w:w="3894" w:type="pct"/>
            <w:vAlign w:val="center"/>
          </w:tcPr>
          <w:p w14:paraId="633F7792">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国内流量不低于90G，全国语音不低于2500分钟，短信不低于500条，内部通话不低于1500分钟；</w:t>
            </w:r>
          </w:p>
        </w:tc>
      </w:tr>
      <w:tr w14:paraId="79DC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42" w:type="pct"/>
            <w:vAlign w:val="center"/>
          </w:tcPr>
          <w:p w14:paraId="4B71AEFA">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663" w:type="pct"/>
            <w:vAlign w:val="center"/>
          </w:tcPr>
          <w:p w14:paraId="132E291A">
            <w:pPr>
              <w:spacing w:line="288" w:lineRule="auto"/>
              <w:ind w:firstLine="0" w:firstLineChars="0"/>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质保</w:t>
            </w:r>
          </w:p>
        </w:tc>
        <w:tc>
          <w:tcPr>
            <w:tcW w:w="3894" w:type="pct"/>
            <w:vAlign w:val="center"/>
          </w:tcPr>
          <w:p w14:paraId="7EB0F306">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提供三年质保，三年内，非人为因素的终端故障，免费维修。</w:t>
            </w:r>
          </w:p>
        </w:tc>
      </w:tr>
    </w:tbl>
    <w:p w14:paraId="06AC2F36">
      <w:pPr>
        <w:spacing w:line="288" w:lineRule="auto"/>
        <w:ind w:firstLine="562" w:firstLineChars="0"/>
        <w:outlineLvl w:val="1"/>
        <w:rPr>
          <w:rFonts w:hint="eastAsia" w:asciiTheme="minorEastAsia" w:hAnsiTheme="minorEastAsia" w:eastAsiaTheme="minorEastAsia" w:cstheme="minorEastAsia"/>
          <w:b/>
          <w:bCs w:val="0"/>
          <w:sz w:val="28"/>
        </w:rPr>
      </w:pPr>
      <w:bookmarkStart w:id="13" w:name="_Toc425889704"/>
      <w:r>
        <w:rPr>
          <w:rFonts w:hint="eastAsia" w:asciiTheme="minorEastAsia" w:hAnsiTheme="minorEastAsia" w:eastAsiaTheme="minorEastAsia" w:cstheme="minorEastAsia"/>
          <w:b/>
          <w:bCs w:val="0"/>
          <w:sz w:val="28"/>
        </w:rPr>
        <w:t>（五）</w:t>
      </w:r>
      <w:bookmarkStart w:id="14" w:name="_Toc21023"/>
      <w:r>
        <w:rPr>
          <w:rFonts w:hint="eastAsia" w:asciiTheme="minorEastAsia" w:hAnsiTheme="minorEastAsia" w:eastAsiaTheme="minorEastAsia" w:cstheme="minorEastAsia"/>
          <w:b/>
          <w:bCs w:val="0"/>
          <w:sz w:val="28"/>
        </w:rPr>
        <w:t>云计算服务能力</w:t>
      </w:r>
      <w:bookmarkEnd w:id="13"/>
      <w:bookmarkEnd w:id="14"/>
    </w:p>
    <w:p w14:paraId="35B62CB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为满足业务使用需要，不少于</w:t>
      </w:r>
      <w:r>
        <w:rPr>
          <w:rFonts w:hint="eastAsia" w:asciiTheme="minorEastAsia" w:hAnsiTheme="minorEastAsia" w:eastAsiaTheme="minorEastAsia" w:cstheme="minorEastAsia"/>
          <w:color w:val="auto"/>
          <w:sz w:val="28"/>
        </w:rPr>
        <w:t>650核cpu、</w:t>
      </w:r>
      <w:r>
        <w:rPr>
          <w:rFonts w:hint="eastAsia" w:asciiTheme="minorEastAsia" w:hAnsiTheme="minorEastAsia" w:eastAsiaTheme="minorEastAsia" w:cstheme="minorEastAsia"/>
          <w:color w:val="auto"/>
          <w:sz w:val="28"/>
          <w:highlight w:val="none"/>
        </w:rPr>
        <w:t>2</w:t>
      </w:r>
      <w:r>
        <w:rPr>
          <w:rFonts w:hint="eastAsia" w:asciiTheme="minorEastAsia" w:hAnsiTheme="minorEastAsia" w:eastAsiaTheme="minorEastAsia" w:cstheme="minorEastAsia"/>
          <w:color w:val="auto"/>
          <w:sz w:val="28"/>
          <w:highlight w:val="none"/>
          <w:lang w:val="en-US" w:eastAsia="zh-CN"/>
        </w:rPr>
        <w:t>0</w:t>
      </w:r>
      <w:r>
        <w:rPr>
          <w:rFonts w:hint="eastAsia" w:asciiTheme="minorEastAsia" w:hAnsiTheme="minorEastAsia" w:eastAsiaTheme="minorEastAsia" w:cstheme="minorEastAsia"/>
          <w:color w:val="auto"/>
          <w:sz w:val="28"/>
          <w:highlight w:val="none"/>
        </w:rPr>
        <w:t>00G内存</w:t>
      </w:r>
      <w:r>
        <w:rPr>
          <w:rFonts w:hint="eastAsia" w:asciiTheme="minorEastAsia" w:hAnsiTheme="minorEastAsia" w:eastAsiaTheme="minorEastAsia" w:cstheme="minorEastAsia"/>
          <w:color w:val="auto"/>
          <w:sz w:val="28"/>
        </w:rPr>
        <w:t>、30T有</w:t>
      </w:r>
      <w:r>
        <w:rPr>
          <w:rFonts w:hint="eastAsia" w:asciiTheme="minorEastAsia" w:hAnsiTheme="minorEastAsia" w:eastAsiaTheme="minorEastAsia" w:cstheme="minorEastAsia"/>
          <w:sz w:val="28"/>
        </w:rPr>
        <w:t>效存储的云计算服务能力及配套的机房环境。最大可支持 32核128G内存的主机实例。三年服务期内云平台资源峰值占用率不得高于80%，若资源峰值占用率高于80%，服务提供方免费进行扩容。</w:t>
      </w:r>
    </w:p>
    <w:tbl>
      <w:tblPr>
        <w:tblStyle w:val="9"/>
        <w:tblW w:w="51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905"/>
        <w:gridCol w:w="7934"/>
      </w:tblGrid>
      <w:tr w14:paraId="2AB6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shd w:val="clear" w:color="auto" w:fill="CFCECE" w:themeFill="background2" w:themeFillShade="E5"/>
            <w:vAlign w:val="center"/>
          </w:tcPr>
          <w:p w14:paraId="17FFD639">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序号</w:t>
            </w:r>
          </w:p>
        </w:tc>
        <w:tc>
          <w:tcPr>
            <w:tcW w:w="469" w:type="pct"/>
            <w:shd w:val="clear" w:color="auto" w:fill="CFCECE" w:themeFill="background2" w:themeFillShade="E5"/>
            <w:vAlign w:val="center"/>
          </w:tcPr>
          <w:p w14:paraId="1CCFB7E1">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指标项</w:t>
            </w:r>
          </w:p>
        </w:tc>
        <w:tc>
          <w:tcPr>
            <w:tcW w:w="4110" w:type="pct"/>
            <w:shd w:val="clear" w:color="auto" w:fill="CFCECE" w:themeFill="background2" w:themeFillShade="E5"/>
            <w:vAlign w:val="center"/>
          </w:tcPr>
          <w:p w14:paraId="10F07839">
            <w:pPr>
              <w:pStyle w:val="11"/>
              <w:kinsoku w:val="0"/>
              <w:overflowPunct w:val="0"/>
              <w:spacing w:line="288" w:lineRule="auto"/>
              <w:ind w:firstLine="0" w:firstLineChars="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功能指标要求</w:t>
            </w:r>
          </w:p>
        </w:tc>
      </w:tr>
      <w:tr w14:paraId="48B7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419" w:type="pct"/>
            <w:vAlign w:val="center"/>
          </w:tcPr>
          <w:p w14:paraId="1679C21D">
            <w:pPr>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469" w:type="pct"/>
            <w:vAlign w:val="center"/>
          </w:tcPr>
          <w:p w14:paraId="136FECBB">
            <w:pPr>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技术架构</w:t>
            </w:r>
          </w:p>
        </w:tc>
        <w:tc>
          <w:tcPr>
            <w:tcW w:w="4110" w:type="pct"/>
            <w:vAlign w:val="center"/>
          </w:tcPr>
          <w:p w14:paraId="19A012B7">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平台采用高可用技术，不存在单点故障</w:t>
            </w:r>
          </w:p>
        </w:tc>
      </w:tr>
      <w:tr w14:paraId="64F3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419" w:type="pct"/>
            <w:shd w:val="clear" w:color="auto" w:fill="auto"/>
            <w:vAlign w:val="center"/>
          </w:tcPr>
          <w:p w14:paraId="6ACDF49F">
            <w:pPr>
              <w:spacing w:line="288" w:lineRule="auto"/>
              <w:ind w:firstLine="0" w:firstLine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rPr>
              <w:t>2</w:t>
            </w:r>
          </w:p>
        </w:tc>
        <w:tc>
          <w:tcPr>
            <w:tcW w:w="469" w:type="pct"/>
            <w:shd w:val="clear" w:color="auto" w:fill="auto"/>
            <w:vAlign w:val="center"/>
          </w:tcPr>
          <w:p w14:paraId="75A12986">
            <w:pPr>
              <w:spacing w:line="400" w:lineRule="exact"/>
              <w:ind w:firstLine="0" w:firstLineChars="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rPr>
              <w:t>云平台计算虚拟化</w:t>
            </w:r>
          </w:p>
        </w:tc>
        <w:tc>
          <w:tcPr>
            <w:tcW w:w="4110" w:type="pct"/>
            <w:shd w:val="clear" w:color="auto" w:fill="auto"/>
            <w:vAlign w:val="center"/>
          </w:tcPr>
          <w:p w14:paraId="7440C279">
            <w:pPr>
              <w:spacing w:line="400" w:lineRule="exact"/>
              <w:ind w:firstLine="480" w:firstLineChars="2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★单集群支持管理超过10000服务器，集群的性能（包括虚拟机创建速度等）不随集群扩展有明显下降（下降性能控制在5%以内）。（提供第三方机构检测报告复印件加盖公章）</w:t>
            </w:r>
          </w:p>
          <w:p w14:paraId="7D476F53">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云内计算、网络、存储提供全自助式控制台管理功能，无需单点登录</w:t>
            </w:r>
          </w:p>
          <w:p w14:paraId="7EE92D96">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支持统一Web管理平台，租户与管理员分别可以资源自服务以及资源运维管理功能</w:t>
            </w:r>
          </w:p>
          <w:p w14:paraId="161B87C5">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支持配额管理，管理员可记录和调整租户使用的资源配额，如云主机数量、数据存储、网络等</w:t>
            </w:r>
          </w:p>
          <w:p w14:paraId="5F2A7D85">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支持用户操作按钮级别的用户访问授权控制，通过IAM角色机制，提供安全的云资源访问控制</w:t>
            </w:r>
          </w:p>
          <w:p w14:paraId="55907259">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支持资源监控告警管理。能够对资源的运行状态进行持续性监控，并在资源异常时产生告警。告警信息可以在系统界面呈现，也可以发送到指定的邮箱中。</w:t>
            </w:r>
          </w:p>
          <w:p w14:paraId="10E5293B">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支持统一的日志收集和分析平台，包括平台操作日志。当用户对计算、网络、存储资源进行操作时，显示操作人、操作对象、事件时间等，可调节日志查询周期，操作日志可导出，可用于操作审计</w:t>
            </w:r>
          </w:p>
          <w:p w14:paraId="7E612994">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支持三员分立模式。支持系统管理员、安全管理员及安全审计员三员用户及分权管理</w:t>
            </w:r>
          </w:p>
          <w:p w14:paraId="539718CF">
            <w:pPr>
              <w:spacing w:line="400" w:lineRule="exact"/>
              <w:ind w:firstLine="480" w:firstLineChars="200"/>
              <w:jc w:val="both"/>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rPr>
              <w:t>★云平台云服务的主要核心组件服务器虚拟化、虚拟化云平台、云管平台均具备代码自主可控能力，需通过国家工业信息单位的代码自主率评估，代码自主率超80%。须提供第三方测评报告并加盖公章。</w:t>
            </w:r>
          </w:p>
        </w:tc>
      </w:tr>
      <w:tr w14:paraId="7313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419" w:type="pct"/>
            <w:vAlign w:val="center"/>
          </w:tcPr>
          <w:p w14:paraId="6D13BC76">
            <w:pPr>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469" w:type="pct"/>
            <w:vAlign w:val="center"/>
          </w:tcPr>
          <w:p w14:paraId="44355119">
            <w:pPr>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兼容性/开放性</w:t>
            </w:r>
          </w:p>
        </w:tc>
        <w:tc>
          <w:tcPr>
            <w:tcW w:w="4110" w:type="pct"/>
            <w:vAlign w:val="center"/>
          </w:tcPr>
          <w:p w14:paraId="1C294A8C">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云平台可提供统一API、SDK开发工具包，以便采购方能够轻松地将其应用程序集成或部署到云平台中。</w:t>
            </w:r>
          </w:p>
          <w:p w14:paraId="11951413">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★支持资源池申请流程化配置，支持租户向管理员发起资源申请流程，支持管理员通过/驳回审批流程，提供流程界面截图证明。</w:t>
            </w:r>
          </w:p>
          <w:p w14:paraId="281EE095">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★云虚拟化平台应满足兼容至少基于海光、鲲鹏、龙芯芯片类型的服务器整机，须提供“兼容互认证明”证书并加盖公章。</w:t>
            </w:r>
          </w:p>
          <w:p w14:paraId="350B4150">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★云虚拟化平台应同时满足兼容国产数据库软件，至少包括人大金仓、达梦等数据库，须提供“兼容互认证明”证书并加盖公章。</w:t>
            </w:r>
          </w:p>
        </w:tc>
      </w:tr>
      <w:tr w14:paraId="6C541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419" w:type="pct"/>
            <w:vAlign w:val="center"/>
          </w:tcPr>
          <w:p w14:paraId="314F9585">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469" w:type="pct"/>
            <w:vAlign w:val="center"/>
          </w:tcPr>
          <w:p w14:paraId="476509B8">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云主机（弹性云服务器）</w:t>
            </w:r>
          </w:p>
        </w:tc>
        <w:tc>
          <w:tcPr>
            <w:tcW w:w="4110" w:type="pct"/>
            <w:tcBorders>
              <w:top w:val="single" w:color="000000" w:sz="4" w:space="0"/>
              <w:left w:val="single" w:color="000000" w:sz="4" w:space="0"/>
              <w:bottom w:val="single" w:color="000000" w:sz="4" w:space="0"/>
              <w:right w:val="single" w:color="000000" w:sz="4" w:space="0"/>
            </w:tcBorders>
            <w:vAlign w:val="center"/>
          </w:tcPr>
          <w:p w14:paraId="1C1BE750">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支持弹性云服务器的实例全生命周期管理，支持创建/批量创建、启动、暂停/取消暂停、挂起/恢复、关机、重启、删除等功能</w:t>
            </w:r>
          </w:p>
          <w:p w14:paraId="3EBFE375">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支持弹性云服务器重置状态</w:t>
            </w:r>
          </w:p>
          <w:p w14:paraId="5720634C">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支持弹性云服务器的常规操作，包括：登录VNC，修改名称，快照，挂载/卸载云硬盘，绑定标签，设置安全组，绑定快照策略</w:t>
            </w:r>
          </w:p>
          <w:p w14:paraId="5727CDF1">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支持弹性云服务器的自动高可用，在计算节点断电或者断开业务网或者断开存储网时，会触发云服务器的高可用特性，进行疏散迁移。</w:t>
            </w:r>
          </w:p>
          <w:p w14:paraId="4B5E1BCA">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弹性云服务器网卡支持设置QoS限速</w:t>
            </w:r>
          </w:p>
        </w:tc>
      </w:tr>
      <w:tr w14:paraId="0371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419" w:type="pct"/>
            <w:vAlign w:val="center"/>
          </w:tcPr>
          <w:p w14:paraId="70EE6C2A">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469" w:type="pct"/>
            <w:vAlign w:val="center"/>
          </w:tcPr>
          <w:p w14:paraId="634E99A3">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亲和组</w:t>
            </w:r>
          </w:p>
        </w:tc>
        <w:tc>
          <w:tcPr>
            <w:tcW w:w="4110" w:type="pct"/>
            <w:tcBorders>
              <w:top w:val="single" w:color="000000" w:sz="4" w:space="0"/>
              <w:left w:val="single" w:color="000000" w:sz="4" w:space="0"/>
              <w:bottom w:val="single" w:color="000000" w:sz="4" w:space="0"/>
              <w:right w:val="single" w:color="000000" w:sz="4" w:space="0"/>
            </w:tcBorders>
            <w:vAlign w:val="center"/>
          </w:tcPr>
          <w:p w14:paraId="2BABB3AE">
            <w:pPr>
              <w:spacing w:line="400" w:lineRule="exact"/>
              <w:ind w:firstLine="480" w:firstLineChars="2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★具备云主机统一的策略管理能力，支持云主机组功能，支持强制反亲和性、非强制反亲和性、强制亲和性、非强制亲和性策略，支持云主机动态迁入/迁出云主机组。</w:t>
            </w:r>
          </w:p>
          <w:p w14:paraId="6D82AC16">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删除与批量删除亲和组</w:t>
            </w:r>
          </w:p>
        </w:tc>
      </w:tr>
      <w:tr w14:paraId="4634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419" w:type="pct"/>
            <w:vAlign w:val="center"/>
          </w:tcPr>
          <w:p w14:paraId="6780897E">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c>
          <w:tcPr>
            <w:tcW w:w="469" w:type="pct"/>
            <w:vAlign w:val="center"/>
          </w:tcPr>
          <w:p w14:paraId="44095E67">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云服务器回收站</w:t>
            </w:r>
          </w:p>
        </w:tc>
        <w:tc>
          <w:tcPr>
            <w:tcW w:w="4110" w:type="pct"/>
            <w:tcBorders>
              <w:top w:val="nil"/>
              <w:left w:val="single" w:color="000000" w:sz="4" w:space="0"/>
              <w:bottom w:val="single" w:color="000000" w:sz="4" w:space="0"/>
              <w:right w:val="single" w:color="000000" w:sz="4" w:space="0"/>
            </w:tcBorders>
            <w:vAlign w:val="center"/>
          </w:tcPr>
          <w:p w14:paraId="59DE632B">
            <w:pPr>
              <w:spacing w:line="400" w:lineRule="exact"/>
              <w:ind w:firstLine="480" w:firstLineChars="2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恢复云服务器实例</w:t>
            </w:r>
          </w:p>
          <w:p w14:paraId="1AD7D42A">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删除和批量删除云服务器实例</w:t>
            </w:r>
          </w:p>
          <w:p w14:paraId="0EF75169">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安全删除云服务器实例</w:t>
            </w:r>
          </w:p>
        </w:tc>
      </w:tr>
      <w:tr w14:paraId="33BB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9" w:type="pct"/>
            <w:tcBorders>
              <w:bottom w:val="single" w:color="auto" w:sz="4" w:space="0"/>
            </w:tcBorders>
            <w:vAlign w:val="center"/>
          </w:tcPr>
          <w:p w14:paraId="55D34C4B">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w:t>
            </w:r>
          </w:p>
        </w:tc>
        <w:tc>
          <w:tcPr>
            <w:tcW w:w="469" w:type="pct"/>
            <w:tcBorders>
              <w:bottom w:val="single" w:color="auto" w:sz="4" w:space="0"/>
            </w:tcBorders>
            <w:vAlign w:val="center"/>
          </w:tcPr>
          <w:p w14:paraId="6811B67A">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云服务器标签</w:t>
            </w:r>
          </w:p>
        </w:tc>
        <w:tc>
          <w:tcPr>
            <w:tcW w:w="4110" w:type="pct"/>
            <w:tcBorders>
              <w:top w:val="nil"/>
              <w:left w:val="single" w:color="000000" w:sz="4" w:space="0"/>
              <w:bottom w:val="single" w:color="auto" w:sz="4" w:space="0"/>
              <w:right w:val="single" w:color="000000" w:sz="4" w:space="0"/>
            </w:tcBorders>
            <w:vAlign w:val="center"/>
          </w:tcPr>
          <w:p w14:paraId="246B1FA7">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★查看云服务器标签关联的实例</w:t>
            </w:r>
          </w:p>
        </w:tc>
      </w:tr>
      <w:tr w14:paraId="77A3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419" w:type="pct"/>
            <w:tcBorders>
              <w:top w:val="single" w:color="auto" w:sz="4" w:space="0"/>
              <w:bottom w:val="single" w:color="auto" w:sz="4" w:space="0"/>
            </w:tcBorders>
            <w:vAlign w:val="center"/>
          </w:tcPr>
          <w:p w14:paraId="488FBB5F">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w:t>
            </w:r>
          </w:p>
        </w:tc>
        <w:tc>
          <w:tcPr>
            <w:tcW w:w="469" w:type="pct"/>
            <w:tcBorders>
              <w:top w:val="single" w:color="auto" w:sz="4" w:space="0"/>
              <w:bottom w:val="single" w:color="auto" w:sz="4" w:space="0"/>
            </w:tcBorders>
            <w:vAlign w:val="center"/>
          </w:tcPr>
          <w:p w14:paraId="4BDBFF6F">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密钥对</w:t>
            </w:r>
          </w:p>
        </w:tc>
        <w:tc>
          <w:tcPr>
            <w:tcW w:w="4110" w:type="pct"/>
            <w:tcBorders>
              <w:top w:val="single" w:color="auto" w:sz="4" w:space="0"/>
              <w:left w:val="single" w:color="000000" w:sz="4" w:space="0"/>
              <w:bottom w:val="single" w:color="auto" w:sz="4" w:space="0"/>
              <w:right w:val="single" w:color="auto" w:sz="4" w:space="0"/>
            </w:tcBorders>
            <w:vAlign w:val="center"/>
          </w:tcPr>
          <w:p w14:paraId="6C6EBCA9">
            <w:pPr>
              <w:spacing w:line="400" w:lineRule="exact"/>
              <w:ind w:firstLine="480" w:firstLineChars="2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密钥对创建并自动下载密钥文件</w:t>
            </w:r>
          </w:p>
          <w:p w14:paraId="7C3290EC">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密钥对删除</w:t>
            </w:r>
          </w:p>
          <w:p w14:paraId="06522536">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密钥对只允许初次创建时自动下载密钥文件</w:t>
            </w:r>
          </w:p>
        </w:tc>
      </w:tr>
      <w:tr w14:paraId="5C55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auto" w:sz="4" w:space="0"/>
            </w:tcBorders>
            <w:vAlign w:val="center"/>
          </w:tcPr>
          <w:p w14:paraId="71A02EF3">
            <w:pPr>
              <w:pStyle w:val="7"/>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9</w:t>
            </w:r>
          </w:p>
        </w:tc>
        <w:tc>
          <w:tcPr>
            <w:tcW w:w="469" w:type="pct"/>
            <w:vMerge w:val="restart"/>
            <w:tcBorders>
              <w:top w:val="single" w:color="auto" w:sz="4" w:space="0"/>
            </w:tcBorders>
            <w:vAlign w:val="center"/>
          </w:tcPr>
          <w:p w14:paraId="0A8D077B">
            <w:pPr>
              <w:pStyle w:val="7"/>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云服务器快照</w:t>
            </w:r>
          </w:p>
        </w:tc>
        <w:tc>
          <w:tcPr>
            <w:tcW w:w="4110" w:type="pct"/>
            <w:tcBorders>
              <w:top w:val="single" w:color="auto" w:sz="4" w:space="0"/>
              <w:left w:val="single" w:color="000000" w:sz="4" w:space="0"/>
              <w:bottom w:val="single" w:color="000000" w:sz="4" w:space="0"/>
              <w:right w:val="single" w:color="000000" w:sz="4" w:space="0"/>
            </w:tcBorders>
            <w:vAlign w:val="center"/>
          </w:tcPr>
          <w:p w14:paraId="4F90E3BB">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云服务器快照生命周期管理，包括：修改、删除、还原</w:t>
            </w:r>
          </w:p>
        </w:tc>
      </w:tr>
      <w:tr w14:paraId="614C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vAlign w:val="center"/>
          </w:tcPr>
          <w:p w14:paraId="6C1E06D9">
            <w:pPr>
              <w:pStyle w:val="7"/>
              <w:spacing w:line="288" w:lineRule="auto"/>
              <w:ind w:firstLine="0" w:firstLineChars="0"/>
              <w:jc w:val="center"/>
              <w:rPr>
                <w:rFonts w:asciiTheme="minorEastAsia" w:hAnsiTheme="minorEastAsia" w:eastAsiaTheme="minorEastAsia" w:cstheme="minorEastAsia"/>
                <w:kern w:val="0"/>
                <w:sz w:val="24"/>
                <w:szCs w:val="24"/>
              </w:rPr>
            </w:pPr>
          </w:p>
        </w:tc>
        <w:tc>
          <w:tcPr>
            <w:tcW w:w="469" w:type="pct"/>
            <w:vMerge w:val="continue"/>
            <w:vAlign w:val="center"/>
          </w:tcPr>
          <w:p w14:paraId="3D299128">
            <w:pPr>
              <w:pStyle w:val="7"/>
              <w:spacing w:line="400" w:lineRule="exact"/>
              <w:ind w:firstLine="0" w:firstLineChars="0"/>
              <w:jc w:val="center"/>
              <w:rPr>
                <w:rFonts w:asciiTheme="minorEastAsia" w:hAnsiTheme="minorEastAsia" w:eastAsiaTheme="minorEastAsia" w:cstheme="minorEastAsia"/>
                <w:kern w:val="0"/>
                <w:sz w:val="24"/>
                <w:szCs w:val="24"/>
              </w:rPr>
            </w:pPr>
          </w:p>
        </w:tc>
        <w:tc>
          <w:tcPr>
            <w:tcW w:w="4110" w:type="pct"/>
            <w:tcBorders>
              <w:top w:val="nil"/>
              <w:left w:val="single" w:color="000000" w:sz="4" w:space="0"/>
              <w:bottom w:val="single" w:color="000000" w:sz="4" w:space="0"/>
              <w:right w:val="single" w:color="000000" w:sz="4" w:space="0"/>
            </w:tcBorders>
            <w:vAlign w:val="center"/>
          </w:tcPr>
          <w:p w14:paraId="43AD4263">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云服务器快照策略生命周期管理，包括：新建、修改、删除/批量删除</w:t>
            </w:r>
          </w:p>
        </w:tc>
      </w:tr>
      <w:tr w14:paraId="3EE9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vAlign w:val="center"/>
          </w:tcPr>
          <w:p w14:paraId="39438604">
            <w:pPr>
              <w:pStyle w:val="7"/>
              <w:spacing w:line="288" w:lineRule="auto"/>
              <w:ind w:firstLine="0" w:firstLineChars="0"/>
              <w:jc w:val="center"/>
              <w:rPr>
                <w:rFonts w:asciiTheme="minorEastAsia" w:hAnsiTheme="minorEastAsia" w:eastAsiaTheme="minorEastAsia" w:cstheme="minorEastAsia"/>
                <w:kern w:val="0"/>
                <w:sz w:val="24"/>
                <w:szCs w:val="24"/>
              </w:rPr>
            </w:pPr>
          </w:p>
        </w:tc>
        <w:tc>
          <w:tcPr>
            <w:tcW w:w="469" w:type="pct"/>
            <w:vMerge w:val="continue"/>
            <w:vAlign w:val="center"/>
          </w:tcPr>
          <w:p w14:paraId="79F55866">
            <w:pPr>
              <w:pStyle w:val="7"/>
              <w:spacing w:line="400" w:lineRule="exact"/>
              <w:ind w:firstLine="0" w:firstLineChars="0"/>
              <w:jc w:val="center"/>
              <w:rPr>
                <w:rFonts w:asciiTheme="minorEastAsia" w:hAnsiTheme="minorEastAsia" w:eastAsiaTheme="minorEastAsia" w:cstheme="minorEastAsia"/>
                <w:kern w:val="0"/>
                <w:sz w:val="24"/>
                <w:szCs w:val="24"/>
              </w:rPr>
            </w:pPr>
          </w:p>
        </w:tc>
        <w:tc>
          <w:tcPr>
            <w:tcW w:w="4110" w:type="pct"/>
            <w:tcBorders>
              <w:top w:val="nil"/>
              <w:left w:val="single" w:color="000000" w:sz="4" w:space="0"/>
              <w:bottom w:val="single" w:color="000000" w:sz="4" w:space="0"/>
              <w:right w:val="single" w:color="000000" w:sz="4" w:space="0"/>
            </w:tcBorders>
            <w:vAlign w:val="center"/>
          </w:tcPr>
          <w:p w14:paraId="28114347">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云服务器快照任务生命周期管理，包括：修改策略、删除/批量删除、启用/禁用</w:t>
            </w:r>
          </w:p>
        </w:tc>
      </w:tr>
      <w:tr w14:paraId="11B4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vAlign w:val="center"/>
          </w:tcPr>
          <w:p w14:paraId="758A22FC">
            <w:pPr>
              <w:pStyle w:val="7"/>
              <w:spacing w:line="288" w:lineRule="auto"/>
              <w:ind w:firstLine="0" w:firstLineChars="0"/>
              <w:jc w:val="center"/>
              <w:rPr>
                <w:rFonts w:asciiTheme="minorEastAsia" w:hAnsiTheme="minorEastAsia" w:eastAsiaTheme="minorEastAsia" w:cstheme="minorEastAsia"/>
                <w:kern w:val="0"/>
                <w:sz w:val="24"/>
                <w:szCs w:val="24"/>
              </w:rPr>
            </w:pPr>
          </w:p>
        </w:tc>
        <w:tc>
          <w:tcPr>
            <w:tcW w:w="469" w:type="pct"/>
            <w:vMerge w:val="continue"/>
            <w:vAlign w:val="center"/>
          </w:tcPr>
          <w:p w14:paraId="408C0BD3">
            <w:pPr>
              <w:pStyle w:val="7"/>
              <w:spacing w:line="400" w:lineRule="exact"/>
              <w:ind w:firstLine="0" w:firstLineChars="0"/>
              <w:jc w:val="center"/>
              <w:rPr>
                <w:rFonts w:asciiTheme="minorEastAsia" w:hAnsiTheme="minorEastAsia" w:eastAsiaTheme="minorEastAsia" w:cstheme="minorEastAsia"/>
                <w:kern w:val="0"/>
                <w:sz w:val="24"/>
                <w:szCs w:val="24"/>
              </w:rPr>
            </w:pPr>
          </w:p>
        </w:tc>
        <w:tc>
          <w:tcPr>
            <w:tcW w:w="4110" w:type="pct"/>
            <w:tcBorders>
              <w:top w:val="nil"/>
              <w:left w:val="single" w:color="000000" w:sz="4" w:space="0"/>
              <w:bottom w:val="single" w:color="000000" w:sz="4" w:space="0"/>
              <w:right w:val="single" w:color="000000" w:sz="4" w:space="0"/>
            </w:tcBorders>
            <w:vAlign w:val="center"/>
          </w:tcPr>
          <w:p w14:paraId="28AC1FAB">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可展示快照异常的信息</w:t>
            </w:r>
          </w:p>
        </w:tc>
      </w:tr>
      <w:tr w14:paraId="33DB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5CBD2051">
            <w:pPr>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469" w:type="pct"/>
            <w:vAlign w:val="center"/>
          </w:tcPr>
          <w:p w14:paraId="2B28D19F">
            <w:pPr>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兼容性/开放性</w:t>
            </w:r>
          </w:p>
        </w:tc>
        <w:tc>
          <w:tcPr>
            <w:tcW w:w="4110" w:type="pct"/>
            <w:vAlign w:val="center"/>
          </w:tcPr>
          <w:p w14:paraId="337C9885">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★计算节点宿主机操作系统HostOS以及云主机操作系统GuestOS均兼容麒麟、统信UOS国产操作系统，须提供互认证书加盖公章。</w:t>
            </w:r>
          </w:p>
        </w:tc>
      </w:tr>
      <w:tr w14:paraId="49A2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9" w:type="pct"/>
            <w:vAlign w:val="center"/>
          </w:tcPr>
          <w:p w14:paraId="79FC2E96">
            <w:pPr>
              <w:spacing w:line="288" w:lineRule="auto"/>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11</w:t>
            </w:r>
          </w:p>
        </w:tc>
        <w:tc>
          <w:tcPr>
            <w:tcW w:w="469" w:type="pct"/>
            <w:vAlign w:val="center"/>
          </w:tcPr>
          <w:p w14:paraId="3304D76C">
            <w:pPr>
              <w:spacing w:line="400" w:lineRule="exact"/>
              <w:ind w:firstLine="0" w:firstLineChars="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维保服务</w:t>
            </w:r>
          </w:p>
        </w:tc>
        <w:tc>
          <w:tcPr>
            <w:tcW w:w="4110" w:type="pct"/>
            <w:vAlign w:val="center"/>
          </w:tcPr>
          <w:p w14:paraId="0557C4A0">
            <w:pPr>
              <w:spacing w:line="400" w:lineRule="exact"/>
              <w:ind w:firstLine="480" w:firstLineChars="20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★提供3年维保</w:t>
            </w:r>
          </w:p>
        </w:tc>
      </w:tr>
    </w:tbl>
    <w:p w14:paraId="1C5712DD">
      <w:pPr>
        <w:spacing w:line="288" w:lineRule="auto"/>
        <w:ind w:firstLine="562"/>
        <w:outlineLvl w:val="1"/>
        <w:rPr>
          <w:rFonts w:hint="eastAsia" w:asciiTheme="minorEastAsia" w:hAnsiTheme="minorEastAsia" w:eastAsiaTheme="minorEastAsia" w:cstheme="minorEastAsia"/>
          <w:b/>
          <w:bCs w:val="0"/>
          <w:sz w:val="28"/>
        </w:rPr>
      </w:pPr>
      <w:bookmarkStart w:id="15" w:name="_Toc437768335"/>
      <w:r>
        <w:rPr>
          <w:rFonts w:hint="eastAsia" w:asciiTheme="minorEastAsia" w:hAnsiTheme="minorEastAsia" w:eastAsiaTheme="minorEastAsia" w:cstheme="minorEastAsia"/>
          <w:b/>
          <w:bCs w:val="0"/>
          <w:sz w:val="28"/>
        </w:rPr>
        <w:t>（六）其他</w:t>
      </w:r>
      <w:bookmarkEnd w:id="15"/>
    </w:p>
    <w:p w14:paraId="4107AFF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1.提供一条专用安全链路；</w:t>
      </w:r>
    </w:p>
    <w:p w14:paraId="2985A05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2.提供2人/三年，其中1人驻场的运维服务；</w:t>
      </w:r>
    </w:p>
    <w:p w14:paraId="412F4F9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3.为满足5G网络需求，中标方需在监狱管理局及各监狱配套建设5G基站，用户方负责提供地点与电费，基站建设由投标方负责，必须保证各监狱监管区AB门和监狱管理局机关办公楼周围1平方公里范围内5G信号全覆盖且测试用户体验峰值速率大于1Gbps，延时低于1ms。</w:t>
      </w:r>
    </w:p>
    <w:p w14:paraId="38BD4D4A">
      <w:pPr>
        <w:spacing w:line="288" w:lineRule="auto"/>
        <w:ind w:firstLine="560" w:firstLineChars="0"/>
        <w:outlineLvl w:val="0"/>
        <w:rPr>
          <w:rFonts w:hint="eastAsia" w:ascii="黑体" w:hAnsi="黑体" w:eastAsia="黑体" w:cs="黑体"/>
          <w:b w:val="0"/>
          <w:bCs w:val="0"/>
          <w:sz w:val="28"/>
        </w:rPr>
      </w:pPr>
      <w:bookmarkStart w:id="16" w:name="_Toc769753933"/>
      <w:r>
        <w:rPr>
          <w:rFonts w:hint="eastAsia" w:ascii="黑体" w:hAnsi="黑体" w:eastAsia="黑体" w:cs="黑体"/>
          <w:b w:val="0"/>
          <w:bCs w:val="0"/>
          <w:sz w:val="28"/>
        </w:rPr>
        <w:t>二、服务所需的软硬件配置清单</w:t>
      </w:r>
      <w:bookmarkEnd w:id="16"/>
    </w:p>
    <w:p w14:paraId="1107CAE0">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满足三年服务的建议配置清单。</w:t>
      </w:r>
    </w:p>
    <w:p w14:paraId="6478669E">
      <w:pPr>
        <w:spacing w:line="288" w:lineRule="auto"/>
        <w:ind w:firstLine="562"/>
        <w:outlineLvl w:val="1"/>
        <w:rPr>
          <w:rFonts w:asciiTheme="minorEastAsia" w:hAnsiTheme="minorEastAsia" w:eastAsiaTheme="minorEastAsia" w:cstheme="minorEastAsia"/>
          <w:b/>
          <w:sz w:val="28"/>
        </w:rPr>
      </w:pPr>
      <w:bookmarkStart w:id="17" w:name="_Toc796693236"/>
      <w:r>
        <w:rPr>
          <w:rFonts w:hint="eastAsia" w:asciiTheme="minorEastAsia" w:hAnsiTheme="minorEastAsia" w:eastAsiaTheme="minorEastAsia" w:cstheme="minorEastAsia"/>
          <w:b/>
          <w:sz w:val="28"/>
        </w:rPr>
        <w:t>（一）安全接入平台</w:t>
      </w:r>
      <w:bookmarkEnd w:id="17"/>
    </w:p>
    <w:tbl>
      <w:tblPr>
        <w:tblStyle w:val="8"/>
        <w:tblW w:w="5240" w:type="pct"/>
        <w:jc w:val="center"/>
        <w:tblLayout w:type="autofit"/>
        <w:tblCellMar>
          <w:top w:w="0" w:type="dxa"/>
          <w:left w:w="0" w:type="dxa"/>
          <w:bottom w:w="0" w:type="dxa"/>
          <w:right w:w="0" w:type="dxa"/>
        </w:tblCellMar>
      </w:tblPr>
      <w:tblGrid>
        <w:gridCol w:w="781"/>
        <w:gridCol w:w="1238"/>
        <w:gridCol w:w="5979"/>
        <w:gridCol w:w="720"/>
        <w:gridCol w:w="800"/>
      </w:tblGrid>
      <w:tr w14:paraId="1459B933">
        <w:tblPrEx>
          <w:tblCellMar>
            <w:top w:w="0" w:type="dxa"/>
            <w:left w:w="0" w:type="dxa"/>
            <w:bottom w:w="0" w:type="dxa"/>
            <w:right w:w="0" w:type="dxa"/>
          </w:tblCellMar>
        </w:tblPrEx>
        <w:trPr>
          <w:trHeight w:val="90"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E7E6E6" w:themeFill="background2"/>
            <w:vAlign w:val="center"/>
          </w:tcPr>
          <w:p w14:paraId="4CB4A4D6">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bookmarkStart w:id="18" w:name="_Toc427544474"/>
            <w:r>
              <w:rPr>
                <w:rFonts w:hint="eastAsia" w:asciiTheme="minorEastAsia" w:hAnsiTheme="minorEastAsia" w:eastAsiaTheme="minorEastAsia" w:cstheme="minorEastAsia"/>
                <w:kern w:val="2"/>
                <w:sz w:val="24"/>
                <w:szCs w:val="24"/>
                <w:highlight w:val="none"/>
              </w:rPr>
              <w:t>序号</w:t>
            </w:r>
          </w:p>
        </w:tc>
        <w:tc>
          <w:tcPr>
            <w:tcW w:w="650" w:type="pct"/>
            <w:tcBorders>
              <w:top w:val="single" w:color="000000" w:sz="4" w:space="0"/>
              <w:left w:val="single" w:color="000000" w:sz="4" w:space="0"/>
              <w:bottom w:val="single" w:color="000000" w:sz="4" w:space="0"/>
              <w:right w:val="single" w:color="000000" w:sz="4" w:space="0"/>
            </w:tcBorders>
            <w:shd w:val="clear" w:color="auto" w:fill="E7E6E6" w:themeFill="background2"/>
            <w:vAlign w:val="center"/>
          </w:tcPr>
          <w:p w14:paraId="6FF14A80">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b/>
                <w:bCs/>
                <w:sz w:val="24"/>
                <w:szCs w:val="24"/>
                <w:highlight w:val="none"/>
              </w:rPr>
              <w:t>名称</w:t>
            </w:r>
          </w:p>
        </w:tc>
        <w:tc>
          <w:tcPr>
            <w:tcW w:w="3139" w:type="pct"/>
            <w:tcBorders>
              <w:top w:val="single" w:color="000000" w:sz="4" w:space="0"/>
              <w:left w:val="single" w:color="000000" w:sz="4" w:space="0"/>
              <w:bottom w:val="single" w:color="000000" w:sz="4" w:space="0"/>
              <w:right w:val="single" w:color="000000" w:sz="4" w:space="0"/>
            </w:tcBorders>
            <w:shd w:val="clear" w:color="auto" w:fill="E7E6E6" w:themeFill="background2"/>
            <w:vAlign w:val="center"/>
          </w:tcPr>
          <w:p w14:paraId="69BFCDA7">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b/>
                <w:bCs/>
                <w:sz w:val="24"/>
                <w:szCs w:val="24"/>
                <w:highlight w:val="none"/>
              </w:rPr>
              <w:t>功能描述/配置说明</w:t>
            </w:r>
          </w:p>
        </w:tc>
        <w:tc>
          <w:tcPr>
            <w:tcW w:w="378" w:type="pct"/>
            <w:tcBorders>
              <w:top w:val="single" w:color="000000" w:sz="4" w:space="0"/>
              <w:left w:val="single" w:color="000000" w:sz="4" w:space="0"/>
              <w:bottom w:val="single" w:color="000000" w:sz="4" w:space="0"/>
              <w:right w:val="single" w:color="000000" w:sz="4" w:space="0"/>
            </w:tcBorders>
            <w:shd w:val="clear" w:color="auto" w:fill="E7E6E6" w:themeFill="background2"/>
            <w:vAlign w:val="center"/>
          </w:tcPr>
          <w:p w14:paraId="7B188356">
            <w:pPr>
              <w:spacing w:line="288" w:lineRule="auto"/>
              <w:ind w:firstLine="0" w:firstLineChars="0"/>
              <w:jc w:val="center"/>
              <w:rPr>
                <w:rFonts w:hint="eastAsia"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数量</w:t>
            </w:r>
          </w:p>
        </w:tc>
        <w:tc>
          <w:tcPr>
            <w:tcW w:w="420" w:type="pct"/>
            <w:tcBorders>
              <w:top w:val="single" w:color="000000" w:sz="4" w:space="0"/>
              <w:left w:val="single" w:color="000000" w:sz="4" w:space="0"/>
              <w:bottom w:val="single" w:color="000000" w:sz="4" w:space="0"/>
              <w:right w:val="single" w:color="000000" w:sz="4" w:space="0"/>
            </w:tcBorders>
            <w:shd w:val="clear" w:color="auto" w:fill="E7E6E6" w:themeFill="background2"/>
            <w:vAlign w:val="center"/>
          </w:tcPr>
          <w:p w14:paraId="3DC1960B">
            <w:pPr>
              <w:spacing w:line="288" w:lineRule="auto"/>
              <w:ind w:firstLine="0" w:firstLineChars="0"/>
              <w:jc w:val="center"/>
              <w:rPr>
                <w:rFonts w:hint="eastAsia"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单位</w:t>
            </w:r>
          </w:p>
        </w:tc>
      </w:tr>
      <w:tr w14:paraId="1340E0D1">
        <w:tblPrEx>
          <w:tblCellMar>
            <w:top w:w="0" w:type="dxa"/>
            <w:left w:w="0" w:type="dxa"/>
            <w:bottom w:w="0" w:type="dxa"/>
            <w:right w:w="0" w:type="dxa"/>
          </w:tblCellMar>
        </w:tblPrEx>
        <w:trPr>
          <w:trHeight w:val="777"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25A4">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27994">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密码</w:t>
            </w:r>
            <w:r>
              <w:rPr>
                <w:rFonts w:hint="eastAsia" w:asciiTheme="minorEastAsia" w:hAnsiTheme="minorEastAsia" w:eastAsiaTheme="minorEastAsia" w:cstheme="minorEastAsia"/>
                <w:kern w:val="2"/>
                <w:sz w:val="24"/>
                <w:szCs w:val="24"/>
                <w:highlight w:val="none"/>
                <w:lang w:eastAsia="zh-CN"/>
              </w:rPr>
              <w:t>模块</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D016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提供用户身份鉴别、加解密、数字证书存储、数字签名、签名验证等服务。能够应用移动办公执法终端有效解决终端设备身份认证、数据传输加密、数据完整性保护等安全问题。</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C4CF5">
            <w:pPr>
              <w:spacing w:line="400" w:lineRule="exact"/>
              <w:ind w:left="0" w:leftChars="0" w:firstLine="0" w:firstLineChar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1797</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EC31E">
            <w:pPr>
              <w:spacing w:line="400" w:lineRule="exact"/>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个</w:t>
            </w:r>
          </w:p>
        </w:tc>
      </w:tr>
      <w:tr w14:paraId="3C78FF42">
        <w:tblPrEx>
          <w:tblCellMar>
            <w:top w:w="0" w:type="dxa"/>
            <w:left w:w="0" w:type="dxa"/>
            <w:bottom w:w="0" w:type="dxa"/>
            <w:right w:w="0" w:type="dxa"/>
          </w:tblCellMar>
        </w:tblPrEx>
        <w:trPr>
          <w:trHeight w:val="145"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135D">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3E82F">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移动安全接入系统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1077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w:t>
            </w:r>
          </w:p>
          <w:p w14:paraId="672FC8B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标准机架式设备，采用国产化处理器及操作系统；内置密码卡；网络接口：</w:t>
            </w:r>
            <w:r>
              <w:rPr>
                <w:rFonts w:hint="eastAsia" w:asciiTheme="minorEastAsia" w:hAnsiTheme="minorEastAsia" w:eastAsiaTheme="minorEastAsia" w:cstheme="minorEastAsia"/>
                <w:color w:val="auto"/>
                <w:sz w:val="24"/>
                <w:szCs w:val="24"/>
                <w:highlight w:val="none"/>
              </w:rPr>
              <w:t>不少于4个千兆电口</w:t>
            </w:r>
            <w:r>
              <w:rPr>
                <w:rFonts w:hint="eastAsia" w:asciiTheme="minorEastAsia" w:hAnsiTheme="minorEastAsia" w:eastAsiaTheme="minorEastAsia" w:cstheme="minorEastAsia"/>
                <w:sz w:val="24"/>
                <w:szCs w:val="24"/>
                <w:highlight w:val="none"/>
              </w:rPr>
              <w:t>。</w:t>
            </w:r>
          </w:p>
          <w:p w14:paraId="5ACA7D3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w:t>
            </w:r>
          </w:p>
          <w:p w14:paraId="43AB09C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吞吐量≥900Mbps；每秒可建立VPN连接数≥1000个；单台设备最大支持≥2000终端用户接入，最大并发连接数≥15000。</w:t>
            </w:r>
          </w:p>
          <w:p w14:paraId="550F202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4A70EC33">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1.为终端用户访问公安信息网提供安全接入服务，通过信道加密、认证接入、数据包协议检查、数据包内容过滤等安全措施，实现各种业务的远程处理和数据交换。</w:t>
            </w:r>
          </w:p>
          <w:p w14:paraId="11F41060">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2.支持转发、隧道等工作模式。</w:t>
            </w:r>
          </w:p>
          <w:p w14:paraId="0BC706A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3.提供用户接入控制、资源访问控制及管理员分级分权限管理。</w:t>
            </w:r>
          </w:p>
          <w:p w14:paraId="1EA2FD7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4.自带防火墙功能，通过在管理平台配置对进入数据进行过滤，从而控制外部用户对内网的访问。</w:t>
            </w:r>
          </w:p>
          <w:p w14:paraId="47C73E0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5.支持管理员远程获取系统 CPU、路由、流量、日志等信息。</w:t>
            </w:r>
          </w:p>
          <w:p w14:paraId="40B52EF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6.支持系统自检，对服务状态、CRL 状态、以及 PCIE 加密码状态进行检测。</w:t>
            </w:r>
          </w:p>
          <w:p w14:paraId="09C7491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7.支持对称密码算法：SM1、SM4。</w:t>
            </w:r>
          </w:p>
          <w:p w14:paraId="71F0ABB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8.支持非对称密码算法：SM2。</w:t>
            </w:r>
          </w:p>
          <w:p w14:paraId="50D8B11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9.支持摘要算法：SM3。</w:t>
            </w:r>
          </w:p>
          <w:p w14:paraId="056426C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其他要求</w:t>
            </w:r>
          </w:p>
          <w:p w14:paraId="7E7E2C1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1.为了保障平台整体运行的稳定性及安全性，移动安全接入系统厂商应具有自主研发的</w:t>
            </w:r>
            <w:r>
              <w:rPr>
                <w:rFonts w:hint="eastAsia" w:asciiTheme="minorEastAsia" w:hAnsiTheme="minorEastAsia" w:eastAsiaTheme="minorEastAsia" w:cstheme="minorEastAsia"/>
                <w:sz w:val="24"/>
                <w:szCs w:val="24"/>
                <w:highlight w:val="none"/>
                <w:lang w:eastAsia="zh-CN"/>
              </w:rPr>
              <w:t>内置</w:t>
            </w:r>
            <w:r>
              <w:rPr>
                <w:rFonts w:hint="eastAsia" w:asciiTheme="minorEastAsia" w:hAnsiTheme="minorEastAsia" w:eastAsiaTheme="minorEastAsia" w:cstheme="minorEastAsia"/>
                <w:sz w:val="24"/>
                <w:szCs w:val="24"/>
                <w:highlight w:val="none"/>
              </w:rPr>
              <w:t>密码卡，提供</w:t>
            </w:r>
            <w:r>
              <w:rPr>
                <w:rFonts w:hint="eastAsia" w:asciiTheme="minorEastAsia" w:hAnsiTheme="minorEastAsia" w:eastAsiaTheme="minorEastAsia" w:cstheme="minorEastAsia"/>
                <w:sz w:val="24"/>
                <w:szCs w:val="24"/>
                <w:highlight w:val="none"/>
                <w:lang w:eastAsia="zh-CN"/>
              </w:rPr>
              <w:t>内置</w:t>
            </w:r>
            <w:r>
              <w:rPr>
                <w:rFonts w:hint="eastAsia" w:asciiTheme="minorEastAsia" w:hAnsiTheme="minorEastAsia" w:eastAsiaTheme="minorEastAsia" w:cstheme="minorEastAsia"/>
                <w:sz w:val="24"/>
                <w:szCs w:val="24"/>
                <w:highlight w:val="none"/>
              </w:rPr>
              <w:t>密码卡《商用密码产品认证证书》</w:t>
            </w:r>
          </w:p>
          <w:p w14:paraId="470A87DF">
            <w:pPr>
              <w:spacing w:line="400" w:lineRule="exact"/>
              <w:ind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2.要求产品具备</w:t>
            </w:r>
            <w:r>
              <w:rPr>
                <w:rFonts w:hint="eastAsia" w:asciiTheme="minorEastAsia" w:hAnsiTheme="minorEastAsia" w:eastAsiaTheme="minorEastAsia" w:cstheme="minorEastAsia"/>
                <w:sz w:val="24"/>
                <w:szCs w:val="24"/>
                <w:highlight w:val="none"/>
                <w:lang w:eastAsia="zh-CN"/>
              </w:rPr>
              <w:t>《计算机信息系统安全专用产品销售许可证》或</w:t>
            </w:r>
            <w:r>
              <w:rPr>
                <w:rFonts w:hint="eastAsia" w:asciiTheme="minorEastAsia" w:hAnsiTheme="minorEastAsia" w:eastAsiaTheme="minorEastAsia" w:cstheme="minorEastAsia"/>
                <w:sz w:val="24"/>
                <w:szCs w:val="24"/>
                <w:highlight w:val="none"/>
              </w:rPr>
              <w:t>《网络安全专用产品安全检测证书》</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4C84D">
            <w:pPr>
              <w:spacing w:line="400" w:lineRule="exact"/>
              <w:ind w:firstLine="48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6E938">
            <w:pPr>
              <w:spacing w:line="400" w:lineRule="exact"/>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套</w:t>
            </w:r>
          </w:p>
        </w:tc>
      </w:tr>
      <w:tr w14:paraId="230A268F">
        <w:tblPrEx>
          <w:tblCellMar>
            <w:top w:w="0" w:type="dxa"/>
            <w:left w:w="0" w:type="dxa"/>
            <w:bottom w:w="0" w:type="dxa"/>
            <w:right w:w="0" w:type="dxa"/>
          </w:tblCellMar>
        </w:tblPrEx>
        <w:trPr>
          <w:trHeight w:val="367"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0EBB">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B88B3">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视频安全接入系统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42B7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为各种终端通过网络与信息内网访问和传输视频信息提供安全接入服务，通过信道加密、认证接入等安全措施，实现视频应用的安全接入。</w:t>
            </w:r>
          </w:p>
          <w:p w14:paraId="6A879E0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对称密码算法：SM1、SM4、AES、3DES</w:t>
            </w:r>
          </w:p>
          <w:p w14:paraId="569C95E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非对称密码算法：SM2、RSA-1024、RSA-2048</w:t>
            </w:r>
          </w:p>
          <w:p w14:paraId="1C95561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摘要算法：SM3、SHA1、SHA256、MD5</w:t>
            </w:r>
          </w:p>
          <w:p w14:paraId="4A261FE5">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最大在线连接数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2000</w:t>
            </w:r>
          </w:p>
          <w:p w14:paraId="1575BD2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最大并发连接数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500</w:t>
            </w:r>
          </w:p>
          <w:p w14:paraId="38E2B1C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每秒新建连接数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100</w:t>
            </w:r>
          </w:p>
          <w:p w14:paraId="45BF84E3">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吞吐率≥900Mbps（SM4）</w:t>
            </w:r>
          </w:p>
          <w:p w14:paraId="4E97F8E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设备高度：≤2U</w:t>
            </w:r>
          </w:p>
          <w:p w14:paraId="7DA9A142">
            <w:pPr>
              <w:spacing w:line="400" w:lineRule="exact"/>
              <w:ind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网络接口：≥4个千兆电口</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3F305">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4E034">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66C58D8C">
        <w:tblPrEx>
          <w:tblCellMar>
            <w:top w:w="0" w:type="dxa"/>
            <w:left w:w="0" w:type="dxa"/>
            <w:bottom w:w="0" w:type="dxa"/>
            <w:right w:w="0" w:type="dxa"/>
          </w:tblCellMar>
        </w:tblPrEx>
        <w:trPr>
          <w:trHeight w:val="1037"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3A049">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FF1A9">
            <w:pPr>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综合认证系统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BCCA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硬件指标：标准机架式设备，采用国产化处理器及操作系统；网络接口：</w:t>
            </w:r>
            <w:r>
              <w:rPr>
                <w:rFonts w:hint="eastAsia" w:asciiTheme="minorEastAsia" w:hAnsiTheme="minorEastAsia" w:eastAsiaTheme="minorEastAsia" w:cstheme="minorEastAsia"/>
                <w:color w:val="auto"/>
                <w:sz w:val="24"/>
                <w:szCs w:val="24"/>
                <w:highlight w:val="none"/>
              </w:rPr>
              <w:t>不少于2个千兆电口</w:t>
            </w:r>
            <w:r>
              <w:rPr>
                <w:rFonts w:hint="eastAsia" w:asciiTheme="minorEastAsia" w:hAnsiTheme="minorEastAsia" w:eastAsiaTheme="minorEastAsia" w:cstheme="minorEastAsia"/>
                <w:sz w:val="24"/>
                <w:szCs w:val="24"/>
                <w:highlight w:val="none"/>
              </w:rPr>
              <w:t>；电源≥350W。</w:t>
            </w:r>
          </w:p>
          <w:p w14:paraId="71915A5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性能指标：支持最大用户数≥2000；每秒认证数≥2000；签发证书速度≥60张/秒；</w:t>
            </w:r>
          </w:p>
          <w:p w14:paraId="18E95A8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09DC1DD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1.提供数字证书认证功能，可创建一对公私钥对。包括发放、管理、废除数字证书，检查证书持有者身份的合法性，并签发证书。以防证书被伪造或篡改，以及对证书和密钥进行管理。</w:t>
            </w:r>
          </w:p>
          <w:p w14:paraId="5752D0E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2.提供RA功能。具有证书的申请、审批、下载等一系列功能。</w:t>
            </w:r>
          </w:p>
          <w:p w14:paraId="5D72E6A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3.提供Socket服务接口。</w:t>
            </w:r>
          </w:p>
          <w:p w14:paraId="7778562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4.管理功能。系统通过WEB 浏览器访问本系统，执行下列证书管理操作子CA、设备证书的签发和撤销、用户证书的签发和撤销、管理员证书的签发、证书查询功能。</w:t>
            </w:r>
          </w:p>
          <w:p w14:paraId="782584E0">
            <w:pPr>
              <w:kinsoku w:val="0"/>
              <w:overflowPunct w:val="0"/>
              <w:spacing w:before="1" w:line="400" w:lineRule="exact"/>
              <w:ind w:right="98"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其他要求</w:t>
            </w:r>
          </w:p>
          <w:p w14:paraId="74AE5ECE">
            <w:pPr>
              <w:kinsoku w:val="0"/>
              <w:overflowPunct w:val="0"/>
              <w:spacing w:before="1" w:line="400" w:lineRule="exact"/>
              <w:ind w:right="98" w:firstLine="480"/>
              <w:rPr>
                <w:rFonts w:asciiTheme="minorEastAsia" w:hAnsiTheme="minorEastAsia" w:eastAsiaTheme="minorEastAsia" w:cstheme="minorEastAsia"/>
                <w:color w:val="FF0000"/>
                <w:w w:val="95"/>
                <w:sz w:val="24"/>
                <w:szCs w:val="24"/>
                <w:highlight w:val="none"/>
              </w:rPr>
            </w:pPr>
            <w:r>
              <w:rPr>
                <w:rFonts w:hint="eastAsia" w:asciiTheme="minorEastAsia" w:hAnsiTheme="minorEastAsia" w:eastAsiaTheme="minorEastAsia" w:cstheme="minorEastAsia"/>
                <w:sz w:val="24"/>
                <w:szCs w:val="24"/>
                <w:highlight w:val="none"/>
              </w:rPr>
              <w:t>1.为了保障平台整体运行的稳定性及安全性，综合认证系统厂商应具有自主研发的</w:t>
            </w:r>
            <w:r>
              <w:rPr>
                <w:rFonts w:hint="eastAsia" w:asciiTheme="minorEastAsia" w:hAnsiTheme="minorEastAsia" w:eastAsiaTheme="minorEastAsia" w:cstheme="minorEastAsia"/>
                <w:sz w:val="24"/>
                <w:szCs w:val="24"/>
                <w:highlight w:val="none"/>
                <w:lang w:val="en-US" w:eastAsia="zh-CN"/>
              </w:rPr>
              <w:t>内置</w:t>
            </w:r>
            <w:r>
              <w:rPr>
                <w:rFonts w:hint="eastAsia" w:asciiTheme="minorEastAsia" w:hAnsiTheme="minorEastAsia" w:eastAsiaTheme="minorEastAsia" w:cstheme="minorEastAsia"/>
                <w:sz w:val="24"/>
                <w:szCs w:val="24"/>
                <w:highlight w:val="none"/>
              </w:rPr>
              <w:t>密码卡，提供</w:t>
            </w:r>
            <w:r>
              <w:rPr>
                <w:rFonts w:hint="eastAsia" w:asciiTheme="minorEastAsia" w:hAnsiTheme="minorEastAsia" w:eastAsiaTheme="minorEastAsia" w:cstheme="minorEastAsia"/>
                <w:sz w:val="24"/>
                <w:szCs w:val="24"/>
                <w:highlight w:val="none"/>
                <w:lang w:val="en-US" w:eastAsia="zh-CN"/>
              </w:rPr>
              <w:t>内置</w:t>
            </w:r>
            <w:bookmarkStart w:id="23" w:name="_GoBack"/>
            <w:r>
              <w:rPr>
                <w:rFonts w:hint="eastAsia" w:asciiTheme="minorEastAsia" w:hAnsiTheme="minorEastAsia" w:eastAsiaTheme="minorEastAsia" w:cstheme="minorEastAsia"/>
                <w:sz w:val="24"/>
                <w:szCs w:val="24"/>
                <w:highlight w:val="none"/>
              </w:rPr>
              <w:t>密码卡</w:t>
            </w:r>
            <w:bookmarkEnd w:id="23"/>
            <w:r>
              <w:rPr>
                <w:rFonts w:hint="eastAsia" w:asciiTheme="minorEastAsia" w:hAnsiTheme="minorEastAsia" w:eastAsiaTheme="minorEastAsia" w:cstheme="minorEastAsia"/>
                <w:sz w:val="24"/>
                <w:szCs w:val="24"/>
                <w:highlight w:val="none"/>
              </w:rPr>
              <w:t>《商用密码产品认证证书》</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BD03">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04BAC">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3224C208">
        <w:tblPrEx>
          <w:tblCellMar>
            <w:top w:w="0" w:type="dxa"/>
            <w:left w:w="0" w:type="dxa"/>
            <w:bottom w:w="0" w:type="dxa"/>
            <w:right w:w="0" w:type="dxa"/>
          </w:tblCellMar>
        </w:tblPrEx>
        <w:trPr>
          <w:trHeight w:val="1557"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FEBA0">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5</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FFF77">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空中发证系统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C12EB">
            <w:pPr>
              <w:spacing w:line="400" w:lineRule="exact"/>
              <w:ind w:firstLine="48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负责采集用户终端信息、发起证书操作请求、解析证书操作响应和调用密码模块，实现移动办公执法证书的各项管理功能。提供接收空中身份证书操作请求，调用身份识别认证系统，实现对用户真实身份的识别认证、管理员对用户真实身份进行识别认证功能，将证书操作请求转发给移动办公执法信息管理平台。</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6FA8">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EC93E">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16A09F95">
        <w:tblPrEx>
          <w:tblCellMar>
            <w:top w:w="0" w:type="dxa"/>
            <w:left w:w="0" w:type="dxa"/>
            <w:bottom w:w="0" w:type="dxa"/>
            <w:right w:w="0" w:type="dxa"/>
          </w:tblCellMar>
        </w:tblPrEx>
        <w:trPr>
          <w:trHeight w:val="553"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1CE63">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A5A13">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身份识别认证系统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C789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结合人像识别技术，提供用户的身份识别认证接口，实现人员身份的识别和认证功能。</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2EEBB">
            <w:pPr>
              <w:spacing w:line="400" w:lineRule="exact"/>
              <w:ind w:firstLine="480"/>
              <w:rPr>
                <w:rFonts w:hint="eastAsia" w:asciiTheme="minorEastAsia" w:hAnsiTheme="minorEastAsia" w:eastAsiaTheme="minorEastAsia" w:cstheme="minorEastAsia"/>
                <w:sz w:val="24"/>
                <w:szCs w:val="24"/>
                <w:highlight w:val="none"/>
              </w:rPr>
            </w:pP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ED1BB">
            <w:pPr>
              <w:spacing w:line="400" w:lineRule="exact"/>
              <w:ind w:firstLine="480"/>
              <w:rPr>
                <w:rFonts w:hint="eastAsia" w:asciiTheme="minorEastAsia" w:hAnsiTheme="minorEastAsia" w:eastAsiaTheme="minorEastAsia" w:cstheme="minorEastAsia"/>
                <w:sz w:val="24"/>
                <w:szCs w:val="24"/>
                <w:highlight w:val="none"/>
              </w:rPr>
            </w:pPr>
          </w:p>
        </w:tc>
      </w:tr>
      <w:tr w14:paraId="7126C9D6">
        <w:tblPrEx>
          <w:tblCellMar>
            <w:top w:w="0" w:type="dxa"/>
            <w:left w:w="0" w:type="dxa"/>
            <w:bottom w:w="0" w:type="dxa"/>
            <w:right w:w="0" w:type="dxa"/>
          </w:tblCellMar>
        </w:tblPrEx>
        <w:trPr>
          <w:trHeight w:val="1553"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DCFC2">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7</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7896">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数据应用访问控制系统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A7B2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硬件指标：标准机架式设备, 采用国产化处理器及操作系统；采用“前置＋后置”的部署模式；网络接口：不少于2个千兆电口，</w:t>
            </w:r>
            <w:r>
              <w:rPr>
                <w:rFonts w:hint="eastAsia" w:asciiTheme="minorEastAsia" w:hAnsiTheme="minorEastAsia" w:eastAsiaTheme="minorEastAsia" w:cstheme="minorEastAsia"/>
                <w:color w:val="auto"/>
                <w:sz w:val="24"/>
                <w:szCs w:val="24"/>
                <w:highlight w:val="none"/>
              </w:rPr>
              <w:t>不少于4个千兆电口</w:t>
            </w:r>
            <w:r>
              <w:rPr>
                <w:rFonts w:hint="eastAsia" w:asciiTheme="minorEastAsia" w:hAnsiTheme="minorEastAsia" w:eastAsiaTheme="minorEastAsia" w:cstheme="minorEastAsia"/>
                <w:sz w:val="24"/>
                <w:szCs w:val="24"/>
                <w:highlight w:val="none"/>
              </w:rPr>
              <w:t>。</w:t>
            </w:r>
          </w:p>
          <w:p w14:paraId="565CA17F">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w:t>
            </w:r>
          </w:p>
          <w:p w14:paraId="1AE1BAC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1.访问控制。吞吐率≥</w:t>
            </w:r>
            <w:r>
              <w:rPr>
                <w:rFonts w:hint="eastAsia" w:asciiTheme="minorEastAsia" w:hAnsiTheme="minorEastAsia" w:eastAsiaTheme="minorEastAsia" w:cstheme="minorEastAsia"/>
                <w:color w:val="auto"/>
                <w:sz w:val="24"/>
                <w:szCs w:val="24"/>
                <w:highlight w:val="none"/>
              </w:rPr>
              <w:t>800Mbps</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最大并发连接数≥20000个</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每秒新增连接数≥500个/秒</w:t>
            </w:r>
            <w:r>
              <w:rPr>
                <w:rFonts w:hint="eastAsia" w:asciiTheme="minorEastAsia" w:hAnsiTheme="minorEastAsia" w:eastAsiaTheme="minorEastAsia" w:cstheme="minorEastAsia"/>
                <w:sz w:val="24"/>
                <w:szCs w:val="24"/>
                <w:highlight w:val="none"/>
              </w:rPr>
              <w:t>。</w:t>
            </w:r>
          </w:p>
          <w:p w14:paraId="5CC8AA9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2.数据同步。数据库到数据库交换记录数≥</w:t>
            </w:r>
            <w:r>
              <w:rPr>
                <w:rFonts w:hint="eastAsia" w:asciiTheme="minorEastAsia" w:hAnsiTheme="minorEastAsia" w:eastAsiaTheme="minorEastAsia" w:cstheme="minorEastAsia"/>
                <w:color w:val="auto"/>
                <w:sz w:val="24"/>
                <w:szCs w:val="24"/>
                <w:highlight w:val="none"/>
              </w:rPr>
              <w:t>1000条/秒</w:t>
            </w:r>
            <w:r>
              <w:rPr>
                <w:rFonts w:hint="eastAsia" w:asciiTheme="minorEastAsia" w:hAnsiTheme="minorEastAsia" w:eastAsiaTheme="minorEastAsia" w:cstheme="minorEastAsia"/>
                <w:sz w:val="24"/>
                <w:szCs w:val="24"/>
                <w:highlight w:val="none"/>
              </w:rPr>
              <w:t>。</w:t>
            </w:r>
          </w:p>
          <w:p w14:paraId="7097E5B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3.文件同步。吞吐率≥</w:t>
            </w:r>
            <w:r>
              <w:rPr>
                <w:rFonts w:hint="eastAsia" w:asciiTheme="minorEastAsia" w:hAnsiTheme="minorEastAsia" w:eastAsiaTheme="minorEastAsia" w:cstheme="minorEastAsia"/>
                <w:color w:val="auto"/>
                <w:sz w:val="24"/>
                <w:szCs w:val="24"/>
                <w:highlight w:val="none"/>
              </w:rPr>
              <w:t>200Mbps</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交换个数（10KB大小文件）≥15个/秒</w:t>
            </w:r>
            <w:r>
              <w:rPr>
                <w:rFonts w:hint="eastAsia" w:asciiTheme="minorEastAsia" w:hAnsiTheme="minorEastAsia" w:eastAsiaTheme="minorEastAsia" w:cstheme="minorEastAsia"/>
                <w:sz w:val="24"/>
                <w:szCs w:val="24"/>
                <w:highlight w:val="none"/>
              </w:rPr>
              <w:t>。</w:t>
            </w:r>
          </w:p>
          <w:p w14:paraId="0C0312E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07FA53E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1.支持HTTP、HTTPS、TCP、UDP协议类型的访问控制。</w:t>
            </w:r>
          </w:p>
          <w:p w14:paraId="6A800AE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2.支持数据库数据同步，支持Mysql、国产达梦数据库等数据库，支持同构、异构数据库之间的数据同步。</w:t>
            </w:r>
          </w:p>
          <w:p w14:paraId="2A6AD5DF">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3.支持文件同步，支持FTP、SMB协议的文件交换；</w:t>
            </w:r>
          </w:p>
          <w:p w14:paraId="18BD2BDA">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4.支持授权访问服务，解决访问者身份认证及业务资源鉴权的问题。授权访问包括：设备访问控制、用户访问控制和应用访问控制。</w:t>
            </w:r>
          </w:p>
          <w:p w14:paraId="1C85B2E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5.支持数据摆渡服务，提供数据库数据、文件数据同步功能，解决不同安全域之间数据同步的问题。</w:t>
            </w:r>
          </w:p>
          <w:p w14:paraId="30F7FEF3">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6.文件请求服务，通过对外提供统一的接口服务，满足移动应用跨边界实时上传下载文件的需求。</w:t>
            </w:r>
          </w:p>
          <w:p w14:paraId="5BBE4CB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7.从系统安全、策略安全和审计安全进行安全管理，支持多因子认证机制，禁止未授权主机进行管理系统登录。</w:t>
            </w:r>
          </w:p>
          <w:p w14:paraId="4F9D1A3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8.提供运维管理能力，支持运行状态检测，支持日志备份与导出，支持图形化网络配置。</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4030">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107B">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2F485F0E">
        <w:tblPrEx>
          <w:tblCellMar>
            <w:top w:w="0" w:type="dxa"/>
            <w:left w:w="0" w:type="dxa"/>
            <w:bottom w:w="0" w:type="dxa"/>
            <w:right w:w="0" w:type="dxa"/>
          </w:tblCellMar>
        </w:tblPrEx>
        <w:trPr>
          <w:trHeight w:val="1553"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2C865">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390C1">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视频访问控制系统</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9FBDC">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由前置、后置系统组成，分别部署在安全隔离网闸前后，对需要访问监狱信息网的数据资源服务进行注册配置和共享交换，在网络信息隔离设备的基础上，对数据资源进行封装，实现访问资源访问和数据交换，实现两个网络间数据交换和信息同步。视频数据的编码格式符合 GB/T 28181 的要求。</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D26A">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080F3">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7ED8CCA0">
        <w:tblPrEx>
          <w:tblCellMar>
            <w:top w:w="0" w:type="dxa"/>
            <w:left w:w="0" w:type="dxa"/>
            <w:bottom w:w="0" w:type="dxa"/>
            <w:right w:w="0" w:type="dxa"/>
          </w:tblCellMar>
        </w:tblPrEx>
        <w:trPr>
          <w:trHeight w:val="443"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0DF17">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9</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85541">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移动办公执法信息管理平台</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19C00">
            <w:pPr>
              <w:pStyle w:val="11"/>
              <w:kinsoku w:val="0"/>
              <w:overflowPunct w:val="0"/>
              <w:spacing w:line="400" w:lineRule="exact"/>
              <w:ind w:left="107" w:right="98" w:firstLine="480"/>
              <w:jc w:val="both"/>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实现警员信息管理、证书管理、权限管理、统计报表、日志管理和配置管理等后台管理功能。</w:t>
            </w:r>
          </w:p>
          <w:p w14:paraId="31951A1B">
            <w:pPr>
              <w:pStyle w:val="11"/>
              <w:kinsoku w:val="0"/>
              <w:overflowPunct w:val="0"/>
              <w:spacing w:line="400" w:lineRule="exact"/>
              <w:ind w:left="107" w:right="98" w:firstLine="480"/>
              <w:jc w:val="both"/>
              <w:rPr>
                <w:rFonts w:asciiTheme="minorEastAsia" w:hAnsiTheme="minorEastAsia" w:eastAsiaTheme="minorEastAsia" w:cstheme="minorEastAsia"/>
                <w:color w:val="FF0000"/>
                <w:kern w:val="2"/>
                <w:sz w:val="24"/>
                <w:szCs w:val="24"/>
                <w:highlight w:val="none"/>
              </w:rPr>
            </w:pPr>
            <w:r>
              <w:rPr>
                <w:rFonts w:hint="eastAsia" w:asciiTheme="minorEastAsia" w:hAnsiTheme="minorEastAsia" w:eastAsiaTheme="minorEastAsia" w:cstheme="minorEastAsia"/>
                <w:kern w:val="2"/>
                <w:sz w:val="24"/>
                <w:szCs w:val="24"/>
                <w:highlight w:val="none"/>
              </w:rPr>
              <w:t>如计划使用现有移动办公执法信息管理平台进行延保，需对现有移动办公执法信息管理平台进行国产化服务器适配，提供现有移动办公执法信息管理平台承诺函。</w:t>
            </w:r>
          </w:p>
          <w:p w14:paraId="5470CA3B">
            <w:pPr>
              <w:pStyle w:val="11"/>
              <w:kinsoku w:val="0"/>
              <w:overflowPunct w:val="0"/>
              <w:spacing w:line="400" w:lineRule="exact"/>
              <w:ind w:left="107" w:right="98" w:firstLine="502"/>
              <w:jc w:val="both"/>
              <w:rPr>
                <w:rFonts w:asciiTheme="minorEastAsia" w:hAnsiTheme="minorEastAsia" w:eastAsiaTheme="minorEastAsia" w:cstheme="minorEastAsia"/>
                <w:w w:val="95"/>
                <w:kern w:val="2"/>
                <w:sz w:val="24"/>
                <w:szCs w:val="24"/>
                <w:highlight w:val="none"/>
              </w:rPr>
            </w:pPr>
            <w:r>
              <w:rPr>
                <w:rFonts w:hint="eastAsia" w:asciiTheme="minorEastAsia" w:hAnsiTheme="minorEastAsia" w:eastAsiaTheme="minorEastAsia" w:cstheme="minorEastAsia"/>
                <w:sz w:val="24"/>
                <w:szCs w:val="24"/>
                <w:highlight w:val="none"/>
              </w:rPr>
              <w:t>为确保证书发放、证书使用的一致性，需与综合认证系统同一品牌。</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13E86">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CC1B7">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1718A328">
        <w:tblPrEx>
          <w:tblCellMar>
            <w:top w:w="0" w:type="dxa"/>
            <w:left w:w="0" w:type="dxa"/>
            <w:bottom w:w="0" w:type="dxa"/>
            <w:right w:w="0" w:type="dxa"/>
          </w:tblCellMar>
        </w:tblPrEx>
        <w:trPr>
          <w:trHeight w:val="1553"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89DC2">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10</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F0247">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虚拟硬件安全模块（服务端）</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C1A4E">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硬件指标：标准机架式设备,采用国产化处理器及操作系统；内置密码卡；网络接口：不少于 6 个千兆电口。</w:t>
            </w:r>
          </w:p>
          <w:p w14:paraId="07DD20F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性能指标：SM2协同密钥分量生成速率≥190对/秒，协同签名速率≥260次/秒，验签速率≥390次/秒，加密速率≥380Kbps，协同解密速率≥95Kbps</w:t>
            </w:r>
          </w:p>
          <w:p w14:paraId="3C12B350">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功能要求：</w:t>
            </w:r>
          </w:p>
          <w:p w14:paraId="7DE24084">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1.配合虚拟硬件安全模块（客户端）使用，通过密钥拆分、协同签名等技术手段保证使用安全模块过程的安全性。</w:t>
            </w:r>
          </w:p>
          <w:p w14:paraId="3D098748">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2.支持对称密码算法、非对称密码算法、杂凑算法、随机数生成等密码运算服务。</w:t>
            </w:r>
          </w:p>
          <w:p w14:paraId="2A369F6D">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3.支持密钥和证书存储容器不少于 10个。</w:t>
            </w:r>
          </w:p>
          <w:p w14:paraId="477CC9C0">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4.为管理员提供设备管理及审批管理能力。</w:t>
            </w:r>
          </w:p>
          <w:p w14:paraId="766C6F3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5.支持和第三方CA对接，提供证书的全生命周期管理服务。</w:t>
            </w:r>
          </w:p>
          <w:p w14:paraId="022A334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其他</w:t>
            </w:r>
            <w:r>
              <w:rPr>
                <w:rFonts w:hint="eastAsia" w:asciiTheme="minorEastAsia" w:hAnsiTheme="minorEastAsia" w:eastAsiaTheme="minorEastAsia" w:cstheme="minorEastAsia"/>
                <w:sz w:val="24"/>
                <w:szCs w:val="24"/>
                <w:highlight w:val="none"/>
              </w:rPr>
              <w:t>要求</w:t>
            </w:r>
          </w:p>
          <w:p w14:paraId="4D6C412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1.要求产品具备《商用密码产品认证证书》</w:t>
            </w:r>
          </w:p>
          <w:p w14:paraId="1890E646">
            <w:pPr>
              <w:spacing w:line="400" w:lineRule="exact"/>
              <w:ind w:firstLine="480"/>
              <w:rPr>
                <w:rFonts w:asciiTheme="minorEastAsia" w:hAnsiTheme="minorEastAsia" w:eastAsiaTheme="minorEastAsia" w:cstheme="minorEastAsia"/>
                <w:w w:val="95"/>
                <w:sz w:val="24"/>
                <w:szCs w:val="24"/>
                <w:highlight w:val="none"/>
              </w:rPr>
            </w:pPr>
            <w:r>
              <w:rPr>
                <w:rFonts w:hint="eastAsia" w:asciiTheme="minorEastAsia" w:hAnsiTheme="minorEastAsia" w:eastAsiaTheme="minorEastAsia" w:cstheme="minorEastAsia"/>
                <w:sz w:val="24"/>
                <w:szCs w:val="24"/>
                <w:highlight w:val="none"/>
              </w:rPr>
              <w:t>★2.为了保障平台整体运行的稳定性及安全性，虚拟硬件安全模块（服务端）厂商应具有自主研发的</w:t>
            </w:r>
            <w:r>
              <w:rPr>
                <w:rFonts w:hint="eastAsia" w:asciiTheme="minorEastAsia" w:hAnsiTheme="minorEastAsia" w:eastAsiaTheme="minorEastAsia" w:cstheme="minorEastAsia"/>
                <w:sz w:val="24"/>
                <w:szCs w:val="24"/>
                <w:highlight w:val="none"/>
                <w:lang w:val="en-US" w:eastAsia="zh-CN"/>
              </w:rPr>
              <w:t>内置</w:t>
            </w:r>
            <w:r>
              <w:rPr>
                <w:rFonts w:hint="eastAsia" w:asciiTheme="minorEastAsia" w:hAnsiTheme="minorEastAsia" w:eastAsiaTheme="minorEastAsia" w:cstheme="minorEastAsia"/>
                <w:sz w:val="24"/>
                <w:szCs w:val="24"/>
                <w:highlight w:val="none"/>
              </w:rPr>
              <w:t>密码卡，提供</w:t>
            </w:r>
            <w:r>
              <w:rPr>
                <w:rFonts w:hint="eastAsia" w:asciiTheme="minorEastAsia" w:hAnsiTheme="minorEastAsia" w:eastAsiaTheme="minorEastAsia" w:cstheme="minorEastAsia"/>
                <w:sz w:val="24"/>
                <w:szCs w:val="24"/>
                <w:highlight w:val="none"/>
                <w:lang w:val="en-US" w:eastAsia="zh-CN"/>
              </w:rPr>
              <w:t>内置</w:t>
            </w:r>
            <w:r>
              <w:rPr>
                <w:rFonts w:hint="eastAsia" w:asciiTheme="minorEastAsia" w:hAnsiTheme="minorEastAsia" w:eastAsiaTheme="minorEastAsia" w:cstheme="minorEastAsia"/>
                <w:sz w:val="24"/>
                <w:szCs w:val="24"/>
                <w:highlight w:val="none"/>
              </w:rPr>
              <w:t>密码卡《商用密码产品认证证书》</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D3231">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16090">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套</w:t>
            </w:r>
          </w:p>
        </w:tc>
      </w:tr>
      <w:tr w14:paraId="3F65D178">
        <w:tblPrEx>
          <w:tblCellMar>
            <w:top w:w="0" w:type="dxa"/>
            <w:left w:w="0" w:type="dxa"/>
            <w:bottom w:w="0" w:type="dxa"/>
            <w:right w:w="0" w:type="dxa"/>
          </w:tblCellMar>
        </w:tblPrEx>
        <w:trPr>
          <w:trHeight w:val="416"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A0646">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20A20">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防火墙</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4EFE9">
            <w:pPr>
              <w:spacing w:line="400" w:lineRule="exact"/>
              <w:ind w:firstLine="480"/>
              <w:rPr>
                <w:rFonts w:asciiTheme="minorEastAsia" w:hAnsiTheme="minorEastAsia" w:eastAsiaTheme="minorEastAsia" w:cstheme="minorEastAsia"/>
                <w:w w:val="95"/>
                <w:sz w:val="24"/>
                <w:szCs w:val="24"/>
                <w:highlight w:val="none"/>
              </w:rPr>
            </w:pPr>
            <w:r>
              <w:rPr>
                <w:rFonts w:hint="eastAsia" w:asciiTheme="minorEastAsia" w:hAnsiTheme="minorEastAsia" w:eastAsiaTheme="minorEastAsia" w:cstheme="minorEastAsia"/>
                <w:sz w:val="24"/>
                <w:szCs w:val="24"/>
                <w:highlight w:val="none"/>
              </w:rPr>
              <w:t>国产芯片，国产操作系统，硬件规格：≥1U，≥6个千兆电口；性能规格：吞吐量≥12Gbps，并发连接数≥800万，新建连接数≥10万。带病毒库和三年升级服务。</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64877">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A3364">
            <w:pPr>
              <w:spacing w:line="400" w:lineRule="exact"/>
              <w:ind w:left="0" w:leftChars="0" w:firstLine="0" w:firstLineChars="0"/>
              <w:jc w:val="center"/>
              <w:rPr>
                <w:rFonts w:hint="default"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台</w:t>
            </w:r>
          </w:p>
        </w:tc>
      </w:tr>
      <w:tr w14:paraId="4D3F103E">
        <w:tblPrEx>
          <w:tblCellMar>
            <w:top w:w="0" w:type="dxa"/>
            <w:left w:w="0" w:type="dxa"/>
            <w:bottom w:w="0" w:type="dxa"/>
            <w:right w:w="0" w:type="dxa"/>
          </w:tblCellMar>
        </w:tblPrEx>
        <w:trPr>
          <w:trHeight w:val="737"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637C5">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12</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5B66B">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安全隔离网闸</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38976">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≥2U设备，冗余电源；国产芯片，国产操作系统</w:t>
            </w:r>
          </w:p>
          <w:p w14:paraId="609BA56F">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内端机≥8个10/100/1000Base-T(RJ45)接口，≥4个SFP千兆接口，≥1个MAN口；</w:t>
            </w:r>
          </w:p>
          <w:p w14:paraId="5CC819D2">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外端机≥8个10/100/1000Base-T(RJ45)接口，≥4个SFP千兆接口，≥1个HA口；</w:t>
            </w:r>
          </w:p>
          <w:p w14:paraId="76EE69F1">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标准配置包含 web 访问模块、邮件访问模块、文件访问模块、文件同步模块、数据库访问模块、视频传输模块、自定义功能模块；</w:t>
            </w:r>
          </w:p>
          <w:p w14:paraId="795432F9">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协议支持：TCP、UDP、HTTP、HTTP_PROXY、FTP、ORACLE、POP3、SMTP、OPC、MODBUS、GB_28181_UDP、GB_28181_TCP、SIP_DB33、RTSP、MAC、ICMP、SNMP；</w:t>
            </w:r>
          </w:p>
          <w:p w14:paraId="3E97DCAB">
            <w:pPr>
              <w:spacing w:line="40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网络吞吐量：≥1000Mbps；系统整体时延：&lt;0.1ns：3年的防病毒模块升级服务ids/ips模块：3年的防病毒模块升级服务</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C94EB">
            <w:pPr>
              <w:spacing w:line="400" w:lineRule="exact"/>
              <w:ind w:firstLine="480" w:firstLineChars="200"/>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D0D6A">
            <w:pPr>
              <w:spacing w:line="400" w:lineRule="exact"/>
              <w:ind w:left="0" w:leftChars="0" w:firstLine="0" w:firstLineChars="0"/>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台</w:t>
            </w:r>
          </w:p>
        </w:tc>
      </w:tr>
      <w:tr w14:paraId="5537876D">
        <w:tblPrEx>
          <w:tblCellMar>
            <w:top w:w="0" w:type="dxa"/>
            <w:left w:w="0" w:type="dxa"/>
            <w:bottom w:w="0" w:type="dxa"/>
            <w:right w:w="0" w:type="dxa"/>
          </w:tblCellMar>
        </w:tblPrEx>
        <w:trPr>
          <w:trHeight w:val="98"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B755A">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CA12">
            <w:pPr>
              <w:pStyle w:val="11"/>
              <w:kinsoku w:val="0"/>
              <w:overflowPunct w:val="0"/>
              <w:spacing w:line="288" w:lineRule="auto"/>
              <w:ind w:firstLine="0" w:firstLineChars="0"/>
              <w:jc w:val="center"/>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机柜及KVM套件</w:t>
            </w:r>
          </w:p>
        </w:tc>
        <w:tc>
          <w:tcPr>
            <w:tcW w:w="31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8F77A">
            <w:pPr>
              <w:spacing w:line="400" w:lineRule="exact"/>
              <w:ind w:firstLine="480"/>
              <w:rPr>
                <w:rFonts w:asciiTheme="minorEastAsia" w:hAnsiTheme="minorEastAsia" w:eastAsiaTheme="minorEastAsia" w:cstheme="minorEastAsia"/>
                <w:w w:val="95"/>
                <w:sz w:val="24"/>
                <w:szCs w:val="24"/>
                <w:highlight w:val="none"/>
              </w:rPr>
            </w:pPr>
            <w:r>
              <w:rPr>
                <w:rFonts w:hint="eastAsia" w:asciiTheme="minorEastAsia" w:hAnsiTheme="minorEastAsia" w:eastAsiaTheme="minorEastAsia" w:cstheme="minorEastAsia"/>
                <w:sz w:val="24"/>
                <w:szCs w:val="24"/>
                <w:highlight w:val="none"/>
              </w:rPr>
              <w:t>用来安装本次平台建设的硬件设备。</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B03F3">
            <w:pPr>
              <w:spacing w:line="400" w:lineRule="exact"/>
              <w:ind w:firstLine="48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C67C2">
            <w:pPr>
              <w:spacing w:line="400" w:lineRule="exact"/>
              <w:ind w:firstLine="48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套</w:t>
            </w:r>
          </w:p>
        </w:tc>
      </w:tr>
    </w:tbl>
    <w:p w14:paraId="508626A9">
      <w:pPr>
        <w:numPr>
          <w:ilvl w:val="0"/>
          <w:numId w:val="5"/>
        </w:numPr>
        <w:spacing w:line="288" w:lineRule="auto"/>
        <w:ind w:firstLine="562"/>
        <w:outlineLvl w:val="1"/>
        <w:rPr>
          <w:rFonts w:asciiTheme="minorEastAsia" w:hAnsiTheme="minorEastAsia" w:eastAsiaTheme="minorEastAsia" w:cstheme="minorEastAsia"/>
          <w:b/>
          <w:sz w:val="28"/>
        </w:rPr>
      </w:pPr>
      <w:r>
        <w:rPr>
          <w:rFonts w:hint="eastAsia" w:asciiTheme="minorEastAsia" w:hAnsiTheme="minorEastAsia" w:eastAsiaTheme="minorEastAsia" w:cstheme="minorEastAsia"/>
          <w:b/>
          <w:sz w:val="28"/>
        </w:rPr>
        <w:t>移动应用平台</w:t>
      </w:r>
      <w:bookmarkEnd w:id="18"/>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990"/>
        <w:gridCol w:w="1196"/>
        <w:gridCol w:w="4934"/>
        <w:gridCol w:w="758"/>
        <w:gridCol w:w="659"/>
      </w:tblGrid>
      <w:tr w14:paraId="1DFB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Align w:val="center"/>
          </w:tcPr>
          <w:p w14:paraId="3D9C931D">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1177" w:type="pct"/>
            <w:gridSpan w:val="2"/>
            <w:vAlign w:val="center"/>
          </w:tcPr>
          <w:p w14:paraId="080BDF5D">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名称</w:t>
            </w:r>
          </w:p>
        </w:tc>
        <w:tc>
          <w:tcPr>
            <w:tcW w:w="2656" w:type="pct"/>
            <w:vAlign w:val="center"/>
          </w:tcPr>
          <w:p w14:paraId="188A3C15">
            <w:pPr>
              <w:spacing w:line="288" w:lineRule="auto"/>
              <w:ind w:firstLine="0" w:firstLineChars="0"/>
              <w:jc w:val="center"/>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功能描述/配置说明</w:t>
            </w:r>
          </w:p>
        </w:tc>
        <w:tc>
          <w:tcPr>
            <w:tcW w:w="408" w:type="pct"/>
            <w:vAlign w:val="center"/>
          </w:tcPr>
          <w:p w14:paraId="7E4EBD45">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数量</w:t>
            </w:r>
          </w:p>
        </w:tc>
        <w:tc>
          <w:tcPr>
            <w:tcW w:w="355" w:type="pct"/>
            <w:vAlign w:val="center"/>
          </w:tcPr>
          <w:p w14:paraId="48A013D3">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单位</w:t>
            </w:r>
          </w:p>
        </w:tc>
      </w:tr>
      <w:tr w14:paraId="685E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restart"/>
            <w:vAlign w:val="center"/>
          </w:tcPr>
          <w:p w14:paraId="70B33169">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533" w:type="pct"/>
            <w:vMerge w:val="restart"/>
            <w:vAlign w:val="center"/>
          </w:tcPr>
          <w:p w14:paraId="45D9A9A3">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移动终端管控平台</w:t>
            </w:r>
          </w:p>
        </w:tc>
        <w:tc>
          <w:tcPr>
            <w:tcW w:w="644" w:type="pct"/>
            <w:vAlign w:val="center"/>
          </w:tcPr>
          <w:p w14:paraId="227BDEBD">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服务平台</w:t>
            </w:r>
          </w:p>
        </w:tc>
        <w:tc>
          <w:tcPr>
            <w:tcW w:w="2656" w:type="pct"/>
            <w:vAlign w:val="center"/>
          </w:tcPr>
          <w:p w14:paraId="29EFCBB3">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移动应用管理、移动设备管理、多模式管控、NFC切换、一键报警、终端定位、安全水印、网络管控、安全通讯、人员组织管理、报表管理、管理员管理、端口管控、网络管控</w:t>
            </w:r>
          </w:p>
        </w:tc>
        <w:tc>
          <w:tcPr>
            <w:tcW w:w="408" w:type="pct"/>
            <w:vAlign w:val="center"/>
          </w:tcPr>
          <w:p w14:paraId="6CE4F8E1">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vAlign w:val="center"/>
          </w:tcPr>
          <w:p w14:paraId="02D0CC9D">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r w14:paraId="17C2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continue"/>
            <w:vAlign w:val="center"/>
          </w:tcPr>
          <w:p w14:paraId="57588292">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7E2DD9A0">
            <w:pPr>
              <w:spacing w:line="400" w:lineRule="exact"/>
              <w:ind w:firstLine="0" w:firstLineChars="0"/>
              <w:jc w:val="both"/>
              <w:rPr>
                <w:rFonts w:asciiTheme="minorEastAsia" w:hAnsiTheme="minorEastAsia" w:eastAsiaTheme="minorEastAsia" w:cstheme="minorEastAsia"/>
                <w:szCs w:val="24"/>
              </w:rPr>
            </w:pPr>
          </w:p>
        </w:tc>
        <w:tc>
          <w:tcPr>
            <w:tcW w:w="644" w:type="pct"/>
            <w:vAlign w:val="center"/>
          </w:tcPr>
          <w:p w14:paraId="383EAB84">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用户授权许可</w:t>
            </w:r>
          </w:p>
        </w:tc>
        <w:tc>
          <w:tcPr>
            <w:tcW w:w="2656" w:type="pct"/>
            <w:vAlign w:val="center"/>
          </w:tcPr>
          <w:p w14:paraId="11984D6D">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移动应用管理、移动设备管理、多模式管控、NFC切换、一键报警、终端定位、安全水印、网络管控、安全通讯</w:t>
            </w:r>
          </w:p>
        </w:tc>
        <w:tc>
          <w:tcPr>
            <w:tcW w:w="408" w:type="pct"/>
            <w:vAlign w:val="center"/>
          </w:tcPr>
          <w:p w14:paraId="5B26DAF0">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1797</w:t>
            </w:r>
          </w:p>
        </w:tc>
        <w:tc>
          <w:tcPr>
            <w:tcW w:w="355" w:type="pct"/>
            <w:vAlign w:val="center"/>
          </w:tcPr>
          <w:p w14:paraId="2DCE715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个</w:t>
            </w:r>
          </w:p>
        </w:tc>
      </w:tr>
      <w:tr w14:paraId="2C65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2" w:type="pct"/>
            <w:vMerge w:val="continue"/>
            <w:vAlign w:val="center"/>
          </w:tcPr>
          <w:p w14:paraId="5EF47786">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1A1F4D92">
            <w:pPr>
              <w:spacing w:line="400" w:lineRule="exact"/>
              <w:ind w:firstLine="0" w:firstLineChars="0"/>
              <w:jc w:val="both"/>
              <w:rPr>
                <w:rFonts w:asciiTheme="minorEastAsia" w:hAnsiTheme="minorEastAsia" w:eastAsiaTheme="minorEastAsia" w:cstheme="minorEastAsia"/>
                <w:szCs w:val="24"/>
              </w:rPr>
            </w:pPr>
          </w:p>
        </w:tc>
        <w:tc>
          <w:tcPr>
            <w:tcW w:w="644" w:type="pct"/>
            <w:vAlign w:val="center"/>
          </w:tcPr>
          <w:p w14:paraId="3BEB2C2A">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门禁系统升级</w:t>
            </w:r>
          </w:p>
        </w:tc>
        <w:tc>
          <w:tcPr>
            <w:tcW w:w="2656" w:type="pct"/>
            <w:vAlign w:val="center"/>
          </w:tcPr>
          <w:p w14:paraId="787662E2">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在各监狱已有门禁系统的基础上，对门禁系统进行升级改造。实现进监区时终端强制切换为执勤模式，出监区时终端自动切换为工作模式或生活模式。本次项目包含满足7所监狱门禁系统升级需要的所有设备及对接。</w:t>
            </w:r>
          </w:p>
        </w:tc>
        <w:tc>
          <w:tcPr>
            <w:tcW w:w="408" w:type="pct"/>
            <w:vAlign w:val="center"/>
          </w:tcPr>
          <w:p w14:paraId="410A6C04">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16</w:t>
            </w:r>
          </w:p>
        </w:tc>
        <w:tc>
          <w:tcPr>
            <w:tcW w:w="355" w:type="pct"/>
            <w:vAlign w:val="center"/>
          </w:tcPr>
          <w:p w14:paraId="26F848B0">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处</w:t>
            </w:r>
          </w:p>
        </w:tc>
      </w:tr>
      <w:tr w14:paraId="6006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jc w:val="center"/>
        </w:trPr>
        <w:tc>
          <w:tcPr>
            <w:tcW w:w="402" w:type="pct"/>
            <w:vMerge w:val="continue"/>
            <w:vAlign w:val="center"/>
          </w:tcPr>
          <w:p w14:paraId="581A2326">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3E8007A5">
            <w:pPr>
              <w:spacing w:line="400" w:lineRule="exact"/>
              <w:ind w:firstLine="0" w:firstLineChars="0"/>
              <w:jc w:val="both"/>
              <w:rPr>
                <w:rFonts w:asciiTheme="minorEastAsia" w:hAnsiTheme="minorEastAsia" w:eastAsiaTheme="minorEastAsia" w:cstheme="minorEastAsia"/>
                <w:szCs w:val="24"/>
              </w:rPr>
            </w:pPr>
          </w:p>
        </w:tc>
        <w:tc>
          <w:tcPr>
            <w:tcW w:w="644" w:type="pct"/>
            <w:vAlign w:val="center"/>
          </w:tcPr>
          <w:p w14:paraId="0C2733CD">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考勤打卡</w:t>
            </w:r>
          </w:p>
        </w:tc>
        <w:tc>
          <w:tcPr>
            <w:tcW w:w="2656" w:type="pct"/>
            <w:vAlign w:val="center"/>
          </w:tcPr>
          <w:p w14:paraId="248557F1">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安装打卡设备，通过刷移动执法终端实现考勤打卡功能，并能够在管理平台上对考勤打卡情况进行分析统计。</w:t>
            </w:r>
          </w:p>
        </w:tc>
        <w:tc>
          <w:tcPr>
            <w:tcW w:w="408" w:type="pct"/>
            <w:vAlign w:val="center"/>
          </w:tcPr>
          <w:p w14:paraId="562E9CD7">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9</w:t>
            </w:r>
          </w:p>
        </w:tc>
        <w:tc>
          <w:tcPr>
            <w:tcW w:w="355" w:type="pct"/>
            <w:vAlign w:val="center"/>
          </w:tcPr>
          <w:p w14:paraId="389D93A6">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r w14:paraId="0460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jc w:val="center"/>
        </w:trPr>
        <w:tc>
          <w:tcPr>
            <w:tcW w:w="402" w:type="pct"/>
            <w:vMerge w:val="restart"/>
            <w:vAlign w:val="center"/>
          </w:tcPr>
          <w:p w14:paraId="7DD38E81">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p>
        </w:tc>
        <w:tc>
          <w:tcPr>
            <w:tcW w:w="533" w:type="pct"/>
            <w:vMerge w:val="restart"/>
            <w:vAlign w:val="center"/>
          </w:tcPr>
          <w:p w14:paraId="7D02BF63">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统一应用通讯服务</w:t>
            </w:r>
          </w:p>
        </w:tc>
        <w:tc>
          <w:tcPr>
            <w:tcW w:w="644" w:type="pct"/>
            <w:vAlign w:val="center"/>
          </w:tcPr>
          <w:p w14:paraId="189B55AF">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服务平台</w:t>
            </w:r>
          </w:p>
        </w:tc>
        <w:tc>
          <w:tcPr>
            <w:tcW w:w="2656" w:type="pct"/>
            <w:vAlign w:val="center"/>
          </w:tcPr>
          <w:p w14:paraId="5BE07151">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统一应用平台针对监狱移动化应用提供统一管理、统一访问，整合监狱通讯录、消息中心等多项基础应用功能，信息一站式浏览和处理，帮助监狱实现业务移动化，有效保护监狱内部信息安全。</w:t>
            </w:r>
          </w:p>
        </w:tc>
        <w:tc>
          <w:tcPr>
            <w:tcW w:w="408" w:type="pct"/>
            <w:vAlign w:val="center"/>
          </w:tcPr>
          <w:p w14:paraId="0FDE44E2">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vAlign w:val="center"/>
          </w:tcPr>
          <w:p w14:paraId="4A99E885">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r w14:paraId="40E30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jc w:val="center"/>
        </w:trPr>
        <w:tc>
          <w:tcPr>
            <w:tcW w:w="402" w:type="pct"/>
            <w:vMerge w:val="continue"/>
            <w:vAlign w:val="center"/>
          </w:tcPr>
          <w:p w14:paraId="36DAEF0C">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6BF406B0">
            <w:pPr>
              <w:spacing w:line="400" w:lineRule="exact"/>
              <w:ind w:firstLine="0" w:firstLineChars="0"/>
              <w:jc w:val="both"/>
              <w:rPr>
                <w:rFonts w:asciiTheme="minorEastAsia" w:hAnsiTheme="minorEastAsia" w:eastAsiaTheme="minorEastAsia" w:cstheme="minorEastAsia"/>
                <w:szCs w:val="24"/>
              </w:rPr>
            </w:pPr>
          </w:p>
        </w:tc>
        <w:tc>
          <w:tcPr>
            <w:tcW w:w="644" w:type="pct"/>
            <w:vAlign w:val="center"/>
          </w:tcPr>
          <w:p w14:paraId="729ED230">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用户授权许可</w:t>
            </w:r>
          </w:p>
        </w:tc>
        <w:tc>
          <w:tcPr>
            <w:tcW w:w="2656" w:type="pct"/>
            <w:vAlign w:val="center"/>
          </w:tcPr>
          <w:p w14:paraId="5EA7DA86">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单聊、群聊、音视频会议、企业通讯录、监狱工作圈、安全背景水印、内外网文件隔离、高管模式、消息监控、敏感词监控</w:t>
            </w:r>
          </w:p>
        </w:tc>
        <w:tc>
          <w:tcPr>
            <w:tcW w:w="408" w:type="pct"/>
            <w:vAlign w:val="center"/>
          </w:tcPr>
          <w:p w14:paraId="6C2FF050">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1797</w:t>
            </w:r>
          </w:p>
        </w:tc>
        <w:tc>
          <w:tcPr>
            <w:tcW w:w="355" w:type="pct"/>
            <w:vAlign w:val="center"/>
          </w:tcPr>
          <w:p w14:paraId="3ADBCAEA">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个</w:t>
            </w:r>
          </w:p>
        </w:tc>
      </w:tr>
      <w:tr w14:paraId="0591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restart"/>
            <w:vAlign w:val="center"/>
          </w:tcPr>
          <w:p w14:paraId="487A39AD">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533" w:type="pct"/>
            <w:vMerge w:val="restart"/>
            <w:vAlign w:val="center"/>
          </w:tcPr>
          <w:p w14:paraId="337217B6">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应急指挥调度平台</w:t>
            </w:r>
          </w:p>
        </w:tc>
        <w:tc>
          <w:tcPr>
            <w:tcW w:w="644" w:type="pct"/>
            <w:shd w:val="clear" w:color="auto" w:fill="auto"/>
            <w:vAlign w:val="center"/>
          </w:tcPr>
          <w:p w14:paraId="58C2BC9A">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服务平台</w:t>
            </w:r>
          </w:p>
        </w:tc>
        <w:tc>
          <w:tcPr>
            <w:tcW w:w="2656" w:type="pct"/>
            <w:vMerge w:val="restart"/>
            <w:vAlign w:val="center"/>
          </w:tcPr>
          <w:p w14:paraId="048DB9B5">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整合监狱内各类终端及音视频子系统，如监区内视频监控、可视对讲、对讲机、移动执法终端、执法记录仪等，贯穿监区-监狱-省局提供资源可视化、一键指挥调度功能。</w:t>
            </w:r>
          </w:p>
        </w:tc>
        <w:tc>
          <w:tcPr>
            <w:tcW w:w="408" w:type="pct"/>
            <w:vAlign w:val="center"/>
          </w:tcPr>
          <w:p w14:paraId="608F964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vAlign w:val="center"/>
          </w:tcPr>
          <w:p w14:paraId="5CF3ABF1">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r w14:paraId="6CB0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continue"/>
            <w:vAlign w:val="center"/>
          </w:tcPr>
          <w:p w14:paraId="462BBBAA">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46A25D56">
            <w:pPr>
              <w:spacing w:line="400" w:lineRule="exact"/>
              <w:ind w:firstLine="0" w:firstLineChars="0"/>
              <w:jc w:val="both"/>
              <w:rPr>
                <w:rFonts w:asciiTheme="minorEastAsia" w:hAnsiTheme="minorEastAsia" w:eastAsiaTheme="minorEastAsia" w:cstheme="minorEastAsia"/>
                <w:szCs w:val="24"/>
              </w:rPr>
            </w:pPr>
          </w:p>
        </w:tc>
        <w:tc>
          <w:tcPr>
            <w:tcW w:w="644" w:type="pct"/>
            <w:shd w:val="clear" w:color="auto" w:fill="auto"/>
            <w:vAlign w:val="center"/>
          </w:tcPr>
          <w:p w14:paraId="6192AB01">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用户授权许可</w:t>
            </w:r>
          </w:p>
        </w:tc>
        <w:tc>
          <w:tcPr>
            <w:tcW w:w="2656" w:type="pct"/>
            <w:vMerge w:val="continue"/>
            <w:vAlign w:val="center"/>
          </w:tcPr>
          <w:p w14:paraId="7487131F">
            <w:pPr>
              <w:spacing w:line="400" w:lineRule="exact"/>
              <w:ind w:firstLine="420" w:firstLineChars="200"/>
              <w:jc w:val="both"/>
              <w:rPr>
                <w:rFonts w:asciiTheme="minorEastAsia" w:hAnsiTheme="minorEastAsia" w:eastAsiaTheme="minorEastAsia" w:cstheme="minorEastAsia"/>
                <w:szCs w:val="24"/>
              </w:rPr>
            </w:pPr>
          </w:p>
        </w:tc>
        <w:tc>
          <w:tcPr>
            <w:tcW w:w="408" w:type="pct"/>
            <w:shd w:val="clear" w:color="auto" w:fill="auto"/>
            <w:vAlign w:val="center"/>
          </w:tcPr>
          <w:p w14:paraId="7D7A1179">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1797</w:t>
            </w:r>
          </w:p>
        </w:tc>
        <w:tc>
          <w:tcPr>
            <w:tcW w:w="355" w:type="pct"/>
            <w:shd w:val="clear" w:color="auto" w:fill="auto"/>
            <w:vAlign w:val="center"/>
          </w:tcPr>
          <w:p w14:paraId="4ED33827">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个</w:t>
            </w:r>
          </w:p>
        </w:tc>
      </w:tr>
      <w:tr w14:paraId="5437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continue"/>
            <w:vAlign w:val="center"/>
          </w:tcPr>
          <w:p w14:paraId="371BA662">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3C68C36F">
            <w:pPr>
              <w:spacing w:line="400" w:lineRule="exact"/>
              <w:ind w:firstLine="0" w:firstLineChars="0"/>
              <w:jc w:val="both"/>
              <w:rPr>
                <w:rFonts w:asciiTheme="minorEastAsia" w:hAnsiTheme="minorEastAsia" w:eastAsiaTheme="minorEastAsia" w:cstheme="minorEastAsia"/>
                <w:szCs w:val="24"/>
              </w:rPr>
            </w:pPr>
          </w:p>
        </w:tc>
        <w:tc>
          <w:tcPr>
            <w:tcW w:w="644" w:type="pct"/>
            <w:shd w:val="clear" w:color="auto" w:fill="auto"/>
            <w:vAlign w:val="center"/>
          </w:tcPr>
          <w:p w14:paraId="6CB676D1">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视频监控网关</w:t>
            </w:r>
          </w:p>
        </w:tc>
        <w:tc>
          <w:tcPr>
            <w:tcW w:w="2656" w:type="pct"/>
            <w:vAlign w:val="center"/>
          </w:tcPr>
          <w:p w14:paraId="7A1CFE55">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接入符合GB28281的视频监控平台/设备。</w:t>
            </w:r>
          </w:p>
        </w:tc>
        <w:tc>
          <w:tcPr>
            <w:tcW w:w="408" w:type="pct"/>
            <w:shd w:val="clear" w:color="auto" w:fill="auto"/>
            <w:vAlign w:val="center"/>
          </w:tcPr>
          <w:p w14:paraId="0A13B0BA">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shd w:val="clear" w:color="auto" w:fill="auto"/>
            <w:vAlign w:val="center"/>
          </w:tcPr>
          <w:p w14:paraId="5624F98E">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台</w:t>
            </w:r>
          </w:p>
        </w:tc>
      </w:tr>
      <w:tr w14:paraId="4F7B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Merge w:val="continue"/>
            <w:vAlign w:val="center"/>
          </w:tcPr>
          <w:p w14:paraId="4C49355B">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7884FA4A">
            <w:pPr>
              <w:spacing w:line="400" w:lineRule="exact"/>
              <w:ind w:firstLine="0" w:firstLineChars="0"/>
              <w:jc w:val="both"/>
              <w:rPr>
                <w:rFonts w:asciiTheme="minorEastAsia" w:hAnsiTheme="minorEastAsia" w:eastAsiaTheme="minorEastAsia" w:cstheme="minorEastAsia"/>
                <w:szCs w:val="24"/>
              </w:rPr>
            </w:pPr>
          </w:p>
        </w:tc>
        <w:tc>
          <w:tcPr>
            <w:tcW w:w="644" w:type="pct"/>
            <w:shd w:val="clear" w:color="auto" w:fill="auto"/>
            <w:vAlign w:val="center"/>
          </w:tcPr>
          <w:p w14:paraId="3F2BD724">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电话语音网关</w:t>
            </w:r>
          </w:p>
        </w:tc>
        <w:tc>
          <w:tcPr>
            <w:tcW w:w="2656" w:type="pct"/>
            <w:vAlign w:val="center"/>
          </w:tcPr>
          <w:p w14:paraId="437E17C2">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接入语音电话。</w:t>
            </w:r>
          </w:p>
        </w:tc>
        <w:tc>
          <w:tcPr>
            <w:tcW w:w="408" w:type="pct"/>
            <w:shd w:val="clear" w:color="auto" w:fill="auto"/>
            <w:vAlign w:val="center"/>
          </w:tcPr>
          <w:p w14:paraId="311EA9E9">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shd w:val="clear" w:color="auto" w:fill="auto"/>
            <w:vAlign w:val="center"/>
          </w:tcPr>
          <w:p w14:paraId="3576B60A">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台</w:t>
            </w:r>
          </w:p>
        </w:tc>
      </w:tr>
      <w:tr w14:paraId="7F9E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9" w:hRule="atLeast"/>
          <w:jc w:val="center"/>
        </w:trPr>
        <w:tc>
          <w:tcPr>
            <w:tcW w:w="402" w:type="pct"/>
            <w:vMerge w:val="continue"/>
            <w:vAlign w:val="center"/>
          </w:tcPr>
          <w:p w14:paraId="1EB2B06E">
            <w:pPr>
              <w:spacing w:line="288" w:lineRule="auto"/>
              <w:ind w:firstLine="0" w:firstLineChars="0"/>
              <w:jc w:val="center"/>
              <w:rPr>
                <w:rFonts w:asciiTheme="minorEastAsia" w:hAnsiTheme="minorEastAsia" w:eastAsiaTheme="minorEastAsia" w:cstheme="minorEastAsia"/>
                <w:szCs w:val="24"/>
              </w:rPr>
            </w:pPr>
          </w:p>
        </w:tc>
        <w:tc>
          <w:tcPr>
            <w:tcW w:w="533" w:type="pct"/>
            <w:vMerge w:val="continue"/>
            <w:vAlign w:val="center"/>
          </w:tcPr>
          <w:p w14:paraId="51066966">
            <w:pPr>
              <w:spacing w:line="400" w:lineRule="exact"/>
              <w:ind w:firstLine="0" w:firstLineChars="0"/>
              <w:jc w:val="both"/>
              <w:rPr>
                <w:rFonts w:asciiTheme="minorEastAsia" w:hAnsiTheme="minorEastAsia" w:eastAsiaTheme="minorEastAsia" w:cstheme="minorEastAsia"/>
                <w:szCs w:val="24"/>
              </w:rPr>
            </w:pPr>
          </w:p>
        </w:tc>
        <w:tc>
          <w:tcPr>
            <w:tcW w:w="644" w:type="pct"/>
            <w:shd w:val="clear" w:color="auto" w:fill="auto"/>
            <w:vAlign w:val="center"/>
          </w:tcPr>
          <w:p w14:paraId="19D6F3AD">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对讲接入网关</w:t>
            </w:r>
          </w:p>
        </w:tc>
        <w:tc>
          <w:tcPr>
            <w:tcW w:w="2656" w:type="pct"/>
            <w:vAlign w:val="center"/>
          </w:tcPr>
          <w:p w14:paraId="2FE29898">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接入对讲终端。</w:t>
            </w:r>
          </w:p>
        </w:tc>
        <w:tc>
          <w:tcPr>
            <w:tcW w:w="408" w:type="pct"/>
            <w:shd w:val="clear" w:color="auto" w:fill="auto"/>
            <w:vAlign w:val="center"/>
          </w:tcPr>
          <w:p w14:paraId="4AC40282">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shd w:val="clear" w:color="auto" w:fill="auto"/>
            <w:vAlign w:val="center"/>
          </w:tcPr>
          <w:p w14:paraId="64368668">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台</w:t>
            </w:r>
          </w:p>
        </w:tc>
      </w:tr>
      <w:tr w14:paraId="0A44A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Align w:val="center"/>
          </w:tcPr>
          <w:p w14:paraId="07DE4B4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w:t>
            </w:r>
          </w:p>
        </w:tc>
        <w:tc>
          <w:tcPr>
            <w:tcW w:w="1177" w:type="pct"/>
            <w:gridSpan w:val="2"/>
            <w:vAlign w:val="center"/>
          </w:tcPr>
          <w:p w14:paraId="1FBAE67C">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短信服务平台</w:t>
            </w:r>
          </w:p>
        </w:tc>
        <w:tc>
          <w:tcPr>
            <w:tcW w:w="2656" w:type="pct"/>
            <w:vAlign w:val="center"/>
          </w:tcPr>
          <w:p w14:paraId="5669E50C">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在保证安全的情况下与宁夏监狱内网进行链接，能够与全区监狱系统各类软件系统进行对接，满足软件系统的短信发送需要。</w:t>
            </w:r>
          </w:p>
        </w:tc>
        <w:tc>
          <w:tcPr>
            <w:tcW w:w="408" w:type="pct"/>
            <w:shd w:val="clear" w:color="auto" w:fill="auto"/>
            <w:vAlign w:val="center"/>
          </w:tcPr>
          <w:p w14:paraId="0041F685">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shd w:val="clear" w:color="auto" w:fill="auto"/>
            <w:vAlign w:val="center"/>
          </w:tcPr>
          <w:p w14:paraId="5ACE7C63">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r w14:paraId="76B5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2" w:type="pct"/>
            <w:vAlign w:val="center"/>
          </w:tcPr>
          <w:p w14:paraId="6505A07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w:t>
            </w:r>
          </w:p>
        </w:tc>
        <w:tc>
          <w:tcPr>
            <w:tcW w:w="1177" w:type="pct"/>
            <w:gridSpan w:val="2"/>
            <w:vAlign w:val="center"/>
          </w:tcPr>
          <w:p w14:paraId="28D6F8FF">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线上视频会议服务</w:t>
            </w:r>
          </w:p>
        </w:tc>
        <w:tc>
          <w:tcPr>
            <w:tcW w:w="2656" w:type="pct"/>
            <w:vAlign w:val="center"/>
          </w:tcPr>
          <w:p w14:paraId="2AD686BB">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满足同时召开4个以上会议，且每个会议至少 50 人通过安全加密通道同时在线视频会议的需要。</w:t>
            </w:r>
          </w:p>
        </w:tc>
        <w:tc>
          <w:tcPr>
            <w:tcW w:w="408" w:type="pct"/>
            <w:shd w:val="clear" w:color="auto" w:fill="auto"/>
            <w:vAlign w:val="center"/>
          </w:tcPr>
          <w:p w14:paraId="7D09FBA4">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355" w:type="pct"/>
            <w:shd w:val="clear" w:color="auto" w:fill="auto"/>
            <w:vAlign w:val="center"/>
          </w:tcPr>
          <w:p w14:paraId="3813DB43">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套</w:t>
            </w:r>
          </w:p>
        </w:tc>
      </w:tr>
    </w:tbl>
    <w:p w14:paraId="669D5DAC">
      <w:pPr>
        <w:numPr>
          <w:ilvl w:val="0"/>
          <w:numId w:val="5"/>
        </w:numPr>
        <w:spacing w:line="288" w:lineRule="auto"/>
        <w:ind w:firstLine="562"/>
        <w:outlineLvl w:val="1"/>
        <w:rPr>
          <w:rFonts w:asciiTheme="minorEastAsia" w:hAnsiTheme="minorEastAsia" w:eastAsiaTheme="minorEastAsia" w:cstheme="minorEastAsia"/>
          <w:b/>
          <w:sz w:val="28"/>
        </w:rPr>
      </w:pPr>
      <w:bookmarkStart w:id="19" w:name="_Toc2127743939"/>
      <w:r>
        <w:rPr>
          <w:rFonts w:hint="eastAsia" w:asciiTheme="minorEastAsia" w:hAnsiTheme="minorEastAsia" w:eastAsiaTheme="minorEastAsia" w:cstheme="minorEastAsia"/>
          <w:b/>
          <w:sz w:val="28"/>
        </w:rPr>
        <w:t>数据支撑平台升级改造</w:t>
      </w:r>
      <w:bookmarkEnd w:id="19"/>
    </w:p>
    <w:tbl>
      <w:tblPr>
        <w:tblStyle w:val="8"/>
        <w:tblW w:w="4998" w:type="pct"/>
        <w:jc w:val="center"/>
        <w:tblLayout w:type="autofit"/>
        <w:tblCellMar>
          <w:top w:w="0" w:type="dxa"/>
          <w:left w:w="108" w:type="dxa"/>
          <w:bottom w:w="0" w:type="dxa"/>
          <w:right w:w="108" w:type="dxa"/>
        </w:tblCellMar>
      </w:tblPr>
      <w:tblGrid>
        <w:gridCol w:w="927"/>
        <w:gridCol w:w="1044"/>
        <w:gridCol w:w="5793"/>
        <w:gridCol w:w="760"/>
        <w:gridCol w:w="760"/>
      </w:tblGrid>
      <w:tr w14:paraId="542ADF91">
        <w:tblPrEx>
          <w:tblCellMar>
            <w:top w:w="0" w:type="dxa"/>
            <w:left w:w="108" w:type="dxa"/>
            <w:bottom w:w="0" w:type="dxa"/>
            <w:right w:w="108" w:type="dxa"/>
          </w:tblCellMar>
        </w:tblPrEx>
        <w:trPr>
          <w:trHeight w:val="312" w:hRule="atLeast"/>
          <w:jc w:val="center"/>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C0E8">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5DD78">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功能模块</w:t>
            </w:r>
          </w:p>
        </w:tc>
        <w:tc>
          <w:tcPr>
            <w:tcW w:w="3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B3F15">
            <w:pPr>
              <w:spacing w:line="288" w:lineRule="auto"/>
              <w:ind w:firstLine="0" w:firstLineChars="0"/>
              <w:jc w:val="center"/>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功能描述</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AAC0">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单位</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6165">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数量</w:t>
            </w:r>
          </w:p>
        </w:tc>
      </w:tr>
      <w:tr w14:paraId="09DF1C21">
        <w:tblPrEx>
          <w:tblCellMar>
            <w:top w:w="0" w:type="dxa"/>
            <w:left w:w="108" w:type="dxa"/>
            <w:bottom w:w="0" w:type="dxa"/>
            <w:right w:w="108" w:type="dxa"/>
          </w:tblCellMar>
        </w:tblPrEx>
        <w:trPr>
          <w:trHeight w:val="1560" w:hRule="atLeast"/>
          <w:jc w:val="center"/>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7EF8">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BE14C">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数据项缺失情况梳理</w:t>
            </w:r>
          </w:p>
        </w:tc>
        <w:tc>
          <w:tcPr>
            <w:tcW w:w="3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AF93F">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按照司法部下发的数据上报通知的基本要求，对7个监狱上报的数据资源重新进行梳理，梳理内容包括18张基础表、139张业务信息表报送情况表的缺失表、缺失项以及字典调整项。针对缺失内容采集、处理、补充的全面规划。</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D0A6">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9F7F">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r>
      <w:tr w14:paraId="2FBE1CCF">
        <w:tblPrEx>
          <w:tblCellMar>
            <w:top w:w="0" w:type="dxa"/>
            <w:left w:w="108" w:type="dxa"/>
            <w:bottom w:w="0" w:type="dxa"/>
            <w:right w:w="108" w:type="dxa"/>
          </w:tblCellMar>
        </w:tblPrEx>
        <w:trPr>
          <w:trHeight w:val="864" w:hRule="atLeast"/>
          <w:jc w:val="center"/>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EB9AF">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C8EF2">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缺失情况补充</w:t>
            </w:r>
          </w:p>
        </w:tc>
        <w:tc>
          <w:tcPr>
            <w:tcW w:w="3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F8134">
            <w:pPr>
              <w:spacing w:line="400" w:lineRule="exact"/>
              <w:ind w:firstLine="420" w:firstLineChars="200"/>
              <w:jc w:val="both"/>
            </w:pPr>
            <w:r>
              <w:rPr>
                <w:rFonts w:hint="eastAsia" w:asciiTheme="minorEastAsia" w:hAnsiTheme="minorEastAsia" w:eastAsiaTheme="minorEastAsia" w:cstheme="minorEastAsia"/>
                <w:szCs w:val="24"/>
              </w:rPr>
              <w:t>针对缺失的数据表、数据项以及需调整的数据字典，减少不匹配字段、减少字典编码错误等问题。保证长期有效的数据支撑。</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3B84B">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B28B">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r>
      <w:tr w14:paraId="2CB0A69A">
        <w:tblPrEx>
          <w:tblCellMar>
            <w:top w:w="0" w:type="dxa"/>
            <w:left w:w="108" w:type="dxa"/>
            <w:bottom w:w="0" w:type="dxa"/>
            <w:right w:w="108" w:type="dxa"/>
          </w:tblCellMar>
        </w:tblPrEx>
        <w:trPr>
          <w:trHeight w:val="864" w:hRule="atLeast"/>
          <w:jc w:val="center"/>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FDD67">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F2D47">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数据接入</w:t>
            </w:r>
          </w:p>
        </w:tc>
        <w:tc>
          <w:tcPr>
            <w:tcW w:w="3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8DCA">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依照司法部重要（重点）数据采集标准，按照综合业务平台数据的实际要求，调整完善数据中台数据来源，进行数据筛查、数据清洗。</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0AE8">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08F4">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r>
      <w:tr w14:paraId="21373B41">
        <w:tblPrEx>
          <w:tblCellMar>
            <w:top w:w="0" w:type="dxa"/>
            <w:left w:w="108" w:type="dxa"/>
            <w:bottom w:w="0" w:type="dxa"/>
            <w:right w:w="108" w:type="dxa"/>
          </w:tblCellMar>
        </w:tblPrEx>
        <w:trPr>
          <w:trHeight w:val="864" w:hRule="atLeast"/>
          <w:jc w:val="center"/>
        </w:trPr>
        <w:tc>
          <w:tcPr>
            <w:tcW w:w="4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6489E">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82046">
            <w:pPr>
              <w:spacing w:line="400" w:lineRule="exact"/>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数据上报</w:t>
            </w:r>
          </w:p>
        </w:tc>
        <w:tc>
          <w:tcPr>
            <w:tcW w:w="3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15270">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能够按照司法部数据上报工作的具体要求，对数据进行抽取、转换和归集并导出符合上报要求的数据文件。</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69CD9">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3E009">
            <w:pPr>
              <w:spacing w:line="288" w:lineRule="auto"/>
              <w:ind w:firstLine="0" w:firstLineChars="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r>
    </w:tbl>
    <w:p w14:paraId="2345539D">
      <w:pPr>
        <w:numPr>
          <w:ilvl w:val="0"/>
          <w:numId w:val="5"/>
        </w:numPr>
        <w:spacing w:line="288" w:lineRule="auto"/>
        <w:ind w:firstLine="562"/>
        <w:outlineLvl w:val="1"/>
        <w:rPr>
          <w:rFonts w:asciiTheme="minorEastAsia" w:hAnsiTheme="minorEastAsia" w:eastAsiaTheme="minorEastAsia" w:cstheme="minorEastAsia"/>
          <w:b/>
          <w:sz w:val="28"/>
        </w:rPr>
      </w:pPr>
      <w:bookmarkStart w:id="20" w:name="_Toc2081954929"/>
      <w:r>
        <w:rPr>
          <w:rFonts w:hint="eastAsia" w:asciiTheme="minorEastAsia" w:hAnsiTheme="minorEastAsia" w:eastAsiaTheme="minorEastAsia" w:cstheme="minorEastAsia"/>
          <w:b/>
          <w:sz w:val="28"/>
        </w:rPr>
        <w:t>智能化移动警务服务</w:t>
      </w:r>
      <w:bookmarkEnd w:id="20"/>
    </w:p>
    <w:tbl>
      <w:tblPr>
        <w:tblStyle w:val="9"/>
        <w:tblpPr w:leftFromText="180" w:rightFromText="180" w:vertAnchor="text" w:horzAnchor="page" w:tblpX="1596" w:tblpY="28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590"/>
        <w:gridCol w:w="5353"/>
        <w:gridCol w:w="767"/>
        <w:gridCol w:w="875"/>
      </w:tblGrid>
      <w:tr w14:paraId="14AC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376" w:type="pct"/>
            <w:vAlign w:val="center"/>
          </w:tcPr>
          <w:p w14:paraId="656126EA">
            <w:pPr>
              <w:spacing w:line="288" w:lineRule="auto"/>
              <w:ind w:firstLine="0" w:firstLineChars="0"/>
              <w:jc w:val="center"/>
              <w:rPr>
                <w:rFonts w:asciiTheme="minorEastAsia" w:hAnsiTheme="minorEastAsia" w:eastAsiaTheme="minorEastAsia" w:cstheme="minorEastAsia"/>
                <w:b/>
                <w:bCs/>
                <w:kern w:val="0"/>
                <w:szCs w:val="24"/>
                <w:highlight w:val="none"/>
              </w:rPr>
            </w:pPr>
            <w:r>
              <w:rPr>
                <w:rFonts w:hint="eastAsia" w:asciiTheme="minorEastAsia" w:hAnsiTheme="minorEastAsia" w:eastAsiaTheme="minorEastAsia" w:cstheme="minorEastAsia"/>
                <w:b/>
                <w:bCs/>
                <w:kern w:val="0"/>
                <w:szCs w:val="24"/>
                <w:highlight w:val="none"/>
              </w:rPr>
              <w:t>序号</w:t>
            </w:r>
          </w:p>
        </w:tc>
        <w:tc>
          <w:tcPr>
            <w:tcW w:w="856" w:type="pct"/>
            <w:vAlign w:val="center"/>
          </w:tcPr>
          <w:p w14:paraId="6FA8D632">
            <w:pPr>
              <w:spacing w:line="288" w:lineRule="auto"/>
              <w:ind w:firstLine="0" w:firstLineChars="0"/>
              <w:jc w:val="center"/>
              <w:rPr>
                <w:rFonts w:asciiTheme="minorEastAsia" w:hAnsiTheme="minorEastAsia" w:eastAsiaTheme="minorEastAsia" w:cstheme="minorEastAsia"/>
                <w:b/>
                <w:bCs/>
                <w:kern w:val="0"/>
                <w:szCs w:val="24"/>
                <w:highlight w:val="none"/>
              </w:rPr>
            </w:pPr>
            <w:r>
              <w:rPr>
                <w:rFonts w:hint="eastAsia" w:asciiTheme="minorEastAsia" w:hAnsiTheme="minorEastAsia" w:eastAsiaTheme="minorEastAsia" w:cstheme="minorEastAsia"/>
                <w:b/>
                <w:bCs/>
                <w:kern w:val="0"/>
                <w:szCs w:val="24"/>
                <w:highlight w:val="none"/>
              </w:rPr>
              <w:t>名称</w:t>
            </w:r>
          </w:p>
        </w:tc>
        <w:tc>
          <w:tcPr>
            <w:tcW w:w="2881" w:type="pct"/>
            <w:vAlign w:val="center"/>
          </w:tcPr>
          <w:p w14:paraId="11053C2C">
            <w:pPr>
              <w:spacing w:line="288" w:lineRule="auto"/>
              <w:ind w:firstLine="0" w:firstLineChars="0"/>
              <w:jc w:val="center"/>
              <w:rPr>
                <w:rFonts w:asciiTheme="minorEastAsia" w:hAnsiTheme="minorEastAsia" w:eastAsiaTheme="minorEastAsia" w:cstheme="minorEastAsia"/>
                <w:b/>
                <w:bCs/>
                <w:kern w:val="0"/>
                <w:szCs w:val="24"/>
                <w:highlight w:val="none"/>
              </w:rPr>
            </w:pPr>
            <w:r>
              <w:rPr>
                <w:rFonts w:hint="eastAsia" w:asciiTheme="minorEastAsia" w:hAnsiTheme="minorEastAsia" w:eastAsiaTheme="minorEastAsia" w:cstheme="minorEastAsia"/>
                <w:b/>
                <w:bCs/>
                <w:kern w:val="2"/>
                <w:szCs w:val="24"/>
                <w:highlight w:val="none"/>
              </w:rPr>
              <w:t>功能描述/配置说明</w:t>
            </w:r>
          </w:p>
        </w:tc>
        <w:tc>
          <w:tcPr>
            <w:tcW w:w="413" w:type="pct"/>
            <w:shd w:val="clear" w:color="auto" w:fill="auto"/>
            <w:vAlign w:val="center"/>
          </w:tcPr>
          <w:p w14:paraId="5982EBE2">
            <w:pPr>
              <w:spacing w:line="288" w:lineRule="auto"/>
              <w:ind w:firstLine="0" w:firstLineChars="0"/>
              <w:jc w:val="center"/>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单位</w:t>
            </w:r>
          </w:p>
        </w:tc>
        <w:tc>
          <w:tcPr>
            <w:tcW w:w="471" w:type="pct"/>
            <w:shd w:val="clear" w:color="auto" w:fill="auto"/>
            <w:vAlign w:val="center"/>
          </w:tcPr>
          <w:p w14:paraId="3D861AC4">
            <w:pPr>
              <w:spacing w:line="288" w:lineRule="auto"/>
              <w:ind w:firstLine="0" w:firstLineChars="0"/>
              <w:jc w:val="center"/>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数量</w:t>
            </w:r>
          </w:p>
        </w:tc>
      </w:tr>
      <w:tr w14:paraId="5B01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376" w:type="pct"/>
            <w:vAlign w:val="center"/>
          </w:tcPr>
          <w:p w14:paraId="256B04C0">
            <w:pPr>
              <w:spacing w:line="288" w:lineRule="auto"/>
              <w:ind w:firstLine="0" w:firstLineChars="0"/>
              <w:jc w:val="center"/>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w:t>
            </w:r>
          </w:p>
        </w:tc>
        <w:tc>
          <w:tcPr>
            <w:tcW w:w="856" w:type="pct"/>
            <w:vAlign w:val="center"/>
          </w:tcPr>
          <w:p w14:paraId="0C47AFD4">
            <w:pPr>
              <w:spacing w:line="288" w:lineRule="auto"/>
              <w:ind w:firstLine="0" w:firstLineChars="0"/>
              <w:jc w:val="center"/>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智能化移动警务服务</w:t>
            </w:r>
          </w:p>
        </w:tc>
        <w:tc>
          <w:tcPr>
            <w:tcW w:w="2881" w:type="pct"/>
            <w:shd w:val="clear" w:color="auto" w:fill="auto"/>
            <w:vAlign w:val="center"/>
          </w:tcPr>
          <w:p w14:paraId="28F58F5D">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1、终端服务制式要求：双卡双待双通。</w:t>
            </w:r>
          </w:p>
          <w:p w14:paraId="64EFF678">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2、NFC：内置NFC模块，支持NFC。</w:t>
            </w:r>
          </w:p>
          <w:p w14:paraId="38B795CD">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3、内存：RAM≥12GB，ROM≥512GB。</w:t>
            </w:r>
          </w:p>
          <w:p w14:paraId="0DB4B0BF">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4、显示：≥6.7英寸，</w:t>
            </w:r>
            <w:r>
              <w:rPr>
                <w:rFonts w:hint="eastAsia" w:asciiTheme="minorEastAsia" w:hAnsiTheme="minorEastAsia" w:eastAsiaTheme="minorEastAsia" w:cstheme="minorEastAsia"/>
                <w:kern w:val="0"/>
                <w:szCs w:val="24"/>
                <w:highlight w:val="none"/>
                <w:lang w:val="en-US" w:eastAsia="zh-CN"/>
              </w:rPr>
              <w:t>分辨率不低于 1216×2688</w:t>
            </w:r>
            <w:r>
              <w:rPr>
                <w:rFonts w:hint="default" w:asciiTheme="minorEastAsia" w:hAnsiTheme="minorEastAsia" w:eastAsiaTheme="minorEastAsia" w:cstheme="minorEastAsia"/>
                <w:kern w:val="0"/>
                <w:szCs w:val="24"/>
                <w:highlight w:val="none"/>
                <w:lang w:val="en-US" w:eastAsia="zh-CN"/>
              </w:rPr>
              <w:t>像素</w:t>
            </w:r>
            <w:r>
              <w:rPr>
                <w:rFonts w:hint="eastAsia" w:asciiTheme="minorEastAsia" w:hAnsiTheme="minorEastAsia" w:eastAsiaTheme="minorEastAsia" w:cstheme="minorEastAsia"/>
                <w:kern w:val="0"/>
                <w:szCs w:val="24"/>
                <w:highlight w:val="none"/>
              </w:rPr>
              <w:t>，1440HzPWM调光，屏幕材质具备第三方机构签发的抗跌耐摔认证证书。</w:t>
            </w:r>
          </w:p>
          <w:p w14:paraId="31CAABF3">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5、摄像头：后置摄像头：最高主摄不低于5000万像素，支持</w:t>
            </w:r>
            <w:r>
              <w:rPr>
                <w:rFonts w:hint="eastAsia" w:asciiTheme="minorEastAsia" w:hAnsiTheme="minorEastAsia" w:eastAsiaTheme="minorEastAsia" w:cstheme="minorEastAsia"/>
                <w:kern w:val="0"/>
                <w:szCs w:val="24"/>
                <w:highlight w:val="none"/>
                <w:lang w:eastAsia="zh-CN"/>
              </w:rPr>
              <w:t>不低于</w:t>
            </w:r>
            <w:r>
              <w:rPr>
                <w:rFonts w:hint="eastAsia" w:asciiTheme="minorEastAsia" w:hAnsiTheme="minorEastAsia" w:eastAsiaTheme="minorEastAsia" w:cstheme="minorEastAsia"/>
                <w:kern w:val="0"/>
                <w:szCs w:val="24"/>
                <w:highlight w:val="none"/>
                <w:lang w:val="en-US" w:eastAsia="zh-CN"/>
              </w:rPr>
              <w:t>3</w:t>
            </w:r>
            <w:r>
              <w:rPr>
                <w:rFonts w:hint="eastAsia" w:asciiTheme="minorEastAsia" w:hAnsiTheme="minorEastAsia" w:eastAsiaTheme="minorEastAsia" w:cstheme="minorEastAsia"/>
                <w:kern w:val="0"/>
                <w:szCs w:val="24"/>
                <w:highlight w:val="none"/>
              </w:rPr>
              <w:t>倍光学变焦、OIS/AIS防抖，前置摄像头：不低于1300万像素摄像头。</w:t>
            </w:r>
          </w:p>
          <w:p w14:paraId="78E675E0">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6、传感器：支持环境光传感器、红外传感器、指纹传感器、陀螺仪、指南针、NFC、接近光传感器、重力传感器、Camera激光对焦传感器、色温传感器。</w:t>
            </w:r>
          </w:p>
          <w:p w14:paraId="07D8955E">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7、防护能力：在正常使用状态下可防溅、抗水、防尘，在受控实验室条件下经测试，其效果在GB/T 4208-2017（国内）标准下高于 IP68级别。</w:t>
            </w:r>
          </w:p>
          <w:p w14:paraId="401933A3">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8、电池和充电：电池容量≥5300mAh，支持不低于66W有线超级快充，支持</w:t>
            </w:r>
            <w:r>
              <w:rPr>
                <w:rFonts w:hint="eastAsia" w:asciiTheme="minorEastAsia" w:hAnsiTheme="minorEastAsia" w:eastAsiaTheme="minorEastAsia" w:cstheme="minorEastAsia"/>
                <w:kern w:val="0"/>
                <w:szCs w:val="24"/>
                <w:highlight w:val="none"/>
                <w:lang w:eastAsia="zh-CN"/>
              </w:rPr>
              <w:t>不低于</w:t>
            </w:r>
            <w:r>
              <w:rPr>
                <w:rFonts w:hint="eastAsia" w:asciiTheme="minorEastAsia" w:hAnsiTheme="minorEastAsia" w:eastAsiaTheme="minorEastAsia" w:cstheme="minorEastAsia"/>
                <w:kern w:val="0"/>
                <w:szCs w:val="24"/>
                <w:highlight w:val="none"/>
              </w:rPr>
              <w:t>50W无线超级快充，支持无线反向充电。</w:t>
            </w:r>
          </w:p>
          <w:p w14:paraId="101B41F2">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9、定位系统：支持定位，提供检测报告。</w:t>
            </w:r>
          </w:p>
          <w:p w14:paraId="2555D8BC">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10、双系统隔离：两个操作系统运行在不同ROM空间，独立运行，完全隔离。</w:t>
            </w:r>
          </w:p>
          <w:p w14:paraId="4C87484F">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11、双系统同时在线：支持公共APN和专属APN同时接入、同时在线。当前系统能接收到另外一个系统的通知栏消息，但看不到数据。</w:t>
            </w:r>
          </w:p>
          <w:p w14:paraId="6D1638F2">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12、安全认证：符合公安部安全与警用电子产品质量检测中心检测要求，并取得相关资质认证</w:t>
            </w:r>
          </w:p>
        </w:tc>
        <w:tc>
          <w:tcPr>
            <w:tcW w:w="413" w:type="pct"/>
            <w:vAlign w:val="center"/>
          </w:tcPr>
          <w:p w14:paraId="664F35D4">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套</w:t>
            </w:r>
          </w:p>
        </w:tc>
        <w:tc>
          <w:tcPr>
            <w:tcW w:w="471" w:type="pct"/>
            <w:vAlign w:val="center"/>
          </w:tcPr>
          <w:p w14:paraId="573D4328">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1797</w:t>
            </w:r>
          </w:p>
        </w:tc>
      </w:tr>
      <w:tr w14:paraId="5AF0D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376" w:type="pct"/>
            <w:vAlign w:val="center"/>
          </w:tcPr>
          <w:p w14:paraId="0D4C8053">
            <w:pPr>
              <w:spacing w:line="288" w:lineRule="auto"/>
              <w:ind w:firstLine="0" w:firstLineChars="0"/>
              <w:jc w:val="center"/>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2</w:t>
            </w:r>
          </w:p>
        </w:tc>
        <w:tc>
          <w:tcPr>
            <w:tcW w:w="856" w:type="pct"/>
            <w:vAlign w:val="center"/>
          </w:tcPr>
          <w:p w14:paraId="6E6281A4">
            <w:pPr>
              <w:spacing w:line="400" w:lineRule="exact"/>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终端使用数据套餐</w:t>
            </w:r>
          </w:p>
        </w:tc>
        <w:tc>
          <w:tcPr>
            <w:tcW w:w="2881" w:type="pct"/>
            <w:shd w:val="clear" w:color="auto" w:fill="auto"/>
            <w:vAlign w:val="center"/>
          </w:tcPr>
          <w:p w14:paraId="5FA2F939">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每月：国内流量不低于90G，全国语音不低于2500分钟，短信不低于500条，内部通话不低于1500分钟；</w:t>
            </w:r>
          </w:p>
        </w:tc>
        <w:tc>
          <w:tcPr>
            <w:tcW w:w="413" w:type="pct"/>
            <w:shd w:val="clear" w:color="auto" w:fill="auto"/>
            <w:vAlign w:val="center"/>
          </w:tcPr>
          <w:p w14:paraId="2DFB56A9">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套</w:t>
            </w:r>
          </w:p>
        </w:tc>
        <w:tc>
          <w:tcPr>
            <w:tcW w:w="471" w:type="pct"/>
            <w:shd w:val="clear" w:color="auto" w:fill="auto"/>
            <w:vAlign w:val="center"/>
          </w:tcPr>
          <w:p w14:paraId="1EBA6F93">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1797</w:t>
            </w:r>
          </w:p>
        </w:tc>
      </w:tr>
      <w:tr w14:paraId="56C2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376" w:type="pct"/>
            <w:vAlign w:val="center"/>
          </w:tcPr>
          <w:p w14:paraId="582CCDEA">
            <w:pPr>
              <w:spacing w:line="288" w:lineRule="auto"/>
              <w:ind w:firstLine="0" w:firstLineChars="0"/>
              <w:jc w:val="center"/>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3</w:t>
            </w:r>
          </w:p>
        </w:tc>
        <w:tc>
          <w:tcPr>
            <w:tcW w:w="856" w:type="pct"/>
            <w:vAlign w:val="center"/>
          </w:tcPr>
          <w:p w14:paraId="7AD3FC65">
            <w:pPr>
              <w:spacing w:line="400" w:lineRule="exact"/>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质保</w:t>
            </w:r>
          </w:p>
        </w:tc>
        <w:tc>
          <w:tcPr>
            <w:tcW w:w="2881" w:type="pct"/>
            <w:shd w:val="clear" w:color="auto" w:fill="auto"/>
            <w:vAlign w:val="center"/>
          </w:tcPr>
          <w:p w14:paraId="1CD06F4D">
            <w:pPr>
              <w:spacing w:line="400" w:lineRule="exact"/>
              <w:ind w:firstLine="420" w:firstLineChars="20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提供三年质保，三年内，非人为因素的终端故障，免费维修。</w:t>
            </w:r>
          </w:p>
        </w:tc>
        <w:tc>
          <w:tcPr>
            <w:tcW w:w="413" w:type="pct"/>
            <w:vAlign w:val="center"/>
          </w:tcPr>
          <w:p w14:paraId="7AEA7671">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年</w:t>
            </w:r>
          </w:p>
        </w:tc>
        <w:tc>
          <w:tcPr>
            <w:tcW w:w="471" w:type="pct"/>
            <w:vAlign w:val="center"/>
          </w:tcPr>
          <w:p w14:paraId="54AD274D">
            <w:pPr>
              <w:spacing w:line="288" w:lineRule="auto"/>
              <w:ind w:firstLine="0" w:firstLineChars="0"/>
              <w:jc w:val="both"/>
              <w:rPr>
                <w:rFonts w:asciiTheme="minorEastAsia" w:hAnsiTheme="minorEastAsia" w:eastAsiaTheme="minorEastAsia" w:cstheme="minorEastAsia"/>
                <w:kern w:val="0"/>
                <w:szCs w:val="24"/>
                <w:highlight w:val="none"/>
              </w:rPr>
            </w:pPr>
            <w:r>
              <w:rPr>
                <w:rFonts w:hint="eastAsia" w:asciiTheme="minorEastAsia" w:hAnsiTheme="minorEastAsia" w:eastAsiaTheme="minorEastAsia" w:cstheme="minorEastAsia"/>
                <w:kern w:val="0"/>
                <w:szCs w:val="24"/>
                <w:highlight w:val="none"/>
              </w:rPr>
              <w:t>3</w:t>
            </w:r>
          </w:p>
        </w:tc>
      </w:tr>
    </w:tbl>
    <w:p w14:paraId="0BFBF5BD">
      <w:pPr>
        <w:numPr>
          <w:ilvl w:val="0"/>
          <w:numId w:val="5"/>
        </w:numPr>
        <w:spacing w:line="288" w:lineRule="auto"/>
        <w:ind w:firstLine="562"/>
        <w:outlineLvl w:val="1"/>
        <w:rPr>
          <w:rFonts w:asciiTheme="minorEastAsia" w:hAnsiTheme="minorEastAsia" w:eastAsiaTheme="minorEastAsia" w:cstheme="minorEastAsia"/>
          <w:b/>
          <w:sz w:val="28"/>
        </w:rPr>
      </w:pPr>
      <w:bookmarkStart w:id="21" w:name="_Toc364074226"/>
      <w:r>
        <w:rPr>
          <w:rFonts w:hint="eastAsia" w:asciiTheme="minorEastAsia" w:hAnsiTheme="minorEastAsia" w:eastAsiaTheme="minorEastAsia" w:cstheme="minorEastAsia"/>
          <w:b/>
          <w:sz w:val="28"/>
        </w:rPr>
        <w:t>云计算服务能力</w:t>
      </w:r>
      <w:bookmarkEnd w:id="21"/>
    </w:p>
    <w:tbl>
      <w:tblPr>
        <w:tblStyle w:val="9"/>
        <w:tblpPr w:leftFromText="180" w:rightFromText="180" w:vertAnchor="text" w:horzAnchor="page" w:tblpX="1708" w:tblpY="27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239"/>
        <w:gridCol w:w="5203"/>
        <w:gridCol w:w="814"/>
        <w:gridCol w:w="645"/>
      </w:tblGrid>
      <w:tr w14:paraId="7CDD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746" w:type="dxa"/>
            <w:vAlign w:val="center"/>
          </w:tcPr>
          <w:p w14:paraId="4F061C33">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1239" w:type="dxa"/>
            <w:vAlign w:val="center"/>
          </w:tcPr>
          <w:p w14:paraId="562B9B16">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名称</w:t>
            </w:r>
          </w:p>
        </w:tc>
        <w:tc>
          <w:tcPr>
            <w:tcW w:w="5203" w:type="dxa"/>
            <w:vAlign w:val="center"/>
          </w:tcPr>
          <w:p w14:paraId="72344FD9">
            <w:pPr>
              <w:spacing w:line="288" w:lineRule="auto"/>
              <w:ind w:firstLine="0" w:firstLineChars="0"/>
              <w:jc w:val="center"/>
              <w:rPr>
                <w:rFonts w:hint="eastAsia" w:asciiTheme="minorEastAsia" w:hAnsiTheme="minorEastAsia" w:eastAsiaTheme="minorEastAsia" w:cstheme="minorEastAsia"/>
                <w:b/>
                <w:bCs/>
                <w:kern w:val="0"/>
                <w:szCs w:val="24"/>
              </w:rPr>
            </w:pPr>
            <w:r>
              <w:rPr>
                <w:rFonts w:hint="eastAsia" w:asciiTheme="minorEastAsia" w:hAnsiTheme="minorEastAsia" w:eastAsiaTheme="minorEastAsia" w:cstheme="minorEastAsia"/>
                <w:b/>
                <w:bCs/>
                <w:szCs w:val="24"/>
              </w:rPr>
              <w:t>功能描述/配置说明</w:t>
            </w:r>
          </w:p>
        </w:tc>
        <w:tc>
          <w:tcPr>
            <w:tcW w:w="814" w:type="dxa"/>
            <w:vAlign w:val="center"/>
          </w:tcPr>
          <w:p w14:paraId="0C0EB508">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数量</w:t>
            </w:r>
          </w:p>
        </w:tc>
        <w:tc>
          <w:tcPr>
            <w:tcW w:w="645" w:type="dxa"/>
            <w:vAlign w:val="center"/>
          </w:tcPr>
          <w:p w14:paraId="5C64B5CE">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单位</w:t>
            </w:r>
          </w:p>
        </w:tc>
      </w:tr>
      <w:tr w14:paraId="748EE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746" w:type="dxa"/>
            <w:vAlign w:val="center"/>
          </w:tcPr>
          <w:p w14:paraId="51B1C18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1239" w:type="dxa"/>
            <w:vAlign w:val="center"/>
          </w:tcPr>
          <w:p w14:paraId="01954B7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云计算服务能力</w:t>
            </w:r>
          </w:p>
        </w:tc>
        <w:tc>
          <w:tcPr>
            <w:tcW w:w="5203" w:type="dxa"/>
            <w:vAlign w:val="center"/>
          </w:tcPr>
          <w:p w14:paraId="3E3A8580">
            <w:pPr>
              <w:spacing w:line="400" w:lineRule="exact"/>
              <w:ind w:firstLine="420" w:firstLineChars="20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不少于650核cpu、</w:t>
            </w:r>
            <w:r>
              <w:rPr>
                <w:rFonts w:hint="eastAsia" w:asciiTheme="minorEastAsia" w:hAnsiTheme="minorEastAsia" w:eastAsiaTheme="minorEastAsia" w:cstheme="minorEastAsia"/>
                <w:szCs w:val="24"/>
                <w:highlight w:val="none"/>
              </w:rPr>
              <w:t>2</w:t>
            </w:r>
            <w:r>
              <w:rPr>
                <w:rFonts w:hint="eastAsia" w:asciiTheme="minorEastAsia" w:hAnsiTheme="minorEastAsia" w:eastAsiaTheme="minorEastAsia" w:cstheme="minorEastAsia"/>
                <w:szCs w:val="24"/>
                <w:highlight w:val="none"/>
                <w:lang w:val="en-US" w:eastAsia="zh-CN"/>
              </w:rPr>
              <w:t>0</w:t>
            </w:r>
            <w:r>
              <w:rPr>
                <w:rFonts w:hint="eastAsia" w:asciiTheme="minorEastAsia" w:hAnsiTheme="minorEastAsia" w:eastAsiaTheme="minorEastAsia" w:cstheme="minorEastAsia"/>
                <w:szCs w:val="24"/>
                <w:highlight w:val="none"/>
              </w:rPr>
              <w:t>00G内存</w:t>
            </w:r>
            <w:r>
              <w:rPr>
                <w:rFonts w:hint="eastAsia" w:asciiTheme="minorEastAsia" w:hAnsiTheme="minorEastAsia" w:eastAsiaTheme="minorEastAsia" w:cstheme="minorEastAsia"/>
                <w:szCs w:val="24"/>
              </w:rPr>
              <w:t>、30T有效存储的云计算服务能力及配套的机房环境。最大可支持32核128G内存的主机实例。</w:t>
            </w:r>
          </w:p>
        </w:tc>
        <w:tc>
          <w:tcPr>
            <w:tcW w:w="814" w:type="dxa"/>
            <w:vAlign w:val="center"/>
          </w:tcPr>
          <w:p w14:paraId="72F39BE4">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645" w:type="dxa"/>
            <w:vAlign w:val="center"/>
          </w:tcPr>
          <w:p w14:paraId="6D73B046">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年</w:t>
            </w:r>
          </w:p>
        </w:tc>
      </w:tr>
    </w:tbl>
    <w:p w14:paraId="500911E9">
      <w:pPr>
        <w:spacing w:line="288" w:lineRule="auto"/>
        <w:ind w:firstLine="562"/>
        <w:outlineLvl w:val="1"/>
        <w:rPr>
          <w:rFonts w:asciiTheme="minorEastAsia" w:hAnsiTheme="minorEastAsia" w:eastAsiaTheme="minorEastAsia" w:cstheme="minorEastAsia"/>
          <w:b/>
          <w:sz w:val="28"/>
        </w:rPr>
      </w:pPr>
      <w:bookmarkStart w:id="22" w:name="_Toc1650499340"/>
      <w:r>
        <w:rPr>
          <w:rFonts w:hint="eastAsia" w:asciiTheme="minorEastAsia" w:hAnsiTheme="minorEastAsia" w:eastAsiaTheme="minorEastAsia" w:cstheme="minorEastAsia"/>
          <w:b/>
          <w:sz w:val="28"/>
        </w:rPr>
        <w:t>（六）其他</w:t>
      </w:r>
      <w:bookmarkEnd w:id="22"/>
    </w:p>
    <w:tbl>
      <w:tblPr>
        <w:tblStyle w:val="9"/>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1369"/>
        <w:gridCol w:w="5073"/>
        <w:gridCol w:w="687"/>
        <w:gridCol w:w="638"/>
      </w:tblGrid>
      <w:tr w14:paraId="377E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043" w:type="dxa"/>
            <w:vAlign w:val="center"/>
          </w:tcPr>
          <w:p w14:paraId="7A1DF7BE">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1369" w:type="dxa"/>
            <w:vAlign w:val="center"/>
          </w:tcPr>
          <w:p w14:paraId="024F8E9C">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名称</w:t>
            </w:r>
          </w:p>
        </w:tc>
        <w:tc>
          <w:tcPr>
            <w:tcW w:w="5073" w:type="dxa"/>
            <w:vAlign w:val="center"/>
          </w:tcPr>
          <w:p w14:paraId="3EA76043">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功能描述/配置说明</w:t>
            </w:r>
          </w:p>
        </w:tc>
        <w:tc>
          <w:tcPr>
            <w:tcW w:w="687" w:type="dxa"/>
            <w:vAlign w:val="center"/>
          </w:tcPr>
          <w:p w14:paraId="4F680745">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数量</w:t>
            </w:r>
          </w:p>
        </w:tc>
        <w:tc>
          <w:tcPr>
            <w:tcW w:w="638" w:type="dxa"/>
            <w:vAlign w:val="center"/>
          </w:tcPr>
          <w:p w14:paraId="6E549A7D">
            <w:pPr>
              <w:spacing w:line="288" w:lineRule="auto"/>
              <w:ind w:firstLine="0" w:firstLineChars="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单位</w:t>
            </w:r>
          </w:p>
        </w:tc>
      </w:tr>
      <w:tr w14:paraId="6BA76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043" w:type="dxa"/>
            <w:vAlign w:val="center"/>
          </w:tcPr>
          <w:p w14:paraId="0057422A">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1369" w:type="dxa"/>
            <w:vAlign w:val="center"/>
          </w:tcPr>
          <w:p w14:paraId="37182B07">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专线电路</w:t>
            </w:r>
          </w:p>
        </w:tc>
        <w:tc>
          <w:tcPr>
            <w:tcW w:w="5073" w:type="dxa"/>
            <w:vAlign w:val="center"/>
          </w:tcPr>
          <w:p w14:paraId="7C69A8DC">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提供专用安全链路</w:t>
            </w:r>
          </w:p>
        </w:tc>
        <w:tc>
          <w:tcPr>
            <w:tcW w:w="687" w:type="dxa"/>
            <w:vAlign w:val="center"/>
          </w:tcPr>
          <w:p w14:paraId="47095BBB">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638" w:type="dxa"/>
            <w:vAlign w:val="center"/>
          </w:tcPr>
          <w:p w14:paraId="22DD2CAC">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年</w:t>
            </w:r>
          </w:p>
        </w:tc>
      </w:tr>
      <w:tr w14:paraId="5FFE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043" w:type="dxa"/>
            <w:vAlign w:val="center"/>
          </w:tcPr>
          <w:p w14:paraId="163A3132">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p>
        </w:tc>
        <w:tc>
          <w:tcPr>
            <w:tcW w:w="1369" w:type="dxa"/>
            <w:vAlign w:val="center"/>
          </w:tcPr>
          <w:p w14:paraId="29D909BD">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5G基站</w:t>
            </w:r>
          </w:p>
        </w:tc>
        <w:tc>
          <w:tcPr>
            <w:tcW w:w="5073" w:type="dxa"/>
            <w:vAlign w:val="center"/>
          </w:tcPr>
          <w:p w14:paraId="05905DB9">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提供专用5G基站</w:t>
            </w:r>
          </w:p>
        </w:tc>
        <w:tc>
          <w:tcPr>
            <w:tcW w:w="687" w:type="dxa"/>
            <w:vAlign w:val="center"/>
          </w:tcPr>
          <w:p w14:paraId="50AC9CAA">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638" w:type="dxa"/>
            <w:vAlign w:val="center"/>
          </w:tcPr>
          <w:p w14:paraId="77BD8A63">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r>
      <w:tr w14:paraId="4CFF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043" w:type="dxa"/>
            <w:vAlign w:val="center"/>
          </w:tcPr>
          <w:p w14:paraId="2901583C">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1369" w:type="dxa"/>
            <w:vAlign w:val="center"/>
          </w:tcPr>
          <w:p w14:paraId="6F4BCDB7">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运维服务</w:t>
            </w:r>
          </w:p>
        </w:tc>
        <w:tc>
          <w:tcPr>
            <w:tcW w:w="5073" w:type="dxa"/>
            <w:vAlign w:val="center"/>
          </w:tcPr>
          <w:p w14:paraId="231446CB">
            <w:pPr>
              <w:widowControl/>
              <w:spacing w:line="288" w:lineRule="auto"/>
              <w:ind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highlight w:val="none"/>
              </w:rPr>
              <w:t>提供2人/三年，其中1人驻场的运维服务</w:t>
            </w:r>
          </w:p>
        </w:tc>
        <w:tc>
          <w:tcPr>
            <w:tcW w:w="687" w:type="dxa"/>
            <w:shd w:val="clear" w:color="auto" w:fill="auto"/>
            <w:vAlign w:val="center"/>
          </w:tcPr>
          <w:p w14:paraId="77509989">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638" w:type="dxa"/>
            <w:shd w:val="clear" w:color="auto" w:fill="auto"/>
            <w:vAlign w:val="center"/>
          </w:tcPr>
          <w:p w14:paraId="0BCF1E59">
            <w:pPr>
              <w:spacing w:line="288" w:lineRule="auto"/>
              <w:ind w:firstLine="0" w:firstLineChars="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项</w:t>
            </w:r>
          </w:p>
        </w:tc>
      </w:tr>
    </w:tbl>
    <w:p w14:paraId="5B4E72C3">
      <w:pPr>
        <w:spacing w:after="0" w:line="288" w:lineRule="auto"/>
        <w:ind w:left="0" w:leftChars="0" w:firstLine="560" w:firstLineChars="0"/>
        <w:outlineLvl w:val="0"/>
        <w:rPr>
          <w:rFonts w:hint="eastAsia" w:ascii="黑体" w:hAnsi="黑体" w:eastAsia="黑体" w:cs="黑体"/>
          <w:b w:val="0"/>
          <w:bCs w:val="0"/>
          <w:sz w:val="28"/>
        </w:rPr>
      </w:pPr>
      <w:r>
        <w:rPr>
          <w:rFonts w:hint="eastAsia" w:ascii="黑体" w:hAnsi="黑体" w:eastAsia="黑体" w:cs="黑体"/>
          <w:b w:val="0"/>
          <w:bCs w:val="0"/>
          <w:sz w:val="28"/>
        </w:rPr>
        <w:t>三、实施服务要求</w:t>
      </w:r>
    </w:p>
    <w:p w14:paraId="0181B7E6">
      <w:pPr>
        <w:spacing w:line="288" w:lineRule="auto"/>
        <w:ind w:firstLine="560"/>
        <w:outlineLvl w:val="1"/>
        <w:rPr>
          <w:rFonts w:asciiTheme="minorEastAsia" w:hAnsiTheme="minorEastAsia" w:eastAsiaTheme="minorEastAsia" w:cstheme="minorEastAsia"/>
          <w:sz w:val="28"/>
        </w:rPr>
      </w:pPr>
      <w:r>
        <w:rPr>
          <w:rFonts w:hint="eastAsia" w:asciiTheme="minorEastAsia" w:hAnsiTheme="minorEastAsia" w:eastAsiaTheme="minorEastAsia" w:cstheme="minorEastAsia"/>
          <w:sz w:val="28"/>
          <w:lang w:eastAsia="zh-CN"/>
        </w:rPr>
        <w:t>（一）</w:t>
      </w:r>
      <w:r>
        <w:rPr>
          <w:rFonts w:hint="eastAsia" w:asciiTheme="minorEastAsia" w:hAnsiTheme="minorEastAsia" w:eastAsiaTheme="minorEastAsia" w:cstheme="minorEastAsia"/>
          <w:sz w:val="28"/>
        </w:rPr>
        <w:t>项目实施</w:t>
      </w:r>
    </w:p>
    <w:p w14:paraId="5D92524D">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投标人应根据项目服务需求及对本项目的理解，提出科学合理的,符合监狱工作实际的实施方案，保证所投硬件产品和软件系统满足本项目服务清单各项功能和性能参数要求。</w:t>
      </w:r>
      <w:r>
        <w:rPr>
          <w:rFonts w:hint="eastAsia" w:asciiTheme="minorEastAsia" w:hAnsiTheme="minorEastAsia" w:eastAsiaTheme="minorEastAsia" w:cstheme="minorEastAsia"/>
          <w:sz w:val="28"/>
          <w:highlight w:val="none"/>
        </w:rPr>
        <w:t>本项目所用全部产品必须满足《中华人民共和国网络安全法》及相关部门有关信息系统等级保护</w:t>
      </w:r>
      <w:r>
        <w:rPr>
          <w:rFonts w:hint="eastAsia" w:asciiTheme="minorEastAsia" w:hAnsiTheme="minorEastAsia" w:eastAsiaTheme="minorEastAsia" w:cstheme="minorEastAsia"/>
          <w:sz w:val="28"/>
          <w:highlight w:val="none"/>
          <w:lang w:eastAsia="zh-CN"/>
        </w:rPr>
        <w:t>要求</w:t>
      </w:r>
      <w:r>
        <w:rPr>
          <w:rFonts w:hint="eastAsia" w:asciiTheme="minorEastAsia" w:hAnsiTheme="minorEastAsia" w:eastAsiaTheme="minorEastAsia" w:cstheme="minorEastAsia"/>
          <w:sz w:val="28"/>
          <w:highlight w:val="none"/>
        </w:rPr>
        <w:t>，</w:t>
      </w:r>
      <w:r>
        <w:rPr>
          <w:rFonts w:hint="eastAsia" w:asciiTheme="minorEastAsia" w:hAnsiTheme="minorEastAsia" w:eastAsiaTheme="minorEastAsia" w:cstheme="minorEastAsia"/>
          <w:sz w:val="28"/>
        </w:rPr>
        <w:t>充分保证涉及的工作秘密信息安全、可控，不发生网络安全事件和失泄密事件</w:t>
      </w:r>
      <w:r>
        <w:rPr>
          <w:rFonts w:hint="eastAsia" w:asciiTheme="minorEastAsia" w:hAnsiTheme="minorEastAsia" w:eastAsiaTheme="minorEastAsia" w:cstheme="minorEastAsia"/>
          <w:b/>
          <w:bCs/>
          <w:sz w:val="28"/>
        </w:rPr>
        <w:t>（需提供承诺书，并加盖公章）。</w:t>
      </w:r>
    </w:p>
    <w:p w14:paraId="21215AF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本项目涉及的所有系统部署所需云计算资源、服务器、存储、操作系统、中间件、数据库、专线链路等软硬件资源由投标人自行提供，确保网络安全畅通，保证实现平台各项功能。</w:t>
      </w:r>
    </w:p>
    <w:p w14:paraId="7FE3C247">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sz w:val="28"/>
        </w:rPr>
        <w:t>投标人所投所有系统须同时满足国产电脑正常适配及服务器端的国产化适配要求。服务器端产品包括但不限于国产化CPU、国产化操作系统、国产化数据库等</w:t>
      </w:r>
      <w:r>
        <w:rPr>
          <w:rFonts w:hint="eastAsia" w:asciiTheme="minorEastAsia" w:hAnsiTheme="minorEastAsia" w:eastAsiaTheme="minorEastAsia" w:cstheme="minorEastAsia"/>
          <w:b/>
          <w:bCs/>
          <w:sz w:val="28"/>
        </w:rPr>
        <w:t>。须确保国产电脑和和非国产电脑均可正常访问系统。</w:t>
      </w:r>
      <w:r>
        <w:rPr>
          <w:rFonts w:hint="eastAsia" w:asciiTheme="minorEastAsia" w:hAnsiTheme="minorEastAsia" w:eastAsiaTheme="minorEastAsia" w:cstheme="minorEastAsia"/>
          <w:b/>
          <w:bCs/>
          <w:sz w:val="28"/>
          <w:highlight w:val="none"/>
          <w:lang w:eastAsia="zh-CN"/>
        </w:rPr>
        <w:t>（</w:t>
      </w:r>
      <w:r>
        <w:rPr>
          <w:rFonts w:hint="eastAsia" w:asciiTheme="minorEastAsia" w:hAnsiTheme="minorEastAsia" w:eastAsiaTheme="minorEastAsia" w:cstheme="minorEastAsia"/>
          <w:b/>
          <w:bCs/>
          <w:sz w:val="28"/>
          <w:highlight w:val="none"/>
        </w:rPr>
        <w:t>投标人提供承诺函并加盖公章</w:t>
      </w:r>
      <w:r>
        <w:rPr>
          <w:rFonts w:hint="eastAsia" w:asciiTheme="minorEastAsia" w:hAnsiTheme="minorEastAsia" w:eastAsiaTheme="minorEastAsia" w:cstheme="minorEastAsia"/>
          <w:b/>
          <w:bCs/>
          <w:sz w:val="28"/>
          <w:highlight w:val="none"/>
          <w:lang w:eastAsia="zh-CN"/>
        </w:rPr>
        <w:t>）</w:t>
      </w:r>
    </w:p>
    <w:p w14:paraId="1895D55F">
      <w:pPr>
        <w:spacing w:line="288" w:lineRule="auto"/>
        <w:ind w:firstLine="560"/>
        <w:jc w:val="both"/>
        <w:rPr>
          <w:rFonts w:asciiTheme="minorEastAsia" w:hAnsiTheme="minorEastAsia" w:eastAsiaTheme="minorEastAsia" w:cstheme="minorEastAsia"/>
          <w:sz w:val="28"/>
          <w:highlight w:val="red"/>
        </w:rPr>
      </w:pPr>
      <w:r>
        <w:rPr>
          <w:rFonts w:hint="eastAsia" w:asciiTheme="minorEastAsia" w:hAnsiTheme="minorEastAsia" w:eastAsiaTheme="minorEastAsia" w:cstheme="minorEastAsia"/>
          <w:sz w:val="28"/>
          <w:highlight w:val="none"/>
        </w:rPr>
        <w:t>本项目建设的所有软件系统产生的全部数据需支持以直接访问数据库表或数据接口等形式与甲方的其他系统实现数据的交换共享。同时，本项目建设的所有软件系统需要的数据信息，如甲方其他系统已经产生了相关数据，如组织人员信息等，均需按照甲方要求从甲方已有的数据库中抽取并实现同步。</w:t>
      </w:r>
      <w:r>
        <w:rPr>
          <w:rFonts w:hint="eastAsia" w:asciiTheme="minorEastAsia" w:hAnsiTheme="minorEastAsia" w:eastAsiaTheme="minorEastAsia" w:cstheme="minorEastAsia"/>
          <w:b/>
          <w:bCs/>
          <w:sz w:val="28"/>
          <w:highlight w:val="none"/>
        </w:rPr>
        <w:t>数据共享和同步过程中</w:t>
      </w:r>
      <w:r>
        <w:rPr>
          <w:rFonts w:hint="eastAsia" w:asciiTheme="minorEastAsia" w:hAnsiTheme="minorEastAsia" w:eastAsiaTheme="minorEastAsia" w:cstheme="minorEastAsia"/>
          <w:b/>
          <w:bCs/>
          <w:sz w:val="28"/>
          <w:highlight w:val="none"/>
          <w:lang w:eastAsia="zh-CN"/>
        </w:rPr>
        <w:t>，</w:t>
      </w:r>
      <w:r>
        <w:rPr>
          <w:rFonts w:hint="eastAsia" w:asciiTheme="minorEastAsia" w:hAnsiTheme="minorEastAsia" w:eastAsiaTheme="minorEastAsia" w:cstheme="minorEastAsia"/>
          <w:b/>
          <w:bCs/>
          <w:sz w:val="28"/>
          <w:highlight w:val="none"/>
        </w:rPr>
        <w:t>产生的接口开发等费用均包含在本项目中。</w:t>
      </w:r>
    </w:p>
    <w:p w14:paraId="02E966A3">
      <w:pPr>
        <w:spacing w:line="288" w:lineRule="auto"/>
        <w:ind w:firstLine="560"/>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 w:val="0"/>
          <w:bCs w:val="0"/>
          <w:sz w:val="28"/>
          <w:lang w:eastAsia="zh-CN"/>
        </w:rPr>
        <w:t>中标供应商如对原有设备和系统进行利旧（或购买延保服务），需自行完成原有设备、软件系统的迁移工作，并保证原有移动通信号码的携号转网工作，</w:t>
      </w:r>
      <w:r>
        <w:rPr>
          <w:rFonts w:hint="eastAsia" w:asciiTheme="minorEastAsia" w:hAnsiTheme="minorEastAsia" w:eastAsiaTheme="minorEastAsia" w:cstheme="minorEastAsia"/>
          <w:b/>
          <w:bCs/>
          <w:sz w:val="28"/>
          <w:lang w:eastAsia="zh-CN"/>
        </w:rPr>
        <w:t>甲方不在支付额外费用</w:t>
      </w:r>
      <w:r>
        <w:rPr>
          <w:rFonts w:hint="eastAsia" w:asciiTheme="minorEastAsia" w:hAnsiTheme="minorEastAsia" w:eastAsiaTheme="minorEastAsia" w:cstheme="minorEastAsia"/>
          <w:b/>
          <w:bCs/>
          <w:sz w:val="28"/>
        </w:rPr>
        <w:t>（需提供承诺书，并加盖公章）</w:t>
      </w:r>
      <w:r>
        <w:rPr>
          <w:rFonts w:hint="eastAsia" w:asciiTheme="minorEastAsia" w:hAnsiTheme="minorEastAsia" w:eastAsiaTheme="minorEastAsia" w:cstheme="minorEastAsia"/>
          <w:b/>
          <w:bCs/>
          <w:sz w:val="28"/>
          <w:lang w:eastAsia="zh-CN"/>
        </w:rPr>
        <w:t>。</w:t>
      </w:r>
    </w:p>
    <w:p w14:paraId="57073B5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本项目建设过程中使用的人工、辅材等费用及对接、适配产生的所有费用（包括对接和适配各类软件及硬件系统等）均包含在项目报价中。</w:t>
      </w:r>
    </w:p>
    <w:p w14:paraId="5460BA3C">
      <w:pPr>
        <w:pStyle w:val="6"/>
        <w:spacing w:line="288" w:lineRule="auto"/>
        <w:ind w:left="0" w:leftChars="0" w:firstLine="562" w:firstLineChars="200"/>
        <w:outlineLvl w:val="1"/>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lang w:val="en-US" w:eastAsia="zh-CN"/>
        </w:rPr>
        <w:t>1.</w:t>
      </w:r>
      <w:r>
        <w:rPr>
          <w:rFonts w:hint="eastAsia" w:asciiTheme="minorEastAsia" w:hAnsiTheme="minorEastAsia" w:eastAsiaTheme="minorEastAsia" w:cstheme="minorEastAsia"/>
          <w:b/>
          <w:bCs/>
          <w:sz w:val="28"/>
        </w:rPr>
        <w:t>具体实施内容（包括但不限于以下内容）</w:t>
      </w:r>
    </w:p>
    <w:p w14:paraId="7B41020C">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1</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数据支撑平台升级改造</w:t>
      </w:r>
    </w:p>
    <w:p w14:paraId="62573D74">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须基于宁夏监狱现有的数据支持平台，依据技术方案要求，提供完整的数据支撑平台升级改造服务。依据司法部发布的《监狱罪犯基础数据元和代码集》（SF/T0054—2024），梳理出已有数据表与上述标准的差异清单，包括但不限于漏项、数据名称和格式不一致等，设计各监狱需要填报的数据表单，为打造全省上下贯通、业务协同、数据融合的标准化数据，完善统一的数据上报机制，各监狱通过统一的数据上报规则进行业务数据填报，实现依据上述标准完整准确向司法部上报数据。同时，响应局机关计划建设的综合业务平台的目标，需全面接入将依照司法部标准建设的综合业务平台的全部数据，将其作为数据支撑平台的的主要数据来源，从而提高数据质量和数据完整度，为数据应用提供有效支撑。</w:t>
      </w:r>
    </w:p>
    <w:p w14:paraId="0E6434CB">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2</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智能化移动警务终端</w:t>
      </w:r>
    </w:p>
    <w:p w14:paraId="4EEFDF9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符合国家相关安全标准要求，需满足司法行政移动执法系统技术规范标准，通过公安部安全与警用电子产品质量检测中心检测。移动警务终端为定制双系统终端，满足移动办公、移动执法场景需要，提供警务所需的安全特性以及业务定制需求，非生活模式确保适配全区监狱系统当前正在使用的APP，保证本项目服务期新开发部署的APP正常使用。</w:t>
      </w:r>
    </w:p>
    <w:p w14:paraId="06D0D78A">
      <w:pPr>
        <w:spacing w:line="288" w:lineRule="auto"/>
        <w:ind w:firstLine="562"/>
        <w:rPr>
          <w:rFonts w:asciiTheme="minorEastAsia" w:hAnsiTheme="minorEastAsia" w:eastAsiaTheme="minorEastAsia" w:cstheme="minorEastAsia"/>
          <w:sz w:val="28"/>
          <w:highlight w:val="none"/>
        </w:rPr>
      </w:pPr>
      <w:r>
        <w:rPr>
          <w:rFonts w:hint="eastAsia" w:asciiTheme="minorEastAsia" w:hAnsiTheme="minorEastAsia" w:eastAsiaTheme="minorEastAsia" w:cstheme="minorEastAsia"/>
          <w:b/>
          <w:bCs/>
          <w:sz w:val="28"/>
          <w:highlight w:val="none"/>
        </w:rPr>
        <w:t>投标人需承诺在采购人限定的时间内（自签订合同后30日内）交付全部终端。</w:t>
      </w:r>
    </w:p>
    <w:p w14:paraId="346A4982">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3</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部署环境</w:t>
      </w:r>
    </w:p>
    <w:p w14:paraId="39A78E2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需根据功能需求提供本期项目涉及的所有系统部署所需服务器、存储、操作系统、中间件、数据库、专线链路、机房环境等软硬件资源；阐述技术路线、性能指标、实现方式等，确保网络安全畅通，保证实现平台各项功能。</w:t>
      </w:r>
    </w:p>
    <w:p w14:paraId="3B080AF0">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4</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云计算服务能力</w:t>
      </w:r>
    </w:p>
    <w:p w14:paraId="3687F8A5">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投标人需按要求提供云计算服务，对服务能力进行详细阐述，并针对使用和数据备份提出等提出具体方案，满足服务期内招标人业务应用和数据安全需要。</w:t>
      </w:r>
    </w:p>
    <w:p w14:paraId="54246256">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5</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安全保障</w:t>
      </w:r>
    </w:p>
    <w:p w14:paraId="2D04D02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在项目部署实施和运行过程中，严格贯彻落实国家安全理念，投标人需按《中华人民共和国网络安全法》及相关部门</w:t>
      </w:r>
      <w:r>
        <w:rPr>
          <w:rFonts w:hint="eastAsia" w:asciiTheme="minorEastAsia" w:hAnsiTheme="minorEastAsia" w:eastAsiaTheme="minorEastAsia" w:cstheme="minorEastAsia"/>
          <w:sz w:val="28"/>
          <w:highlight w:val="none"/>
        </w:rPr>
        <w:t>有关信息系统等级保护的要求，确</w:t>
      </w:r>
      <w:r>
        <w:rPr>
          <w:rFonts w:hint="eastAsia" w:asciiTheme="minorEastAsia" w:hAnsiTheme="minorEastAsia" w:eastAsiaTheme="minorEastAsia" w:cstheme="minorEastAsia"/>
          <w:sz w:val="28"/>
        </w:rPr>
        <w:t>保项目整体安全可控，保证不发生网络安全事件和失泄密事件。</w:t>
      </w:r>
    </w:p>
    <w:p w14:paraId="22427923">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2.</w:t>
      </w:r>
      <w:r>
        <w:rPr>
          <w:rFonts w:hint="eastAsia" w:asciiTheme="minorEastAsia" w:hAnsiTheme="minorEastAsia" w:eastAsiaTheme="minorEastAsia" w:cstheme="minorEastAsia"/>
          <w:b/>
          <w:bCs/>
          <w:sz w:val="28"/>
        </w:rPr>
        <w:t>交付和验收</w:t>
      </w:r>
    </w:p>
    <w:p w14:paraId="0FC39CA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项目工期：</w:t>
      </w:r>
      <w:r>
        <w:rPr>
          <w:rFonts w:hint="eastAsia" w:asciiTheme="minorEastAsia" w:hAnsiTheme="minorEastAsia" w:eastAsiaTheme="minorEastAsia" w:cstheme="minorEastAsia"/>
          <w:sz w:val="28"/>
          <w:highlight w:val="none"/>
        </w:rPr>
        <w:t>合同签订之日起30个自然日内交</w:t>
      </w:r>
      <w:r>
        <w:rPr>
          <w:rFonts w:hint="eastAsia" w:asciiTheme="minorEastAsia" w:hAnsiTheme="minorEastAsia" w:eastAsiaTheme="minorEastAsia" w:cstheme="minorEastAsia"/>
          <w:sz w:val="28"/>
        </w:rPr>
        <w:t>付智能化移动警务终端，合同签订之日起90个自然日内交付项目全部服务内容。</w:t>
      </w:r>
    </w:p>
    <w:p w14:paraId="79A1CC16">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1</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试运行</w:t>
      </w:r>
    </w:p>
    <w:p w14:paraId="20F6593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本项目试运行前，投标人应当对本项目所包含的全部硬件设备、材料、软件系统等进行检验和测试。本项目部署调试完毕后应当进行为期30日的试运行。如因投标人原因导致系统在试运行期间出现故障的，投标人应当及时排除并承担相应的费用。试运行达到设计要求经招标人认可后视为试运行通过，方可提请交付验收。</w:t>
      </w:r>
    </w:p>
    <w:p w14:paraId="24AD7FDF">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2</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交付</w:t>
      </w:r>
    </w:p>
    <w:p w14:paraId="009390D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投标人应当按照招标文件所列全部内容进行交付，所交付的文档与文件应当包括纸质及电子版式并可供阅读。投标人应当在项目交付3个工作日前以书面方式通知招标人。</w:t>
      </w:r>
    </w:p>
    <w:p w14:paraId="70C6B5E5">
      <w:pPr>
        <w:spacing w:line="288" w:lineRule="auto"/>
        <w:ind w:firstLine="562"/>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lang w:val="en-US" w:eastAsia="zh-CN"/>
        </w:rPr>
        <w:t>3</w:t>
      </w:r>
      <w:r>
        <w:rPr>
          <w:rFonts w:hint="eastAsia" w:asciiTheme="minorEastAsia" w:hAnsiTheme="minorEastAsia" w:eastAsiaTheme="minorEastAsia" w:cstheme="minorEastAsia"/>
          <w:b/>
          <w:bCs/>
          <w:sz w:val="28"/>
          <w:lang w:eastAsia="zh-CN"/>
        </w:rPr>
        <w:t>）</w:t>
      </w:r>
      <w:r>
        <w:rPr>
          <w:rFonts w:hint="eastAsia" w:asciiTheme="minorEastAsia" w:hAnsiTheme="minorEastAsia" w:eastAsiaTheme="minorEastAsia" w:cstheme="minorEastAsia"/>
          <w:b/>
          <w:bCs/>
          <w:sz w:val="28"/>
        </w:rPr>
        <w:t>验收</w:t>
      </w:r>
    </w:p>
    <w:p w14:paraId="66A014F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投标人签订合同后90个工作日内完成本项目全部实施内容，向招标人提交完整的验收资料，以书面方式向招标人提交验收申请。招标人在接到投标人提交的验收申请7日内组织相关人员对整体项目进行验收，验收通过后出具相应的项目验收报告。</w:t>
      </w:r>
    </w:p>
    <w:p w14:paraId="2E57FED1">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本项目验收标准为：投标人完成本项目范围内全部服务内容，各项功能达到并满足招标文件的要求。系统调试正常，运行情况良好，技术资料准备齐全，向招标人提供完整的验收资料（包括但不限于项目有关的试运行报告、操作手册、用户手册），并协助招标人进行验收。招标人提出整改意见的，投标人应当及时整改并承担由自身原因造成整改的费用。</w:t>
      </w:r>
    </w:p>
    <w:p w14:paraId="53F6BE48">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验收后，招标人可根据需要委托具有相应检测资质和测评能力的第三方对投标人交付的信息系统进行软件测评或安全检测。如有缺陷，投标人应当及时整改并承担相应整改费用。招标人委托第三方机构进行测评产生的费用不包含在本项目范围内。</w:t>
      </w:r>
    </w:p>
    <w:p w14:paraId="00441B8B">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3.</w:t>
      </w:r>
      <w:r>
        <w:rPr>
          <w:rFonts w:hint="eastAsia" w:asciiTheme="minorEastAsia" w:hAnsiTheme="minorEastAsia" w:eastAsiaTheme="minorEastAsia" w:cstheme="minorEastAsia"/>
          <w:b/>
          <w:bCs/>
          <w:sz w:val="28"/>
        </w:rPr>
        <w:t>实施地点</w:t>
      </w:r>
    </w:p>
    <w:p w14:paraId="5374D61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自治区监狱管理局及下辖7所监狱。</w:t>
      </w:r>
    </w:p>
    <w:p w14:paraId="653A5F2F">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4.</w:t>
      </w:r>
      <w:r>
        <w:rPr>
          <w:rFonts w:hint="eastAsia" w:asciiTheme="minorEastAsia" w:hAnsiTheme="minorEastAsia" w:eastAsiaTheme="minorEastAsia" w:cstheme="minorEastAsia"/>
          <w:b/>
          <w:bCs/>
          <w:sz w:val="28"/>
        </w:rPr>
        <w:t>培训</w:t>
      </w:r>
    </w:p>
    <w:p w14:paraId="288F6A86">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成交供应商需提供本项目所有硬件设备和软件系统的免费培训服务。投标人需根据项目需求编制培训方案，包括培训目标、培训计划、培训师资量、培训课程、培训教材、培训质量保证措施等内容。</w:t>
      </w:r>
    </w:p>
    <w:p w14:paraId="4E0BAE21">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5.</w:t>
      </w:r>
      <w:r>
        <w:rPr>
          <w:rFonts w:hint="eastAsia" w:asciiTheme="minorEastAsia" w:hAnsiTheme="minorEastAsia" w:eastAsiaTheme="minorEastAsia" w:cstheme="minorEastAsia"/>
          <w:b/>
          <w:bCs/>
          <w:sz w:val="28"/>
        </w:rPr>
        <w:t>文档编制要求</w:t>
      </w:r>
    </w:p>
    <w:p w14:paraId="009BC2AA">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按照国标编制与交付平台相配套的全套文档，包括但不限于需求分析说明书、概要设计说明书、详细设计说明书、数据库设计说明书、接口文档、系统管理员手册、用户使用手册、安装部署手册、维护手册、配置手册等。</w:t>
      </w:r>
    </w:p>
    <w:p w14:paraId="14E1C5A5">
      <w:pPr>
        <w:spacing w:line="288" w:lineRule="auto"/>
        <w:ind w:firstLine="562"/>
        <w:rPr>
          <w:rFonts w:asciiTheme="minorEastAsia" w:hAnsiTheme="minorEastAsia" w:eastAsiaTheme="minorEastAsia" w:cstheme="minorEastAsia"/>
          <w:sz w:val="28"/>
        </w:rPr>
      </w:pPr>
      <w:r>
        <w:rPr>
          <w:rFonts w:hint="eastAsia" w:asciiTheme="minorEastAsia" w:hAnsiTheme="minorEastAsia" w:eastAsiaTheme="minorEastAsia" w:cstheme="minorEastAsia"/>
          <w:b/>
          <w:bCs/>
          <w:sz w:val="28"/>
        </w:rPr>
        <w:t>投标人在实施方案中须针对上述要求，列出实现所有功能要求各环节对应的详细实施计划和时间节点。实施方案包括但不限于总体架构、技术线路、架构图、拓扑图、各系统功能设计和性能保障等。</w:t>
      </w:r>
    </w:p>
    <w:p w14:paraId="3E6D0FDD">
      <w:pPr>
        <w:spacing w:line="288" w:lineRule="auto"/>
        <w:ind w:firstLine="560"/>
        <w:outlineLvl w:val="1"/>
        <w:rPr>
          <w:rFonts w:asciiTheme="minorEastAsia" w:hAnsiTheme="minorEastAsia" w:eastAsiaTheme="minorEastAsia" w:cstheme="minorEastAsia"/>
          <w:sz w:val="28"/>
        </w:rPr>
      </w:pPr>
      <w:r>
        <w:rPr>
          <w:rFonts w:hint="eastAsia" w:asciiTheme="minorEastAsia" w:hAnsiTheme="minorEastAsia" w:eastAsiaTheme="minorEastAsia" w:cstheme="minorEastAsia"/>
          <w:sz w:val="28"/>
          <w:lang w:eastAsia="zh-CN"/>
        </w:rPr>
        <w:t>（二）</w:t>
      </w:r>
      <w:r>
        <w:rPr>
          <w:rFonts w:hint="eastAsia" w:asciiTheme="minorEastAsia" w:hAnsiTheme="minorEastAsia" w:eastAsiaTheme="minorEastAsia" w:cstheme="minorEastAsia"/>
          <w:sz w:val="28"/>
        </w:rPr>
        <w:t>服务保障</w:t>
      </w:r>
    </w:p>
    <w:p w14:paraId="64AF4C97">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1.</w:t>
      </w:r>
      <w:r>
        <w:rPr>
          <w:rFonts w:hint="eastAsia" w:asciiTheme="minorEastAsia" w:hAnsiTheme="minorEastAsia" w:eastAsiaTheme="minorEastAsia" w:cstheme="minorEastAsia"/>
          <w:b/>
          <w:bCs/>
          <w:sz w:val="28"/>
        </w:rPr>
        <w:t>7×24小时运行保障服务</w:t>
      </w:r>
    </w:p>
    <w:p w14:paraId="598BBE9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系统运行需配套建立7×24小时运行保障体系加以支撑，以保障系统全时间段无故障不间断正常运转。7×24小时运行保障服务指建立7×24小时运行保障体系，并提供与之配套的服务，具体包括：投标人设立服务热线，并安排足额的维护人员（2人以上含2人）提供7×24小时电话、远程、电子邮件响应和解答等前台服务。投标人安排具备运行保障能力的工程师提供后台技术支撑服务，前台无法处理的事件及时交于后台处理。紧急事件应立即做出响应，并在1小时内给予解决；一般事件应在1小时内做出响应和安排，并在4小时内给予解决。如事件处理需赴现场，投标人应在采购方要求的时限内安排工程师到达现场解决。</w:t>
      </w:r>
    </w:p>
    <w:p w14:paraId="47C4DF11">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2.</w:t>
      </w:r>
      <w:r>
        <w:rPr>
          <w:rFonts w:hint="eastAsia" w:asciiTheme="minorEastAsia" w:hAnsiTheme="minorEastAsia" w:eastAsiaTheme="minorEastAsia" w:cstheme="minorEastAsia"/>
          <w:b/>
          <w:bCs/>
          <w:sz w:val="28"/>
        </w:rPr>
        <w:t>驻场服务</w:t>
      </w:r>
    </w:p>
    <w:p w14:paraId="46EEFA8F">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服务期内投标人需提供2名人员，其中1人驻场运维。驻场服务指投标人安排项目主要技术人员至采购方指定场地日常工作，包括开发、测试、调试、试运行等与项目建设相关的工作，对采购方合理要求做出实时响应和支持。</w:t>
      </w:r>
    </w:p>
    <w:p w14:paraId="126AB036">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3.</w:t>
      </w:r>
      <w:r>
        <w:rPr>
          <w:rFonts w:hint="eastAsia" w:asciiTheme="minorEastAsia" w:hAnsiTheme="minorEastAsia" w:eastAsiaTheme="minorEastAsia" w:cstheme="minorEastAsia"/>
          <w:b/>
          <w:bCs/>
          <w:sz w:val="28"/>
        </w:rPr>
        <w:t>免费维护服务</w:t>
      </w:r>
    </w:p>
    <w:p w14:paraId="40A734BC">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免费维保期</w:t>
      </w:r>
      <w:r>
        <w:rPr>
          <w:rFonts w:hint="eastAsia" w:asciiTheme="minorEastAsia" w:hAnsiTheme="minorEastAsia" w:eastAsiaTheme="minorEastAsia" w:cstheme="minorEastAsia"/>
          <w:b/>
          <w:bCs/>
          <w:sz w:val="28"/>
        </w:rPr>
        <w:t>三年</w:t>
      </w:r>
      <w:r>
        <w:rPr>
          <w:rFonts w:hint="eastAsia" w:asciiTheme="minorEastAsia" w:hAnsiTheme="minorEastAsia" w:eastAsiaTheme="minorEastAsia" w:cstheme="minorEastAsia"/>
          <w:sz w:val="28"/>
        </w:rPr>
        <w:t>，自本项目终验通过之日起计算。投标人需提供免费维护服务及相关协议。</w:t>
      </w:r>
    </w:p>
    <w:p w14:paraId="194C9E13">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t>免费维护服务包括但不限于以下内容：</w:t>
      </w:r>
    </w:p>
    <w:p w14:paraId="144B5109">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lang w:val="en-US" w:eastAsia="zh-CN"/>
        </w:rPr>
        <w:t>1</w:t>
      </w: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rPr>
        <w:t>为保证系统正常运行所需的预防性维护、日常维护支持等，包括每季度进行一次系统巡检并出具巡检报告，每个月出具系统运行状况报告。</w:t>
      </w:r>
    </w:p>
    <w:p w14:paraId="7DB463B2">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lang w:val="en-US" w:eastAsia="zh-CN"/>
        </w:rPr>
        <w:t>2</w:t>
      </w: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rPr>
        <w:t>投标人以电话、电子邮件等形式为采购方提供免费咨询服务，对采购方合理要求做出实时响应和支持，并及时给予答复和解决；如果远程服务无法解决采购方要求，投标人应立即派遣项目技术人员用最快捷的交通工具前往现场，提供免费现场技术支持服务。</w:t>
      </w:r>
    </w:p>
    <w:p w14:paraId="62663870">
      <w:pPr>
        <w:spacing w:line="288" w:lineRule="auto"/>
        <w:ind w:firstLine="560"/>
        <w:rPr>
          <w:rFonts w:asciiTheme="minorEastAsia" w:hAnsiTheme="minorEastAsia" w:eastAsiaTheme="minorEastAsia" w:cstheme="minorEastAsia"/>
          <w:sz w:val="28"/>
        </w:rPr>
      </w:pP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lang w:val="en-US" w:eastAsia="zh-CN"/>
        </w:rPr>
        <w:t>3</w:t>
      </w:r>
      <w:r>
        <w:rPr>
          <w:rFonts w:hint="eastAsia" w:asciiTheme="minorEastAsia" w:hAnsiTheme="minorEastAsia" w:eastAsiaTheme="minorEastAsia" w:cstheme="minorEastAsia"/>
          <w:sz w:val="28"/>
          <w:lang w:eastAsia="zh-CN"/>
        </w:rPr>
        <w:t>）</w:t>
      </w:r>
      <w:r>
        <w:rPr>
          <w:rFonts w:hint="eastAsia" w:asciiTheme="minorEastAsia" w:hAnsiTheme="minorEastAsia" w:eastAsiaTheme="minorEastAsia" w:cstheme="minorEastAsia"/>
          <w:sz w:val="28"/>
        </w:rPr>
        <w:t>投标人应向采购方承诺针对其提供的所有产品进行免费维修、维护和缺陷修复，并根据采购方需求免费提供产品修改、补充、完善和升级服务。</w:t>
      </w:r>
    </w:p>
    <w:p w14:paraId="4877E869">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4.</w:t>
      </w:r>
      <w:r>
        <w:rPr>
          <w:rFonts w:hint="eastAsia" w:asciiTheme="minorEastAsia" w:hAnsiTheme="minorEastAsia" w:eastAsiaTheme="minorEastAsia" w:cstheme="minorEastAsia"/>
          <w:b/>
          <w:bCs/>
          <w:sz w:val="28"/>
        </w:rPr>
        <w:t>对本项目所覆盖的区域通讯网络质量提供相应保障措施，确保本项目覆盖范围内通讯网络正常，针对招标人反映的通话、上网等异常情况，有具体保障措施。</w:t>
      </w:r>
    </w:p>
    <w:p w14:paraId="6BCA14F5">
      <w:pPr>
        <w:spacing w:line="288" w:lineRule="auto"/>
        <w:ind w:firstLine="562"/>
        <w:outlineLvl w:val="1"/>
        <w:rPr>
          <w:rFonts w:asciiTheme="minorEastAsia" w:hAnsiTheme="minorEastAsia" w:eastAsiaTheme="minorEastAsia" w:cstheme="minorEastAsia"/>
          <w:b/>
          <w:bCs/>
          <w:sz w:val="28"/>
        </w:rPr>
      </w:pPr>
      <w:r>
        <w:rPr>
          <w:rFonts w:hint="eastAsia" w:asciiTheme="minorEastAsia" w:hAnsiTheme="minorEastAsia" w:eastAsiaTheme="minorEastAsia" w:cstheme="minorEastAsia"/>
          <w:b/>
          <w:bCs/>
          <w:sz w:val="28"/>
          <w:lang w:val="en-US" w:eastAsia="zh-CN"/>
        </w:rPr>
        <w:t>5.</w:t>
      </w:r>
      <w:r>
        <w:rPr>
          <w:rFonts w:hint="eastAsia" w:asciiTheme="minorEastAsia" w:hAnsiTheme="minorEastAsia" w:eastAsiaTheme="minorEastAsia" w:cstheme="minorEastAsia"/>
          <w:b/>
          <w:bCs/>
          <w:sz w:val="28"/>
        </w:rPr>
        <w:t>投标人所投主要软件厂商，都应提供针对本项目的后续开发证明承诺书，保证对软件的后续开发、部分功能根据实际情况调整和长期维护，对系统功能能够按照需求进行客户化二次扩展开发，满足招标人服务期内需求。</w:t>
      </w:r>
    </w:p>
    <w:p w14:paraId="6007BDB9">
      <w:pPr>
        <w:spacing w:line="288" w:lineRule="auto"/>
        <w:ind w:firstLine="560"/>
        <w:rPr>
          <w:rFonts w:asciiTheme="minorEastAsia" w:hAnsiTheme="minorEastAsia" w:eastAsiaTheme="minorEastAsia" w:cstheme="minorEastAsia"/>
        </w:rPr>
      </w:pPr>
      <w:r>
        <w:rPr>
          <w:rFonts w:hint="eastAsia" w:asciiTheme="minorEastAsia" w:hAnsiTheme="minorEastAsia" w:eastAsiaTheme="minorEastAsia" w:cstheme="minorEastAsia"/>
          <w:sz w:val="28"/>
        </w:rPr>
        <w:t>投标人须根据项目要求编制售后服务方案，售后服务方案内容包括但不限于：服务承诺及条款（包含售后服务承诺函）；服务响应方案；备品（易耗品）供应方案；服务人员配备；应急措施；质保外服务措施等。</w:t>
      </w:r>
    </w:p>
    <w:p w14:paraId="6F90065A"/>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ngLiUfalt">
    <w:altName w:val="Adobe 明體 Std L"/>
    <w:panose1 w:val="00000000000000000000"/>
    <w:charset w:val="88"/>
    <w:family w:val="modern"/>
    <w:pitch w:val="default"/>
    <w:sig w:usb0="00000000" w:usb1="00000000" w:usb2="00000010" w:usb3="00000000" w:csb0="00100000" w:csb1="00000000"/>
  </w:font>
  <w:font w:name="Adobe 明體 Std L">
    <w:panose1 w:val="02020300000000000000"/>
    <w:charset w:val="88"/>
    <w:family w:val="auto"/>
    <w:pitch w:val="default"/>
    <w:sig w:usb0="00000001" w:usb1="1A0F1900" w:usb2="00000016" w:usb3="00000000" w:csb0="00120005"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BB11B8"/>
    <w:multiLevelType w:val="multilevel"/>
    <w:tmpl w:val="E7BB11B8"/>
    <w:lvl w:ilvl="0" w:tentative="0">
      <w:start w:val="1"/>
      <w:numFmt w:val="decimal"/>
      <w:lvlText w:val="%1"/>
      <w:lvlJc w:val="left"/>
      <w:pPr>
        <w:ind w:left="420" w:hanging="420"/>
      </w:pPr>
      <w:rPr>
        <w:rFonts w:hint="default"/>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F77F8D69"/>
    <w:multiLevelType w:val="singleLevel"/>
    <w:tmpl w:val="F77F8D69"/>
    <w:lvl w:ilvl="0" w:tentative="0">
      <w:start w:val="1"/>
      <w:numFmt w:val="decimal"/>
      <w:suff w:val="nothing"/>
      <w:lvlText w:val="%1．"/>
      <w:lvlJc w:val="left"/>
      <w:pPr>
        <w:ind w:left="0" w:firstLine="403"/>
      </w:pPr>
      <w:rPr>
        <w:rFonts w:hint="default"/>
      </w:rPr>
    </w:lvl>
  </w:abstractNum>
  <w:abstractNum w:abstractNumId="2">
    <w:nsid w:val="1AB24E14"/>
    <w:multiLevelType w:val="multilevel"/>
    <w:tmpl w:val="1AB24E14"/>
    <w:lvl w:ilvl="0" w:tentative="0">
      <w:start w:val="1"/>
      <w:numFmt w:val="decimal"/>
      <w:lvlText w:val="%1"/>
      <w:lvlJc w:val="left"/>
      <w:pPr>
        <w:ind w:left="420" w:hanging="420"/>
      </w:pPr>
      <w:rPr>
        <w:rFonts w:hint="default"/>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C2796D7"/>
    <w:multiLevelType w:val="singleLevel"/>
    <w:tmpl w:val="3C2796D7"/>
    <w:lvl w:ilvl="0" w:tentative="0">
      <w:start w:val="2"/>
      <w:numFmt w:val="chineseCounting"/>
      <w:suff w:val="nothing"/>
      <w:lvlText w:val="（%1）"/>
      <w:lvlJc w:val="left"/>
      <w:rPr>
        <w:rFonts w:hint="eastAsia"/>
      </w:rPr>
    </w:lvl>
  </w:abstractNum>
  <w:abstractNum w:abstractNumId="4">
    <w:nsid w:val="763229AB"/>
    <w:multiLevelType w:val="multilevel"/>
    <w:tmpl w:val="763229A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8D6CC8"/>
    <w:rsid w:val="31BD45AA"/>
    <w:rsid w:val="41616942"/>
    <w:rsid w:val="59E674C0"/>
    <w:rsid w:val="5AFF0507"/>
    <w:rsid w:val="7CFF50C5"/>
    <w:rsid w:val="D7FF2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5">
    <w:name w:val="heading 1"/>
    <w:basedOn w:val="1"/>
    <w:next w:val="1"/>
    <w:qFormat/>
    <w:uiPriority w:val="0"/>
    <w:pPr>
      <w:keepNext/>
      <w:keepLines/>
      <w:spacing w:before="340" w:after="330" w:line="578" w:lineRule="auto"/>
      <w:outlineLvl w:val="0"/>
    </w:pPr>
    <w:rPr>
      <w:rFonts w:ascii="Times New Roman" w:hAnsi="Times New Roman" w:cs="Times New Roman"/>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rFonts w:ascii="Arial" w:hAnsi="Arial" w:eastAsia="仿宋_GB2312" w:cs="Times New Roman"/>
      <w:szCs w:val="24"/>
    </w:rPr>
  </w:style>
  <w:style w:type="paragraph" w:styleId="3">
    <w:name w:val="Body Text Indent"/>
    <w:basedOn w:val="1"/>
    <w:next w:val="4"/>
    <w:qFormat/>
    <w:uiPriority w:val="0"/>
    <w:pPr>
      <w:spacing w:after="120"/>
      <w:ind w:left="420" w:leftChars="200"/>
    </w:pPr>
  </w:style>
  <w:style w:type="paragraph" w:styleId="4">
    <w:name w:val="toc 6"/>
    <w:basedOn w:val="1"/>
    <w:next w:val="1"/>
    <w:semiHidden/>
    <w:qFormat/>
    <w:uiPriority w:val="99"/>
    <w:pPr>
      <w:shd w:val="clear" w:color="auto" w:fill="FFFFFF"/>
      <w:spacing w:before="540" w:line="437" w:lineRule="exact"/>
      <w:jc w:val="distribute"/>
    </w:pPr>
    <w:rPr>
      <w:rFonts w:ascii="MingLiUfalt" w:hAnsi="MingLiUfalt" w:eastAsia="MingLiUfalt" w:cs="MingLiUfalt"/>
      <w:sz w:val="20"/>
      <w:szCs w:val="20"/>
    </w:rPr>
  </w:style>
  <w:style w:type="paragraph" w:styleId="6">
    <w:name w:val="List 2"/>
    <w:basedOn w:val="1"/>
    <w:qFormat/>
    <w:uiPriority w:val="0"/>
    <w:pPr>
      <w:ind w:left="100" w:leftChars="200" w:hanging="200" w:hangingChars="200"/>
    </w:pPr>
  </w:style>
  <w:style w:type="paragraph" w:styleId="7">
    <w:name w:val="footnote text"/>
    <w:basedOn w:val="1"/>
    <w:qFormat/>
    <w:uiPriority w:val="0"/>
    <w:pPr>
      <w:snapToGrid w:val="0"/>
      <w:jc w:val="left"/>
    </w:pPr>
    <w:rPr>
      <w:rFonts w:ascii="Times New Roman" w:hAnsi="Times New Roman" w:cs="Times New Roman"/>
      <w:sz w:val="18"/>
      <w:szCs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Table Paragraph"/>
    <w:basedOn w:val="1"/>
    <w:qFormat/>
    <w:uiPriority w:val="0"/>
    <w:pPr>
      <w:spacing w:line="360" w:lineRule="auto"/>
    </w:pPr>
    <w:rPr>
      <w:rFonts w:ascii="宋体" w:hAnsi="宋体" w:eastAsia="等线"/>
      <w:sz w:val="24"/>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7530</Words>
  <Characters>8001</Characters>
  <Lines>0</Lines>
  <Paragraphs>0</Paragraphs>
  <TotalTime>14</TotalTime>
  <ScaleCrop>false</ScaleCrop>
  <LinksUpToDate>false</LinksUpToDate>
  <CharactersWithSpaces>8024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2025-04-21T08:47:00Z</dcterms:created>
  <dc:creator>Administrator</dc:creator>
  <cp:lastModifiedBy>Administrator</cp:lastModifiedBy>
  <cp:lastPrinted>2025-04-21T06:38:00Z</cp:lastPrinted>
  <dcterms:modified xsi:type="dcterms:W3CDTF">2025-04-21T07:00:40Z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eyJoZGlkIjoiNjM2ZDI2MTk5MGI4NzQzYjE5OTFlNjk4ZTg5YWExZmIiLCJ1c2VySWQiOiIyNDg0ODExNDcifQ==</vt:lpwstr>
  </property>
  <property fmtid="{D5CDD505-2E9C-101B-9397-08002B2CF9AE}" pid="4" name="ICV">
    <vt:lpwstr>31F42590B975434A92A92D0936C0CF39_12</vt:lpwstr>
  </property>
</Properties>
</file>