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E2F1D">
      <w:pPr>
        <w:pageBreakBefore/>
        <w:spacing w:before="156" w:beforeLines="50" w:after="156" w:afterLines="50" w:line="440" w:lineRule="exact"/>
        <w:outlineLvl w:val="0"/>
        <w:rPr>
          <w:rFonts w:hint="eastAsia" w:ascii="宋体" w:hAnsi="宋体" w:eastAsia="宋体" w:cs="宋体"/>
          <w:bCs/>
          <w:szCs w:val="32"/>
        </w:rPr>
      </w:pPr>
      <w:r>
        <w:rPr>
          <w:rFonts w:hint="eastAsia" w:ascii="宋体" w:hAnsi="宋体" w:eastAsia="宋体" w:cs="宋体"/>
          <w:bCs/>
          <w:szCs w:val="32"/>
        </w:rPr>
        <w:t>附件：合同文本主要条款</w:t>
      </w:r>
    </w:p>
    <w:p w14:paraId="1EC0FA1E">
      <w:pPr>
        <w:pStyle w:val="4"/>
        <w:rPr>
          <w:rFonts w:hint="eastAsia"/>
        </w:rPr>
      </w:pPr>
      <w:bookmarkStart w:id="63" w:name="_GoBack"/>
      <w:bookmarkEnd w:id="63"/>
    </w:p>
    <w:p w14:paraId="7E0B540E">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甲方（采购人）：</w:t>
      </w:r>
      <w:r>
        <w:rPr>
          <w:rFonts w:hint="eastAsia" w:ascii="宋体" w:hAnsi="宋体" w:eastAsia="宋体" w:cs="宋体"/>
          <w:sz w:val="24"/>
          <w:u w:val="single"/>
        </w:rPr>
        <w:t xml:space="preserve">                </w:t>
      </w:r>
    </w:p>
    <w:p w14:paraId="6EC24786">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乙方（供货企业）：</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015AAA1">
      <w:pPr>
        <w:pStyle w:val="8"/>
        <w:spacing w:line="360" w:lineRule="auto"/>
        <w:ind w:firstLine="480"/>
        <w:rPr>
          <w:rFonts w:hint="eastAsia" w:ascii="宋体" w:hAnsi="宋体" w:eastAsia="宋体"/>
        </w:rPr>
      </w:pPr>
      <w:r>
        <w:rPr>
          <w:rFonts w:hint="eastAsia" w:ascii="宋体" w:hAnsi="宋体" w:eastAsia="宋体"/>
        </w:rPr>
        <w:t>根据《中华人民共和国政府采购法》、《中华人民共和国民法典》及四川思渠国际招标有限公司</w:t>
      </w:r>
      <w:r>
        <w:rPr>
          <w:rFonts w:hint="eastAsia" w:ascii="宋体" w:hAnsi="宋体" w:eastAsia="宋体"/>
          <w:u w:val="single"/>
        </w:rPr>
        <w:t xml:space="preserve">                     </w:t>
      </w:r>
      <w:r>
        <w:rPr>
          <w:rFonts w:hint="eastAsia" w:ascii="宋体" w:hAnsi="宋体" w:eastAsia="宋体"/>
        </w:rPr>
        <w:t>（采购项目）</w:t>
      </w:r>
      <w:r>
        <w:rPr>
          <w:rFonts w:hint="eastAsia" w:ascii="宋体" w:hAnsi="宋体" w:eastAsia="宋体"/>
          <w:u w:val="single"/>
        </w:rPr>
        <w:t xml:space="preserve">                     </w:t>
      </w:r>
      <w:r>
        <w:rPr>
          <w:rFonts w:hint="eastAsia" w:ascii="宋体" w:hAnsi="宋体" w:eastAsia="宋体"/>
        </w:rPr>
        <w:t>（项目编号）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352D2A2A">
      <w:pPr>
        <w:pStyle w:val="2"/>
        <w:spacing w:before="0" w:after="0" w:line="360" w:lineRule="auto"/>
        <w:ind w:firstLine="482"/>
        <w:rPr>
          <w:rFonts w:hint="eastAsia" w:ascii="宋体" w:hAnsi="宋体" w:eastAsia="宋体" w:cs="宋体"/>
          <w:sz w:val="24"/>
          <w:szCs w:val="24"/>
        </w:rPr>
      </w:pPr>
      <w:bookmarkStart w:id="0" w:name="_Toc363744974"/>
      <w:bookmarkStart w:id="1" w:name="_Toc407626787"/>
      <w:bookmarkStart w:id="2" w:name="_Toc443572457"/>
      <w:bookmarkStart w:id="3" w:name="_Toc444176110"/>
      <w:bookmarkStart w:id="4" w:name="_Toc217446107"/>
      <w:bookmarkStart w:id="5" w:name="_Toc377632486"/>
      <w:bookmarkStart w:id="6" w:name="_Toc361306996"/>
      <w:r>
        <w:rPr>
          <w:rFonts w:hint="eastAsia" w:ascii="宋体" w:hAnsi="宋体" w:eastAsia="宋体" w:cs="宋体"/>
          <w:sz w:val="24"/>
          <w:szCs w:val="24"/>
        </w:rPr>
        <w:t>一、合同货物</w:t>
      </w:r>
      <w:bookmarkEnd w:id="0"/>
      <w:bookmarkEnd w:id="1"/>
      <w:bookmarkEnd w:id="2"/>
      <w:bookmarkEnd w:id="3"/>
      <w:bookmarkEnd w:id="4"/>
      <w:bookmarkEnd w:id="5"/>
      <w:bookmarkEnd w:id="6"/>
    </w:p>
    <w:tbl>
      <w:tblPr>
        <w:tblStyle w:val="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9"/>
        <w:gridCol w:w="912"/>
        <w:gridCol w:w="1025"/>
        <w:gridCol w:w="569"/>
        <w:gridCol w:w="798"/>
        <w:gridCol w:w="798"/>
        <w:gridCol w:w="912"/>
        <w:gridCol w:w="912"/>
        <w:gridCol w:w="762"/>
        <w:gridCol w:w="999"/>
      </w:tblGrid>
      <w:tr w14:paraId="452662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1369" w:type="dxa"/>
            <w:tcBorders>
              <w:top w:val="single" w:color="auto" w:sz="4" w:space="0"/>
              <w:left w:val="single" w:color="auto" w:sz="4" w:space="0"/>
              <w:bottom w:val="single" w:color="auto" w:sz="4" w:space="0"/>
              <w:right w:val="single" w:color="auto" w:sz="4" w:space="0"/>
            </w:tcBorders>
            <w:noWrap w:val="0"/>
            <w:vAlign w:val="center"/>
          </w:tcPr>
          <w:p w14:paraId="5CFA6D0C">
            <w:pPr>
              <w:spacing w:line="360" w:lineRule="auto"/>
              <w:jc w:val="center"/>
              <w:rPr>
                <w:rFonts w:hint="eastAsia" w:ascii="宋体" w:hAnsi="宋体" w:eastAsia="宋体" w:cs="宋体"/>
                <w:sz w:val="24"/>
              </w:rPr>
            </w:pPr>
            <w:r>
              <w:rPr>
                <w:rFonts w:hint="eastAsia" w:ascii="宋体" w:hAnsi="宋体" w:eastAsia="宋体" w:cs="宋体"/>
                <w:sz w:val="24"/>
              </w:rPr>
              <w:t>货物名称(注册证名称)</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6EF4115A">
            <w:pPr>
              <w:spacing w:line="360" w:lineRule="auto"/>
              <w:jc w:val="center"/>
              <w:rPr>
                <w:rFonts w:hint="eastAsia" w:ascii="宋体" w:hAnsi="宋体" w:eastAsia="宋体" w:cs="宋体"/>
                <w:sz w:val="24"/>
              </w:rPr>
            </w:pPr>
            <w:r>
              <w:rPr>
                <w:rFonts w:hint="eastAsia" w:ascii="宋体" w:hAnsi="宋体" w:eastAsia="宋体" w:cs="宋体"/>
                <w:sz w:val="24"/>
              </w:rPr>
              <w:t>制造商</w:t>
            </w:r>
          </w:p>
        </w:tc>
        <w:tc>
          <w:tcPr>
            <w:tcW w:w="1025" w:type="dxa"/>
            <w:tcBorders>
              <w:top w:val="single" w:color="auto" w:sz="4" w:space="0"/>
              <w:left w:val="single" w:color="auto" w:sz="4" w:space="0"/>
              <w:bottom w:val="single" w:color="auto" w:sz="4" w:space="0"/>
              <w:right w:val="single" w:color="auto" w:sz="4" w:space="0"/>
            </w:tcBorders>
            <w:noWrap w:val="0"/>
            <w:vAlign w:val="center"/>
          </w:tcPr>
          <w:p w14:paraId="15886A60">
            <w:pPr>
              <w:spacing w:line="360" w:lineRule="auto"/>
              <w:jc w:val="center"/>
              <w:rPr>
                <w:rFonts w:hint="eastAsia" w:ascii="宋体" w:hAnsi="宋体" w:eastAsia="宋体" w:cs="宋体"/>
                <w:sz w:val="24"/>
              </w:rPr>
            </w:pPr>
            <w:r>
              <w:rPr>
                <w:rFonts w:hint="eastAsia" w:ascii="宋体" w:hAnsi="宋体" w:eastAsia="宋体" w:cs="宋体"/>
                <w:sz w:val="24"/>
              </w:rPr>
              <w:t>品牌</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1A2707DC">
            <w:pPr>
              <w:spacing w:line="360" w:lineRule="auto"/>
              <w:rPr>
                <w:rFonts w:hint="eastAsia" w:ascii="宋体" w:hAnsi="宋体" w:eastAsia="宋体" w:cs="宋体"/>
                <w:sz w:val="24"/>
              </w:rPr>
            </w:pPr>
            <w:r>
              <w:rPr>
                <w:rFonts w:hint="eastAsia" w:ascii="宋体" w:hAnsi="宋体" w:eastAsia="宋体" w:cs="宋体"/>
                <w:sz w:val="24"/>
              </w:rPr>
              <w:t>规格型号</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64BB9E04">
            <w:pPr>
              <w:spacing w:line="360" w:lineRule="auto"/>
              <w:jc w:val="center"/>
              <w:rPr>
                <w:rFonts w:hint="eastAsia" w:ascii="宋体" w:hAnsi="宋体" w:eastAsia="宋体" w:cs="宋体"/>
                <w:sz w:val="24"/>
              </w:rPr>
            </w:pPr>
            <w:r>
              <w:rPr>
                <w:rFonts w:hint="eastAsia" w:ascii="宋体" w:hAnsi="宋体" w:eastAsia="宋体" w:cs="宋体"/>
                <w:sz w:val="24"/>
              </w:rPr>
              <w:t>单位</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065D41E7">
            <w:pPr>
              <w:spacing w:line="360" w:lineRule="auto"/>
              <w:rPr>
                <w:rFonts w:hint="eastAsia" w:ascii="宋体" w:hAnsi="宋体" w:eastAsia="宋体" w:cs="宋体"/>
                <w:sz w:val="24"/>
              </w:rPr>
            </w:pPr>
            <w:r>
              <w:rPr>
                <w:rFonts w:hint="eastAsia" w:ascii="宋体" w:hAnsi="宋体" w:eastAsia="宋体" w:cs="宋体"/>
                <w:sz w:val="24"/>
              </w:rPr>
              <w:t>数量</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3F91F9B3">
            <w:pPr>
              <w:spacing w:line="360" w:lineRule="auto"/>
              <w:jc w:val="center"/>
              <w:rPr>
                <w:rFonts w:hint="eastAsia" w:ascii="宋体" w:hAnsi="宋体" w:eastAsia="宋体" w:cs="宋体"/>
                <w:sz w:val="24"/>
              </w:rPr>
            </w:pPr>
            <w:r>
              <w:rPr>
                <w:rFonts w:hint="eastAsia" w:ascii="宋体" w:hAnsi="宋体" w:eastAsia="宋体" w:cs="宋体"/>
                <w:sz w:val="24"/>
              </w:rPr>
              <w:t>单价</w:t>
            </w:r>
          </w:p>
          <w:p w14:paraId="54A7CCFC">
            <w:pPr>
              <w:spacing w:line="360" w:lineRule="auto"/>
              <w:jc w:val="center"/>
              <w:rPr>
                <w:rFonts w:hint="eastAsia" w:ascii="宋体" w:hAnsi="宋体" w:eastAsia="宋体" w:cs="宋体"/>
                <w:sz w:val="24"/>
              </w:rPr>
            </w:pPr>
            <w:r>
              <w:rPr>
                <w:rFonts w:hint="eastAsia" w:ascii="宋体" w:hAnsi="宋体" w:eastAsia="宋体" w:cs="宋体"/>
                <w:sz w:val="24"/>
              </w:rPr>
              <w:t>（万元）</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3A024BFE">
            <w:pPr>
              <w:spacing w:line="360" w:lineRule="auto"/>
              <w:rPr>
                <w:rFonts w:hint="eastAsia" w:ascii="宋体" w:hAnsi="宋体" w:eastAsia="宋体" w:cs="宋体"/>
                <w:sz w:val="24"/>
              </w:rPr>
            </w:pPr>
            <w:r>
              <w:rPr>
                <w:rFonts w:hint="eastAsia" w:ascii="宋体" w:hAnsi="宋体" w:eastAsia="宋体" w:cs="宋体"/>
                <w:sz w:val="24"/>
              </w:rPr>
              <w:t>总价</w:t>
            </w:r>
          </w:p>
          <w:p w14:paraId="12240813">
            <w:pPr>
              <w:spacing w:line="360" w:lineRule="auto"/>
              <w:rPr>
                <w:rFonts w:hint="eastAsia" w:ascii="宋体" w:hAnsi="宋体" w:eastAsia="宋体" w:cs="宋体"/>
                <w:sz w:val="24"/>
              </w:rPr>
            </w:pPr>
            <w:r>
              <w:rPr>
                <w:rFonts w:hint="eastAsia" w:ascii="宋体" w:hAnsi="宋体" w:eastAsia="宋体" w:cs="宋体"/>
                <w:sz w:val="24"/>
              </w:rPr>
              <w:t>（万元）</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15719955">
            <w:pPr>
              <w:spacing w:line="360" w:lineRule="auto"/>
              <w:jc w:val="center"/>
              <w:rPr>
                <w:rFonts w:hint="eastAsia" w:ascii="宋体" w:hAnsi="宋体" w:eastAsia="宋体" w:cs="宋体"/>
                <w:sz w:val="24"/>
              </w:rPr>
            </w:pPr>
            <w:r>
              <w:rPr>
                <w:rFonts w:hint="eastAsia" w:ascii="宋体" w:hAnsi="宋体" w:eastAsia="宋体" w:cs="宋体"/>
                <w:sz w:val="24"/>
              </w:rPr>
              <w:t>随机</w:t>
            </w:r>
          </w:p>
          <w:p w14:paraId="55C55DBD">
            <w:pPr>
              <w:spacing w:line="360" w:lineRule="auto"/>
              <w:jc w:val="center"/>
              <w:rPr>
                <w:rFonts w:hint="eastAsia" w:ascii="宋体" w:hAnsi="宋体" w:eastAsia="宋体" w:cs="宋体"/>
                <w:sz w:val="24"/>
              </w:rPr>
            </w:pPr>
            <w:r>
              <w:rPr>
                <w:rFonts w:hint="eastAsia" w:ascii="宋体" w:hAnsi="宋体" w:eastAsia="宋体" w:cs="宋体"/>
                <w:sz w:val="24"/>
              </w:rPr>
              <w:t>配件</w:t>
            </w:r>
          </w:p>
        </w:tc>
        <w:tc>
          <w:tcPr>
            <w:tcW w:w="999" w:type="dxa"/>
            <w:tcBorders>
              <w:top w:val="single" w:color="auto" w:sz="4" w:space="0"/>
              <w:left w:val="single" w:color="auto" w:sz="4" w:space="0"/>
              <w:bottom w:val="single" w:color="auto" w:sz="4" w:space="0"/>
              <w:right w:val="single" w:color="auto" w:sz="4" w:space="0"/>
            </w:tcBorders>
            <w:noWrap w:val="0"/>
            <w:vAlign w:val="center"/>
          </w:tcPr>
          <w:p w14:paraId="013383BE">
            <w:pPr>
              <w:spacing w:line="360" w:lineRule="auto"/>
              <w:rPr>
                <w:rFonts w:hint="eastAsia" w:ascii="宋体" w:hAnsi="宋体" w:eastAsia="宋体" w:cs="宋体"/>
                <w:sz w:val="24"/>
              </w:rPr>
            </w:pPr>
            <w:r>
              <w:rPr>
                <w:rFonts w:hint="eastAsia" w:ascii="宋体" w:hAnsi="宋体" w:eastAsia="宋体" w:cs="宋体"/>
                <w:sz w:val="24"/>
              </w:rPr>
              <w:t>交货期</w:t>
            </w:r>
          </w:p>
        </w:tc>
      </w:tr>
      <w:tr w14:paraId="1171FE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1369" w:type="dxa"/>
            <w:tcBorders>
              <w:top w:val="single" w:color="auto" w:sz="4" w:space="0"/>
              <w:left w:val="single" w:color="auto" w:sz="4" w:space="0"/>
              <w:bottom w:val="single" w:color="auto" w:sz="4" w:space="0"/>
              <w:right w:val="single" w:color="auto" w:sz="4" w:space="0"/>
            </w:tcBorders>
            <w:noWrap w:val="0"/>
            <w:vAlign w:val="center"/>
          </w:tcPr>
          <w:p w14:paraId="6A754F28">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912" w:type="dxa"/>
            <w:tcBorders>
              <w:top w:val="single" w:color="auto" w:sz="4" w:space="0"/>
              <w:left w:val="single" w:color="auto" w:sz="4" w:space="0"/>
              <w:bottom w:val="single" w:color="auto" w:sz="4" w:space="0"/>
              <w:right w:val="single" w:color="auto" w:sz="4" w:space="0"/>
            </w:tcBorders>
            <w:noWrap w:val="0"/>
            <w:vAlign w:val="top"/>
          </w:tcPr>
          <w:p w14:paraId="6EB4BC12">
            <w:pPr>
              <w:spacing w:line="360" w:lineRule="auto"/>
              <w:jc w:val="center"/>
              <w:rPr>
                <w:rFonts w:hint="eastAsia" w:ascii="宋体" w:hAnsi="宋体" w:eastAsia="宋体" w:cs="宋体"/>
                <w:sz w:val="24"/>
              </w:rPr>
            </w:pPr>
          </w:p>
        </w:tc>
        <w:tc>
          <w:tcPr>
            <w:tcW w:w="1025" w:type="dxa"/>
            <w:tcBorders>
              <w:top w:val="single" w:color="auto" w:sz="4" w:space="0"/>
              <w:left w:val="single" w:color="auto" w:sz="4" w:space="0"/>
              <w:bottom w:val="single" w:color="auto" w:sz="4" w:space="0"/>
              <w:right w:val="single" w:color="auto" w:sz="4" w:space="0"/>
            </w:tcBorders>
            <w:noWrap w:val="0"/>
            <w:vAlign w:val="center"/>
          </w:tcPr>
          <w:p w14:paraId="5DBD335E">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06D9B03E">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798" w:type="dxa"/>
            <w:tcBorders>
              <w:top w:val="single" w:color="auto" w:sz="4" w:space="0"/>
              <w:left w:val="single" w:color="auto" w:sz="4" w:space="0"/>
              <w:bottom w:val="single" w:color="auto" w:sz="4" w:space="0"/>
              <w:right w:val="single" w:color="auto" w:sz="4" w:space="0"/>
            </w:tcBorders>
            <w:noWrap w:val="0"/>
            <w:vAlign w:val="top"/>
          </w:tcPr>
          <w:p w14:paraId="6D505948">
            <w:pPr>
              <w:spacing w:line="360" w:lineRule="auto"/>
              <w:jc w:val="center"/>
              <w:rPr>
                <w:rFonts w:hint="eastAsia" w:ascii="宋体" w:hAnsi="宋体" w:eastAsia="宋体" w:cs="宋体"/>
                <w:sz w:val="24"/>
              </w:rPr>
            </w:pPr>
          </w:p>
        </w:tc>
        <w:tc>
          <w:tcPr>
            <w:tcW w:w="798" w:type="dxa"/>
            <w:tcBorders>
              <w:top w:val="single" w:color="auto" w:sz="4" w:space="0"/>
              <w:left w:val="single" w:color="auto" w:sz="4" w:space="0"/>
              <w:bottom w:val="single" w:color="auto" w:sz="4" w:space="0"/>
              <w:right w:val="single" w:color="auto" w:sz="4" w:space="0"/>
            </w:tcBorders>
            <w:noWrap w:val="0"/>
            <w:vAlign w:val="center"/>
          </w:tcPr>
          <w:p w14:paraId="1081A2EE">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0B86D8BF">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2BB89ECF">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40203003">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999" w:type="dxa"/>
            <w:tcBorders>
              <w:top w:val="single" w:color="auto" w:sz="4" w:space="0"/>
              <w:left w:val="single" w:color="auto" w:sz="4" w:space="0"/>
              <w:bottom w:val="single" w:color="auto" w:sz="4" w:space="0"/>
              <w:right w:val="single" w:color="auto" w:sz="4" w:space="0"/>
            </w:tcBorders>
            <w:noWrap w:val="0"/>
            <w:vAlign w:val="center"/>
          </w:tcPr>
          <w:p w14:paraId="1565175A">
            <w:pPr>
              <w:spacing w:line="360" w:lineRule="auto"/>
              <w:jc w:val="center"/>
              <w:rPr>
                <w:rFonts w:hint="eastAsia" w:ascii="宋体" w:hAnsi="宋体" w:eastAsia="宋体" w:cs="宋体"/>
                <w:sz w:val="24"/>
              </w:rPr>
            </w:pPr>
            <w:r>
              <w:rPr>
                <w:rFonts w:hint="eastAsia" w:ascii="宋体" w:hAnsi="宋体" w:eastAsia="宋体" w:cs="宋体"/>
                <w:sz w:val="24"/>
              </w:rPr>
              <w:t> </w:t>
            </w:r>
          </w:p>
        </w:tc>
      </w:tr>
      <w:tr w14:paraId="709093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1369" w:type="dxa"/>
            <w:tcBorders>
              <w:top w:val="single" w:color="auto" w:sz="4" w:space="0"/>
              <w:left w:val="single" w:color="auto" w:sz="4" w:space="0"/>
              <w:bottom w:val="single" w:color="auto" w:sz="4" w:space="0"/>
              <w:right w:val="single" w:color="auto" w:sz="4" w:space="0"/>
            </w:tcBorders>
            <w:noWrap w:val="0"/>
            <w:vAlign w:val="center"/>
          </w:tcPr>
          <w:p w14:paraId="51263219">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912" w:type="dxa"/>
            <w:tcBorders>
              <w:top w:val="single" w:color="auto" w:sz="4" w:space="0"/>
              <w:left w:val="single" w:color="auto" w:sz="4" w:space="0"/>
              <w:bottom w:val="single" w:color="auto" w:sz="4" w:space="0"/>
              <w:right w:val="single" w:color="auto" w:sz="4" w:space="0"/>
            </w:tcBorders>
            <w:noWrap w:val="0"/>
            <w:vAlign w:val="top"/>
          </w:tcPr>
          <w:p w14:paraId="184021D3">
            <w:pPr>
              <w:spacing w:line="360" w:lineRule="auto"/>
              <w:jc w:val="center"/>
              <w:rPr>
                <w:rFonts w:hint="eastAsia" w:ascii="宋体" w:hAnsi="宋体" w:eastAsia="宋体" w:cs="宋体"/>
                <w:sz w:val="24"/>
              </w:rPr>
            </w:pPr>
          </w:p>
        </w:tc>
        <w:tc>
          <w:tcPr>
            <w:tcW w:w="1025" w:type="dxa"/>
            <w:tcBorders>
              <w:top w:val="single" w:color="auto" w:sz="4" w:space="0"/>
              <w:left w:val="single" w:color="auto" w:sz="4" w:space="0"/>
              <w:bottom w:val="single" w:color="auto" w:sz="4" w:space="0"/>
              <w:right w:val="single" w:color="auto" w:sz="4" w:space="0"/>
            </w:tcBorders>
            <w:noWrap w:val="0"/>
            <w:vAlign w:val="center"/>
          </w:tcPr>
          <w:p w14:paraId="4D4E512A">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569" w:type="dxa"/>
            <w:tcBorders>
              <w:top w:val="single" w:color="auto" w:sz="4" w:space="0"/>
              <w:left w:val="single" w:color="auto" w:sz="4" w:space="0"/>
              <w:bottom w:val="single" w:color="auto" w:sz="4" w:space="0"/>
              <w:right w:val="single" w:color="auto" w:sz="4" w:space="0"/>
            </w:tcBorders>
            <w:noWrap w:val="0"/>
            <w:vAlign w:val="center"/>
          </w:tcPr>
          <w:p w14:paraId="79CA2658">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798" w:type="dxa"/>
            <w:tcBorders>
              <w:top w:val="single" w:color="auto" w:sz="4" w:space="0"/>
              <w:left w:val="single" w:color="auto" w:sz="4" w:space="0"/>
              <w:bottom w:val="single" w:color="auto" w:sz="4" w:space="0"/>
              <w:right w:val="single" w:color="auto" w:sz="4" w:space="0"/>
            </w:tcBorders>
            <w:noWrap w:val="0"/>
            <w:vAlign w:val="top"/>
          </w:tcPr>
          <w:p w14:paraId="62A2216A">
            <w:pPr>
              <w:spacing w:line="360" w:lineRule="auto"/>
              <w:jc w:val="center"/>
              <w:rPr>
                <w:rFonts w:hint="eastAsia" w:ascii="宋体" w:hAnsi="宋体" w:eastAsia="宋体" w:cs="宋体"/>
                <w:sz w:val="24"/>
              </w:rPr>
            </w:pPr>
          </w:p>
        </w:tc>
        <w:tc>
          <w:tcPr>
            <w:tcW w:w="798" w:type="dxa"/>
            <w:tcBorders>
              <w:top w:val="single" w:color="auto" w:sz="4" w:space="0"/>
              <w:left w:val="single" w:color="auto" w:sz="4" w:space="0"/>
              <w:bottom w:val="single" w:color="auto" w:sz="4" w:space="0"/>
              <w:right w:val="single" w:color="auto" w:sz="4" w:space="0"/>
            </w:tcBorders>
            <w:noWrap w:val="0"/>
            <w:vAlign w:val="center"/>
          </w:tcPr>
          <w:p w14:paraId="0D51D8DA">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05620ED4">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912" w:type="dxa"/>
            <w:tcBorders>
              <w:top w:val="single" w:color="auto" w:sz="4" w:space="0"/>
              <w:left w:val="single" w:color="auto" w:sz="4" w:space="0"/>
              <w:bottom w:val="single" w:color="auto" w:sz="4" w:space="0"/>
              <w:right w:val="single" w:color="auto" w:sz="4" w:space="0"/>
            </w:tcBorders>
            <w:noWrap w:val="0"/>
            <w:vAlign w:val="center"/>
          </w:tcPr>
          <w:p w14:paraId="556FA964">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64647BDF">
            <w:pPr>
              <w:spacing w:line="360" w:lineRule="auto"/>
              <w:jc w:val="center"/>
              <w:rPr>
                <w:rFonts w:hint="eastAsia" w:ascii="宋体" w:hAnsi="宋体" w:eastAsia="宋体" w:cs="宋体"/>
                <w:sz w:val="24"/>
              </w:rPr>
            </w:pPr>
            <w:r>
              <w:rPr>
                <w:rFonts w:hint="eastAsia" w:ascii="宋体" w:hAnsi="宋体" w:eastAsia="宋体" w:cs="宋体"/>
                <w:sz w:val="24"/>
              </w:rPr>
              <w:t> </w:t>
            </w:r>
          </w:p>
        </w:tc>
        <w:tc>
          <w:tcPr>
            <w:tcW w:w="999" w:type="dxa"/>
            <w:tcBorders>
              <w:top w:val="single" w:color="auto" w:sz="4" w:space="0"/>
              <w:left w:val="single" w:color="auto" w:sz="4" w:space="0"/>
              <w:bottom w:val="single" w:color="auto" w:sz="4" w:space="0"/>
              <w:right w:val="single" w:color="auto" w:sz="4" w:space="0"/>
            </w:tcBorders>
            <w:noWrap w:val="0"/>
            <w:vAlign w:val="center"/>
          </w:tcPr>
          <w:p w14:paraId="147B2A71">
            <w:pPr>
              <w:spacing w:line="360" w:lineRule="auto"/>
              <w:jc w:val="center"/>
              <w:rPr>
                <w:rFonts w:hint="eastAsia" w:ascii="宋体" w:hAnsi="宋体" w:eastAsia="宋体" w:cs="宋体"/>
                <w:sz w:val="24"/>
              </w:rPr>
            </w:pPr>
            <w:r>
              <w:rPr>
                <w:rFonts w:hint="eastAsia" w:ascii="宋体" w:hAnsi="宋体" w:eastAsia="宋体" w:cs="宋体"/>
                <w:sz w:val="24"/>
              </w:rPr>
              <w:t> </w:t>
            </w:r>
          </w:p>
        </w:tc>
      </w:tr>
    </w:tbl>
    <w:p w14:paraId="5FC34C24">
      <w:pPr>
        <w:pStyle w:val="2"/>
        <w:spacing w:before="0" w:after="0" w:line="360" w:lineRule="auto"/>
        <w:ind w:firstLine="482"/>
        <w:rPr>
          <w:rFonts w:hint="eastAsia" w:ascii="宋体" w:hAnsi="宋体" w:eastAsia="宋体" w:cs="宋体"/>
          <w:sz w:val="24"/>
          <w:szCs w:val="24"/>
        </w:rPr>
      </w:pPr>
      <w:bookmarkStart w:id="7" w:name="_Toc443572458"/>
      <w:bookmarkStart w:id="8" w:name="_Toc407626788"/>
      <w:bookmarkStart w:id="9" w:name="_Toc444176111"/>
      <w:bookmarkStart w:id="10" w:name="_Toc363744975"/>
      <w:bookmarkStart w:id="11" w:name="_Toc377632487"/>
      <w:bookmarkStart w:id="12" w:name="_Toc217446108"/>
      <w:bookmarkStart w:id="13" w:name="_Toc361306997"/>
      <w:r>
        <w:rPr>
          <w:rFonts w:hint="eastAsia" w:ascii="宋体" w:hAnsi="宋体" w:eastAsia="宋体" w:cs="宋体"/>
          <w:sz w:val="24"/>
          <w:szCs w:val="24"/>
        </w:rPr>
        <w:t>备注：主要技术参数及配置清单详见附件</w:t>
      </w:r>
    </w:p>
    <w:p w14:paraId="5F904A3B">
      <w:pPr>
        <w:pStyle w:val="2"/>
        <w:spacing w:before="0" w:after="0" w:line="360" w:lineRule="auto"/>
        <w:ind w:firstLine="482"/>
        <w:rPr>
          <w:rFonts w:hint="eastAsia" w:ascii="宋体" w:hAnsi="宋体" w:eastAsia="宋体" w:cs="宋体"/>
          <w:sz w:val="24"/>
          <w:szCs w:val="24"/>
        </w:rPr>
      </w:pPr>
      <w:r>
        <w:rPr>
          <w:rFonts w:hint="eastAsia" w:ascii="宋体" w:hAnsi="宋体" w:eastAsia="宋体" w:cs="宋体"/>
          <w:sz w:val="24"/>
          <w:szCs w:val="24"/>
        </w:rPr>
        <w:t>二、合同总价</w:t>
      </w:r>
      <w:bookmarkEnd w:id="7"/>
      <w:bookmarkEnd w:id="8"/>
      <w:bookmarkEnd w:id="9"/>
      <w:bookmarkEnd w:id="10"/>
      <w:bookmarkEnd w:id="11"/>
      <w:bookmarkEnd w:id="12"/>
      <w:bookmarkEnd w:id="13"/>
    </w:p>
    <w:p w14:paraId="7D0A60A5">
      <w:pPr>
        <w:pStyle w:val="3"/>
        <w:spacing w:line="360" w:lineRule="auto"/>
        <w:ind w:firstLineChars="175"/>
        <w:rPr>
          <w:rFonts w:hint="eastAsia" w:ascii="宋体" w:hAnsi="宋体" w:eastAsia="宋体" w:cs="宋体"/>
          <w:sz w:val="24"/>
          <w:szCs w:val="24"/>
        </w:rPr>
      </w:pPr>
      <w:r>
        <w:rPr>
          <w:rFonts w:hint="eastAsia" w:ascii="宋体" w:hAnsi="宋体" w:eastAsia="宋体" w:cs="宋体"/>
          <w:sz w:val="24"/>
          <w:szCs w:val="24"/>
        </w:rPr>
        <w:t>合同总价为人民币大写：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元，即RMB￥</w:t>
      </w:r>
      <w:r>
        <w:rPr>
          <w:rFonts w:hint="eastAsia" w:ascii="宋体" w:hAnsi="宋体" w:eastAsia="宋体" w:cs="宋体"/>
          <w:sz w:val="24"/>
          <w:szCs w:val="24"/>
          <w:u w:val="single"/>
        </w:rPr>
        <w:t xml:space="preserve">        </w:t>
      </w:r>
      <w:r>
        <w:rPr>
          <w:rFonts w:hint="eastAsia" w:ascii="宋体" w:hAnsi="宋体" w:eastAsia="宋体" w:cs="宋体"/>
          <w:sz w:val="24"/>
          <w:szCs w:val="24"/>
        </w:rPr>
        <w:t>元；该合同总价已包括货物设计、材料、制造、包装、运输、保险、安装、调试、检测、人工、税金、验收合格交付使用之前及质保期内保修服务与备用物件等所有其他有关各项的含税费用。本合同执行期间合同总价不变，甲方无须另向乙方支付本合同规定之外的其他任何费用。</w:t>
      </w:r>
    </w:p>
    <w:p w14:paraId="75C1AB1B">
      <w:pPr>
        <w:pStyle w:val="2"/>
        <w:spacing w:before="0" w:after="0" w:line="360" w:lineRule="auto"/>
        <w:ind w:firstLine="482"/>
        <w:rPr>
          <w:rFonts w:hint="eastAsia" w:ascii="宋体" w:hAnsi="宋体" w:eastAsia="宋体" w:cs="宋体"/>
          <w:sz w:val="24"/>
          <w:szCs w:val="24"/>
        </w:rPr>
      </w:pPr>
      <w:bookmarkStart w:id="14" w:name="_Toc363744976"/>
      <w:bookmarkStart w:id="15" w:name="_Toc377632488"/>
      <w:bookmarkStart w:id="16" w:name="_Toc407626789"/>
      <w:bookmarkStart w:id="17" w:name="_Toc443572459"/>
      <w:bookmarkStart w:id="18" w:name="_Toc361306998"/>
      <w:bookmarkStart w:id="19" w:name="_Toc217446109"/>
      <w:bookmarkStart w:id="20" w:name="_Toc444176112"/>
      <w:r>
        <w:rPr>
          <w:rFonts w:hint="eastAsia" w:ascii="宋体" w:hAnsi="宋体" w:eastAsia="宋体" w:cs="宋体"/>
          <w:sz w:val="24"/>
          <w:szCs w:val="24"/>
        </w:rPr>
        <w:t>三、质量要求</w:t>
      </w:r>
      <w:bookmarkEnd w:id="14"/>
      <w:bookmarkEnd w:id="15"/>
      <w:bookmarkEnd w:id="16"/>
      <w:bookmarkEnd w:id="17"/>
      <w:bookmarkEnd w:id="18"/>
      <w:bookmarkEnd w:id="19"/>
      <w:bookmarkEnd w:id="20"/>
    </w:p>
    <w:p w14:paraId="308E0ECF">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bCs/>
          <w:sz w:val="24"/>
        </w:rPr>
        <w:t>乙方</w:t>
      </w:r>
      <w:r>
        <w:rPr>
          <w:rFonts w:hint="eastAsia" w:ascii="宋体" w:hAnsi="宋体" w:eastAsia="宋体" w:cs="宋体"/>
          <w:sz w:val="24"/>
        </w:rPr>
        <w:t>须提供全新的货物（含零部件、配件），表面无划伤、无碰撞痕迹，且权属清楚，不得侵害他人的知识产权。</w:t>
      </w:r>
    </w:p>
    <w:p w14:paraId="43018914">
      <w:pPr>
        <w:spacing w:line="360" w:lineRule="auto"/>
        <w:ind w:firstLine="480" w:firstLineChars="200"/>
        <w:rPr>
          <w:rFonts w:hint="eastAsia" w:ascii="宋体" w:hAnsi="宋体" w:eastAsia="宋体" w:cs="宋体"/>
          <w:sz w:val="24"/>
        </w:rPr>
      </w:pPr>
      <w:r>
        <w:rPr>
          <w:rFonts w:hint="eastAsia" w:ascii="宋体" w:hAnsi="宋体" w:eastAsia="宋体" w:cs="宋体"/>
          <w:sz w:val="24"/>
        </w:rPr>
        <w:t>2、货物必须符合或优于国家（行业）标准，以及本项目招标文件的质量要求和技术指标与出厂标准。</w:t>
      </w:r>
    </w:p>
    <w:p w14:paraId="3E1FBFAF">
      <w:pPr>
        <w:spacing w:line="360" w:lineRule="auto"/>
        <w:ind w:firstLine="480" w:firstLineChars="200"/>
        <w:rPr>
          <w:rFonts w:hint="eastAsia" w:ascii="宋体" w:hAnsi="宋体" w:eastAsia="宋体" w:cs="宋体"/>
          <w:sz w:val="24"/>
        </w:rPr>
      </w:pPr>
      <w:r>
        <w:rPr>
          <w:rFonts w:hint="eastAsia" w:ascii="宋体" w:hAnsi="宋体" w:eastAsia="宋体" w:cs="宋体"/>
          <w:sz w:val="24"/>
        </w:rPr>
        <w:t>3、每台货物上均应有产品质量检验合格标志。</w:t>
      </w:r>
    </w:p>
    <w:p w14:paraId="0B2BEB37">
      <w:pPr>
        <w:spacing w:line="360" w:lineRule="auto"/>
        <w:ind w:firstLine="480" w:firstLineChars="200"/>
        <w:rPr>
          <w:rFonts w:hint="eastAsia" w:ascii="宋体" w:hAnsi="宋体" w:eastAsia="宋体" w:cs="宋体"/>
          <w:sz w:val="24"/>
        </w:rPr>
      </w:pPr>
      <w:r>
        <w:rPr>
          <w:rFonts w:hint="eastAsia" w:ascii="宋体" w:hAnsi="宋体" w:eastAsia="宋体" w:cs="宋体"/>
          <w:sz w:val="24"/>
        </w:rPr>
        <w:t>4、货物制造质量出现问题，</w:t>
      </w:r>
      <w:r>
        <w:rPr>
          <w:rFonts w:hint="eastAsia" w:ascii="宋体" w:hAnsi="宋体" w:eastAsia="宋体" w:cs="宋体"/>
          <w:bCs/>
          <w:sz w:val="24"/>
        </w:rPr>
        <w:t>乙方</w:t>
      </w:r>
      <w:r>
        <w:rPr>
          <w:rFonts w:hint="eastAsia" w:ascii="宋体" w:hAnsi="宋体" w:eastAsia="宋体" w:cs="宋体"/>
          <w:sz w:val="24"/>
        </w:rPr>
        <w:t>在验收前应负责三包（包修、包换、包退），费用由</w:t>
      </w:r>
      <w:r>
        <w:rPr>
          <w:rFonts w:hint="eastAsia" w:ascii="宋体" w:hAnsi="宋体" w:eastAsia="宋体" w:cs="宋体"/>
          <w:bCs/>
          <w:sz w:val="24"/>
        </w:rPr>
        <w:t>乙方</w:t>
      </w:r>
      <w:r>
        <w:rPr>
          <w:rFonts w:hint="eastAsia" w:ascii="宋体" w:hAnsi="宋体" w:eastAsia="宋体" w:cs="宋体"/>
          <w:sz w:val="24"/>
        </w:rPr>
        <w:t>负担。</w:t>
      </w:r>
    </w:p>
    <w:p w14:paraId="2DB9D8E9">
      <w:pPr>
        <w:pStyle w:val="8"/>
        <w:spacing w:line="360" w:lineRule="auto"/>
        <w:ind w:firstLine="480"/>
        <w:rPr>
          <w:rFonts w:hint="eastAsia" w:ascii="宋体" w:hAnsi="宋体" w:eastAsia="宋体"/>
        </w:rPr>
      </w:pPr>
      <w:r>
        <w:rPr>
          <w:rFonts w:hint="eastAsia" w:ascii="宋体" w:hAnsi="宋体" w:eastAsia="宋体"/>
        </w:rPr>
        <w:t>5、货到现场后由于甲方保管不当造成的质量问题，</w:t>
      </w:r>
      <w:r>
        <w:rPr>
          <w:rFonts w:hint="eastAsia" w:ascii="宋体" w:hAnsi="宋体" w:eastAsia="宋体"/>
          <w:bCs/>
        </w:rPr>
        <w:t>乙方</w:t>
      </w:r>
      <w:r>
        <w:rPr>
          <w:rFonts w:hint="eastAsia" w:ascii="宋体" w:hAnsi="宋体" w:eastAsia="宋体"/>
        </w:rPr>
        <w:t>亦应负责修理，但费用由甲方负担。</w:t>
      </w:r>
    </w:p>
    <w:p w14:paraId="3590EF29">
      <w:pPr>
        <w:pStyle w:val="2"/>
        <w:spacing w:before="0" w:after="0" w:line="360" w:lineRule="auto"/>
        <w:ind w:firstLine="482"/>
        <w:rPr>
          <w:rFonts w:hint="eastAsia" w:ascii="宋体" w:hAnsi="宋体" w:eastAsia="宋体" w:cs="宋体"/>
          <w:sz w:val="24"/>
          <w:szCs w:val="24"/>
        </w:rPr>
      </w:pPr>
      <w:bookmarkStart w:id="21" w:name="_Toc407626790"/>
      <w:bookmarkStart w:id="22" w:name="_Toc363744977"/>
      <w:bookmarkStart w:id="23" w:name="_Toc377632489"/>
      <w:bookmarkStart w:id="24" w:name="_Toc443572460"/>
      <w:bookmarkStart w:id="25" w:name="_Toc361306999"/>
      <w:bookmarkStart w:id="26" w:name="_Toc444176113"/>
      <w:bookmarkStart w:id="27" w:name="_Toc217446110"/>
      <w:r>
        <w:rPr>
          <w:rFonts w:hint="eastAsia" w:ascii="宋体" w:hAnsi="宋体" w:eastAsia="宋体" w:cs="宋体"/>
          <w:sz w:val="24"/>
          <w:szCs w:val="24"/>
        </w:rPr>
        <w:t>四、包装与运输</w:t>
      </w:r>
    </w:p>
    <w:p w14:paraId="51CE8B43">
      <w:pPr>
        <w:widowControl/>
        <w:tabs>
          <w:tab w:val="left" w:pos="7665"/>
        </w:tabs>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1、包装：设备包装应坚固完好，能抗御运输、储存和装卸过程中正常冲击，振动和挤压，并便于装卸和搬运。设备包装前检查包装材料的材质、规格和包装结构与所装产品的规格和重量相适应。组件包装时安全，防止撞击，包装表面应清洁。组件排放整齐，不可有高低不平。外包装箱表</w:t>
      </w:r>
      <w:r>
        <w:rPr>
          <w:rFonts w:hint="eastAsia" w:ascii="宋体" w:hAnsi="宋体" w:cs="宋体"/>
          <w:sz w:val="24"/>
        </w:rPr>
        <w:t>面</w:t>
      </w:r>
      <w:r>
        <w:rPr>
          <w:rFonts w:hint="eastAsia" w:ascii="宋体" w:hAnsi="宋体" w:eastAsia="宋体" w:cs="宋体"/>
          <w:sz w:val="24"/>
        </w:rPr>
        <w:t>不应该有突出的锁扣装置，以避免箱体移位时发生拉挂现象，影响箱体安全。</w:t>
      </w:r>
    </w:p>
    <w:p w14:paraId="17241922">
      <w:pPr>
        <w:widowControl/>
        <w:tabs>
          <w:tab w:val="left" w:pos="7665"/>
        </w:tabs>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2、运输：装运设备的运输工具应清洁、干燥、无污染物。敞车运输时，必须用防雨布盖好，以保证设备不被雨(雪)浸入。设备中转时，应堆放在库房内。短暂露天堆放时，必须用防雨布盖好，产品在装卸时，应采用合适的装卸方式，严防将包装箱(件)损坏，包装箱应注意谨慎堆放，防止产品碰伤。装载时，运输车辆与包装箱之间、包装箱之间应用防震减压的填充物填实，不得留有空隙，防止在运输途中造成货物之间互相碰撞、摩擦，避免发生箱体移位。避免货物在运载工具上的堆码不当，使底层货物承载过重，造成包装破损，甚至商品在运输过程中变形，损坏。在运输过程中避免接触腐蚀性物质。</w:t>
      </w:r>
    </w:p>
    <w:p w14:paraId="066283B5">
      <w:pPr>
        <w:pStyle w:val="2"/>
        <w:spacing w:before="0" w:after="0" w:line="360" w:lineRule="auto"/>
        <w:ind w:firstLine="482"/>
        <w:rPr>
          <w:rFonts w:hint="eastAsia" w:ascii="宋体" w:hAnsi="宋体" w:eastAsia="宋体" w:cs="宋体"/>
          <w:sz w:val="24"/>
          <w:szCs w:val="24"/>
        </w:rPr>
      </w:pPr>
      <w:r>
        <w:rPr>
          <w:rFonts w:hint="eastAsia" w:ascii="宋体" w:hAnsi="宋体" w:eastAsia="宋体" w:cs="宋体"/>
          <w:sz w:val="24"/>
          <w:szCs w:val="24"/>
        </w:rPr>
        <w:t>五、交货及验收</w:t>
      </w:r>
      <w:bookmarkEnd w:id="21"/>
      <w:bookmarkEnd w:id="22"/>
      <w:bookmarkEnd w:id="23"/>
      <w:bookmarkEnd w:id="24"/>
      <w:bookmarkEnd w:id="25"/>
      <w:bookmarkEnd w:id="26"/>
      <w:bookmarkEnd w:id="27"/>
    </w:p>
    <w:p w14:paraId="1AD888EA">
      <w:pPr>
        <w:pStyle w:val="8"/>
        <w:spacing w:line="360" w:lineRule="auto"/>
        <w:ind w:firstLine="480"/>
        <w:rPr>
          <w:rFonts w:hint="eastAsia" w:ascii="宋体" w:hAnsi="宋体" w:eastAsia="宋体"/>
        </w:rPr>
      </w:pPr>
      <w:r>
        <w:rPr>
          <w:rFonts w:hint="eastAsia" w:ascii="宋体" w:hAnsi="宋体" w:eastAsia="宋体"/>
        </w:rPr>
        <w:t>Xxxx。</w:t>
      </w:r>
    </w:p>
    <w:p w14:paraId="67CF2F2D">
      <w:pPr>
        <w:pStyle w:val="2"/>
        <w:spacing w:before="0" w:after="0" w:line="360" w:lineRule="auto"/>
        <w:ind w:firstLine="482"/>
        <w:rPr>
          <w:rFonts w:hint="eastAsia" w:ascii="宋体" w:hAnsi="宋体" w:eastAsia="宋体" w:cs="宋体"/>
          <w:sz w:val="24"/>
          <w:szCs w:val="24"/>
        </w:rPr>
      </w:pPr>
      <w:bookmarkStart w:id="28" w:name="_Toc361307000"/>
      <w:bookmarkStart w:id="29" w:name="_Toc407626791"/>
      <w:bookmarkStart w:id="30" w:name="_Toc443572461"/>
      <w:bookmarkStart w:id="31" w:name="_Toc217446111"/>
      <w:bookmarkStart w:id="32" w:name="_Toc377632490"/>
      <w:bookmarkStart w:id="33" w:name="_Toc444176114"/>
      <w:bookmarkStart w:id="34" w:name="_Toc363744978"/>
      <w:r>
        <w:rPr>
          <w:rFonts w:hint="eastAsia" w:ascii="宋体" w:hAnsi="宋体" w:eastAsia="宋体" w:cs="宋体"/>
          <w:sz w:val="24"/>
          <w:szCs w:val="24"/>
        </w:rPr>
        <w:t>六、</w:t>
      </w:r>
      <w:bookmarkEnd w:id="28"/>
      <w:bookmarkEnd w:id="29"/>
      <w:bookmarkEnd w:id="30"/>
      <w:bookmarkEnd w:id="31"/>
      <w:bookmarkEnd w:id="32"/>
      <w:bookmarkEnd w:id="33"/>
      <w:bookmarkEnd w:id="34"/>
      <w:r>
        <w:rPr>
          <w:rFonts w:hint="eastAsia" w:ascii="宋体" w:hAnsi="宋体" w:eastAsia="宋体" w:cs="宋体"/>
          <w:sz w:val="24"/>
          <w:szCs w:val="24"/>
        </w:rPr>
        <w:t>付款方式</w:t>
      </w:r>
    </w:p>
    <w:p w14:paraId="59F52EEE">
      <w:pPr>
        <w:spacing w:line="360" w:lineRule="auto"/>
        <w:ind w:firstLine="480" w:firstLineChars="200"/>
        <w:rPr>
          <w:rFonts w:hint="eastAsia" w:ascii="宋体" w:hAnsi="宋体" w:eastAsia="宋体" w:cs="宋体"/>
          <w:bCs/>
          <w:sz w:val="24"/>
        </w:rPr>
      </w:pPr>
      <w:bookmarkStart w:id="35" w:name="_Toc443572462"/>
      <w:bookmarkStart w:id="36" w:name="_Toc407626792"/>
      <w:bookmarkStart w:id="37" w:name="_Toc363744979"/>
      <w:bookmarkStart w:id="38" w:name="_Toc361307001"/>
      <w:bookmarkStart w:id="39" w:name="_Toc217446112"/>
      <w:bookmarkStart w:id="40" w:name="_Toc444176115"/>
      <w:bookmarkStart w:id="41" w:name="_Toc377632491"/>
      <w:r>
        <w:rPr>
          <w:rFonts w:hint="eastAsia" w:ascii="宋体" w:hAnsi="宋体" w:eastAsia="宋体" w:cs="宋体"/>
          <w:sz w:val="24"/>
        </w:rPr>
        <w:t>Xxx。</w:t>
      </w:r>
    </w:p>
    <w:p w14:paraId="7DD55E82">
      <w:pPr>
        <w:pStyle w:val="2"/>
        <w:spacing w:before="0" w:after="0" w:line="360" w:lineRule="auto"/>
        <w:ind w:firstLine="482"/>
        <w:rPr>
          <w:rFonts w:hint="eastAsia" w:ascii="宋体" w:hAnsi="宋体" w:eastAsia="宋体" w:cs="宋体"/>
          <w:sz w:val="24"/>
          <w:szCs w:val="24"/>
        </w:rPr>
      </w:pPr>
      <w:r>
        <w:rPr>
          <w:rFonts w:hint="eastAsia" w:ascii="宋体" w:hAnsi="宋体" w:eastAsia="宋体" w:cs="宋体"/>
          <w:sz w:val="24"/>
          <w:szCs w:val="24"/>
        </w:rPr>
        <w:t>七、售后服务</w:t>
      </w:r>
      <w:bookmarkEnd w:id="35"/>
      <w:bookmarkEnd w:id="36"/>
      <w:bookmarkEnd w:id="37"/>
      <w:bookmarkEnd w:id="38"/>
      <w:bookmarkEnd w:id="39"/>
      <w:bookmarkEnd w:id="40"/>
      <w:bookmarkEnd w:id="41"/>
    </w:p>
    <w:p w14:paraId="6D579ADE">
      <w:pPr>
        <w:spacing w:line="360" w:lineRule="auto"/>
        <w:ind w:firstLine="480" w:firstLineChars="200"/>
        <w:rPr>
          <w:rFonts w:hint="eastAsia" w:ascii="宋体" w:hAnsi="宋体" w:eastAsia="宋体" w:cs="宋体"/>
          <w:sz w:val="24"/>
        </w:rPr>
      </w:pPr>
      <w:bookmarkStart w:id="42" w:name="_Toc407626793"/>
      <w:bookmarkStart w:id="43" w:name="_Toc444176116"/>
      <w:bookmarkStart w:id="44" w:name="_Toc443572463"/>
      <w:bookmarkStart w:id="45" w:name="_Toc363744980"/>
      <w:bookmarkStart w:id="46" w:name="_Toc217446113"/>
      <w:bookmarkStart w:id="47" w:name="_Toc361307002"/>
      <w:bookmarkStart w:id="48" w:name="_Toc377632492"/>
      <w:r>
        <w:rPr>
          <w:rFonts w:hint="eastAsia" w:ascii="宋体" w:hAnsi="宋体" w:eastAsia="宋体" w:cs="宋体"/>
          <w:bCs/>
          <w:sz w:val="24"/>
        </w:rPr>
        <w:t>Xxxx</w:t>
      </w:r>
    </w:p>
    <w:p w14:paraId="63073C71">
      <w:pPr>
        <w:pStyle w:val="2"/>
        <w:spacing w:before="0" w:after="0" w:line="360" w:lineRule="auto"/>
        <w:ind w:firstLine="482"/>
        <w:rPr>
          <w:rFonts w:hint="eastAsia" w:ascii="宋体" w:hAnsi="宋体" w:eastAsia="宋体" w:cs="宋体"/>
          <w:sz w:val="24"/>
          <w:szCs w:val="24"/>
        </w:rPr>
      </w:pPr>
      <w:r>
        <w:rPr>
          <w:rFonts w:hint="eastAsia" w:ascii="宋体" w:hAnsi="宋体" w:eastAsia="宋体" w:cs="宋体"/>
          <w:sz w:val="24"/>
          <w:szCs w:val="24"/>
        </w:rPr>
        <w:t>八、违约责任</w:t>
      </w:r>
      <w:bookmarkEnd w:id="42"/>
      <w:bookmarkEnd w:id="43"/>
      <w:bookmarkEnd w:id="44"/>
      <w:bookmarkEnd w:id="45"/>
      <w:bookmarkEnd w:id="46"/>
      <w:bookmarkEnd w:id="47"/>
      <w:bookmarkEnd w:id="48"/>
    </w:p>
    <w:p w14:paraId="0FA4067E">
      <w:pPr>
        <w:pStyle w:val="8"/>
        <w:spacing w:line="360" w:lineRule="auto"/>
        <w:ind w:firstLine="480"/>
        <w:rPr>
          <w:rFonts w:hint="eastAsia" w:ascii="宋体" w:hAnsi="宋体" w:eastAsia="宋体"/>
        </w:rPr>
      </w:pPr>
      <w:r>
        <w:rPr>
          <w:rFonts w:hint="eastAsia" w:ascii="宋体" w:hAnsi="宋体" w:eastAsia="宋体"/>
        </w:rPr>
        <w:t>1、甲方违约责任</w:t>
      </w:r>
    </w:p>
    <w:p w14:paraId="078DE4BA">
      <w:pPr>
        <w:pStyle w:val="8"/>
        <w:spacing w:line="360" w:lineRule="auto"/>
        <w:ind w:firstLine="480"/>
        <w:rPr>
          <w:rFonts w:hint="eastAsia" w:ascii="宋体" w:hAnsi="宋体" w:eastAsia="宋体"/>
        </w:rPr>
      </w:pPr>
      <w:r>
        <w:rPr>
          <w:rFonts w:hint="eastAsia" w:ascii="宋体" w:hAnsi="宋体" w:eastAsia="宋体"/>
        </w:rPr>
        <w:t>（1）甲方无正当理由拒收报价产品的，甲方应偿付合同总价百分之一的违约金；</w:t>
      </w:r>
    </w:p>
    <w:p w14:paraId="24F63867">
      <w:pPr>
        <w:pStyle w:val="8"/>
        <w:spacing w:line="360" w:lineRule="auto"/>
        <w:ind w:firstLine="480"/>
        <w:rPr>
          <w:rFonts w:hint="eastAsia" w:ascii="宋体" w:hAnsi="宋体" w:eastAsia="宋体"/>
        </w:rPr>
      </w:pPr>
      <w:r>
        <w:rPr>
          <w:rFonts w:hint="eastAsia" w:ascii="宋体" w:hAnsi="宋体" w:eastAsia="宋体"/>
        </w:rPr>
        <w:t>（2）甲方逾期支付货款的，除应及时付足货款外，应向乙方偿付欠款总额万分之一/天的违约金；逾期付款超过30天的，乙方有权终止合同；</w:t>
      </w:r>
    </w:p>
    <w:p w14:paraId="1748E86E">
      <w:pPr>
        <w:pStyle w:val="8"/>
        <w:spacing w:line="360" w:lineRule="auto"/>
        <w:ind w:firstLine="480"/>
        <w:rPr>
          <w:rFonts w:hint="eastAsia" w:ascii="宋体" w:hAnsi="宋体" w:eastAsia="宋体"/>
        </w:rPr>
      </w:pPr>
      <w:r>
        <w:rPr>
          <w:rFonts w:hint="eastAsia" w:ascii="宋体" w:hAnsi="宋体" w:eastAsia="宋体"/>
        </w:rPr>
        <w:t>（3）甲方偿付的违约金不足以弥补乙方损失的，还应按乙方损失尚未弥补的部分，支付赔偿金给乙方。</w:t>
      </w:r>
    </w:p>
    <w:p w14:paraId="039075B3">
      <w:pPr>
        <w:pStyle w:val="8"/>
        <w:spacing w:line="360" w:lineRule="auto"/>
        <w:ind w:firstLine="480"/>
        <w:rPr>
          <w:rFonts w:hint="eastAsia" w:ascii="宋体" w:hAnsi="宋体" w:eastAsia="宋体"/>
        </w:rPr>
      </w:pPr>
      <w:r>
        <w:rPr>
          <w:rFonts w:hint="eastAsia" w:ascii="宋体" w:hAnsi="宋体" w:eastAsia="宋体"/>
        </w:rPr>
        <w:t>2、乙方违约责任</w:t>
      </w:r>
    </w:p>
    <w:p w14:paraId="7A865EEA">
      <w:pPr>
        <w:pStyle w:val="8"/>
        <w:spacing w:line="360" w:lineRule="auto"/>
        <w:ind w:firstLine="480"/>
        <w:rPr>
          <w:rFonts w:hint="eastAsia" w:ascii="宋体" w:hAnsi="宋体" w:eastAsia="宋体"/>
        </w:rPr>
      </w:pPr>
      <w:r>
        <w:rPr>
          <w:rFonts w:hint="eastAsia" w:ascii="宋体" w:hAnsi="宋体" w:eastAsia="宋体"/>
        </w:rPr>
        <w:t>（1）乙方交付的报价产品质量不符合合同规定的，乙方应向甲方支付合同总价的百分之十的违约金，并须在合同规定的交货时间内更换合格的报价产品给甲方，否则，视作乙方不能交付报价产品而违约，按本条本款下述第“（2）”项规定由乙方偿付违约赔偿金给甲方。</w:t>
      </w:r>
    </w:p>
    <w:p w14:paraId="3F9C23DD">
      <w:pPr>
        <w:pStyle w:val="8"/>
        <w:spacing w:line="360" w:lineRule="auto"/>
        <w:ind w:firstLine="480"/>
        <w:rPr>
          <w:rFonts w:hint="eastAsia" w:ascii="宋体" w:hAnsi="宋体" w:eastAsia="宋体"/>
        </w:rPr>
      </w:pPr>
      <w:r>
        <w:rPr>
          <w:rFonts w:hint="eastAsia" w:ascii="宋体" w:hAnsi="宋体" w:eastAsia="宋体"/>
        </w:rPr>
        <w:t>（2）乙方不能交付报价产品或逾期交付报价产品而违约的，除应及时交足报价产品外，应向甲方偿付逾期交货部分货款总额的万分之一/天的违约金；逾期交货超过10天，甲方有权终止合同，乙方则应按合同总价的百分之十的款额向甲方偿付赔偿金，并须全额退还甲方已经付给乙方的货款及其利息。</w:t>
      </w:r>
    </w:p>
    <w:p w14:paraId="65FF2E92">
      <w:pPr>
        <w:pStyle w:val="8"/>
        <w:spacing w:line="360" w:lineRule="auto"/>
        <w:ind w:firstLine="480"/>
        <w:rPr>
          <w:rFonts w:hint="eastAsia" w:ascii="宋体" w:hAnsi="宋体" w:eastAsia="宋体"/>
        </w:rPr>
      </w:pPr>
      <w:r>
        <w:rPr>
          <w:rFonts w:hint="eastAsia" w:ascii="宋体" w:hAnsi="宋体" w:eastAsia="宋体"/>
        </w:rPr>
        <w:t>（3）乙方报价产品经甲方送交具有法定资格条件的质量技术监督机构检测后，如检测结果认定报价产品质量不符合合同规定标准的，则视为乙方没有按时和按质交货而违约，乙方须在60天内无条件更换合格的报价产品，如逾期不能更换合格的报价产品，甲方有权终止合同，乙方应另付合同总价的百分之十的赔偿金给甲方。</w:t>
      </w:r>
    </w:p>
    <w:p w14:paraId="75B29593">
      <w:pPr>
        <w:pStyle w:val="8"/>
        <w:spacing w:line="360" w:lineRule="auto"/>
        <w:ind w:firstLine="480"/>
        <w:rPr>
          <w:rFonts w:hint="eastAsia" w:ascii="宋体" w:hAnsi="宋体" w:eastAsia="宋体"/>
        </w:rPr>
      </w:pPr>
      <w:r>
        <w:rPr>
          <w:rFonts w:hint="eastAsia" w:ascii="宋体" w:hAnsi="宋体" w:eastAsia="宋体"/>
        </w:rPr>
        <w:t>（4）乙方保证合同报价产品的权利无瑕疵，包括报价产品所有权及知识产权等权利无瑕疵。如任何第三方经法院（或仲裁机构）裁决有权对上述报价产品主张权利或国家机关依法对报价产品进行没收查处的，乙方除应向甲方返还已收款项外，还应另按合同总价的百分之五向甲方支付违约金。</w:t>
      </w:r>
    </w:p>
    <w:p w14:paraId="2FDB1B17">
      <w:pPr>
        <w:pStyle w:val="8"/>
        <w:spacing w:line="360" w:lineRule="auto"/>
        <w:ind w:firstLine="480"/>
        <w:rPr>
          <w:rFonts w:hint="eastAsia" w:ascii="宋体" w:hAnsi="宋体" w:eastAsia="宋体"/>
        </w:rPr>
      </w:pPr>
      <w:r>
        <w:rPr>
          <w:rFonts w:hint="eastAsia" w:ascii="宋体" w:hAnsi="宋体" w:eastAsia="宋体"/>
        </w:rPr>
        <w:t>（5）乙方偿付的违约金不足以弥补甲方损失的，还应按甲方损失尚未弥补的部分，支付赔偿金给甲方。</w:t>
      </w:r>
    </w:p>
    <w:p w14:paraId="52F9F5FF">
      <w:pPr>
        <w:pStyle w:val="8"/>
        <w:spacing w:line="360" w:lineRule="auto"/>
        <w:ind w:firstLine="480"/>
        <w:rPr>
          <w:rFonts w:hint="eastAsia" w:ascii="宋体" w:hAnsi="宋体" w:eastAsia="宋体"/>
        </w:rPr>
      </w:pPr>
      <w:r>
        <w:rPr>
          <w:rFonts w:hint="eastAsia" w:ascii="宋体" w:hAnsi="宋体" w:eastAsia="宋体"/>
        </w:rPr>
        <w:t>3、违约方应当承担守约方实现债权的费用，包括但不限于诉讼费、律师费、差旅费等。</w:t>
      </w:r>
    </w:p>
    <w:p w14:paraId="57ACA122">
      <w:pPr>
        <w:pStyle w:val="8"/>
        <w:spacing w:line="360" w:lineRule="auto"/>
        <w:ind w:firstLine="480"/>
        <w:rPr>
          <w:rFonts w:hint="eastAsia" w:ascii="宋体" w:hAnsi="宋体" w:eastAsia="宋体"/>
        </w:rPr>
      </w:pPr>
      <w:r>
        <w:rPr>
          <w:rFonts w:hint="eastAsia" w:ascii="宋体" w:hAnsi="宋体" w:eastAsia="宋体"/>
        </w:rPr>
        <w:t>4、乙方不履行或迟延履行售后维保义务的，每发生一次，应向甲方支付合同总价款百分之五的违约金，且甲方有权委托第三方维保，由此发生的维保费用由乙方承担。</w:t>
      </w:r>
    </w:p>
    <w:p w14:paraId="6DD3D500">
      <w:pPr>
        <w:pStyle w:val="2"/>
        <w:spacing w:before="0" w:after="0" w:line="360" w:lineRule="auto"/>
        <w:ind w:firstLine="482"/>
        <w:rPr>
          <w:rFonts w:hint="eastAsia" w:ascii="宋体" w:hAnsi="宋体" w:eastAsia="宋体" w:cs="宋体"/>
          <w:sz w:val="24"/>
          <w:lang w:bidi="ar"/>
        </w:rPr>
      </w:pPr>
      <w:bookmarkStart w:id="49" w:name="_Toc361307003"/>
      <w:bookmarkStart w:id="50" w:name="_Toc407626794"/>
      <w:bookmarkStart w:id="51" w:name="_Toc444176117"/>
      <w:bookmarkStart w:id="52" w:name="_Toc217446114"/>
      <w:bookmarkStart w:id="53" w:name="_Toc377632493"/>
      <w:bookmarkStart w:id="54" w:name="_Toc363744981"/>
      <w:bookmarkStart w:id="55" w:name="_Toc443572464"/>
      <w:r>
        <w:rPr>
          <w:rFonts w:hint="eastAsia" w:ascii="宋体" w:hAnsi="宋体" w:eastAsia="宋体" w:cs="宋体"/>
          <w:sz w:val="24"/>
          <w:szCs w:val="24"/>
        </w:rPr>
        <w:t>九、争议解决办法</w:t>
      </w:r>
      <w:bookmarkEnd w:id="49"/>
      <w:bookmarkEnd w:id="50"/>
      <w:bookmarkEnd w:id="51"/>
      <w:bookmarkEnd w:id="52"/>
      <w:bookmarkEnd w:id="53"/>
      <w:bookmarkEnd w:id="54"/>
      <w:bookmarkEnd w:id="55"/>
    </w:p>
    <w:p w14:paraId="543970D9">
      <w:pPr>
        <w:spacing w:line="360" w:lineRule="auto"/>
        <w:ind w:firstLine="480" w:firstLineChars="200"/>
        <w:rPr>
          <w:rFonts w:hint="eastAsia" w:ascii="宋体" w:hAnsi="宋体" w:eastAsia="宋体" w:cs="宋体"/>
          <w:sz w:val="24"/>
        </w:rPr>
      </w:pPr>
      <w:r>
        <w:rPr>
          <w:rFonts w:hint="eastAsia" w:ascii="宋体" w:hAnsi="宋体" w:eastAsia="宋体" w:cs="宋体"/>
          <w:sz w:val="24"/>
        </w:rPr>
        <w:t>1、因报价产品的质量问题发生争议，由乙方5日内委托甲方所在地质量技术监督部门或其指定的质量鉴定机构进行质量鉴定。报价产品符合标准的，鉴定费由甲方承担；报价产品不符合质量标准的，鉴定费由乙方承担。</w:t>
      </w:r>
    </w:p>
    <w:p w14:paraId="20626E75">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2、合同履行期间，若甲方与乙方发生争议，可协商或由有关部门调解解决，协商或调解不成的，由当事人依法向甲方住所地人民法院提起诉讼以维护其合法权益。</w:t>
      </w:r>
    </w:p>
    <w:p w14:paraId="5C75C624">
      <w:pPr>
        <w:pStyle w:val="8"/>
        <w:spacing w:line="360" w:lineRule="auto"/>
        <w:ind w:firstLine="480"/>
        <w:rPr>
          <w:rFonts w:hint="eastAsia" w:ascii="宋体" w:hAnsi="宋体" w:eastAsia="宋体"/>
        </w:rPr>
      </w:pPr>
    </w:p>
    <w:p w14:paraId="07DD4458">
      <w:pPr>
        <w:pStyle w:val="2"/>
        <w:spacing w:before="0" w:after="0" w:line="360" w:lineRule="auto"/>
        <w:ind w:firstLine="482"/>
        <w:rPr>
          <w:rFonts w:hint="eastAsia" w:ascii="宋体" w:hAnsi="宋体" w:eastAsia="宋体" w:cs="宋体"/>
          <w:sz w:val="24"/>
          <w:szCs w:val="24"/>
        </w:rPr>
      </w:pPr>
      <w:bookmarkStart w:id="56" w:name="_Toc443572465"/>
      <w:bookmarkStart w:id="57" w:name="_Toc377632494"/>
      <w:bookmarkStart w:id="58" w:name="_Toc444176118"/>
      <w:bookmarkStart w:id="59" w:name="_Toc363744982"/>
      <w:bookmarkStart w:id="60" w:name="_Toc407626795"/>
      <w:bookmarkStart w:id="61" w:name="_Toc361307004"/>
      <w:bookmarkStart w:id="62" w:name="_Toc217446115"/>
      <w:r>
        <w:rPr>
          <w:rFonts w:hint="eastAsia" w:ascii="宋体" w:hAnsi="宋体" w:eastAsia="宋体" w:cs="宋体"/>
          <w:sz w:val="24"/>
          <w:szCs w:val="24"/>
        </w:rPr>
        <w:t>十、其他</w:t>
      </w:r>
      <w:bookmarkEnd w:id="56"/>
      <w:bookmarkEnd w:id="57"/>
      <w:bookmarkEnd w:id="58"/>
      <w:bookmarkEnd w:id="59"/>
      <w:bookmarkEnd w:id="60"/>
      <w:bookmarkEnd w:id="61"/>
      <w:bookmarkEnd w:id="62"/>
    </w:p>
    <w:p w14:paraId="59AC9573">
      <w:pPr>
        <w:pStyle w:val="8"/>
        <w:spacing w:line="360" w:lineRule="auto"/>
        <w:ind w:firstLine="480"/>
        <w:rPr>
          <w:rFonts w:hint="eastAsia" w:ascii="宋体" w:hAnsi="宋体" w:eastAsia="宋体"/>
        </w:rPr>
      </w:pPr>
      <w:r>
        <w:rPr>
          <w:rFonts w:hint="eastAsia" w:ascii="宋体" w:hAnsi="宋体" w:eastAsia="宋体"/>
        </w:rPr>
        <w:t>1、如有未尽事宜，由双方依法订立补充合同。</w:t>
      </w:r>
    </w:p>
    <w:p w14:paraId="6DB23B42">
      <w:pPr>
        <w:pStyle w:val="8"/>
        <w:spacing w:line="360" w:lineRule="auto"/>
        <w:ind w:firstLine="480"/>
        <w:rPr>
          <w:rFonts w:hint="eastAsia" w:ascii="宋体" w:hAnsi="宋体" w:eastAsia="宋体"/>
        </w:rPr>
      </w:pPr>
      <w:r>
        <w:rPr>
          <w:rFonts w:hint="eastAsia" w:ascii="宋体" w:hAnsi="宋体" w:eastAsia="宋体"/>
        </w:rPr>
        <w:t>2、本合同一式伍份，自双方签章之日起生效。甲方二份，乙方、政府采购管理部门、采购代理机构各一份。</w:t>
      </w:r>
    </w:p>
    <w:p w14:paraId="2DBC23D0">
      <w:pPr>
        <w:spacing w:line="360" w:lineRule="auto"/>
        <w:ind w:firstLine="480" w:firstLineChars="200"/>
        <w:rPr>
          <w:rFonts w:hint="eastAsia" w:ascii="宋体" w:hAnsi="宋体" w:eastAsia="宋体" w:cs="宋体"/>
          <w:sz w:val="24"/>
        </w:rPr>
      </w:pPr>
    </w:p>
    <w:p w14:paraId="2CD9171F">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甲方：   （盖章）   </w:t>
      </w:r>
      <w:r>
        <w:rPr>
          <w:rFonts w:hint="eastAsia" w:ascii="宋体" w:hAnsi="宋体" w:eastAsia="宋体" w:cs="宋体"/>
          <w:sz w:val="24"/>
        </w:rPr>
        <w:tab/>
      </w:r>
      <w:r>
        <w:rPr>
          <w:rFonts w:hint="eastAsia" w:ascii="宋体" w:hAnsi="宋体" w:eastAsia="宋体" w:cs="宋体"/>
          <w:sz w:val="24"/>
        </w:rPr>
        <w:t xml:space="preserve">                  乙方：   （盖章）</w:t>
      </w:r>
    </w:p>
    <w:p w14:paraId="31CC31F7">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法定代表人（授权代表）：               法定代表人（授权代表）：</w:t>
      </w:r>
    </w:p>
    <w:p w14:paraId="30A5ECE8">
      <w:pPr>
        <w:spacing w:line="360" w:lineRule="auto"/>
        <w:ind w:firstLine="480" w:firstLineChars="200"/>
        <w:rPr>
          <w:rFonts w:hint="eastAsia" w:ascii="宋体" w:hAnsi="宋体" w:eastAsia="宋体" w:cs="宋体"/>
          <w:sz w:val="24"/>
        </w:rPr>
      </w:pPr>
      <w:r>
        <w:rPr>
          <w:rFonts w:hint="eastAsia" w:ascii="宋体" w:hAnsi="宋体" w:eastAsia="宋体" w:cs="宋体"/>
          <w:sz w:val="24"/>
        </w:rPr>
        <w:t>地    址：                             地    址：</w:t>
      </w:r>
    </w:p>
    <w:p w14:paraId="206DA694">
      <w:pPr>
        <w:spacing w:line="360" w:lineRule="auto"/>
        <w:ind w:firstLine="480" w:firstLineChars="200"/>
        <w:rPr>
          <w:rFonts w:hint="eastAsia" w:ascii="宋体" w:hAnsi="宋体" w:eastAsia="宋体" w:cs="宋体"/>
          <w:sz w:val="24"/>
        </w:rPr>
      </w:pPr>
      <w:r>
        <w:rPr>
          <w:rFonts w:hint="eastAsia" w:ascii="宋体" w:hAnsi="宋体" w:eastAsia="宋体" w:cs="宋体"/>
          <w:sz w:val="24"/>
        </w:rPr>
        <w:t>开户银行：                             开户银行：</w:t>
      </w:r>
    </w:p>
    <w:p w14:paraId="72C61738">
      <w:pPr>
        <w:spacing w:line="360" w:lineRule="auto"/>
        <w:ind w:firstLine="480" w:firstLineChars="200"/>
        <w:rPr>
          <w:rFonts w:hint="eastAsia" w:ascii="宋体" w:hAnsi="宋体" w:eastAsia="宋体" w:cs="宋体"/>
          <w:sz w:val="24"/>
        </w:rPr>
      </w:pPr>
      <w:r>
        <w:rPr>
          <w:rFonts w:hint="eastAsia" w:ascii="宋体" w:hAnsi="宋体" w:eastAsia="宋体" w:cs="宋体"/>
          <w:sz w:val="24"/>
        </w:rPr>
        <w:t>账    号：                             账    号：</w:t>
      </w:r>
    </w:p>
    <w:p w14:paraId="48E1BC8E">
      <w:pPr>
        <w:spacing w:line="360" w:lineRule="auto"/>
        <w:ind w:firstLine="480" w:firstLineChars="200"/>
        <w:rPr>
          <w:rFonts w:hint="eastAsia" w:ascii="宋体" w:hAnsi="宋体" w:eastAsia="宋体" w:cs="宋体"/>
          <w:sz w:val="24"/>
        </w:rPr>
      </w:pPr>
      <w:r>
        <w:rPr>
          <w:rFonts w:hint="eastAsia" w:ascii="宋体" w:hAnsi="宋体" w:eastAsia="宋体" w:cs="宋体"/>
          <w:sz w:val="24"/>
        </w:rPr>
        <w:t>电    话：                             电    话：</w:t>
      </w:r>
    </w:p>
    <w:p w14:paraId="666CF7DD">
      <w:pPr>
        <w:spacing w:line="360" w:lineRule="auto"/>
        <w:ind w:firstLine="480" w:firstLineChars="200"/>
        <w:rPr>
          <w:rFonts w:hint="eastAsia" w:ascii="宋体" w:hAnsi="宋体" w:eastAsia="宋体" w:cs="宋体"/>
          <w:sz w:val="24"/>
        </w:rPr>
      </w:pPr>
      <w:r>
        <w:rPr>
          <w:rFonts w:hint="eastAsia" w:ascii="宋体" w:hAnsi="宋体" w:eastAsia="宋体" w:cs="宋体"/>
          <w:sz w:val="24"/>
        </w:rPr>
        <w:t>传    真：                             传    真：</w:t>
      </w:r>
    </w:p>
    <w:p w14:paraId="07813FDF">
      <w:pPr>
        <w:snapToGrid w:val="0"/>
        <w:spacing w:line="360" w:lineRule="auto"/>
        <w:rPr>
          <w:rFonts w:hint="eastAsia" w:ascii="宋体" w:hAnsi="宋体" w:eastAsia="宋体" w:cs="宋体"/>
          <w:sz w:val="24"/>
        </w:rPr>
      </w:pPr>
      <w:r>
        <w:rPr>
          <w:rFonts w:hint="eastAsia" w:ascii="宋体" w:hAnsi="宋体" w:eastAsia="宋体" w:cs="宋体"/>
          <w:sz w:val="24"/>
        </w:rPr>
        <w:t>签约日期：    年   月   日             签约日期：    年   月   日</w:t>
      </w:r>
    </w:p>
    <w:p w14:paraId="7858F5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
    <w:altName w:val="仿宋"/>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149A3"/>
    <w:rsid w:val="66A14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paragraph" w:styleId="2">
    <w:name w:val="heading 2"/>
    <w:basedOn w:val="1"/>
    <w:next w:val="1"/>
    <w:qFormat/>
    <w:uiPriority w:val="0"/>
    <w:pPr>
      <w:keepNext/>
      <w:keepLines/>
      <w:spacing w:before="260" w:after="260" w:line="413" w:lineRule="auto"/>
      <w:ind w:firstLine="200" w:firstLineChars="200"/>
      <w:outlineLvl w:val="1"/>
    </w:pPr>
    <w:rPr>
      <w:rFonts w:ascii="Arial" w:hAnsi="Arial" w:eastAsia="黑体"/>
      <w:b/>
      <w:szCs w:val="2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5"/>
    <w:uiPriority w:val="0"/>
    <w:rPr>
      <w:rFonts w:eastAsia="宋体"/>
      <w:sz w:val="18"/>
    </w:rPr>
  </w:style>
  <w:style w:type="paragraph" w:styleId="5">
    <w:name w:val="Body Text First Indent"/>
    <w:basedOn w:val="4"/>
    <w:unhideWhenUsed/>
    <w:qFormat/>
    <w:uiPriority w:val="99"/>
    <w:pPr>
      <w:spacing w:after="120"/>
      <w:ind w:firstLine="420" w:firstLineChars="100"/>
    </w:pPr>
  </w:style>
  <w:style w:type="paragraph" w:customStyle="1" w:styleId="8">
    <w:name w:val="样式 首行缩进:  2 字符"/>
    <w:basedOn w:val="1"/>
    <w:qFormat/>
    <w:uiPriority w:val="0"/>
    <w:pPr>
      <w:spacing w:line="400" w:lineRule="exact"/>
      <w:ind w:firstLine="200" w:firstLineChars="200"/>
    </w:pPr>
    <w:rPr>
      <w:rFonts w:cs="宋体"/>
      <w:sz w:val="24"/>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2026-04-14T01:28:00Z</dcterms:created>
  <dc:creator>恭喜发财</dc:creator>
  <cp:lastModifiedBy>恭喜发财</cp:lastModifiedBy>
  <dcterms:modified xsi:type="dcterms:W3CDTF">2026-04-14T01:29:11Z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924CC482A21C4C7AA8935B62370A47BA_11</vt:lpwstr>
  </property>
  <property fmtid="{D5CDD505-2E9C-101B-9397-08002B2CF9AE}" pid="4" name="KSOTemplateDocerSaveRecord">
    <vt:lpwstr>eyJoZGlkIjoiMDkwZTUwMDQ1ZDZhZmIwZjllMGZhODQ3OWJlODBhNmMiLCJ1c2VySWQiOiIxMjc0OTc2MDE2In0=</vt:lpwstr>
  </property>
</Properties>
</file>