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AB79AF">
      <w:pPr>
        <w:pStyle w:val="31"/>
        <w:tabs>
          <w:tab w:val="clear" w:pos="6195"/>
        </w:tabs>
        <w:adjustRightInd/>
        <w:spacing w:line="360" w:lineRule="auto"/>
        <w:rPr>
          <w:rFonts w:hint="default" w:ascii="仿宋" w:hAnsi="仿宋" w:eastAsia="仿宋" w:cs="仿宋"/>
          <w:b/>
          <w:bCs/>
          <w:color w:val="auto"/>
          <w:sz w:val="112"/>
          <w:szCs w:val="112"/>
          <w:lang w:val="en-US" w:eastAsia="zh-CN"/>
        </w:rPr>
      </w:pPr>
      <w:r>
        <w:rPr>
          <w:rFonts w:hint="eastAsia" w:ascii="仿宋" w:hAnsi="仿宋" w:eastAsia="仿宋" w:cs="仿宋"/>
          <w:b/>
          <w:bCs/>
          <w:color w:val="auto"/>
          <w:sz w:val="60"/>
          <w:szCs w:val="60"/>
          <w:lang w:eastAsia="zh-CN"/>
        </w:rPr>
        <w:t>云南省林业和草原技术推广总站林下滇黄精栽培技术推广示范项目肥料、药品采购项目</w:t>
      </w:r>
    </w:p>
    <w:p w14:paraId="310DD1C2">
      <w:pPr>
        <w:pStyle w:val="31"/>
        <w:tabs>
          <w:tab w:val="clear" w:pos="6195"/>
        </w:tabs>
        <w:adjustRightInd/>
        <w:spacing w:line="360" w:lineRule="auto"/>
        <w:jc w:val="both"/>
        <w:rPr>
          <w:rFonts w:hint="eastAsia" w:ascii="仿宋" w:hAnsi="仿宋" w:eastAsia="仿宋" w:cs="仿宋"/>
          <w:bCs/>
          <w:color w:val="auto"/>
          <w:szCs w:val="21"/>
        </w:rPr>
      </w:pPr>
    </w:p>
    <w:p w14:paraId="0623068A">
      <w:pPr>
        <w:pStyle w:val="31"/>
        <w:tabs>
          <w:tab w:val="clear" w:pos="6195"/>
        </w:tabs>
        <w:adjustRightInd/>
        <w:spacing w:line="360" w:lineRule="auto"/>
        <w:jc w:val="both"/>
        <w:rPr>
          <w:rFonts w:hint="eastAsia" w:ascii="仿宋" w:hAnsi="仿宋" w:eastAsia="仿宋" w:cs="仿宋"/>
          <w:bCs/>
          <w:color w:val="auto"/>
          <w:szCs w:val="21"/>
        </w:rPr>
      </w:pPr>
    </w:p>
    <w:p w14:paraId="65F29021">
      <w:pPr>
        <w:pStyle w:val="31"/>
        <w:tabs>
          <w:tab w:val="clear" w:pos="6195"/>
        </w:tabs>
        <w:adjustRightInd/>
        <w:spacing w:line="360" w:lineRule="auto"/>
        <w:jc w:val="both"/>
        <w:rPr>
          <w:rFonts w:hint="eastAsia" w:ascii="仿宋" w:hAnsi="仿宋" w:eastAsia="仿宋" w:cs="仿宋"/>
          <w:bCs/>
          <w:color w:val="auto"/>
          <w:szCs w:val="21"/>
        </w:rPr>
      </w:pPr>
    </w:p>
    <w:p w14:paraId="4EE49534">
      <w:pPr>
        <w:pStyle w:val="31"/>
        <w:tabs>
          <w:tab w:val="clear" w:pos="6195"/>
        </w:tabs>
        <w:adjustRightInd/>
        <w:spacing w:line="360" w:lineRule="auto"/>
        <w:jc w:val="both"/>
        <w:rPr>
          <w:rFonts w:hint="eastAsia" w:ascii="仿宋" w:hAnsi="仿宋" w:eastAsia="仿宋" w:cs="仿宋"/>
          <w:bCs/>
          <w:color w:val="auto"/>
          <w:sz w:val="22"/>
        </w:rPr>
      </w:pPr>
    </w:p>
    <w:p w14:paraId="1D3A0FB4">
      <w:pPr>
        <w:pStyle w:val="31"/>
        <w:tabs>
          <w:tab w:val="clear" w:pos="6195"/>
        </w:tabs>
        <w:adjustRightInd/>
        <w:spacing w:line="360" w:lineRule="auto"/>
        <w:jc w:val="both"/>
        <w:rPr>
          <w:rFonts w:hint="eastAsia" w:ascii="仿宋" w:hAnsi="仿宋" w:eastAsia="仿宋" w:cs="仿宋"/>
          <w:bCs/>
          <w:color w:val="auto"/>
          <w:sz w:val="22"/>
        </w:rPr>
      </w:pPr>
    </w:p>
    <w:p w14:paraId="0F4553C6">
      <w:pPr>
        <w:spacing w:line="360" w:lineRule="auto"/>
        <w:jc w:val="center"/>
        <w:rPr>
          <w:rFonts w:hint="eastAsia" w:ascii="仿宋" w:hAnsi="仿宋" w:eastAsia="仿宋" w:cs="仿宋"/>
          <w:b/>
          <w:bCs/>
          <w:color w:val="auto"/>
          <w:sz w:val="96"/>
          <w:szCs w:val="96"/>
        </w:rPr>
      </w:pPr>
      <w:r>
        <w:rPr>
          <w:rFonts w:hint="eastAsia" w:ascii="仿宋" w:hAnsi="仿宋" w:eastAsia="仿宋" w:cs="仿宋"/>
          <w:b/>
          <w:bCs/>
          <w:color w:val="auto"/>
          <w:sz w:val="96"/>
          <w:szCs w:val="96"/>
        </w:rPr>
        <w:t>招标文件</w:t>
      </w:r>
    </w:p>
    <w:p w14:paraId="29724946">
      <w:pPr>
        <w:spacing w:line="360" w:lineRule="auto"/>
        <w:jc w:val="center"/>
        <w:rPr>
          <w:rFonts w:hint="eastAsia" w:ascii="仿宋" w:hAnsi="仿宋" w:eastAsia="仿宋" w:cs="仿宋"/>
          <w:b/>
          <w:bCs/>
          <w:color w:val="auto"/>
          <w:sz w:val="32"/>
          <w:szCs w:val="36"/>
          <w:highlight w:val="none"/>
          <w:lang w:eastAsia="zh-CN"/>
        </w:rPr>
      </w:pPr>
      <w:r>
        <w:rPr>
          <w:rFonts w:hint="eastAsia" w:ascii="仿宋" w:hAnsi="仿宋" w:eastAsia="仿宋" w:cs="仿宋"/>
          <w:b/>
          <w:bCs/>
          <w:color w:val="auto"/>
          <w:sz w:val="32"/>
          <w:szCs w:val="36"/>
        </w:rPr>
        <w:t>项目编号：</w:t>
      </w:r>
      <w:r>
        <w:rPr>
          <w:rFonts w:hint="eastAsia" w:ascii="仿宋" w:hAnsi="仿宋" w:eastAsia="仿宋" w:cs="仿宋"/>
          <w:b/>
          <w:bCs/>
          <w:color w:val="auto"/>
          <w:sz w:val="32"/>
          <w:szCs w:val="36"/>
          <w:highlight w:val="none"/>
          <w:lang w:eastAsia="zh-CN"/>
        </w:rPr>
        <w:t>YNZC2026-G1-00374-YNGH-0032</w:t>
      </w:r>
    </w:p>
    <w:p w14:paraId="38BEC2CB">
      <w:pPr>
        <w:spacing w:line="360" w:lineRule="auto"/>
        <w:rPr>
          <w:rFonts w:hint="eastAsia" w:ascii="仿宋" w:hAnsi="仿宋" w:eastAsia="仿宋" w:cs="仿宋"/>
          <w:color w:val="auto"/>
          <w:sz w:val="22"/>
        </w:rPr>
      </w:pPr>
    </w:p>
    <w:p w14:paraId="6EA0CE62">
      <w:pPr>
        <w:spacing w:line="360" w:lineRule="auto"/>
        <w:rPr>
          <w:rFonts w:hint="eastAsia" w:ascii="仿宋" w:hAnsi="仿宋" w:eastAsia="仿宋" w:cs="仿宋"/>
          <w:color w:val="auto"/>
          <w:sz w:val="22"/>
        </w:rPr>
      </w:pPr>
    </w:p>
    <w:p w14:paraId="4E1D86F6">
      <w:pPr>
        <w:pStyle w:val="32"/>
        <w:spacing w:line="360" w:lineRule="auto"/>
        <w:outlineLvl w:val="9"/>
        <w:rPr>
          <w:rFonts w:hint="eastAsia" w:ascii="仿宋" w:hAnsi="仿宋" w:eastAsia="仿宋" w:cs="仿宋"/>
          <w:color w:val="auto"/>
          <w:sz w:val="28"/>
          <w:szCs w:val="28"/>
        </w:rPr>
      </w:pPr>
    </w:p>
    <w:p w14:paraId="439C9694">
      <w:pPr>
        <w:spacing w:line="360" w:lineRule="auto"/>
        <w:rPr>
          <w:rFonts w:hint="eastAsia" w:ascii="仿宋" w:hAnsi="仿宋" w:eastAsia="仿宋" w:cs="仿宋"/>
          <w:color w:val="auto"/>
          <w:sz w:val="22"/>
        </w:rPr>
      </w:pPr>
    </w:p>
    <w:p w14:paraId="6FA98CC6">
      <w:pPr>
        <w:spacing w:line="360" w:lineRule="auto"/>
        <w:rPr>
          <w:rFonts w:hint="eastAsia" w:ascii="仿宋" w:hAnsi="仿宋" w:eastAsia="仿宋" w:cs="仿宋"/>
          <w:color w:val="auto"/>
          <w:sz w:val="22"/>
        </w:rPr>
      </w:pPr>
    </w:p>
    <w:p w14:paraId="42830C06">
      <w:pPr>
        <w:pStyle w:val="5"/>
        <w:spacing w:beforeLines="0" w:line="360" w:lineRule="auto"/>
        <w:ind w:firstLine="420"/>
        <w:rPr>
          <w:rFonts w:hint="eastAsia" w:ascii="仿宋" w:hAnsi="仿宋" w:eastAsia="仿宋" w:cs="仿宋"/>
          <w:color w:val="auto"/>
        </w:rPr>
      </w:pPr>
    </w:p>
    <w:p w14:paraId="4A1F258E">
      <w:pPr>
        <w:spacing w:line="360" w:lineRule="auto"/>
        <w:rPr>
          <w:rFonts w:hint="eastAsia" w:ascii="仿宋" w:hAnsi="仿宋" w:eastAsia="仿宋" w:cs="仿宋"/>
          <w:color w:val="auto"/>
          <w:sz w:val="22"/>
        </w:rPr>
      </w:pPr>
    </w:p>
    <w:p w14:paraId="7AA1545B">
      <w:pPr>
        <w:spacing w:line="360" w:lineRule="auto"/>
        <w:jc w:val="center"/>
        <w:rPr>
          <w:rFonts w:hint="eastAsia" w:ascii="仿宋" w:hAnsi="仿宋" w:eastAsia="仿宋" w:cs="仿宋"/>
          <w:b/>
          <w:bCs/>
          <w:color w:val="auto"/>
          <w:sz w:val="32"/>
        </w:rPr>
      </w:pPr>
    </w:p>
    <w:p w14:paraId="2169AD08">
      <w:pPr>
        <w:spacing w:line="360" w:lineRule="auto"/>
        <w:jc w:val="center"/>
        <w:rPr>
          <w:rFonts w:hint="eastAsia" w:ascii="仿宋" w:hAnsi="仿宋" w:eastAsia="仿宋" w:cs="仿宋"/>
          <w:b/>
          <w:bCs/>
          <w:color w:val="auto"/>
          <w:sz w:val="32"/>
        </w:rPr>
      </w:pPr>
    </w:p>
    <w:p w14:paraId="4F86082E">
      <w:pPr>
        <w:spacing w:line="360" w:lineRule="auto"/>
        <w:jc w:val="center"/>
        <w:rPr>
          <w:rFonts w:hint="eastAsia" w:ascii="仿宋" w:hAnsi="仿宋" w:eastAsia="仿宋" w:cs="仿宋"/>
          <w:b/>
          <w:bCs/>
          <w:color w:val="auto"/>
          <w:sz w:val="32"/>
          <w:lang w:eastAsia="zh-CN"/>
        </w:rPr>
      </w:pPr>
      <w:r>
        <w:rPr>
          <w:rFonts w:hint="eastAsia" w:ascii="仿宋" w:hAnsi="仿宋" w:eastAsia="仿宋" w:cs="仿宋"/>
          <w:b/>
          <w:bCs/>
          <w:color w:val="auto"/>
          <w:sz w:val="32"/>
        </w:rPr>
        <w:t>采购人：</w:t>
      </w:r>
      <w:r>
        <w:rPr>
          <w:rFonts w:hint="eastAsia" w:ascii="仿宋" w:hAnsi="仿宋" w:eastAsia="仿宋" w:cs="仿宋"/>
          <w:b/>
          <w:bCs/>
          <w:color w:val="auto"/>
          <w:sz w:val="32"/>
          <w:lang w:eastAsia="zh-CN"/>
        </w:rPr>
        <w:t>云南省林业和草原技术推广总站</w:t>
      </w:r>
    </w:p>
    <w:p w14:paraId="2AE9E074">
      <w:pPr>
        <w:spacing w:line="360" w:lineRule="auto"/>
        <w:jc w:val="center"/>
        <w:rPr>
          <w:rFonts w:hint="eastAsia" w:ascii="仿宋" w:hAnsi="仿宋" w:eastAsia="仿宋" w:cs="仿宋"/>
          <w:b/>
          <w:bCs/>
          <w:color w:val="auto"/>
          <w:sz w:val="32"/>
        </w:rPr>
      </w:pPr>
      <w:r>
        <w:rPr>
          <w:rFonts w:hint="eastAsia" w:ascii="仿宋" w:hAnsi="仿宋" w:eastAsia="仿宋" w:cs="仿宋"/>
          <w:b/>
          <w:bCs/>
          <w:color w:val="auto"/>
          <w:sz w:val="32"/>
        </w:rPr>
        <w:t>采购代理机构：云南国合建设招标咨询有限公司</w:t>
      </w:r>
    </w:p>
    <w:p w14:paraId="3535C2B4">
      <w:pPr>
        <w:spacing w:line="360" w:lineRule="auto"/>
        <w:ind w:firstLine="803" w:firstLineChars="250"/>
        <w:jc w:val="center"/>
        <w:rPr>
          <w:rFonts w:hint="eastAsia" w:ascii="仿宋" w:hAnsi="仿宋" w:eastAsia="仿宋" w:cs="仿宋"/>
          <w:b/>
          <w:bCs/>
          <w:color w:val="auto"/>
          <w:sz w:val="32"/>
        </w:rPr>
      </w:pPr>
      <w:bookmarkStart w:id="0" w:name="_Toc192647764"/>
      <w:bookmarkStart w:id="1" w:name="_Toc180579126"/>
      <w:bookmarkStart w:id="2" w:name="_Toc184440884"/>
      <w:bookmarkStart w:id="3" w:name="_Toc175477161"/>
      <w:bookmarkStart w:id="4" w:name="_Toc184440680"/>
      <w:r>
        <w:rPr>
          <w:rFonts w:hint="eastAsia" w:ascii="仿宋" w:hAnsi="仿宋" w:eastAsia="仿宋" w:cs="仿宋"/>
          <w:b/>
          <w:bCs/>
          <w:color w:val="auto"/>
          <w:sz w:val="32"/>
        </w:rPr>
        <w:t>二○二</w:t>
      </w:r>
      <w:r>
        <w:rPr>
          <w:rFonts w:hint="eastAsia" w:ascii="仿宋" w:hAnsi="仿宋" w:eastAsia="仿宋" w:cs="仿宋"/>
          <w:b/>
          <w:bCs/>
          <w:color w:val="auto"/>
          <w:sz w:val="32"/>
          <w:lang w:val="en-US" w:eastAsia="zh-CN"/>
        </w:rPr>
        <w:t>六</w:t>
      </w:r>
      <w:r>
        <w:rPr>
          <w:rFonts w:hint="eastAsia" w:ascii="仿宋" w:hAnsi="仿宋" w:eastAsia="仿宋" w:cs="仿宋"/>
          <w:b/>
          <w:bCs/>
          <w:color w:val="auto"/>
          <w:sz w:val="32"/>
        </w:rPr>
        <w:t>年</w:t>
      </w:r>
      <w:r>
        <w:rPr>
          <w:rFonts w:hint="eastAsia" w:ascii="仿宋" w:hAnsi="仿宋" w:eastAsia="仿宋" w:cs="仿宋"/>
          <w:b/>
          <w:bCs/>
          <w:color w:val="auto"/>
          <w:sz w:val="32"/>
          <w:lang w:val="en-US" w:eastAsia="zh-CN"/>
        </w:rPr>
        <w:t>三</w:t>
      </w:r>
      <w:r>
        <w:rPr>
          <w:rFonts w:hint="eastAsia" w:ascii="仿宋" w:hAnsi="仿宋" w:eastAsia="仿宋" w:cs="仿宋"/>
          <w:b/>
          <w:bCs/>
          <w:color w:val="auto"/>
          <w:sz w:val="32"/>
        </w:rPr>
        <w:t>月</w:t>
      </w:r>
      <w:bookmarkEnd w:id="0"/>
      <w:bookmarkEnd w:id="1"/>
      <w:bookmarkEnd w:id="2"/>
      <w:bookmarkEnd w:id="3"/>
      <w:bookmarkEnd w:id="4"/>
    </w:p>
    <w:p w14:paraId="1F78F696">
      <w:pPr>
        <w:pStyle w:val="33"/>
        <w:spacing w:before="0" w:line="360" w:lineRule="auto"/>
        <w:jc w:val="center"/>
        <w:rPr>
          <w:rFonts w:hint="eastAsia" w:ascii="仿宋" w:hAnsi="仿宋" w:eastAsia="仿宋" w:cs="仿宋"/>
          <w:color w:val="auto"/>
          <w:kern w:val="2"/>
          <w:sz w:val="21"/>
          <w:szCs w:val="22"/>
          <w:lang w:val="zh-CN"/>
        </w:rPr>
        <w:sectPr>
          <w:headerReference r:id="rId4" w:type="first"/>
          <w:footerReference r:id="rId6" w:type="first"/>
          <w:headerReference r:id="rId3" w:type="default"/>
          <w:footerReference r:id="rId5" w:type="default"/>
          <w:pgSz w:w="11906" w:h="16838"/>
          <w:pgMar w:top="1247" w:right="1134" w:bottom="1247" w:left="1247" w:header="851" w:footer="992" w:gutter="0"/>
          <w:pgBorders>
            <w:top w:val="none" w:sz="0" w:space="0"/>
            <w:left w:val="none" w:sz="0" w:space="0"/>
            <w:bottom w:val="none" w:sz="0" w:space="0"/>
            <w:right w:val="none" w:sz="0" w:space="0"/>
          </w:pgBorders>
          <w:cols w:space="0" w:num="1"/>
          <w:docGrid w:type="lines" w:linePitch="312" w:charSpace="0"/>
        </w:sect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740"/>
      </w:tblGrid>
      <w:tr w14:paraId="0BFC8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2" w:hRule="atLeast"/>
        </w:trPr>
        <w:tc>
          <w:tcPr>
            <w:tcW w:w="9728" w:type="dxa"/>
            <w:gridSpan w:val="4"/>
          </w:tcPr>
          <w:p w14:paraId="3D261AB0">
            <w:pPr>
              <w:pStyle w:val="31"/>
              <w:tabs>
                <w:tab w:val="clear" w:pos="6195"/>
              </w:tabs>
              <w:autoSpaceDE/>
              <w:autoSpaceDN/>
              <w:adjustRightInd/>
              <w:spacing w:line="360" w:lineRule="auto"/>
              <w:rPr>
                <w:rFonts w:hint="default" w:ascii="仿宋" w:hAnsi="仿宋" w:eastAsia="仿宋" w:cs="仿宋"/>
                <w:b/>
                <w:bCs/>
                <w:color w:val="auto"/>
                <w:sz w:val="72"/>
                <w:szCs w:val="72"/>
                <w:lang w:val="en-US" w:eastAsia="zh-CN"/>
              </w:rPr>
            </w:pPr>
            <w:r>
              <w:rPr>
                <w:rFonts w:hint="eastAsia" w:ascii="仿宋" w:hAnsi="仿宋" w:eastAsia="仿宋" w:cs="仿宋"/>
                <w:b/>
                <w:bCs/>
                <w:color w:val="auto"/>
                <w:sz w:val="60"/>
                <w:szCs w:val="60"/>
                <w:lang w:eastAsia="zh-CN"/>
              </w:rPr>
              <w:t>云南省林业和草原技术推广总站林下滇黄精栽培技术推广</w:t>
            </w:r>
            <w:bookmarkStart w:id="558" w:name="_GoBack"/>
            <w:bookmarkEnd w:id="558"/>
            <w:r>
              <w:rPr>
                <w:rFonts w:hint="eastAsia" w:ascii="仿宋" w:hAnsi="仿宋" w:eastAsia="仿宋" w:cs="仿宋"/>
                <w:b/>
                <w:bCs/>
                <w:color w:val="auto"/>
                <w:sz w:val="60"/>
                <w:szCs w:val="60"/>
                <w:lang w:eastAsia="zh-CN"/>
              </w:rPr>
              <w:t>示范项目肥料、药品采购项目</w:t>
            </w:r>
          </w:p>
          <w:p w14:paraId="48BDC278">
            <w:pPr>
              <w:pStyle w:val="32"/>
              <w:spacing w:line="360" w:lineRule="auto"/>
              <w:jc w:val="both"/>
              <w:rPr>
                <w:rFonts w:hint="eastAsia" w:ascii="仿宋" w:hAnsi="仿宋" w:eastAsia="仿宋" w:cs="仿宋"/>
                <w:color w:val="auto"/>
              </w:rPr>
            </w:pPr>
          </w:p>
          <w:p w14:paraId="55FB22CC">
            <w:pPr>
              <w:pStyle w:val="32"/>
              <w:spacing w:line="360" w:lineRule="auto"/>
              <w:jc w:val="both"/>
              <w:rPr>
                <w:rFonts w:hint="eastAsia" w:ascii="仿宋" w:hAnsi="仿宋" w:eastAsia="仿宋" w:cs="仿宋"/>
                <w:color w:val="auto"/>
              </w:rPr>
            </w:pPr>
          </w:p>
          <w:p w14:paraId="51881152">
            <w:pPr>
              <w:pStyle w:val="8"/>
              <w:spacing w:line="360" w:lineRule="auto"/>
              <w:rPr>
                <w:rFonts w:hint="eastAsia" w:ascii="仿宋" w:hAnsi="仿宋" w:eastAsia="仿宋" w:cs="仿宋"/>
                <w:color w:val="auto"/>
              </w:rPr>
            </w:pPr>
          </w:p>
          <w:p w14:paraId="189E4E03">
            <w:pPr>
              <w:spacing w:line="360" w:lineRule="auto"/>
              <w:jc w:val="center"/>
              <w:rPr>
                <w:rFonts w:hint="eastAsia" w:ascii="仿宋" w:hAnsi="仿宋" w:eastAsia="仿宋" w:cs="仿宋"/>
                <w:b/>
                <w:bCs/>
                <w:color w:val="auto"/>
                <w:sz w:val="72"/>
                <w:szCs w:val="72"/>
              </w:rPr>
            </w:pPr>
            <w:r>
              <w:rPr>
                <w:rFonts w:hint="eastAsia" w:ascii="仿宋" w:hAnsi="仿宋" w:eastAsia="仿宋" w:cs="仿宋"/>
                <w:b/>
                <w:bCs/>
                <w:color w:val="auto"/>
                <w:sz w:val="72"/>
                <w:szCs w:val="72"/>
              </w:rPr>
              <w:t>招标文件</w:t>
            </w:r>
          </w:p>
          <w:p w14:paraId="150C25B5">
            <w:pPr>
              <w:spacing w:line="360" w:lineRule="auto"/>
              <w:jc w:val="center"/>
              <w:rPr>
                <w:rFonts w:hint="eastAsia" w:ascii="仿宋" w:hAnsi="仿宋" w:eastAsia="仿宋" w:cs="仿宋"/>
                <w:color w:val="auto"/>
                <w:szCs w:val="21"/>
                <w:highlight w:val="yellow"/>
                <w:lang w:eastAsia="zh-CN"/>
              </w:rPr>
            </w:pPr>
            <w:r>
              <w:rPr>
                <w:rFonts w:hint="eastAsia" w:ascii="仿宋" w:hAnsi="仿宋" w:eastAsia="仿宋" w:cs="仿宋"/>
                <w:b/>
                <w:bCs/>
                <w:color w:val="auto"/>
                <w:sz w:val="36"/>
                <w:szCs w:val="36"/>
              </w:rPr>
              <w:t>项目编号：</w:t>
            </w:r>
            <w:r>
              <w:rPr>
                <w:rFonts w:hint="eastAsia" w:ascii="仿宋" w:hAnsi="仿宋" w:eastAsia="仿宋" w:cs="仿宋"/>
                <w:b/>
                <w:bCs/>
                <w:color w:val="auto"/>
                <w:sz w:val="36"/>
                <w:szCs w:val="36"/>
                <w:highlight w:val="none"/>
                <w:lang w:eastAsia="zh-CN"/>
              </w:rPr>
              <w:t>YNZC2026-G1-00374-YNGH-0032</w:t>
            </w:r>
          </w:p>
          <w:p w14:paraId="719B79F2">
            <w:pPr>
              <w:pStyle w:val="32"/>
              <w:spacing w:line="360" w:lineRule="auto"/>
              <w:jc w:val="both"/>
              <w:rPr>
                <w:rFonts w:hint="eastAsia" w:ascii="仿宋" w:hAnsi="仿宋" w:eastAsia="仿宋" w:cs="仿宋"/>
                <w:color w:val="auto"/>
              </w:rPr>
            </w:pPr>
          </w:p>
        </w:tc>
      </w:tr>
      <w:tr w14:paraId="292B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exact"/>
        </w:trPr>
        <w:tc>
          <w:tcPr>
            <w:tcW w:w="1298" w:type="dxa"/>
            <w:vAlign w:val="center"/>
          </w:tcPr>
          <w:p w14:paraId="5C043C38">
            <w:pPr>
              <w:spacing w:line="360" w:lineRule="auto"/>
              <w:jc w:val="center"/>
              <w:rPr>
                <w:rFonts w:hint="eastAsia" w:ascii="仿宋" w:hAnsi="仿宋" w:eastAsia="仿宋" w:cs="仿宋"/>
                <w:b/>
                <w:bCs/>
                <w:color w:val="auto"/>
                <w:sz w:val="24"/>
                <w:szCs w:val="28"/>
              </w:rPr>
            </w:pPr>
            <w:bookmarkStart w:id="5" w:name="_Toc4044"/>
            <w:bookmarkStart w:id="6" w:name="_Toc23562"/>
            <w:bookmarkStart w:id="7" w:name="_Toc18505"/>
            <w:bookmarkStart w:id="8" w:name="_Toc16852"/>
            <w:bookmarkStart w:id="9" w:name="_Toc16625"/>
            <w:r>
              <w:rPr>
                <w:rFonts w:hint="eastAsia" w:ascii="仿宋" w:hAnsi="仿宋" w:eastAsia="仿宋" w:cs="仿宋"/>
                <w:b/>
                <w:bCs/>
                <w:color w:val="auto"/>
                <w:sz w:val="24"/>
                <w:szCs w:val="28"/>
              </w:rPr>
              <w:t>部门</w:t>
            </w:r>
            <w:bookmarkEnd w:id="5"/>
            <w:bookmarkEnd w:id="6"/>
            <w:bookmarkEnd w:id="7"/>
            <w:bookmarkEnd w:id="8"/>
            <w:bookmarkEnd w:id="9"/>
          </w:p>
        </w:tc>
        <w:tc>
          <w:tcPr>
            <w:tcW w:w="1990" w:type="dxa"/>
            <w:vAlign w:val="center"/>
          </w:tcPr>
          <w:p w14:paraId="1DBD43DE">
            <w:pPr>
              <w:spacing w:line="360" w:lineRule="auto"/>
              <w:jc w:val="center"/>
              <w:rPr>
                <w:rFonts w:hint="eastAsia" w:ascii="仿宋" w:hAnsi="仿宋" w:eastAsia="仿宋" w:cs="仿宋"/>
                <w:b/>
                <w:bCs/>
                <w:color w:val="auto"/>
                <w:sz w:val="24"/>
                <w:szCs w:val="28"/>
              </w:rPr>
            </w:pPr>
            <w:bookmarkStart w:id="10" w:name="_Toc722"/>
            <w:bookmarkStart w:id="11" w:name="_Toc18576"/>
            <w:bookmarkStart w:id="12" w:name="_Toc931"/>
            <w:bookmarkStart w:id="13" w:name="_Toc13698"/>
            <w:bookmarkStart w:id="14" w:name="_Toc1085"/>
            <w:r>
              <w:rPr>
                <w:rFonts w:hint="eastAsia" w:ascii="仿宋" w:hAnsi="仿宋" w:eastAsia="仿宋" w:cs="仿宋"/>
                <w:b/>
                <w:bCs/>
                <w:color w:val="auto"/>
                <w:sz w:val="24"/>
                <w:szCs w:val="28"/>
              </w:rPr>
              <w:t>项目部</w:t>
            </w:r>
            <w:bookmarkEnd w:id="10"/>
            <w:bookmarkEnd w:id="11"/>
            <w:bookmarkEnd w:id="12"/>
            <w:bookmarkEnd w:id="13"/>
            <w:bookmarkEnd w:id="14"/>
          </w:p>
        </w:tc>
        <w:tc>
          <w:tcPr>
            <w:tcW w:w="1700" w:type="dxa"/>
            <w:vAlign w:val="center"/>
          </w:tcPr>
          <w:p w14:paraId="5240DCE2">
            <w:pPr>
              <w:spacing w:line="360" w:lineRule="auto"/>
              <w:jc w:val="center"/>
              <w:rPr>
                <w:rFonts w:hint="eastAsia" w:ascii="仿宋" w:hAnsi="仿宋" w:eastAsia="仿宋" w:cs="仿宋"/>
                <w:b/>
                <w:bCs/>
                <w:color w:val="auto"/>
                <w:sz w:val="24"/>
                <w:szCs w:val="28"/>
              </w:rPr>
            </w:pPr>
            <w:bookmarkStart w:id="15" w:name="_Toc17715"/>
            <w:bookmarkStart w:id="16" w:name="_Toc20421"/>
            <w:bookmarkStart w:id="17" w:name="_Toc23894"/>
            <w:bookmarkStart w:id="18" w:name="_Toc23905"/>
            <w:bookmarkStart w:id="19" w:name="_Toc17650"/>
            <w:r>
              <w:rPr>
                <w:rFonts w:hint="eastAsia" w:ascii="仿宋" w:hAnsi="仿宋" w:eastAsia="仿宋" w:cs="仿宋"/>
                <w:b/>
                <w:bCs/>
                <w:color w:val="auto"/>
                <w:sz w:val="24"/>
                <w:szCs w:val="28"/>
              </w:rPr>
              <w:t>项目名称</w:t>
            </w:r>
            <w:bookmarkEnd w:id="15"/>
            <w:bookmarkEnd w:id="16"/>
            <w:bookmarkEnd w:id="17"/>
            <w:bookmarkEnd w:id="18"/>
            <w:bookmarkEnd w:id="19"/>
          </w:p>
        </w:tc>
        <w:tc>
          <w:tcPr>
            <w:tcW w:w="4740" w:type="dxa"/>
            <w:vAlign w:val="center"/>
          </w:tcPr>
          <w:p w14:paraId="1B83BC0F">
            <w:pPr>
              <w:spacing w:line="360" w:lineRule="auto"/>
              <w:jc w:val="center"/>
              <w:rPr>
                <w:rFonts w:hint="default" w:ascii="仿宋" w:hAnsi="仿宋" w:eastAsia="仿宋" w:cs="仿宋"/>
                <w:b/>
                <w:bCs/>
                <w:color w:val="auto"/>
                <w:sz w:val="24"/>
                <w:szCs w:val="28"/>
                <w:lang w:val="en-US" w:eastAsia="zh-CN"/>
              </w:rPr>
            </w:pPr>
            <w:r>
              <w:rPr>
                <w:rFonts w:hint="eastAsia" w:ascii="仿宋" w:hAnsi="仿宋" w:eastAsia="仿宋" w:cs="仿宋"/>
                <w:b/>
                <w:bCs/>
                <w:color w:val="auto"/>
                <w:sz w:val="24"/>
                <w:szCs w:val="28"/>
                <w:lang w:eastAsia="zh-CN"/>
              </w:rPr>
              <w:t>云南省林业和草原技术推广总站林下滇黄精栽培技术推广示范项目肥料、药品采购项目</w:t>
            </w:r>
          </w:p>
        </w:tc>
      </w:tr>
      <w:tr w14:paraId="4C76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38F3F93C">
            <w:pPr>
              <w:spacing w:line="360" w:lineRule="auto"/>
              <w:jc w:val="center"/>
              <w:rPr>
                <w:rFonts w:hint="eastAsia" w:ascii="仿宋" w:hAnsi="仿宋" w:eastAsia="仿宋" w:cs="仿宋"/>
                <w:b/>
                <w:bCs/>
                <w:color w:val="auto"/>
                <w:sz w:val="24"/>
                <w:szCs w:val="28"/>
              </w:rPr>
            </w:pPr>
            <w:bookmarkStart w:id="20" w:name="_Toc17191"/>
            <w:bookmarkStart w:id="21" w:name="_Toc28340"/>
            <w:bookmarkStart w:id="22" w:name="_Toc1467"/>
            <w:bookmarkStart w:id="23" w:name="_Toc30324"/>
            <w:bookmarkStart w:id="24" w:name="_Toc28256"/>
            <w:r>
              <w:rPr>
                <w:rFonts w:hint="eastAsia" w:ascii="仿宋" w:hAnsi="仿宋" w:eastAsia="仿宋" w:cs="仿宋"/>
                <w:b/>
                <w:bCs/>
                <w:color w:val="auto"/>
                <w:sz w:val="24"/>
                <w:szCs w:val="28"/>
              </w:rPr>
              <w:t>编制</w:t>
            </w:r>
            <w:bookmarkEnd w:id="20"/>
            <w:bookmarkEnd w:id="21"/>
            <w:bookmarkEnd w:id="22"/>
            <w:bookmarkEnd w:id="23"/>
            <w:bookmarkEnd w:id="24"/>
          </w:p>
        </w:tc>
        <w:tc>
          <w:tcPr>
            <w:tcW w:w="1990" w:type="dxa"/>
            <w:vAlign w:val="center"/>
          </w:tcPr>
          <w:p w14:paraId="11A7E118">
            <w:pPr>
              <w:pageBreakBefore w:val="0"/>
              <w:topLinePunct w:val="0"/>
              <w:bidi w:val="0"/>
              <w:spacing w:line="360" w:lineRule="auto"/>
              <w:jc w:val="center"/>
              <w:rPr>
                <w:rFonts w:hint="eastAsia" w:ascii="仿宋" w:hAnsi="仿宋" w:eastAsia="仿宋" w:cs="仿宋"/>
                <w:b/>
                <w:bCs/>
                <w:color w:val="auto"/>
                <w:sz w:val="24"/>
                <w:szCs w:val="28"/>
              </w:rPr>
            </w:pPr>
            <w:r>
              <w:rPr>
                <w:rFonts w:hint="eastAsia" w:ascii="仿宋" w:hAnsi="仿宋" w:eastAsia="仿宋" w:cs="仿宋"/>
                <w:b/>
                <w:bCs/>
                <w:color w:val="auto"/>
                <w:sz w:val="24"/>
                <w:szCs w:val="28"/>
                <w:highlight w:val="none"/>
                <w:lang w:val="en-US" w:eastAsia="zh-CN"/>
              </w:rPr>
              <w:t>蒋立</w:t>
            </w:r>
          </w:p>
        </w:tc>
        <w:tc>
          <w:tcPr>
            <w:tcW w:w="1700" w:type="dxa"/>
            <w:vAlign w:val="center"/>
          </w:tcPr>
          <w:p w14:paraId="53607D1C">
            <w:pPr>
              <w:spacing w:line="360" w:lineRule="auto"/>
              <w:jc w:val="center"/>
              <w:rPr>
                <w:rFonts w:hint="eastAsia" w:ascii="仿宋" w:hAnsi="仿宋" w:eastAsia="仿宋" w:cs="仿宋"/>
                <w:b/>
                <w:bCs/>
                <w:color w:val="auto"/>
                <w:sz w:val="24"/>
                <w:szCs w:val="28"/>
              </w:rPr>
            </w:pPr>
            <w:bookmarkStart w:id="25" w:name="_Toc13387"/>
            <w:bookmarkStart w:id="26" w:name="_Toc22845"/>
            <w:bookmarkStart w:id="27" w:name="_Toc11946"/>
            <w:bookmarkStart w:id="28" w:name="_Toc18332"/>
            <w:bookmarkStart w:id="29" w:name="_Toc15031"/>
            <w:r>
              <w:rPr>
                <w:rFonts w:hint="eastAsia" w:ascii="仿宋" w:hAnsi="仿宋" w:eastAsia="仿宋" w:cs="仿宋"/>
                <w:b/>
                <w:bCs/>
                <w:color w:val="auto"/>
                <w:sz w:val="24"/>
                <w:szCs w:val="28"/>
              </w:rPr>
              <w:t>采购人</w:t>
            </w:r>
            <w:bookmarkEnd w:id="25"/>
            <w:bookmarkEnd w:id="26"/>
            <w:bookmarkEnd w:id="27"/>
            <w:bookmarkEnd w:id="28"/>
            <w:bookmarkEnd w:id="29"/>
          </w:p>
        </w:tc>
        <w:tc>
          <w:tcPr>
            <w:tcW w:w="4740" w:type="dxa"/>
            <w:vAlign w:val="center"/>
          </w:tcPr>
          <w:p w14:paraId="67D66FE4">
            <w:pPr>
              <w:spacing w:line="360" w:lineRule="auto"/>
              <w:jc w:val="center"/>
              <w:rPr>
                <w:rFonts w:hint="eastAsia" w:ascii="仿宋" w:hAnsi="仿宋" w:eastAsia="仿宋" w:cs="仿宋"/>
                <w:b/>
                <w:bCs/>
                <w:color w:val="auto"/>
                <w:sz w:val="24"/>
                <w:szCs w:val="28"/>
                <w:lang w:eastAsia="zh-CN"/>
              </w:rPr>
            </w:pPr>
            <w:r>
              <w:rPr>
                <w:rFonts w:hint="eastAsia" w:ascii="仿宋" w:hAnsi="仿宋" w:eastAsia="仿宋" w:cs="仿宋"/>
                <w:b/>
                <w:bCs/>
                <w:color w:val="auto"/>
                <w:sz w:val="24"/>
                <w:szCs w:val="28"/>
                <w:lang w:eastAsia="zh-CN"/>
              </w:rPr>
              <w:t>云南省林业和草原技术推广总站</w:t>
            </w:r>
          </w:p>
        </w:tc>
      </w:tr>
      <w:tr w14:paraId="0F84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6DD4BB04">
            <w:pPr>
              <w:spacing w:line="360" w:lineRule="auto"/>
              <w:jc w:val="center"/>
              <w:rPr>
                <w:rFonts w:hint="eastAsia" w:ascii="仿宋" w:hAnsi="仿宋" w:eastAsia="仿宋" w:cs="仿宋"/>
                <w:b/>
                <w:bCs/>
                <w:color w:val="auto"/>
                <w:sz w:val="24"/>
                <w:szCs w:val="28"/>
              </w:rPr>
            </w:pPr>
            <w:bookmarkStart w:id="30" w:name="_Toc22552"/>
            <w:bookmarkStart w:id="31" w:name="_Toc28042"/>
            <w:bookmarkStart w:id="32" w:name="_Toc13517"/>
            <w:bookmarkStart w:id="33" w:name="_Toc6950"/>
            <w:bookmarkStart w:id="34" w:name="_Toc25010"/>
            <w:r>
              <w:rPr>
                <w:rFonts w:hint="eastAsia" w:ascii="仿宋" w:hAnsi="仿宋" w:eastAsia="仿宋" w:cs="仿宋"/>
                <w:b/>
                <w:bCs/>
                <w:color w:val="auto"/>
                <w:sz w:val="24"/>
                <w:szCs w:val="28"/>
              </w:rPr>
              <w:t>校核</w:t>
            </w:r>
            <w:bookmarkEnd w:id="30"/>
            <w:bookmarkEnd w:id="31"/>
            <w:bookmarkEnd w:id="32"/>
            <w:bookmarkEnd w:id="33"/>
            <w:bookmarkEnd w:id="34"/>
          </w:p>
        </w:tc>
        <w:tc>
          <w:tcPr>
            <w:tcW w:w="1990" w:type="dxa"/>
            <w:vAlign w:val="center"/>
          </w:tcPr>
          <w:p w14:paraId="1D7226D9">
            <w:pPr>
              <w:pageBreakBefore w:val="0"/>
              <w:topLinePunct w:val="0"/>
              <w:bidi w:val="0"/>
              <w:spacing w:line="360" w:lineRule="auto"/>
              <w:jc w:val="center"/>
              <w:rPr>
                <w:rFonts w:hint="eastAsia" w:ascii="仿宋" w:hAnsi="仿宋" w:eastAsia="仿宋" w:cs="仿宋"/>
                <w:b/>
                <w:bCs/>
                <w:color w:val="auto"/>
                <w:sz w:val="24"/>
                <w:szCs w:val="28"/>
              </w:rPr>
            </w:pPr>
            <w:r>
              <w:rPr>
                <w:rFonts w:hint="eastAsia" w:ascii="仿宋" w:hAnsi="仿宋" w:eastAsia="仿宋" w:cs="仿宋"/>
                <w:b/>
                <w:bCs/>
                <w:color w:val="auto"/>
                <w:sz w:val="24"/>
                <w:szCs w:val="28"/>
                <w:highlight w:val="none"/>
              </w:rPr>
              <w:t>杨云鹏</w:t>
            </w:r>
          </w:p>
        </w:tc>
        <w:tc>
          <w:tcPr>
            <w:tcW w:w="1700" w:type="dxa"/>
            <w:vAlign w:val="center"/>
          </w:tcPr>
          <w:p w14:paraId="69F1319E">
            <w:pPr>
              <w:spacing w:line="360" w:lineRule="auto"/>
              <w:jc w:val="center"/>
              <w:rPr>
                <w:rFonts w:hint="eastAsia" w:ascii="仿宋" w:hAnsi="仿宋" w:eastAsia="仿宋" w:cs="仿宋"/>
                <w:b/>
                <w:bCs/>
                <w:color w:val="auto"/>
                <w:sz w:val="24"/>
                <w:szCs w:val="28"/>
              </w:rPr>
            </w:pPr>
            <w:bookmarkStart w:id="35" w:name="_Toc25064"/>
            <w:bookmarkStart w:id="36" w:name="_Toc24818"/>
            <w:bookmarkStart w:id="37" w:name="_Toc8006"/>
            <w:bookmarkStart w:id="38" w:name="_Toc2877"/>
            <w:bookmarkStart w:id="39" w:name="_Toc12022"/>
            <w:r>
              <w:rPr>
                <w:rFonts w:hint="eastAsia" w:ascii="仿宋" w:hAnsi="仿宋" w:eastAsia="仿宋" w:cs="仿宋"/>
                <w:b/>
                <w:bCs/>
                <w:color w:val="auto"/>
                <w:sz w:val="24"/>
                <w:szCs w:val="28"/>
              </w:rPr>
              <w:t>项目编号</w:t>
            </w:r>
            <w:bookmarkEnd w:id="35"/>
            <w:bookmarkEnd w:id="36"/>
            <w:bookmarkEnd w:id="37"/>
            <w:bookmarkEnd w:id="38"/>
            <w:bookmarkEnd w:id="39"/>
          </w:p>
        </w:tc>
        <w:tc>
          <w:tcPr>
            <w:tcW w:w="4740" w:type="dxa"/>
            <w:vAlign w:val="center"/>
          </w:tcPr>
          <w:p w14:paraId="1D29ED8F">
            <w:pPr>
              <w:spacing w:line="360" w:lineRule="auto"/>
              <w:jc w:val="center"/>
              <w:rPr>
                <w:rFonts w:hint="eastAsia" w:ascii="仿宋" w:hAnsi="仿宋" w:eastAsia="仿宋" w:cs="仿宋"/>
                <w:b/>
                <w:bCs/>
                <w:color w:val="auto"/>
                <w:sz w:val="24"/>
                <w:szCs w:val="28"/>
                <w:lang w:eastAsia="zh-CN"/>
              </w:rPr>
            </w:pPr>
            <w:r>
              <w:rPr>
                <w:rFonts w:hint="eastAsia" w:ascii="仿宋" w:hAnsi="仿宋" w:eastAsia="仿宋" w:cs="仿宋"/>
                <w:b/>
                <w:bCs/>
                <w:color w:val="auto"/>
                <w:sz w:val="24"/>
                <w:szCs w:val="28"/>
                <w:highlight w:val="none"/>
                <w:lang w:eastAsia="zh-CN"/>
              </w:rPr>
              <w:t>YNZC2026-G1-00374-YNGH-0032</w:t>
            </w:r>
          </w:p>
        </w:tc>
      </w:tr>
      <w:tr w14:paraId="5A72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0F81023D">
            <w:pPr>
              <w:spacing w:line="360" w:lineRule="auto"/>
              <w:jc w:val="center"/>
              <w:rPr>
                <w:rFonts w:hint="eastAsia" w:ascii="仿宋" w:hAnsi="仿宋" w:eastAsia="仿宋" w:cs="仿宋"/>
                <w:b/>
                <w:bCs/>
                <w:color w:val="auto"/>
                <w:sz w:val="24"/>
                <w:szCs w:val="28"/>
              </w:rPr>
            </w:pPr>
            <w:bookmarkStart w:id="40" w:name="_Toc13624"/>
            <w:bookmarkStart w:id="41" w:name="_Toc24315"/>
            <w:bookmarkStart w:id="42" w:name="_Toc26562"/>
            <w:bookmarkStart w:id="43" w:name="_Toc27420"/>
            <w:bookmarkStart w:id="44" w:name="_Toc32029"/>
            <w:r>
              <w:rPr>
                <w:rFonts w:hint="eastAsia" w:ascii="仿宋" w:hAnsi="仿宋" w:eastAsia="仿宋" w:cs="仿宋"/>
                <w:b/>
                <w:bCs/>
                <w:color w:val="auto"/>
                <w:sz w:val="24"/>
                <w:szCs w:val="28"/>
              </w:rPr>
              <w:t>批准</w:t>
            </w:r>
            <w:bookmarkEnd w:id="40"/>
            <w:bookmarkEnd w:id="41"/>
            <w:bookmarkEnd w:id="42"/>
            <w:bookmarkEnd w:id="43"/>
            <w:bookmarkEnd w:id="44"/>
          </w:p>
        </w:tc>
        <w:tc>
          <w:tcPr>
            <w:tcW w:w="1990" w:type="dxa"/>
            <w:vAlign w:val="center"/>
          </w:tcPr>
          <w:p w14:paraId="20959564">
            <w:pPr>
              <w:spacing w:line="360" w:lineRule="auto"/>
              <w:jc w:val="center"/>
              <w:rPr>
                <w:rFonts w:hint="eastAsia" w:ascii="仿宋" w:hAnsi="仿宋" w:eastAsia="仿宋" w:cs="仿宋"/>
                <w:b/>
                <w:bCs/>
                <w:color w:val="auto"/>
                <w:sz w:val="24"/>
                <w:szCs w:val="28"/>
              </w:rPr>
            </w:pPr>
            <w:bookmarkStart w:id="45" w:name="_Toc7985"/>
            <w:bookmarkStart w:id="46" w:name="_Toc8123"/>
            <w:bookmarkStart w:id="47" w:name="_Toc5993"/>
            <w:bookmarkStart w:id="48" w:name="_Toc29443"/>
            <w:bookmarkStart w:id="49" w:name="_Toc8507"/>
            <w:r>
              <w:rPr>
                <w:rFonts w:hint="eastAsia" w:ascii="仿宋" w:hAnsi="仿宋" w:eastAsia="仿宋" w:cs="仿宋"/>
                <w:b/>
                <w:bCs/>
                <w:color w:val="auto"/>
                <w:sz w:val="24"/>
                <w:szCs w:val="28"/>
              </w:rPr>
              <w:t>张正举</w:t>
            </w:r>
            <w:bookmarkEnd w:id="45"/>
            <w:bookmarkEnd w:id="46"/>
            <w:bookmarkEnd w:id="47"/>
            <w:bookmarkEnd w:id="48"/>
            <w:bookmarkEnd w:id="49"/>
          </w:p>
        </w:tc>
        <w:tc>
          <w:tcPr>
            <w:tcW w:w="1700" w:type="dxa"/>
            <w:vAlign w:val="center"/>
          </w:tcPr>
          <w:p w14:paraId="5538C498">
            <w:pPr>
              <w:spacing w:line="360" w:lineRule="auto"/>
              <w:jc w:val="center"/>
              <w:rPr>
                <w:rFonts w:hint="eastAsia" w:ascii="仿宋" w:hAnsi="仿宋" w:eastAsia="仿宋" w:cs="仿宋"/>
                <w:b/>
                <w:bCs/>
                <w:color w:val="auto"/>
                <w:sz w:val="24"/>
                <w:szCs w:val="28"/>
              </w:rPr>
            </w:pPr>
            <w:bookmarkStart w:id="50" w:name="_Toc3281"/>
            <w:bookmarkStart w:id="51" w:name="_Toc5590"/>
            <w:bookmarkStart w:id="52" w:name="_Toc23977"/>
            <w:bookmarkStart w:id="53" w:name="_Toc22463"/>
            <w:bookmarkStart w:id="54" w:name="_Toc1290"/>
            <w:r>
              <w:rPr>
                <w:rFonts w:hint="eastAsia" w:ascii="仿宋" w:hAnsi="仿宋" w:eastAsia="仿宋" w:cs="仿宋"/>
                <w:b/>
                <w:bCs/>
                <w:color w:val="auto"/>
                <w:sz w:val="24"/>
                <w:szCs w:val="28"/>
              </w:rPr>
              <w:t>采购人联系人</w:t>
            </w:r>
            <w:bookmarkEnd w:id="50"/>
            <w:bookmarkEnd w:id="51"/>
            <w:bookmarkEnd w:id="52"/>
            <w:bookmarkEnd w:id="53"/>
            <w:bookmarkEnd w:id="54"/>
          </w:p>
        </w:tc>
        <w:tc>
          <w:tcPr>
            <w:tcW w:w="4740" w:type="dxa"/>
            <w:vAlign w:val="center"/>
          </w:tcPr>
          <w:p w14:paraId="68D80104">
            <w:pPr>
              <w:spacing w:line="360" w:lineRule="auto"/>
              <w:jc w:val="center"/>
              <w:rPr>
                <w:rFonts w:hint="eastAsia" w:ascii="仿宋" w:hAnsi="仿宋" w:eastAsia="仿宋" w:cs="仿宋"/>
                <w:b/>
                <w:bCs/>
                <w:color w:val="auto"/>
                <w:sz w:val="24"/>
                <w:szCs w:val="28"/>
              </w:rPr>
            </w:pPr>
            <w:r>
              <w:rPr>
                <w:rFonts w:hint="eastAsia" w:ascii="仿宋" w:hAnsi="仿宋" w:eastAsia="仿宋" w:cs="仿宋"/>
                <w:b/>
                <w:bCs/>
                <w:color w:val="auto"/>
                <w:sz w:val="24"/>
                <w:szCs w:val="28"/>
                <w:lang w:val="en-US" w:eastAsia="zh-CN"/>
              </w:rPr>
              <w:t>王老师  13518715223</w:t>
            </w:r>
          </w:p>
        </w:tc>
      </w:tr>
      <w:tr w14:paraId="32A7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060FBFE7">
            <w:pPr>
              <w:spacing w:line="360" w:lineRule="auto"/>
              <w:jc w:val="center"/>
              <w:rPr>
                <w:rFonts w:hint="eastAsia" w:ascii="仿宋" w:hAnsi="仿宋" w:eastAsia="仿宋" w:cs="仿宋"/>
                <w:b/>
                <w:bCs/>
                <w:color w:val="auto"/>
                <w:sz w:val="24"/>
                <w:szCs w:val="28"/>
              </w:rPr>
            </w:pPr>
            <w:bookmarkStart w:id="55" w:name="_Toc8463"/>
            <w:bookmarkStart w:id="56" w:name="_Toc1187"/>
            <w:bookmarkStart w:id="57" w:name="_Toc15073"/>
            <w:bookmarkStart w:id="58" w:name="_Toc21036"/>
            <w:bookmarkStart w:id="59" w:name="_Toc22918"/>
            <w:r>
              <w:rPr>
                <w:rFonts w:hint="eastAsia" w:ascii="仿宋" w:hAnsi="仿宋" w:eastAsia="仿宋" w:cs="仿宋"/>
                <w:b/>
                <w:bCs/>
                <w:color w:val="auto"/>
                <w:sz w:val="24"/>
                <w:szCs w:val="28"/>
              </w:rPr>
              <w:t>日期</w:t>
            </w:r>
            <w:bookmarkEnd w:id="55"/>
            <w:bookmarkEnd w:id="56"/>
            <w:bookmarkEnd w:id="57"/>
            <w:bookmarkEnd w:id="58"/>
            <w:bookmarkEnd w:id="59"/>
          </w:p>
        </w:tc>
        <w:tc>
          <w:tcPr>
            <w:tcW w:w="1990" w:type="dxa"/>
            <w:vAlign w:val="center"/>
          </w:tcPr>
          <w:p w14:paraId="6842E34E">
            <w:pPr>
              <w:spacing w:line="360" w:lineRule="auto"/>
              <w:jc w:val="center"/>
              <w:rPr>
                <w:rFonts w:hint="default" w:ascii="仿宋" w:hAnsi="仿宋" w:eastAsia="仿宋" w:cs="仿宋"/>
                <w:b/>
                <w:bCs/>
                <w:color w:val="auto"/>
                <w:sz w:val="24"/>
                <w:szCs w:val="28"/>
                <w:lang w:val="en-US" w:eastAsia="zh-CN"/>
              </w:rPr>
            </w:pPr>
            <w:bookmarkStart w:id="60" w:name="_Toc7085"/>
            <w:bookmarkStart w:id="61" w:name="_Toc26245"/>
            <w:bookmarkStart w:id="62" w:name="_Toc7406"/>
            <w:bookmarkStart w:id="63" w:name="_Toc9353"/>
            <w:bookmarkStart w:id="64" w:name="_Toc9567"/>
            <w:r>
              <w:rPr>
                <w:rFonts w:hint="eastAsia" w:ascii="仿宋" w:hAnsi="仿宋" w:eastAsia="仿宋" w:cs="仿宋"/>
                <w:b/>
                <w:bCs/>
                <w:color w:val="auto"/>
                <w:sz w:val="24"/>
                <w:szCs w:val="28"/>
              </w:rPr>
              <w:t>202</w:t>
            </w:r>
            <w:r>
              <w:rPr>
                <w:rFonts w:hint="eastAsia" w:ascii="仿宋" w:hAnsi="仿宋" w:eastAsia="仿宋" w:cs="仿宋"/>
                <w:b/>
                <w:bCs/>
                <w:color w:val="auto"/>
                <w:sz w:val="24"/>
                <w:szCs w:val="28"/>
                <w:lang w:val="en-US" w:eastAsia="zh-CN"/>
              </w:rPr>
              <w:t>6</w:t>
            </w:r>
            <w:r>
              <w:rPr>
                <w:rFonts w:hint="eastAsia" w:ascii="仿宋" w:hAnsi="仿宋" w:eastAsia="仿宋" w:cs="仿宋"/>
                <w:b/>
                <w:bCs/>
                <w:color w:val="auto"/>
                <w:sz w:val="24"/>
                <w:szCs w:val="28"/>
              </w:rPr>
              <w:t>.</w:t>
            </w:r>
            <w:bookmarkEnd w:id="60"/>
            <w:bookmarkEnd w:id="61"/>
            <w:bookmarkEnd w:id="62"/>
            <w:bookmarkEnd w:id="63"/>
            <w:r>
              <w:rPr>
                <w:rFonts w:hint="eastAsia" w:ascii="仿宋" w:hAnsi="仿宋" w:eastAsia="仿宋" w:cs="仿宋"/>
                <w:b/>
                <w:bCs/>
                <w:color w:val="auto"/>
                <w:sz w:val="24"/>
                <w:szCs w:val="28"/>
                <w:lang w:val="en-US" w:eastAsia="zh-CN"/>
              </w:rPr>
              <w:t>03</w:t>
            </w:r>
            <w:r>
              <w:rPr>
                <w:rFonts w:hint="eastAsia" w:ascii="仿宋" w:hAnsi="仿宋" w:eastAsia="仿宋" w:cs="仿宋"/>
                <w:b/>
                <w:bCs/>
                <w:color w:val="auto"/>
                <w:sz w:val="24"/>
                <w:szCs w:val="28"/>
              </w:rPr>
              <w:t>.</w:t>
            </w:r>
            <w:bookmarkEnd w:id="64"/>
            <w:r>
              <w:rPr>
                <w:rFonts w:hint="eastAsia" w:ascii="仿宋" w:hAnsi="仿宋" w:eastAsia="仿宋" w:cs="仿宋"/>
                <w:b/>
                <w:bCs/>
                <w:color w:val="auto"/>
                <w:sz w:val="24"/>
                <w:szCs w:val="28"/>
                <w:lang w:val="en-US" w:eastAsia="zh-CN"/>
              </w:rPr>
              <w:t>01</w:t>
            </w:r>
          </w:p>
        </w:tc>
        <w:tc>
          <w:tcPr>
            <w:tcW w:w="1700" w:type="dxa"/>
            <w:vAlign w:val="center"/>
          </w:tcPr>
          <w:p w14:paraId="68EA28D3">
            <w:pPr>
              <w:spacing w:line="360" w:lineRule="auto"/>
              <w:jc w:val="center"/>
              <w:rPr>
                <w:rFonts w:hint="eastAsia" w:ascii="仿宋" w:hAnsi="仿宋" w:eastAsia="仿宋" w:cs="仿宋"/>
                <w:b/>
                <w:bCs/>
                <w:color w:val="auto"/>
                <w:sz w:val="24"/>
                <w:szCs w:val="28"/>
              </w:rPr>
            </w:pPr>
            <w:bookmarkStart w:id="65" w:name="_Toc26102"/>
            <w:bookmarkStart w:id="66" w:name="_Toc29135"/>
            <w:bookmarkStart w:id="67" w:name="_Toc20966"/>
            <w:bookmarkStart w:id="68" w:name="_Toc18953"/>
            <w:bookmarkStart w:id="69" w:name="_Toc22429"/>
            <w:r>
              <w:rPr>
                <w:rFonts w:hint="eastAsia" w:ascii="仿宋" w:hAnsi="仿宋" w:eastAsia="仿宋" w:cs="仿宋"/>
                <w:b/>
                <w:bCs/>
                <w:color w:val="auto"/>
                <w:sz w:val="24"/>
                <w:szCs w:val="28"/>
              </w:rPr>
              <w:t>文件版次</w:t>
            </w:r>
            <w:bookmarkEnd w:id="65"/>
            <w:bookmarkEnd w:id="66"/>
            <w:bookmarkEnd w:id="67"/>
            <w:bookmarkEnd w:id="68"/>
            <w:bookmarkEnd w:id="69"/>
          </w:p>
        </w:tc>
        <w:tc>
          <w:tcPr>
            <w:tcW w:w="4740" w:type="dxa"/>
            <w:vAlign w:val="center"/>
          </w:tcPr>
          <w:p w14:paraId="6F0F48A2">
            <w:pPr>
              <w:spacing w:line="360" w:lineRule="auto"/>
              <w:jc w:val="center"/>
              <w:rPr>
                <w:rFonts w:hint="eastAsia" w:ascii="仿宋" w:hAnsi="仿宋" w:eastAsia="仿宋" w:cs="仿宋"/>
                <w:b/>
                <w:bCs/>
                <w:color w:val="auto"/>
                <w:sz w:val="24"/>
                <w:szCs w:val="28"/>
              </w:rPr>
            </w:pPr>
            <w:bookmarkStart w:id="70" w:name="_Toc22863"/>
            <w:bookmarkStart w:id="71" w:name="_Toc17999"/>
            <w:bookmarkStart w:id="72" w:name="_Toc24168"/>
            <w:bookmarkStart w:id="73" w:name="_Toc29954"/>
            <w:bookmarkStart w:id="74" w:name="_Toc20520"/>
            <w:r>
              <w:rPr>
                <w:rFonts w:hint="eastAsia" w:ascii="仿宋" w:hAnsi="仿宋" w:eastAsia="仿宋" w:cs="仿宋"/>
                <w:b/>
                <w:bCs/>
                <w:color w:val="auto"/>
                <w:sz w:val="24"/>
                <w:szCs w:val="28"/>
                <w:lang w:val="en-US" w:eastAsia="zh-CN"/>
              </w:rPr>
              <w:t>0301</w:t>
            </w:r>
            <w:r>
              <w:rPr>
                <w:rFonts w:hint="eastAsia" w:ascii="仿宋" w:hAnsi="仿宋" w:eastAsia="仿宋" w:cs="仿宋"/>
                <w:b/>
                <w:bCs/>
                <w:color w:val="auto"/>
                <w:sz w:val="24"/>
                <w:szCs w:val="28"/>
              </w:rPr>
              <w:t>版</w:t>
            </w:r>
            <w:bookmarkEnd w:id="70"/>
            <w:bookmarkEnd w:id="71"/>
            <w:bookmarkEnd w:id="72"/>
            <w:bookmarkEnd w:id="73"/>
            <w:bookmarkEnd w:id="74"/>
          </w:p>
        </w:tc>
      </w:tr>
    </w:tbl>
    <w:p w14:paraId="0144D86E">
      <w:pPr>
        <w:spacing w:line="360" w:lineRule="auto"/>
        <w:rPr>
          <w:rFonts w:hint="eastAsia" w:ascii="仿宋" w:hAnsi="仿宋" w:eastAsia="仿宋" w:cs="仿宋"/>
          <w:color w:val="auto"/>
          <w:lang w:val="zh-CN"/>
        </w:rPr>
        <w:sectPr>
          <w:pgSz w:w="11906" w:h="16838"/>
          <w:pgMar w:top="1247" w:right="1134" w:bottom="1247" w:left="1247" w:header="851" w:footer="992" w:gutter="0"/>
          <w:pgBorders>
            <w:top w:val="none" w:sz="0" w:space="0"/>
            <w:left w:val="none" w:sz="0" w:space="0"/>
            <w:bottom w:val="none" w:sz="0" w:space="0"/>
            <w:right w:val="none" w:sz="0" w:space="0"/>
          </w:pgBorders>
          <w:cols w:space="0" w:num="1"/>
          <w:docGrid w:type="lines" w:linePitch="312" w:charSpace="0"/>
        </w:sectPr>
      </w:pPr>
    </w:p>
    <w:p w14:paraId="5ED2DC81">
      <w:pPr>
        <w:pStyle w:val="33"/>
        <w:spacing w:before="0" w:line="360" w:lineRule="auto"/>
        <w:jc w:val="center"/>
        <w:rPr>
          <w:rFonts w:hint="eastAsia" w:ascii="仿宋" w:hAnsi="仿宋" w:eastAsia="仿宋" w:cs="仿宋"/>
          <w:b/>
          <w:bCs/>
          <w:iCs/>
          <w:color w:val="auto"/>
          <w:sz w:val="40"/>
        </w:rPr>
      </w:pPr>
      <w:bookmarkStart w:id="75" w:name="_Toc62031133"/>
      <w:r>
        <w:rPr>
          <w:rFonts w:hint="eastAsia" w:ascii="仿宋" w:hAnsi="仿宋" w:eastAsia="仿宋" w:cs="仿宋"/>
          <w:b/>
          <w:bCs/>
          <w:iCs/>
          <w:color w:val="auto"/>
          <w:sz w:val="40"/>
        </w:rPr>
        <w:t>目录</w:t>
      </w:r>
    </w:p>
    <w:p w14:paraId="79BD39DF">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TOC \o "1-3" \h \u </w:instrText>
      </w:r>
      <w:r>
        <w:rPr>
          <w:rFonts w:hint="eastAsia" w:ascii="仿宋" w:hAnsi="仿宋" w:eastAsia="仿宋" w:cs="仿宋"/>
          <w:b/>
          <w:bCs/>
          <w:color w:val="auto"/>
          <w:sz w:val="21"/>
          <w:szCs w:val="21"/>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"_Toc27685" </w:instrText>
      </w:r>
      <w:r>
        <w:rPr>
          <w:rFonts w:hint="eastAsia" w:ascii="仿宋" w:hAnsi="仿宋" w:eastAsia="仿宋" w:cs="仿宋"/>
          <w:color w:val="auto"/>
        </w:rPr>
        <w:fldChar w:fldCharType="separate"/>
      </w:r>
      <w:r>
        <w:rPr>
          <w:rFonts w:hint="eastAsia" w:ascii="仿宋" w:hAnsi="仿宋" w:eastAsia="仿宋" w:cs="仿宋"/>
          <w:b/>
          <w:bCs/>
          <w:iCs/>
          <w:color w:val="auto"/>
          <w:sz w:val="21"/>
          <w:szCs w:val="21"/>
        </w:rPr>
        <w:t>第一章  招标公告</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_Toc27685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2</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58F43BD5">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"_Toc29600"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一、项目基本情况</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_Toc29600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2</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706CA54">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"_Toc3384"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二、申请人的资格要求：</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_Toc3384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3</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9D927BC">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"_Toc21896"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三、获取招标文件</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_Toc21896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3</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7593C5AB">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"_Toc3516"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四、提交投标文件截止时间、开标时间和地点</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_Toc3516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80C1625">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"_Toc102"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五、公告期限</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_Toc102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36FF5162">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"_Toc10889"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六、其他补充事宜</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_Toc10889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3932BC43">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"_Toc27110"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七、对本次招标提出询问，请按以下方式联系</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_Toc27110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1A966EFF">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"_Toc10542" </w:instrText>
      </w:r>
      <w:r>
        <w:rPr>
          <w:rFonts w:hint="eastAsia" w:ascii="仿宋" w:hAnsi="仿宋" w:eastAsia="仿宋" w:cs="仿宋"/>
          <w:color w:val="auto"/>
        </w:rPr>
        <w:fldChar w:fldCharType="separate"/>
      </w:r>
      <w:r>
        <w:rPr>
          <w:rFonts w:hint="eastAsia" w:ascii="仿宋" w:hAnsi="仿宋" w:eastAsia="仿宋" w:cs="仿宋"/>
          <w:b/>
          <w:bCs/>
          <w:iCs/>
          <w:color w:val="auto"/>
          <w:sz w:val="21"/>
          <w:szCs w:val="21"/>
        </w:rPr>
        <w:t>第二章 投标人须知</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_Toc10542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6</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69BBC719">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"_Toc18520"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投标人须知前附表</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_Toc18520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6</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35292003">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"_Toc17224"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一、总  则</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_Toc17224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11</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A64F21D">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"_Toc6881"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二、招标文件</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_Toc6881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13</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3315F91">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"_Toc30225"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三、投标文件的编制</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_Toc30225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14</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4F5A4EF">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"_Toc31439"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四、投标文件的提交</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_Toc31439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16</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6279258">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"_Toc12505"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五、开标与评标</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_Toc12505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16</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414D877A">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"_Toc11286"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六、中标结果</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_Toc11286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19</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72A18902">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"_Toc29860"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七、其他事项</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_Toc29860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19</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5BD0D768">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"_Toc27255" </w:instrText>
      </w:r>
      <w:r>
        <w:rPr>
          <w:rFonts w:hint="eastAsia" w:ascii="仿宋" w:hAnsi="仿宋" w:eastAsia="仿宋" w:cs="仿宋"/>
          <w:color w:val="auto"/>
        </w:rPr>
        <w:fldChar w:fldCharType="separate"/>
      </w:r>
      <w:r>
        <w:rPr>
          <w:rFonts w:hint="eastAsia" w:ascii="仿宋" w:hAnsi="仿宋" w:eastAsia="仿宋" w:cs="仿宋"/>
          <w:b/>
          <w:bCs/>
          <w:iCs/>
          <w:color w:val="auto"/>
          <w:sz w:val="21"/>
          <w:szCs w:val="21"/>
        </w:rPr>
        <w:t>第三章 资格审查</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_Toc27255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21</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60F9D0BD">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"_Toc22893" </w:instrText>
      </w:r>
      <w:r>
        <w:rPr>
          <w:rFonts w:hint="eastAsia" w:ascii="仿宋" w:hAnsi="仿宋" w:eastAsia="仿宋" w:cs="仿宋"/>
          <w:color w:val="auto"/>
        </w:rPr>
        <w:fldChar w:fldCharType="separate"/>
      </w:r>
      <w:r>
        <w:rPr>
          <w:rFonts w:hint="eastAsia" w:ascii="仿宋" w:hAnsi="仿宋" w:eastAsia="仿宋" w:cs="仿宋"/>
          <w:b/>
          <w:bCs/>
          <w:iCs/>
          <w:color w:val="auto"/>
          <w:sz w:val="21"/>
          <w:szCs w:val="21"/>
        </w:rPr>
        <w:t>第四章</w:t>
      </w:r>
      <w:r>
        <w:rPr>
          <w:rFonts w:hint="eastAsia" w:ascii="仿宋" w:hAnsi="仿宋" w:eastAsia="仿宋" w:cs="仿宋"/>
          <w:b/>
          <w:bCs/>
          <w:color w:val="auto"/>
          <w:sz w:val="21"/>
          <w:szCs w:val="21"/>
        </w:rPr>
        <w:t xml:space="preserve"> </w:t>
      </w:r>
      <w:r>
        <w:rPr>
          <w:rFonts w:hint="eastAsia" w:ascii="仿宋" w:hAnsi="仿宋" w:eastAsia="仿宋" w:cs="仿宋"/>
          <w:b/>
          <w:bCs/>
          <w:iCs/>
          <w:color w:val="auto"/>
          <w:sz w:val="21"/>
          <w:szCs w:val="21"/>
        </w:rPr>
        <w:t>评标办法（综合评分法）</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_Toc22893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23</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797AEEA2">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"_Toc11951"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第五章  合同书样式及主要条款</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_Toc11951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30</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1CD780EE">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"_Toc21907"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第六章 采购需求</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_Toc21907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37</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13428372">
      <w:pPr>
        <w:pStyle w:val="16"/>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"_Toc20385"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第七章  投标文件格式</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_Toc20385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43</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69B8E4FC">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"_Toc3812"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（资格审查部分）</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_Toc3812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44</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6A6F97C3">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"_Toc5623"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（投标报价部分）</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_Toc5623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48</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4B236C8D">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"_Toc26780" </w:instrText>
      </w:r>
      <w:r>
        <w:rPr>
          <w:rFonts w:hint="eastAsia" w:ascii="仿宋" w:hAnsi="仿宋" w:eastAsia="仿宋" w:cs="仿宋"/>
          <w:color w:val="auto"/>
        </w:rPr>
        <w:fldChar w:fldCharType="separate"/>
      </w:r>
      <w:r>
        <w:rPr>
          <w:rFonts w:hint="eastAsia" w:ascii="仿宋" w:hAnsi="仿宋" w:eastAsia="仿宋" w:cs="仿宋"/>
          <w:b/>
          <w:bCs/>
          <w:color w:val="auto"/>
          <w:szCs w:val="21"/>
        </w:rPr>
        <w:t>一、开标一览表</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_Toc26780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50</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316AD616">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"_Toc21953" </w:instrText>
      </w:r>
      <w:r>
        <w:rPr>
          <w:rFonts w:hint="eastAsia" w:ascii="仿宋" w:hAnsi="仿宋" w:eastAsia="仿宋" w:cs="仿宋"/>
          <w:color w:val="auto"/>
        </w:rPr>
        <w:fldChar w:fldCharType="separate"/>
      </w:r>
      <w:r>
        <w:rPr>
          <w:rFonts w:hint="eastAsia" w:ascii="仿宋" w:hAnsi="仿宋" w:eastAsia="仿宋" w:cs="仿宋"/>
          <w:b/>
          <w:bCs/>
          <w:color w:val="auto"/>
          <w:szCs w:val="21"/>
        </w:rPr>
        <w:t>二、投标报价明细</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_Toc21953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51</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2BA6FE5F">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"_Toc18700" </w:instrText>
      </w:r>
      <w:r>
        <w:rPr>
          <w:rFonts w:hint="eastAsia" w:ascii="仿宋" w:hAnsi="仿宋" w:eastAsia="仿宋" w:cs="仿宋"/>
          <w:color w:val="auto"/>
        </w:rPr>
        <w:fldChar w:fldCharType="separate"/>
      </w:r>
      <w:r>
        <w:rPr>
          <w:rFonts w:hint="eastAsia" w:ascii="仿宋" w:hAnsi="仿宋" w:eastAsia="仿宋" w:cs="仿宋"/>
          <w:b/>
          <w:bCs/>
          <w:color w:val="auto"/>
          <w:szCs w:val="21"/>
        </w:rPr>
        <w:t>三、投标人能享受政策优惠的证明材料</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_Toc18700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67</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3CF76C95">
      <w:pPr>
        <w:pStyle w:val="17"/>
        <w:tabs>
          <w:tab w:val="right" w:leader="hyphen" w:pos="9746"/>
        </w:tabs>
        <w:spacing w:line="288" w:lineRule="auto"/>
        <w:rPr>
          <w:rFonts w:hint="eastAsia" w:ascii="仿宋" w:hAnsi="仿宋" w:eastAsia="仿宋" w:cs="仿宋"/>
          <w:b/>
          <w:bCs/>
          <w:color w:val="auto"/>
          <w:sz w:val="21"/>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"_Toc16680" </w:instrText>
      </w:r>
      <w:r>
        <w:rPr>
          <w:rFonts w:hint="eastAsia" w:ascii="仿宋" w:hAnsi="仿宋" w:eastAsia="仿宋" w:cs="仿宋"/>
          <w:color w:val="auto"/>
        </w:rPr>
        <w:fldChar w:fldCharType="separate"/>
      </w:r>
      <w:r>
        <w:rPr>
          <w:rFonts w:hint="eastAsia" w:ascii="仿宋" w:hAnsi="仿宋" w:eastAsia="仿宋" w:cs="仿宋"/>
          <w:b/>
          <w:bCs/>
          <w:color w:val="auto"/>
          <w:sz w:val="21"/>
          <w:szCs w:val="21"/>
        </w:rPr>
        <w:t>（商务技术部分）</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fldChar w:fldCharType="begin"/>
      </w:r>
      <w:r>
        <w:rPr>
          <w:rFonts w:hint="eastAsia" w:ascii="仿宋" w:hAnsi="仿宋" w:eastAsia="仿宋" w:cs="仿宋"/>
          <w:b/>
          <w:bCs/>
          <w:color w:val="auto"/>
          <w:sz w:val="21"/>
          <w:szCs w:val="21"/>
        </w:rPr>
        <w:instrText xml:space="preserve"> PAGEREF _Toc16680 \h </w:instrText>
      </w:r>
      <w:r>
        <w:rPr>
          <w:rFonts w:hint="eastAsia" w:ascii="仿宋" w:hAnsi="仿宋" w:eastAsia="仿宋" w:cs="仿宋"/>
          <w:b/>
          <w:bCs/>
          <w:color w:val="auto"/>
          <w:sz w:val="21"/>
          <w:szCs w:val="21"/>
        </w:rPr>
        <w:fldChar w:fldCharType="separate"/>
      </w:r>
      <w:r>
        <w:rPr>
          <w:rFonts w:hint="eastAsia" w:ascii="仿宋" w:hAnsi="仿宋" w:eastAsia="仿宋" w:cs="仿宋"/>
          <w:b/>
          <w:bCs/>
          <w:color w:val="auto"/>
          <w:sz w:val="21"/>
          <w:szCs w:val="21"/>
        </w:rPr>
        <w:t>72</w:t>
      </w:r>
      <w:r>
        <w:rPr>
          <w:rFonts w:hint="eastAsia" w:ascii="仿宋" w:hAnsi="仿宋" w:eastAsia="仿宋" w:cs="仿宋"/>
          <w:b/>
          <w:bCs/>
          <w:color w:val="auto"/>
          <w:sz w:val="21"/>
          <w:szCs w:val="21"/>
        </w:rPr>
        <w:fldChar w:fldCharType="end"/>
      </w:r>
      <w:r>
        <w:rPr>
          <w:rFonts w:hint="eastAsia" w:ascii="仿宋" w:hAnsi="仿宋" w:eastAsia="仿宋" w:cs="仿宋"/>
          <w:b/>
          <w:bCs/>
          <w:color w:val="auto"/>
          <w:sz w:val="21"/>
          <w:szCs w:val="21"/>
        </w:rPr>
        <w:fldChar w:fldCharType="end"/>
      </w:r>
    </w:p>
    <w:p w14:paraId="0969DBD7">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"_Toc7238" </w:instrText>
      </w:r>
      <w:r>
        <w:rPr>
          <w:rFonts w:hint="eastAsia" w:ascii="仿宋" w:hAnsi="仿宋" w:eastAsia="仿宋" w:cs="仿宋"/>
          <w:color w:val="auto"/>
        </w:rPr>
        <w:fldChar w:fldCharType="separate"/>
      </w:r>
      <w:r>
        <w:rPr>
          <w:rFonts w:hint="eastAsia" w:ascii="仿宋" w:hAnsi="仿宋" w:eastAsia="仿宋" w:cs="仿宋"/>
          <w:b/>
          <w:bCs/>
          <w:color w:val="auto"/>
          <w:szCs w:val="21"/>
        </w:rPr>
        <w:t>一、投标函</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_Toc7238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74</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338A858D">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"_Toc21578" </w:instrText>
      </w:r>
      <w:r>
        <w:rPr>
          <w:rFonts w:hint="eastAsia" w:ascii="仿宋" w:hAnsi="仿宋" w:eastAsia="仿宋" w:cs="仿宋"/>
          <w:color w:val="auto"/>
        </w:rPr>
        <w:fldChar w:fldCharType="separate"/>
      </w:r>
      <w:r>
        <w:rPr>
          <w:rFonts w:hint="eastAsia" w:ascii="仿宋" w:hAnsi="仿宋" w:eastAsia="仿宋" w:cs="仿宋"/>
          <w:b/>
          <w:bCs/>
          <w:color w:val="auto"/>
          <w:szCs w:val="21"/>
        </w:rPr>
        <w:t>二、法定代表人身份证明书及授权委托书</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_Toc21578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75</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2E39ABC9">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"_Toc21783" </w:instrText>
      </w:r>
      <w:r>
        <w:rPr>
          <w:rFonts w:hint="eastAsia" w:ascii="仿宋" w:hAnsi="仿宋" w:eastAsia="仿宋" w:cs="仿宋"/>
          <w:color w:val="auto"/>
        </w:rPr>
        <w:fldChar w:fldCharType="separate"/>
      </w:r>
      <w:r>
        <w:rPr>
          <w:rFonts w:hint="eastAsia" w:ascii="仿宋" w:hAnsi="仿宋" w:eastAsia="仿宋" w:cs="仿宋"/>
          <w:b/>
          <w:bCs/>
          <w:color w:val="auto"/>
          <w:szCs w:val="21"/>
        </w:rPr>
        <w:t>三、商务条款偏离表</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_Toc21783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77</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00579F44">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"_Toc2384" </w:instrText>
      </w:r>
      <w:r>
        <w:rPr>
          <w:rFonts w:hint="eastAsia" w:ascii="仿宋" w:hAnsi="仿宋" w:eastAsia="仿宋" w:cs="仿宋"/>
          <w:color w:val="auto"/>
        </w:rPr>
        <w:fldChar w:fldCharType="separate"/>
      </w:r>
      <w:r>
        <w:rPr>
          <w:rFonts w:hint="eastAsia" w:ascii="仿宋" w:hAnsi="仿宋" w:eastAsia="仿宋" w:cs="仿宋"/>
          <w:b/>
          <w:bCs/>
          <w:color w:val="auto"/>
          <w:szCs w:val="21"/>
        </w:rPr>
        <w:t>四、技术部分</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_Toc2384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78</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1DC5EC14">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"_Toc30004" </w:instrText>
      </w:r>
      <w:r>
        <w:rPr>
          <w:rFonts w:hint="eastAsia" w:ascii="仿宋" w:hAnsi="仿宋" w:eastAsia="仿宋" w:cs="仿宋"/>
          <w:color w:val="auto"/>
        </w:rPr>
        <w:fldChar w:fldCharType="separate"/>
      </w:r>
      <w:r>
        <w:rPr>
          <w:rFonts w:hint="eastAsia" w:ascii="仿宋" w:hAnsi="仿宋" w:eastAsia="仿宋" w:cs="仿宋"/>
          <w:b/>
          <w:bCs/>
          <w:color w:val="auto"/>
          <w:szCs w:val="21"/>
        </w:rPr>
        <w:t>五、商务部分</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_Toc30004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80</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0FF46692">
      <w:pPr>
        <w:pStyle w:val="13"/>
        <w:tabs>
          <w:tab w:val="right" w:leader="hyphen" w:pos="9746"/>
        </w:tabs>
        <w:spacing w:line="288" w:lineRule="auto"/>
        <w:rPr>
          <w:rFonts w:hint="eastAsia" w:ascii="仿宋" w:hAnsi="仿宋" w:eastAsia="仿宋" w:cs="仿宋"/>
          <w:b/>
          <w:bCs/>
          <w:color w:val="auto"/>
          <w:szCs w:val="21"/>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"_Toc21132" </w:instrText>
      </w:r>
      <w:r>
        <w:rPr>
          <w:rFonts w:hint="eastAsia" w:ascii="仿宋" w:hAnsi="仿宋" w:eastAsia="仿宋" w:cs="仿宋"/>
          <w:color w:val="auto"/>
        </w:rPr>
        <w:fldChar w:fldCharType="separate"/>
      </w:r>
      <w:r>
        <w:rPr>
          <w:rFonts w:hint="eastAsia" w:ascii="仿宋" w:hAnsi="仿宋" w:eastAsia="仿宋" w:cs="仿宋"/>
          <w:b/>
          <w:bCs/>
          <w:color w:val="auto"/>
          <w:szCs w:val="21"/>
        </w:rPr>
        <w:t>六、构成投标文件的其它资料</w:t>
      </w:r>
      <w:r>
        <w:rPr>
          <w:rFonts w:hint="eastAsia" w:ascii="仿宋" w:hAnsi="仿宋" w:eastAsia="仿宋" w:cs="仿宋"/>
          <w:b/>
          <w:bCs/>
          <w:color w:val="auto"/>
          <w:szCs w:val="21"/>
        </w:rPr>
        <w:tab/>
      </w:r>
      <w:r>
        <w:rPr>
          <w:rFonts w:hint="eastAsia" w:ascii="仿宋" w:hAnsi="仿宋" w:eastAsia="仿宋" w:cs="仿宋"/>
          <w:b/>
          <w:bCs/>
          <w:color w:val="auto"/>
          <w:szCs w:val="21"/>
        </w:rPr>
        <w:fldChar w:fldCharType="begin"/>
      </w:r>
      <w:r>
        <w:rPr>
          <w:rFonts w:hint="eastAsia" w:ascii="仿宋" w:hAnsi="仿宋" w:eastAsia="仿宋" w:cs="仿宋"/>
          <w:b/>
          <w:bCs/>
          <w:color w:val="auto"/>
          <w:szCs w:val="21"/>
        </w:rPr>
        <w:instrText xml:space="preserve"> PAGEREF _Toc21132 \h </w:instrText>
      </w:r>
      <w:r>
        <w:rPr>
          <w:rFonts w:hint="eastAsia" w:ascii="仿宋" w:hAnsi="仿宋" w:eastAsia="仿宋" w:cs="仿宋"/>
          <w:b/>
          <w:bCs/>
          <w:color w:val="auto"/>
          <w:szCs w:val="21"/>
        </w:rPr>
        <w:fldChar w:fldCharType="separate"/>
      </w:r>
      <w:r>
        <w:rPr>
          <w:rFonts w:hint="eastAsia" w:ascii="仿宋" w:hAnsi="仿宋" w:eastAsia="仿宋" w:cs="仿宋"/>
          <w:b/>
          <w:bCs/>
          <w:color w:val="auto"/>
          <w:szCs w:val="21"/>
        </w:rPr>
        <w:t>82</w:t>
      </w:r>
      <w:r>
        <w:rPr>
          <w:rFonts w:hint="eastAsia" w:ascii="仿宋" w:hAnsi="仿宋" w:eastAsia="仿宋" w:cs="仿宋"/>
          <w:b/>
          <w:bCs/>
          <w:color w:val="auto"/>
          <w:szCs w:val="21"/>
        </w:rPr>
        <w:fldChar w:fldCharType="end"/>
      </w:r>
      <w:r>
        <w:rPr>
          <w:rFonts w:hint="eastAsia" w:ascii="仿宋" w:hAnsi="仿宋" w:eastAsia="仿宋" w:cs="仿宋"/>
          <w:b/>
          <w:bCs/>
          <w:color w:val="auto"/>
          <w:szCs w:val="21"/>
        </w:rPr>
        <w:fldChar w:fldCharType="end"/>
      </w:r>
    </w:p>
    <w:p w14:paraId="732FA1E9">
      <w:pPr>
        <w:spacing w:line="288" w:lineRule="auto"/>
        <w:rPr>
          <w:rFonts w:hint="eastAsia" w:ascii="仿宋" w:hAnsi="仿宋" w:eastAsia="仿宋" w:cs="仿宋"/>
          <w:color w:val="auto"/>
          <w:szCs w:val="21"/>
        </w:rPr>
        <w:sectPr>
          <w:headerReference r:id="rId7" w:type="default"/>
          <w:footerReference r:id="rId8" w:type="default"/>
          <w:pgSz w:w="11906" w:h="16838"/>
          <w:pgMar w:top="1440" w:right="1080" w:bottom="1440" w:left="1080" w:header="851" w:footer="992" w:gutter="0"/>
          <w:pgBorders>
            <w:top w:val="none" w:sz="0" w:space="0"/>
            <w:left w:val="none" w:sz="0" w:space="0"/>
            <w:bottom w:val="none" w:sz="0" w:space="0"/>
            <w:right w:val="none" w:sz="0" w:space="0"/>
          </w:pgBorders>
          <w:pgNumType w:start="1"/>
          <w:cols w:space="0" w:num="1"/>
          <w:docGrid w:type="lines" w:linePitch="312" w:charSpace="0"/>
        </w:sectPr>
      </w:pPr>
      <w:r>
        <w:rPr>
          <w:rFonts w:hint="eastAsia" w:ascii="仿宋" w:hAnsi="仿宋" w:eastAsia="仿宋" w:cs="仿宋"/>
          <w:b/>
          <w:bCs/>
          <w:color w:val="auto"/>
          <w:szCs w:val="21"/>
        </w:rPr>
        <w:fldChar w:fldCharType="end"/>
      </w:r>
    </w:p>
    <w:p w14:paraId="6749C083">
      <w:pPr>
        <w:pStyle w:val="2"/>
        <w:numPr>
          <w:ilvl w:val="3"/>
          <w:numId w:val="0"/>
        </w:numPr>
        <w:snapToGrid w:val="0"/>
        <w:spacing w:line="360" w:lineRule="auto"/>
        <w:jc w:val="center"/>
        <w:rPr>
          <w:rFonts w:hint="eastAsia" w:ascii="仿宋" w:hAnsi="仿宋" w:eastAsia="仿宋" w:cs="仿宋"/>
          <w:iCs/>
          <w:color w:val="auto"/>
          <w:sz w:val="40"/>
          <w:szCs w:val="32"/>
        </w:rPr>
      </w:pPr>
      <w:bookmarkStart w:id="76" w:name="_Toc23503"/>
      <w:bookmarkStart w:id="77" w:name="_Toc21102"/>
      <w:bookmarkStart w:id="78" w:name="_Toc27685"/>
      <w:bookmarkStart w:id="79" w:name="_Toc7305"/>
      <w:r>
        <w:rPr>
          <w:rFonts w:hint="eastAsia" w:ascii="仿宋" w:hAnsi="仿宋" w:eastAsia="仿宋" w:cs="仿宋"/>
          <w:iCs/>
          <w:color w:val="auto"/>
          <w:sz w:val="40"/>
          <w:szCs w:val="32"/>
        </w:rPr>
        <w:t>第一章  招标公告</w:t>
      </w:r>
      <w:bookmarkEnd w:id="75"/>
      <w:bookmarkEnd w:id="76"/>
      <w:bookmarkEnd w:id="77"/>
      <w:bookmarkEnd w:id="78"/>
      <w:bookmarkEnd w:id="79"/>
    </w:p>
    <w:p w14:paraId="6D00EF33">
      <w:pPr>
        <w:spacing w:line="360" w:lineRule="auto"/>
        <w:jc w:val="cente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云南省林业和草原技术推广总站林下滇黄精栽培技术推广示范项目肥料、药品采购项目公开招标公告</w:t>
      </w:r>
    </w:p>
    <w:p w14:paraId="098D7615">
      <w:pPr>
        <w:pBdr>
          <w:top w:val="single" w:color="auto" w:sz="4" w:space="1"/>
          <w:left w:val="single" w:color="auto" w:sz="4" w:space="4"/>
          <w:bottom w:val="single" w:color="auto" w:sz="4" w:space="1"/>
          <w:right w:val="single" w:color="auto" w:sz="4" w:space="4"/>
        </w:pBdr>
        <w:spacing w:line="360" w:lineRule="auto"/>
        <w:ind w:firstLine="440" w:firstLineChars="200"/>
        <w:rPr>
          <w:rFonts w:hint="eastAsia" w:ascii="仿宋" w:hAnsi="仿宋" w:eastAsia="仿宋" w:cs="仿宋"/>
          <w:color w:val="auto"/>
          <w:sz w:val="22"/>
        </w:rPr>
      </w:pPr>
      <w:r>
        <w:rPr>
          <w:rFonts w:hint="eastAsia" w:ascii="仿宋" w:hAnsi="仿宋" w:eastAsia="仿宋" w:cs="仿宋"/>
          <w:color w:val="auto"/>
          <w:sz w:val="22"/>
        </w:rPr>
        <w:t>项目概况</w:t>
      </w:r>
    </w:p>
    <w:p w14:paraId="6DFFDAE4">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color w:val="auto"/>
          <w:sz w:val="22"/>
          <w:highlight w:val="none"/>
        </w:rPr>
      </w:pPr>
      <w:r>
        <w:rPr>
          <w:rFonts w:hint="eastAsia" w:ascii="仿宋" w:hAnsi="仿宋" w:eastAsia="仿宋" w:cs="仿宋"/>
          <w:b/>
          <w:bCs/>
          <w:color w:val="auto"/>
          <w:sz w:val="22"/>
          <w:u w:val="single"/>
          <w:lang w:eastAsia="zh-CN"/>
        </w:rPr>
        <w:t>云南省林业和草原技术推广总站林下滇黄精栽培技术推广示范项目肥料、药品采购项目</w:t>
      </w:r>
      <w:r>
        <w:rPr>
          <w:rFonts w:hint="eastAsia" w:ascii="仿宋" w:hAnsi="仿宋" w:eastAsia="仿宋" w:cs="仿宋"/>
          <w:color w:val="auto"/>
          <w:sz w:val="22"/>
        </w:rPr>
        <w:t>的潜在投标人应在</w:t>
      </w:r>
      <w:r>
        <w:rPr>
          <w:rFonts w:hint="eastAsia" w:ascii="仿宋" w:hAnsi="仿宋" w:eastAsia="仿宋" w:cs="仿宋"/>
          <w:color w:val="auto"/>
          <w:sz w:val="22"/>
          <w:u w:val="single"/>
        </w:rPr>
        <w:t>政采云平台（https://www.zcygov.cn/）线上（下载）</w:t>
      </w:r>
      <w:r>
        <w:rPr>
          <w:rFonts w:hint="eastAsia" w:ascii="仿宋" w:hAnsi="仿宋" w:eastAsia="仿宋" w:cs="仿宋"/>
          <w:color w:val="auto"/>
          <w:sz w:val="22"/>
        </w:rPr>
        <w:t>获取招标文件，并于</w:t>
      </w:r>
      <w:r>
        <w:rPr>
          <w:rFonts w:hint="eastAsia" w:ascii="仿宋" w:hAnsi="仿宋" w:eastAsia="仿宋" w:cs="仿宋"/>
          <w:color w:val="auto"/>
          <w:sz w:val="22"/>
          <w:highlight w:val="none"/>
          <w:u w:val="single"/>
          <w:lang w:eastAsia="zh-CN"/>
        </w:rPr>
        <w:t>2026年03月22日14时00分</w:t>
      </w:r>
      <w:r>
        <w:rPr>
          <w:rFonts w:hint="eastAsia" w:ascii="仿宋" w:hAnsi="仿宋" w:eastAsia="仿宋" w:cs="仿宋"/>
          <w:bCs/>
          <w:color w:val="auto"/>
          <w:sz w:val="22"/>
          <w:highlight w:val="none"/>
        </w:rPr>
        <w:t>（北京时间）前递交投标文件</w:t>
      </w:r>
      <w:r>
        <w:rPr>
          <w:rFonts w:hint="eastAsia" w:ascii="仿宋" w:hAnsi="仿宋" w:eastAsia="仿宋" w:cs="仿宋"/>
          <w:color w:val="auto"/>
          <w:sz w:val="22"/>
          <w:highlight w:val="none"/>
        </w:rPr>
        <w:t>。</w:t>
      </w:r>
    </w:p>
    <w:p w14:paraId="031631FE">
      <w:pPr>
        <w:spacing w:line="360" w:lineRule="auto"/>
        <w:outlineLvl w:val="1"/>
        <w:rPr>
          <w:rFonts w:hint="eastAsia" w:ascii="仿宋" w:hAnsi="仿宋" w:eastAsia="仿宋" w:cs="仿宋"/>
          <w:b/>
          <w:bCs/>
          <w:color w:val="auto"/>
          <w:sz w:val="24"/>
          <w:szCs w:val="24"/>
          <w:highlight w:val="none"/>
        </w:rPr>
      </w:pPr>
      <w:bookmarkStart w:id="80" w:name="_Toc23798"/>
      <w:bookmarkStart w:id="81" w:name="_Toc29600"/>
      <w:bookmarkStart w:id="82" w:name="_Toc28359002"/>
      <w:bookmarkStart w:id="83" w:name="_Toc35393621"/>
      <w:bookmarkStart w:id="84" w:name="_Toc4426"/>
      <w:bookmarkStart w:id="85" w:name="_Toc28359079"/>
      <w:bookmarkStart w:id="86" w:name="_Toc15511"/>
      <w:bookmarkStart w:id="87" w:name="_Toc35393790"/>
      <w:bookmarkStart w:id="88" w:name="_Hlk24379207"/>
      <w:r>
        <w:rPr>
          <w:rFonts w:hint="eastAsia" w:ascii="仿宋" w:hAnsi="仿宋" w:eastAsia="仿宋" w:cs="仿宋"/>
          <w:b/>
          <w:bCs/>
          <w:color w:val="auto"/>
          <w:sz w:val="24"/>
          <w:szCs w:val="24"/>
          <w:highlight w:val="none"/>
        </w:rPr>
        <w:t>一、项目基本情况</w:t>
      </w:r>
      <w:bookmarkEnd w:id="80"/>
      <w:bookmarkEnd w:id="81"/>
      <w:bookmarkEnd w:id="82"/>
      <w:bookmarkEnd w:id="83"/>
      <w:bookmarkEnd w:id="84"/>
      <w:bookmarkEnd w:id="85"/>
      <w:bookmarkEnd w:id="86"/>
      <w:bookmarkEnd w:id="87"/>
    </w:p>
    <w:p w14:paraId="4A309181">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1.项目编号：</w:t>
      </w:r>
      <w:r>
        <w:rPr>
          <w:rFonts w:hint="eastAsia" w:ascii="仿宋" w:hAnsi="仿宋" w:eastAsia="仿宋" w:cs="仿宋"/>
          <w:color w:val="auto"/>
          <w:sz w:val="24"/>
          <w:szCs w:val="24"/>
          <w:highlight w:val="none"/>
          <w:lang w:eastAsia="zh-CN"/>
        </w:rPr>
        <w:t>YNZC2026-G1-00374-YNGH-0032</w:t>
      </w:r>
      <w:r>
        <w:rPr>
          <w:rFonts w:hint="eastAsia" w:ascii="仿宋" w:hAnsi="仿宋" w:eastAsia="仿宋" w:cs="仿宋"/>
          <w:color w:val="auto"/>
          <w:sz w:val="24"/>
          <w:szCs w:val="24"/>
          <w:highlight w:val="none"/>
        </w:rPr>
        <w:t>；</w:t>
      </w:r>
    </w:p>
    <w:p w14:paraId="5DC7490F">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2.项目名称：</w:t>
      </w:r>
      <w:r>
        <w:rPr>
          <w:rFonts w:hint="eastAsia" w:ascii="仿宋" w:hAnsi="仿宋" w:eastAsia="仿宋" w:cs="仿宋"/>
          <w:color w:val="auto"/>
          <w:sz w:val="24"/>
          <w:szCs w:val="24"/>
          <w:highlight w:val="none"/>
          <w:lang w:eastAsia="zh-CN"/>
        </w:rPr>
        <w:t>云南省林业和草原技术推广总站林下滇黄精栽培技术推广示范项目肥料、药品采购项目</w:t>
      </w:r>
      <w:r>
        <w:rPr>
          <w:rFonts w:hint="eastAsia" w:ascii="仿宋" w:hAnsi="仿宋" w:eastAsia="仿宋" w:cs="仿宋"/>
          <w:color w:val="auto"/>
          <w:sz w:val="24"/>
          <w:szCs w:val="24"/>
          <w:highlight w:val="none"/>
        </w:rPr>
        <w:t>；</w:t>
      </w:r>
    </w:p>
    <w:bookmarkEnd w:id="88"/>
    <w:p w14:paraId="5B441831">
      <w:pPr>
        <w:spacing w:line="360" w:lineRule="auto"/>
        <w:ind w:firstLine="482"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3.预算金额：</w:t>
      </w:r>
      <w:r>
        <w:rPr>
          <w:rFonts w:hint="eastAsia" w:ascii="仿宋" w:hAnsi="仿宋" w:eastAsia="仿宋" w:cs="仿宋"/>
          <w:color w:val="auto"/>
          <w:sz w:val="24"/>
          <w:szCs w:val="24"/>
          <w:highlight w:val="none"/>
          <w:lang w:val="en-US" w:eastAsia="zh-CN"/>
        </w:rPr>
        <w:t>壹佰肆拾陆万伍仟元整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1465000.00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其中1标段为120.00万元，2标段为26.50万元；</w:t>
      </w:r>
    </w:p>
    <w:p w14:paraId="42BBF175">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4.最高限价：</w:t>
      </w:r>
      <w:r>
        <w:rPr>
          <w:rFonts w:hint="eastAsia" w:ascii="仿宋" w:hAnsi="仿宋" w:eastAsia="仿宋" w:cs="仿宋"/>
          <w:color w:val="auto"/>
          <w:sz w:val="24"/>
          <w:szCs w:val="24"/>
          <w:highlight w:val="none"/>
          <w:lang w:val="en-US" w:eastAsia="zh-CN"/>
        </w:rPr>
        <w:t>壹佰肆拾陆万伍仟元整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1465000.00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其中1标段为120.00万元，2标段为26.50万元；</w:t>
      </w:r>
    </w:p>
    <w:p w14:paraId="208F917B">
      <w:pPr>
        <w:tabs>
          <w:tab w:val="left" w:pos="6300"/>
        </w:tabs>
        <w:spacing w:line="360" w:lineRule="auto"/>
        <w:ind w:firstLine="482" w:firstLineChars="20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5.采购需求：</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624"/>
        <w:gridCol w:w="1550"/>
        <w:gridCol w:w="1575"/>
        <w:gridCol w:w="2887"/>
      </w:tblGrid>
      <w:tr w14:paraId="1E98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838" w:type="dxa"/>
            <w:vAlign w:val="center"/>
          </w:tcPr>
          <w:p w14:paraId="2088F373">
            <w:pPr>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eastAsia="zh-CN"/>
              </w:rPr>
            </w:pPr>
            <w:r>
              <w:rPr>
                <w:rFonts w:hint="eastAsia" w:ascii="仿宋" w:hAnsi="仿宋" w:eastAsia="仿宋" w:cs="仿宋"/>
                <w:caps/>
                <w:sz w:val="24"/>
                <w:szCs w:val="24"/>
                <w:highlight w:val="none"/>
                <w:lang w:val="en-US" w:eastAsia="zh-CN"/>
              </w:rPr>
              <w:t>标段</w:t>
            </w:r>
          </w:p>
        </w:tc>
        <w:tc>
          <w:tcPr>
            <w:tcW w:w="2624" w:type="dxa"/>
            <w:vAlign w:val="center"/>
          </w:tcPr>
          <w:p w14:paraId="1715CABC">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名称</w:t>
            </w:r>
          </w:p>
        </w:tc>
        <w:tc>
          <w:tcPr>
            <w:tcW w:w="1550" w:type="dxa"/>
            <w:vAlign w:val="center"/>
          </w:tcPr>
          <w:p w14:paraId="3AED23E1">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预算数量</w:t>
            </w:r>
          </w:p>
        </w:tc>
        <w:tc>
          <w:tcPr>
            <w:tcW w:w="1575" w:type="dxa"/>
            <w:vAlign w:val="center"/>
          </w:tcPr>
          <w:p w14:paraId="64698537">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计量单位</w:t>
            </w:r>
          </w:p>
        </w:tc>
        <w:tc>
          <w:tcPr>
            <w:tcW w:w="2887" w:type="dxa"/>
            <w:vAlign w:val="center"/>
          </w:tcPr>
          <w:p w14:paraId="1B8419E7">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lang w:val="en-US" w:eastAsia="zh-CN"/>
              </w:rPr>
              <w:t>预算</w:t>
            </w:r>
            <w:r>
              <w:rPr>
                <w:rFonts w:hint="eastAsia" w:ascii="仿宋" w:hAnsi="仿宋" w:eastAsia="仿宋" w:cs="仿宋"/>
                <w:caps/>
                <w:sz w:val="24"/>
                <w:szCs w:val="24"/>
                <w:highlight w:val="none"/>
              </w:rPr>
              <w:t>金额（</w:t>
            </w:r>
            <w:r>
              <w:rPr>
                <w:rFonts w:hint="eastAsia" w:ascii="仿宋" w:hAnsi="仿宋" w:eastAsia="仿宋" w:cs="仿宋"/>
                <w:caps/>
                <w:sz w:val="24"/>
                <w:szCs w:val="24"/>
                <w:highlight w:val="none"/>
                <w:lang w:val="en-US" w:eastAsia="zh-CN"/>
              </w:rPr>
              <w:t>万</w:t>
            </w:r>
            <w:r>
              <w:rPr>
                <w:rFonts w:hint="eastAsia" w:ascii="仿宋" w:hAnsi="仿宋" w:eastAsia="仿宋" w:cs="仿宋"/>
                <w:caps/>
                <w:sz w:val="24"/>
                <w:szCs w:val="24"/>
                <w:highlight w:val="none"/>
              </w:rPr>
              <w:t>元）</w:t>
            </w:r>
          </w:p>
        </w:tc>
      </w:tr>
      <w:tr w14:paraId="366D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38" w:type="dxa"/>
            <w:vAlign w:val="center"/>
          </w:tcPr>
          <w:p w14:paraId="56E6CF51">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1</w:t>
            </w:r>
          </w:p>
        </w:tc>
        <w:tc>
          <w:tcPr>
            <w:tcW w:w="2624" w:type="dxa"/>
            <w:vAlign w:val="center"/>
          </w:tcPr>
          <w:p w14:paraId="7FA98687">
            <w:pPr>
              <w:wordWrap w:val="0"/>
              <w:adjustRightInd w:val="0"/>
              <w:spacing w:line="360" w:lineRule="auto"/>
              <w:ind w:left="0" w:leftChars="0" w:right="0" w:rightChars="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肥料（供易门）</w:t>
            </w:r>
          </w:p>
        </w:tc>
        <w:tc>
          <w:tcPr>
            <w:tcW w:w="1550" w:type="dxa"/>
            <w:vAlign w:val="center"/>
          </w:tcPr>
          <w:p w14:paraId="033CB120">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1</w:t>
            </w:r>
          </w:p>
        </w:tc>
        <w:tc>
          <w:tcPr>
            <w:tcW w:w="1575" w:type="dxa"/>
            <w:vAlign w:val="center"/>
          </w:tcPr>
          <w:p w14:paraId="461DA4C7">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批</w:t>
            </w:r>
          </w:p>
        </w:tc>
        <w:tc>
          <w:tcPr>
            <w:tcW w:w="2887" w:type="dxa"/>
            <w:vAlign w:val="center"/>
          </w:tcPr>
          <w:p w14:paraId="469167AB">
            <w:pPr>
              <w:wordWrap w:val="0"/>
              <w:adjustRightInd w:val="0"/>
              <w:spacing w:line="36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72.02</w:t>
            </w:r>
          </w:p>
        </w:tc>
      </w:tr>
      <w:tr w14:paraId="3708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38" w:type="dxa"/>
            <w:vAlign w:val="center"/>
          </w:tcPr>
          <w:p w14:paraId="3901DF28">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1</w:t>
            </w:r>
          </w:p>
        </w:tc>
        <w:tc>
          <w:tcPr>
            <w:tcW w:w="2624" w:type="dxa"/>
            <w:vAlign w:val="center"/>
          </w:tcPr>
          <w:p w14:paraId="2456CDF7">
            <w:pPr>
              <w:wordWrap w:val="0"/>
              <w:adjustRightInd w:val="0"/>
              <w:spacing w:line="360" w:lineRule="auto"/>
              <w:ind w:left="0" w:leftChars="0" w:right="0" w:rightChars="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农药（供易门）</w:t>
            </w:r>
          </w:p>
        </w:tc>
        <w:tc>
          <w:tcPr>
            <w:tcW w:w="1550" w:type="dxa"/>
            <w:vAlign w:val="center"/>
          </w:tcPr>
          <w:p w14:paraId="52D434E1">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1</w:t>
            </w:r>
          </w:p>
        </w:tc>
        <w:tc>
          <w:tcPr>
            <w:tcW w:w="1575" w:type="dxa"/>
            <w:vAlign w:val="center"/>
          </w:tcPr>
          <w:p w14:paraId="23EC7F65">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批</w:t>
            </w:r>
          </w:p>
        </w:tc>
        <w:tc>
          <w:tcPr>
            <w:tcW w:w="2887" w:type="dxa"/>
            <w:vAlign w:val="center"/>
          </w:tcPr>
          <w:p w14:paraId="624A6298">
            <w:pPr>
              <w:wordWrap w:val="0"/>
              <w:adjustRightInd w:val="0"/>
              <w:spacing w:line="36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47.98</w:t>
            </w:r>
          </w:p>
        </w:tc>
      </w:tr>
      <w:tr w14:paraId="0762B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38" w:type="dxa"/>
            <w:vAlign w:val="center"/>
          </w:tcPr>
          <w:p w14:paraId="32B3279B">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2</w:t>
            </w:r>
          </w:p>
        </w:tc>
        <w:tc>
          <w:tcPr>
            <w:tcW w:w="2624" w:type="dxa"/>
            <w:vAlign w:val="center"/>
          </w:tcPr>
          <w:p w14:paraId="01C43550">
            <w:pPr>
              <w:wordWrap w:val="0"/>
              <w:adjustRightInd w:val="0"/>
              <w:spacing w:line="36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肥料（供华宁）</w:t>
            </w:r>
          </w:p>
        </w:tc>
        <w:tc>
          <w:tcPr>
            <w:tcW w:w="1550" w:type="dxa"/>
            <w:vAlign w:val="center"/>
          </w:tcPr>
          <w:p w14:paraId="0D021460">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1</w:t>
            </w:r>
          </w:p>
        </w:tc>
        <w:tc>
          <w:tcPr>
            <w:tcW w:w="1575" w:type="dxa"/>
            <w:vAlign w:val="center"/>
          </w:tcPr>
          <w:p w14:paraId="396E8B54">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批</w:t>
            </w:r>
          </w:p>
        </w:tc>
        <w:tc>
          <w:tcPr>
            <w:tcW w:w="2887" w:type="dxa"/>
            <w:vAlign w:val="center"/>
          </w:tcPr>
          <w:p w14:paraId="47A5D7B3">
            <w:pPr>
              <w:wordWrap w:val="0"/>
              <w:adjustRightInd w:val="0"/>
              <w:spacing w:line="36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20.00</w:t>
            </w:r>
          </w:p>
        </w:tc>
      </w:tr>
      <w:tr w14:paraId="0263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38" w:type="dxa"/>
            <w:vAlign w:val="center"/>
          </w:tcPr>
          <w:p w14:paraId="0899958F">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lang w:eastAsia="zh-CN"/>
              </w:rPr>
            </w:pPr>
            <w:r>
              <w:rPr>
                <w:rFonts w:hint="eastAsia" w:ascii="仿宋" w:hAnsi="仿宋" w:eastAsia="仿宋" w:cs="仿宋"/>
                <w:caps/>
                <w:sz w:val="24"/>
                <w:szCs w:val="24"/>
                <w:highlight w:val="none"/>
                <w:lang w:val="en-US" w:eastAsia="zh-CN"/>
              </w:rPr>
              <w:t>2</w:t>
            </w:r>
          </w:p>
        </w:tc>
        <w:tc>
          <w:tcPr>
            <w:tcW w:w="2624" w:type="dxa"/>
            <w:vAlign w:val="center"/>
          </w:tcPr>
          <w:p w14:paraId="6883534E">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sz w:val="24"/>
                <w:szCs w:val="24"/>
                <w:highlight w:val="none"/>
                <w:lang w:val="en-US" w:eastAsia="zh-CN"/>
              </w:rPr>
              <w:t>农药（供华宁）</w:t>
            </w:r>
          </w:p>
        </w:tc>
        <w:tc>
          <w:tcPr>
            <w:tcW w:w="1550" w:type="dxa"/>
            <w:vAlign w:val="center"/>
          </w:tcPr>
          <w:p w14:paraId="025248B8">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1</w:t>
            </w:r>
          </w:p>
        </w:tc>
        <w:tc>
          <w:tcPr>
            <w:tcW w:w="1575" w:type="dxa"/>
            <w:vAlign w:val="center"/>
          </w:tcPr>
          <w:p w14:paraId="65FA5F50">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rPr>
            </w:pPr>
            <w:r>
              <w:rPr>
                <w:rFonts w:hint="eastAsia" w:ascii="仿宋" w:hAnsi="仿宋" w:eastAsia="仿宋" w:cs="仿宋"/>
                <w:caps/>
                <w:sz w:val="24"/>
                <w:szCs w:val="24"/>
                <w:highlight w:val="none"/>
              </w:rPr>
              <w:t>批</w:t>
            </w:r>
          </w:p>
        </w:tc>
        <w:tc>
          <w:tcPr>
            <w:tcW w:w="2887" w:type="dxa"/>
            <w:vAlign w:val="center"/>
          </w:tcPr>
          <w:p w14:paraId="44BD574D">
            <w:pPr>
              <w:wordWrap w:val="0"/>
              <w:adjustRightInd w:val="0"/>
              <w:spacing w:line="360" w:lineRule="auto"/>
              <w:ind w:left="0" w:leftChars="0" w:right="0" w:rightChars="0" w:firstLine="0" w:firstLineChars="0"/>
              <w:jc w:val="center"/>
              <w:rPr>
                <w:rFonts w:hint="eastAsia" w:ascii="仿宋" w:hAnsi="仿宋" w:eastAsia="仿宋" w:cs="仿宋"/>
                <w:caps/>
                <w:sz w:val="24"/>
                <w:szCs w:val="24"/>
                <w:highlight w:val="none"/>
                <w:shd w:val="clear" w:color="auto" w:fill="FFFFFF"/>
              </w:rPr>
            </w:pPr>
            <w:r>
              <w:rPr>
                <w:rFonts w:hint="eastAsia" w:ascii="仿宋" w:hAnsi="仿宋" w:eastAsia="仿宋" w:cs="仿宋"/>
                <w:color w:val="auto"/>
                <w:sz w:val="24"/>
                <w:szCs w:val="24"/>
                <w:highlight w:val="none"/>
                <w:lang w:eastAsia="zh-CN"/>
              </w:rPr>
              <w:t>6.50</w:t>
            </w:r>
          </w:p>
        </w:tc>
      </w:tr>
      <w:tr w14:paraId="0458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474" w:type="dxa"/>
            <w:gridSpan w:val="5"/>
            <w:vAlign w:val="center"/>
          </w:tcPr>
          <w:p w14:paraId="59983956">
            <w:pPr>
              <w:spacing w:line="360" w:lineRule="auto"/>
              <w:rPr>
                <w:rFonts w:hint="eastAsia" w:ascii="仿宋" w:hAnsi="仿宋" w:eastAsia="仿宋" w:cs="仿宋"/>
                <w:b/>
                <w:bCs/>
                <w:color w:val="auto"/>
                <w:sz w:val="24"/>
                <w:szCs w:val="24"/>
                <w:highlight w:val="none"/>
              </w:rPr>
            </w:pPr>
            <w:r>
              <w:rPr>
                <w:rFonts w:hint="eastAsia" w:ascii="仿宋" w:hAnsi="仿宋" w:eastAsia="仿宋" w:cs="仿宋"/>
                <w:sz w:val="24"/>
                <w:szCs w:val="24"/>
                <w:highlight w:val="none"/>
              </w:rPr>
              <w:t>★</w:t>
            </w:r>
            <w:r>
              <w:rPr>
                <w:rFonts w:hint="eastAsia" w:ascii="仿宋" w:hAnsi="仿宋" w:eastAsia="仿宋" w:cs="仿宋"/>
                <w:b/>
                <w:bCs/>
                <w:sz w:val="24"/>
                <w:szCs w:val="24"/>
                <w:highlight w:val="none"/>
                <w:lang w:val="en-US" w:eastAsia="zh-CN"/>
              </w:rPr>
              <w:t>注：</w:t>
            </w:r>
            <w:r>
              <w:rPr>
                <w:rFonts w:hint="eastAsia" w:ascii="仿宋" w:hAnsi="仿宋" w:eastAsia="仿宋" w:cs="仿宋"/>
                <w:b/>
                <w:bCs/>
                <w:sz w:val="24"/>
                <w:szCs w:val="24"/>
                <w:highlight w:val="none"/>
              </w:rPr>
              <w:t>（1）投标人必须对</w:t>
            </w:r>
            <w:r>
              <w:rPr>
                <w:rFonts w:hint="eastAsia" w:ascii="仿宋" w:hAnsi="仿宋" w:eastAsia="仿宋" w:cs="仿宋"/>
                <w:b/>
                <w:bCs/>
                <w:sz w:val="24"/>
                <w:szCs w:val="24"/>
                <w:highlight w:val="none"/>
                <w:lang w:val="en-US" w:eastAsia="zh-CN"/>
              </w:rPr>
              <w:t>采购清单</w:t>
            </w:r>
            <w:r>
              <w:rPr>
                <w:rFonts w:hint="eastAsia" w:ascii="仿宋" w:hAnsi="仿宋" w:eastAsia="仿宋" w:cs="仿宋"/>
                <w:b/>
                <w:bCs/>
                <w:sz w:val="24"/>
                <w:szCs w:val="24"/>
                <w:highlight w:val="none"/>
              </w:rPr>
              <w:t>内容作出完整唯一的投标报价</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投标报价</w:t>
            </w:r>
            <w:r>
              <w:rPr>
                <w:rFonts w:hint="eastAsia" w:ascii="仿宋" w:hAnsi="仿宋" w:eastAsia="仿宋" w:cs="仿宋"/>
                <w:b/>
                <w:bCs/>
                <w:sz w:val="24"/>
                <w:szCs w:val="24"/>
                <w:highlight w:val="none"/>
                <w:lang w:val="en-US" w:eastAsia="zh-CN"/>
              </w:rPr>
              <w:t>为下浮率，</w:t>
            </w:r>
            <w:r>
              <w:rPr>
                <w:rFonts w:hint="eastAsia" w:ascii="仿宋" w:hAnsi="仿宋" w:eastAsia="仿宋" w:cs="仿宋"/>
                <w:b/>
                <w:bCs/>
                <w:sz w:val="24"/>
                <w:szCs w:val="24"/>
                <w:highlight w:val="none"/>
                <w:lang w:eastAsia="zh-CN"/>
              </w:rPr>
              <w:t>下浮率≥0%，报价不得为负值（即不允许上浮报价）</w:t>
            </w:r>
            <w:r>
              <w:rPr>
                <w:rFonts w:hint="eastAsia" w:ascii="仿宋" w:hAnsi="仿宋" w:eastAsia="仿宋" w:cs="仿宋"/>
                <w:b/>
                <w:bCs/>
                <w:sz w:val="24"/>
                <w:szCs w:val="24"/>
                <w:highlight w:val="none"/>
              </w:rPr>
              <w:t>，不得缺项、漏项，否则投标文件将按无效处理。</w:t>
            </w:r>
          </w:p>
          <w:p w14:paraId="5D3CA778">
            <w:pPr>
              <w:numPr>
                <w:ilvl w:val="0"/>
                <w:numId w:val="2"/>
              </w:numPr>
              <w:wordWrap w:val="0"/>
              <w:adjustRightInd w:val="0"/>
              <w:spacing w:line="360" w:lineRule="auto"/>
              <w:ind w:left="0" w:leftChars="0" w:right="0" w:rightChars="0" w:firstLine="0" w:firstLine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章《采购</w:t>
            </w:r>
            <w:r>
              <w:rPr>
                <w:rFonts w:hint="eastAsia" w:ascii="仿宋" w:hAnsi="仿宋" w:eastAsia="仿宋" w:cs="仿宋"/>
                <w:b/>
                <w:bCs/>
                <w:color w:val="auto"/>
                <w:sz w:val="24"/>
                <w:szCs w:val="24"/>
                <w:highlight w:val="none"/>
                <w:lang w:val="en-US" w:eastAsia="zh-CN"/>
              </w:rPr>
              <w:t>需求</w:t>
            </w:r>
            <w:r>
              <w:rPr>
                <w:rFonts w:hint="eastAsia" w:ascii="仿宋" w:hAnsi="仿宋" w:eastAsia="仿宋" w:cs="仿宋"/>
                <w:b/>
                <w:bCs/>
                <w:color w:val="auto"/>
                <w:sz w:val="24"/>
                <w:szCs w:val="24"/>
                <w:highlight w:val="none"/>
              </w:rPr>
              <w:t>》中的数量均为预计数量，</w:t>
            </w:r>
            <w:r>
              <w:rPr>
                <w:rFonts w:hint="eastAsia" w:ascii="仿宋" w:hAnsi="仿宋" w:eastAsia="仿宋" w:cs="仿宋"/>
                <w:b/>
                <w:bCs/>
                <w:color w:val="auto"/>
                <w:sz w:val="24"/>
                <w:szCs w:val="24"/>
                <w:highlight w:val="none"/>
                <w:lang w:val="en-US" w:eastAsia="zh-CN"/>
              </w:rPr>
              <w:t>采购人</w:t>
            </w:r>
            <w:r>
              <w:rPr>
                <w:rFonts w:hint="eastAsia" w:ascii="仿宋" w:hAnsi="仿宋" w:eastAsia="仿宋" w:cs="仿宋"/>
                <w:b/>
                <w:bCs/>
                <w:color w:val="auto"/>
                <w:sz w:val="24"/>
                <w:szCs w:val="24"/>
                <w:highlight w:val="none"/>
              </w:rPr>
              <w:t>本着</w:t>
            </w:r>
            <w:r>
              <w:rPr>
                <w:rFonts w:hint="eastAsia" w:ascii="仿宋" w:hAnsi="仿宋" w:eastAsia="仿宋" w:cs="仿宋"/>
                <w:b/>
                <w:bCs/>
                <w:color w:val="auto"/>
                <w:sz w:val="24"/>
                <w:szCs w:val="24"/>
                <w:highlight w:val="none"/>
                <w:lang w:val="en-US" w:eastAsia="zh-CN"/>
              </w:rPr>
              <w:t>按需采购</w:t>
            </w:r>
            <w:r>
              <w:rPr>
                <w:rFonts w:hint="eastAsia" w:ascii="仿宋" w:hAnsi="仿宋" w:eastAsia="仿宋" w:cs="仿宋"/>
                <w:b/>
                <w:bCs/>
                <w:color w:val="auto"/>
                <w:sz w:val="24"/>
                <w:szCs w:val="24"/>
                <w:highlight w:val="none"/>
              </w:rPr>
              <w:t>的原则，结算时以实际供货数量</w:t>
            </w:r>
            <w:r>
              <w:rPr>
                <w:rFonts w:hint="default" w:ascii="Arial" w:hAnsi="Arial" w:eastAsia="仿宋" w:cs="Arial"/>
                <w:b/>
                <w:bCs/>
                <w:color w:val="auto"/>
                <w:sz w:val="24"/>
                <w:szCs w:val="24"/>
                <w:highlight w:val="none"/>
              </w:rPr>
              <w:t>×</w:t>
            </w:r>
            <w:r>
              <w:rPr>
                <w:rFonts w:hint="eastAsia" w:ascii="仿宋" w:hAnsi="仿宋" w:eastAsia="仿宋" w:cs="仿宋"/>
                <w:b/>
                <w:bCs/>
                <w:color w:val="auto"/>
                <w:sz w:val="24"/>
                <w:szCs w:val="24"/>
                <w:highlight w:val="none"/>
                <w:lang w:val="en-US" w:eastAsia="zh-CN"/>
              </w:rPr>
              <w:t>预算</w:t>
            </w:r>
            <w:r>
              <w:rPr>
                <w:rFonts w:hint="eastAsia" w:ascii="仿宋" w:hAnsi="仿宋" w:eastAsia="仿宋" w:cs="仿宋"/>
                <w:b/>
                <w:bCs/>
                <w:color w:val="auto"/>
                <w:sz w:val="24"/>
                <w:szCs w:val="24"/>
                <w:highlight w:val="none"/>
              </w:rPr>
              <w:t>单价</w:t>
            </w:r>
            <w:r>
              <w:rPr>
                <w:rFonts w:hint="default" w:ascii="Arial" w:hAnsi="Arial" w:eastAsia="仿宋" w:cs="Arial"/>
                <w:b/>
                <w:bCs/>
                <w:color w:val="auto"/>
                <w:sz w:val="24"/>
                <w:szCs w:val="24"/>
                <w:highlight w:val="none"/>
              </w:rPr>
              <w:t>×</w:t>
            </w:r>
            <w:r>
              <w:rPr>
                <w:rFonts w:hint="eastAsia" w:ascii="Arial" w:hAnsi="Arial" w:eastAsia="仿宋" w:cs="Arial"/>
                <w:b/>
                <w:bCs/>
                <w:color w:val="auto"/>
                <w:sz w:val="24"/>
                <w:szCs w:val="24"/>
                <w:highlight w:val="none"/>
                <w:lang w:eastAsia="zh-CN"/>
              </w:rPr>
              <w:t>（</w:t>
            </w:r>
            <w:r>
              <w:rPr>
                <w:rFonts w:hint="eastAsia" w:ascii="Arial" w:hAnsi="Arial" w:eastAsia="仿宋" w:cs="Arial"/>
                <w:b/>
                <w:bCs/>
                <w:color w:val="auto"/>
                <w:sz w:val="24"/>
                <w:szCs w:val="24"/>
                <w:highlight w:val="none"/>
                <w:lang w:val="en-US" w:eastAsia="zh-CN"/>
              </w:rPr>
              <w:t>1-下浮率</w:t>
            </w:r>
            <w:r>
              <w:rPr>
                <w:rFonts w:hint="eastAsia" w:ascii="Arial" w:hAnsi="Arial" w:eastAsia="仿宋" w:cs="Arial"/>
                <w:b/>
                <w:bCs/>
                <w:color w:val="auto"/>
                <w:sz w:val="24"/>
                <w:szCs w:val="24"/>
                <w:highlight w:val="none"/>
                <w:lang w:eastAsia="zh-CN"/>
              </w:rPr>
              <w:t>）</w:t>
            </w:r>
            <w:r>
              <w:rPr>
                <w:rFonts w:hint="eastAsia" w:ascii="仿宋" w:hAnsi="仿宋" w:eastAsia="仿宋" w:cs="仿宋"/>
                <w:b/>
                <w:bCs/>
                <w:color w:val="auto"/>
                <w:sz w:val="24"/>
                <w:szCs w:val="24"/>
                <w:highlight w:val="none"/>
              </w:rPr>
              <w:t>进行结算。</w:t>
            </w:r>
          </w:p>
          <w:p w14:paraId="6284C19A">
            <w:pPr>
              <w:numPr>
                <w:ilvl w:val="0"/>
                <w:numId w:val="2"/>
              </w:numPr>
              <w:wordWrap w:val="0"/>
              <w:adjustRightInd w:val="0"/>
              <w:spacing w:line="360" w:lineRule="auto"/>
              <w:ind w:left="0" w:leftChars="0" w:right="0" w:rightChars="0" w:firstLine="0" w:firstLineChars="0"/>
              <w:jc w:val="both"/>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投标人须保证本项目中所投产品均为全新产品；</w:t>
            </w:r>
          </w:p>
          <w:p w14:paraId="57A292C6">
            <w:pPr>
              <w:numPr>
                <w:ilvl w:val="0"/>
                <w:numId w:val="2"/>
              </w:numPr>
              <w:wordWrap w:val="0"/>
              <w:adjustRightInd w:val="0"/>
              <w:spacing w:line="360" w:lineRule="auto"/>
              <w:ind w:left="0" w:leftChars="0" w:right="0" w:rightChars="0" w:firstLine="0" w:firstLineChars="0"/>
              <w:jc w:val="both"/>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本项目不接受进口产品，进口产品是指通过中国海关报关验放进入中国境内且产自关境外的产品</w:t>
            </w:r>
            <w:r>
              <w:rPr>
                <w:rFonts w:hint="eastAsia" w:ascii="仿宋" w:hAnsi="仿宋" w:eastAsia="仿宋" w:cs="仿宋"/>
                <w:b/>
                <w:bCs/>
                <w:sz w:val="24"/>
                <w:szCs w:val="24"/>
                <w:highlight w:val="none"/>
                <w:lang w:val="en-US" w:eastAsia="zh-CN"/>
              </w:rPr>
              <w:t>。</w:t>
            </w:r>
          </w:p>
          <w:p w14:paraId="52D38D3E">
            <w:pPr>
              <w:numPr>
                <w:ilvl w:val="0"/>
                <w:numId w:val="2"/>
              </w:numPr>
              <w:wordWrap w:val="0"/>
              <w:adjustRightInd w:val="0"/>
              <w:spacing w:line="360" w:lineRule="auto"/>
              <w:ind w:left="0" w:leftChars="0" w:right="0" w:rightChars="0" w:firstLine="0" w:firstLineChars="0"/>
              <w:jc w:val="both"/>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①本项目分2个标段，投标人可根据自身实力同时对多个标段项目投标，评标顺序将按1标段→2标段的顺序逐一进行评审。②投标人须分标段制作、递交投标文件，对所投标段内容须进行整体投标，不可缺项、漏项，否则投标文件将按无效处理。</w:t>
            </w:r>
          </w:p>
        </w:tc>
      </w:tr>
    </w:tbl>
    <w:p w14:paraId="01581B67">
      <w:pPr>
        <w:spacing w:line="360" w:lineRule="auto"/>
        <w:ind w:firstLine="482" w:firstLineChars="200"/>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6.合同履行期限：</w:t>
      </w:r>
      <w:r>
        <w:rPr>
          <w:rFonts w:hint="eastAsia" w:ascii="仿宋" w:hAnsi="仿宋" w:eastAsia="仿宋" w:cs="仿宋"/>
          <w:b w:val="0"/>
          <w:bCs w:val="0"/>
          <w:color w:val="auto"/>
          <w:sz w:val="24"/>
          <w:szCs w:val="24"/>
        </w:rPr>
        <w:t>自合同签订之日起</w:t>
      </w:r>
      <w:r>
        <w:rPr>
          <w:rFonts w:hint="eastAsia" w:ascii="仿宋" w:hAnsi="仿宋" w:eastAsia="仿宋" w:cs="仿宋"/>
          <w:b w:val="0"/>
          <w:bCs w:val="0"/>
          <w:color w:val="auto"/>
          <w:sz w:val="24"/>
          <w:szCs w:val="24"/>
          <w:lang w:val="en-US" w:eastAsia="zh-CN"/>
        </w:rPr>
        <w:t>10个日历天</w:t>
      </w:r>
      <w:r>
        <w:rPr>
          <w:rFonts w:hint="eastAsia" w:ascii="仿宋" w:hAnsi="仿宋" w:eastAsia="仿宋" w:cs="仿宋"/>
          <w:b w:val="0"/>
          <w:bCs w:val="0"/>
          <w:color w:val="auto"/>
          <w:sz w:val="24"/>
          <w:szCs w:val="24"/>
        </w:rPr>
        <w:t>，具体按采购人需要量配送；</w:t>
      </w:r>
    </w:p>
    <w:p w14:paraId="2780F8C2">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7.交付地点：</w:t>
      </w:r>
      <w:r>
        <w:rPr>
          <w:rFonts w:hint="eastAsia" w:ascii="仿宋" w:hAnsi="仿宋" w:eastAsia="仿宋" w:cs="仿宋"/>
          <w:b w:val="0"/>
          <w:bCs w:val="0"/>
          <w:color w:val="auto"/>
          <w:sz w:val="24"/>
          <w:szCs w:val="24"/>
          <w:lang w:val="en-US" w:eastAsia="zh-CN"/>
        </w:rPr>
        <w:t>1标段：</w:t>
      </w:r>
      <w:r>
        <w:rPr>
          <w:rFonts w:hint="eastAsia" w:ascii="仿宋" w:hAnsi="仿宋" w:eastAsia="仿宋" w:cs="仿宋"/>
          <w:color w:val="auto"/>
          <w:sz w:val="24"/>
          <w:szCs w:val="24"/>
          <w:lang w:eastAsia="zh-CN"/>
        </w:rPr>
        <w:t>云南省林业和草原技术推广总站</w:t>
      </w:r>
      <w:r>
        <w:rPr>
          <w:rFonts w:hint="eastAsia" w:ascii="仿宋" w:hAnsi="仿宋" w:eastAsia="仿宋" w:cs="仿宋"/>
          <w:color w:val="auto"/>
          <w:sz w:val="24"/>
          <w:szCs w:val="24"/>
          <w:lang w:val="en-US" w:eastAsia="zh-CN"/>
        </w:rPr>
        <w:t>易门示范点</w:t>
      </w:r>
      <w:r>
        <w:rPr>
          <w:rFonts w:hint="eastAsia" w:ascii="仿宋" w:hAnsi="仿宋" w:eastAsia="仿宋" w:cs="仿宋"/>
          <w:color w:val="auto"/>
          <w:sz w:val="24"/>
          <w:szCs w:val="24"/>
        </w:rPr>
        <w:t>；</w:t>
      </w:r>
      <w:r>
        <w:rPr>
          <w:rFonts w:hint="eastAsia" w:ascii="仿宋" w:hAnsi="仿宋" w:eastAsia="仿宋" w:cs="仿宋"/>
          <w:b w:val="0"/>
          <w:bCs w:val="0"/>
          <w:color w:val="auto"/>
          <w:sz w:val="24"/>
          <w:szCs w:val="24"/>
          <w:lang w:val="en-US" w:eastAsia="zh-CN"/>
        </w:rPr>
        <w:t>2标段：</w:t>
      </w:r>
      <w:r>
        <w:rPr>
          <w:rFonts w:hint="eastAsia" w:ascii="仿宋" w:hAnsi="仿宋" w:eastAsia="仿宋" w:cs="仿宋"/>
          <w:color w:val="auto"/>
          <w:sz w:val="24"/>
          <w:szCs w:val="24"/>
          <w:lang w:eastAsia="zh-CN"/>
        </w:rPr>
        <w:t>云南省林业和草原技术推广总站</w:t>
      </w:r>
      <w:r>
        <w:rPr>
          <w:rFonts w:hint="eastAsia" w:ascii="仿宋" w:hAnsi="仿宋" w:eastAsia="仿宋" w:cs="仿宋"/>
          <w:color w:val="auto"/>
          <w:sz w:val="24"/>
          <w:szCs w:val="24"/>
          <w:lang w:val="en-US" w:eastAsia="zh-CN"/>
        </w:rPr>
        <w:t>华宁示范点</w:t>
      </w:r>
      <w:r>
        <w:rPr>
          <w:rFonts w:hint="eastAsia" w:ascii="仿宋" w:hAnsi="仿宋" w:eastAsia="仿宋" w:cs="仿宋"/>
          <w:color w:val="auto"/>
          <w:sz w:val="24"/>
          <w:szCs w:val="24"/>
        </w:rPr>
        <w:t>；</w:t>
      </w:r>
    </w:p>
    <w:p w14:paraId="7469F49A">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8.本项目不接受联合体参与投标。</w:t>
      </w:r>
    </w:p>
    <w:p w14:paraId="34A7D324">
      <w:pPr>
        <w:spacing w:line="360" w:lineRule="auto"/>
        <w:outlineLvl w:val="1"/>
        <w:rPr>
          <w:rFonts w:hint="eastAsia" w:ascii="仿宋" w:hAnsi="仿宋" w:eastAsia="仿宋" w:cs="仿宋"/>
          <w:b/>
          <w:bCs/>
          <w:color w:val="auto"/>
          <w:sz w:val="24"/>
          <w:szCs w:val="24"/>
        </w:rPr>
      </w:pPr>
      <w:bookmarkStart w:id="89" w:name="_Toc35393622"/>
      <w:bookmarkStart w:id="90" w:name="_Toc5926"/>
      <w:bookmarkStart w:id="91" w:name="_Toc3384"/>
      <w:bookmarkStart w:id="92" w:name="_Toc28359080"/>
      <w:bookmarkStart w:id="93" w:name="_Toc16883"/>
      <w:bookmarkStart w:id="94" w:name="_Toc4992"/>
      <w:bookmarkStart w:id="95" w:name="_Toc28359003"/>
      <w:bookmarkStart w:id="96" w:name="_Toc35393791"/>
      <w:r>
        <w:rPr>
          <w:rFonts w:hint="eastAsia" w:ascii="仿宋" w:hAnsi="仿宋" w:eastAsia="仿宋" w:cs="仿宋"/>
          <w:b/>
          <w:bCs/>
          <w:color w:val="auto"/>
          <w:sz w:val="24"/>
          <w:szCs w:val="24"/>
        </w:rPr>
        <w:t>二、申请人的资格要求：</w:t>
      </w:r>
      <w:bookmarkEnd w:id="89"/>
      <w:bookmarkEnd w:id="90"/>
      <w:bookmarkEnd w:id="91"/>
      <w:bookmarkEnd w:id="92"/>
      <w:bookmarkEnd w:id="93"/>
      <w:bookmarkEnd w:id="94"/>
      <w:bookmarkEnd w:id="95"/>
      <w:bookmarkEnd w:id="96"/>
    </w:p>
    <w:p w14:paraId="19D13CEB">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1.满足《中华人民共和国政府采购法》第二十二条规定：</w:t>
      </w:r>
      <w:r>
        <w:rPr>
          <w:rFonts w:hint="eastAsia" w:ascii="仿宋" w:hAnsi="仿宋" w:eastAsia="仿宋" w:cs="仿宋"/>
          <w:color w:val="auto"/>
          <w:sz w:val="24"/>
          <w:szCs w:val="24"/>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054C7B60">
      <w:pPr>
        <w:spacing w:line="360" w:lineRule="auto"/>
        <w:ind w:firstLine="482" w:firstLineChars="200"/>
        <w:rPr>
          <w:rFonts w:hint="eastAsia" w:ascii="仿宋" w:hAnsi="仿宋" w:eastAsia="仿宋" w:cs="仿宋"/>
          <w:color w:val="auto"/>
          <w:sz w:val="24"/>
          <w:szCs w:val="24"/>
        </w:rPr>
      </w:pPr>
      <w:bookmarkStart w:id="97" w:name="_Toc28359004"/>
      <w:bookmarkStart w:id="98" w:name="_Toc28359081"/>
      <w:r>
        <w:rPr>
          <w:rFonts w:hint="eastAsia" w:ascii="仿宋" w:hAnsi="仿宋" w:eastAsia="仿宋" w:cs="仿宋"/>
          <w:b/>
          <w:bCs/>
          <w:color w:val="auto"/>
          <w:sz w:val="24"/>
          <w:szCs w:val="24"/>
        </w:rPr>
        <w:t>2.落实政府采购政策需满足的资格要求：</w:t>
      </w:r>
      <w:r>
        <w:rPr>
          <w:rFonts w:hint="eastAsia" w:ascii="仿宋" w:hAnsi="仿宋" w:eastAsia="仿宋" w:cs="仿宋"/>
          <w:color w:val="auto"/>
          <w:sz w:val="24"/>
          <w:szCs w:val="24"/>
        </w:rPr>
        <w:t>本项目属于专门面向中小企业采购的项目。</w:t>
      </w:r>
    </w:p>
    <w:p w14:paraId="1B198DAD">
      <w:pPr>
        <w:spacing w:line="360" w:lineRule="auto"/>
        <w:ind w:firstLine="482" w:firstLineChars="200"/>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3.本项目的特定资格要求</w:t>
      </w:r>
      <w:bookmarkStart w:id="99" w:name="_Toc35393792"/>
      <w:bookmarkStart w:id="100" w:name="_Toc35393623"/>
      <w:r>
        <w:rPr>
          <w:rFonts w:hint="eastAsia" w:ascii="仿宋" w:hAnsi="仿宋" w:eastAsia="仿宋" w:cs="仿宋"/>
          <w:b/>
          <w:bCs/>
          <w:color w:val="auto"/>
          <w:sz w:val="24"/>
          <w:szCs w:val="24"/>
        </w:rPr>
        <w:t>：</w:t>
      </w:r>
      <w:r>
        <w:rPr>
          <w:rFonts w:hint="eastAsia" w:ascii="仿宋" w:hAnsi="仿宋" w:eastAsia="仿宋" w:cs="仿宋"/>
          <w:b w:val="0"/>
          <w:bCs w:val="0"/>
          <w:color w:val="auto"/>
          <w:sz w:val="24"/>
          <w:szCs w:val="24"/>
          <w:lang w:eastAsia="zh-CN"/>
        </w:rPr>
        <w:t>投标人具有有效期内的《农药经营许可证》</w:t>
      </w:r>
      <w:r>
        <w:rPr>
          <w:rFonts w:hint="eastAsia" w:ascii="仿宋" w:hAnsi="仿宋" w:eastAsia="仿宋" w:cs="仿宋"/>
          <w:b w:val="0"/>
          <w:bCs w:val="0"/>
          <w:color w:val="auto"/>
          <w:sz w:val="24"/>
          <w:szCs w:val="24"/>
        </w:rPr>
        <w:t>。</w:t>
      </w:r>
    </w:p>
    <w:p w14:paraId="006CC748">
      <w:pPr>
        <w:spacing w:line="360" w:lineRule="auto"/>
        <w:outlineLvl w:val="1"/>
        <w:rPr>
          <w:rFonts w:hint="eastAsia" w:ascii="仿宋" w:hAnsi="仿宋" w:eastAsia="仿宋" w:cs="仿宋"/>
          <w:b/>
          <w:bCs/>
          <w:color w:val="auto"/>
          <w:sz w:val="24"/>
          <w:szCs w:val="24"/>
        </w:rPr>
      </w:pPr>
      <w:bookmarkStart w:id="101" w:name="_Toc12161"/>
      <w:bookmarkStart w:id="102" w:name="_Toc13597"/>
      <w:bookmarkStart w:id="103" w:name="_Toc21809"/>
      <w:bookmarkStart w:id="104" w:name="_Toc21896"/>
      <w:r>
        <w:rPr>
          <w:rFonts w:hint="eastAsia" w:ascii="仿宋" w:hAnsi="仿宋" w:eastAsia="仿宋" w:cs="仿宋"/>
          <w:b/>
          <w:bCs/>
          <w:color w:val="auto"/>
          <w:sz w:val="24"/>
          <w:szCs w:val="24"/>
        </w:rPr>
        <w:t>三、获取招标文件</w:t>
      </w:r>
      <w:bookmarkEnd w:id="97"/>
      <w:bookmarkEnd w:id="98"/>
      <w:bookmarkEnd w:id="99"/>
      <w:bookmarkEnd w:id="100"/>
      <w:bookmarkEnd w:id="101"/>
      <w:bookmarkEnd w:id="102"/>
      <w:bookmarkEnd w:id="103"/>
      <w:bookmarkEnd w:id="104"/>
    </w:p>
    <w:p w14:paraId="2346A5B8">
      <w:pPr>
        <w:spacing w:line="360" w:lineRule="auto"/>
        <w:ind w:firstLine="482" w:firstLineChars="200"/>
        <w:rPr>
          <w:rFonts w:hint="eastAsia" w:ascii="仿宋" w:hAnsi="仿宋" w:eastAsia="仿宋" w:cs="仿宋"/>
          <w:color w:val="auto"/>
          <w:sz w:val="24"/>
          <w:szCs w:val="24"/>
        </w:rPr>
      </w:pPr>
      <w:bookmarkStart w:id="105" w:name="_Toc35393624"/>
      <w:bookmarkStart w:id="106" w:name="_Toc35393793"/>
      <w:bookmarkStart w:id="107" w:name="_Toc28359005"/>
      <w:bookmarkStart w:id="108" w:name="_Toc28359082"/>
      <w:r>
        <w:rPr>
          <w:rFonts w:hint="eastAsia" w:ascii="仿宋" w:hAnsi="仿宋" w:eastAsia="仿宋" w:cs="仿宋"/>
          <w:b/>
          <w:bCs/>
          <w:color w:val="auto"/>
          <w:sz w:val="24"/>
          <w:szCs w:val="24"/>
        </w:rPr>
        <w:t>1.时间：</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03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02 </w:t>
      </w:r>
      <w:r>
        <w:rPr>
          <w:rFonts w:hint="eastAsia" w:ascii="仿宋" w:hAnsi="仿宋" w:eastAsia="仿宋" w:cs="仿宋"/>
          <w:color w:val="auto"/>
          <w:sz w:val="24"/>
          <w:szCs w:val="24"/>
          <w:highlight w:val="none"/>
        </w:rPr>
        <w:t>日06:00至</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03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13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rPr>
        <w:t>23:59，每天</w:t>
      </w:r>
      <w:r>
        <w:rPr>
          <w:rFonts w:hint="eastAsia" w:ascii="仿宋" w:hAnsi="仿宋" w:eastAsia="仿宋" w:cs="仿宋"/>
          <w:color w:val="auto"/>
          <w:sz w:val="24"/>
          <w:szCs w:val="24"/>
          <w:u w:val="single"/>
        </w:rPr>
        <w:t>00：00时</w:t>
      </w:r>
      <w:r>
        <w:rPr>
          <w:rFonts w:hint="eastAsia" w:ascii="仿宋" w:hAnsi="仿宋" w:eastAsia="仿宋" w:cs="仿宋"/>
          <w:color w:val="auto"/>
          <w:sz w:val="24"/>
          <w:szCs w:val="24"/>
        </w:rPr>
        <w:t>至</w:t>
      </w:r>
      <w:r>
        <w:rPr>
          <w:rFonts w:hint="eastAsia" w:ascii="仿宋" w:hAnsi="仿宋" w:eastAsia="仿宋" w:cs="仿宋"/>
          <w:color w:val="auto"/>
          <w:sz w:val="24"/>
          <w:szCs w:val="24"/>
          <w:u w:val="single"/>
        </w:rPr>
        <w:t>23:59时</w:t>
      </w:r>
      <w:r>
        <w:rPr>
          <w:rFonts w:hint="eastAsia" w:ascii="仿宋" w:hAnsi="仿宋" w:eastAsia="仿宋" w:cs="仿宋"/>
          <w:color w:val="auto"/>
          <w:sz w:val="24"/>
          <w:szCs w:val="24"/>
        </w:rPr>
        <w:t>（北京时间，法定节假日除外）；</w:t>
      </w:r>
    </w:p>
    <w:p w14:paraId="0031F58E">
      <w:pPr>
        <w:spacing w:line="360" w:lineRule="auto"/>
        <w:ind w:firstLine="458" w:firstLineChars="200"/>
        <w:rPr>
          <w:rFonts w:hint="eastAsia" w:ascii="仿宋" w:hAnsi="仿宋" w:eastAsia="仿宋" w:cs="仿宋"/>
          <w:color w:val="auto"/>
          <w:spacing w:val="-6"/>
          <w:sz w:val="24"/>
          <w:szCs w:val="24"/>
        </w:rPr>
      </w:pPr>
      <w:r>
        <w:rPr>
          <w:rFonts w:hint="eastAsia" w:ascii="仿宋" w:hAnsi="仿宋" w:eastAsia="仿宋" w:cs="仿宋"/>
          <w:b/>
          <w:bCs/>
          <w:color w:val="auto"/>
          <w:spacing w:val="-6"/>
          <w:sz w:val="24"/>
          <w:szCs w:val="24"/>
        </w:rPr>
        <w:t>2.地点：</w:t>
      </w:r>
      <w:r>
        <w:rPr>
          <w:rFonts w:hint="eastAsia" w:ascii="仿宋" w:hAnsi="仿宋" w:eastAsia="仿宋" w:cs="仿宋"/>
          <w:color w:val="auto"/>
          <w:spacing w:val="-6"/>
          <w:sz w:val="24"/>
          <w:szCs w:val="24"/>
        </w:rPr>
        <w:t>投标人须在“政采云”平台 （https://www.zcygov.cn）下载采购文件（操作路径：登录“政采云”平台-项目采购-获取采购文件-找到本项目-点击“申请获取采购文件”）；</w:t>
      </w:r>
    </w:p>
    <w:p w14:paraId="1E01F1B6">
      <w:pPr>
        <w:spacing w:line="360" w:lineRule="auto"/>
        <w:ind w:firstLine="458" w:firstLineChars="200"/>
        <w:rPr>
          <w:rFonts w:hint="eastAsia" w:ascii="仿宋" w:hAnsi="仿宋" w:eastAsia="仿宋" w:cs="仿宋"/>
          <w:color w:val="auto"/>
          <w:spacing w:val="-6"/>
          <w:sz w:val="24"/>
          <w:szCs w:val="24"/>
        </w:rPr>
      </w:pPr>
      <w:r>
        <w:rPr>
          <w:rFonts w:hint="eastAsia" w:ascii="仿宋" w:hAnsi="仿宋" w:eastAsia="仿宋" w:cs="仿宋"/>
          <w:b/>
          <w:bCs/>
          <w:color w:val="auto"/>
          <w:spacing w:val="-6"/>
          <w:sz w:val="24"/>
          <w:szCs w:val="24"/>
        </w:rPr>
        <w:t>3.方式：</w:t>
      </w:r>
      <w:r>
        <w:rPr>
          <w:rFonts w:hint="eastAsia" w:ascii="仿宋" w:hAnsi="仿宋" w:eastAsia="仿宋" w:cs="仿宋"/>
          <w:color w:val="auto"/>
          <w:spacing w:val="-6"/>
          <w:sz w:val="24"/>
          <w:szCs w:val="24"/>
        </w:rPr>
        <w:t>凡有意参加投标者，须在政采云平台办理数字证书（CA)，CA申领链接http://yzt.ynsmartcert.cn/cms/yztynghjs.html，数字证书（CA）办理完成后需在政采云平台绑定数字证书(CA)并在平台获取采购文件及其它采购资料。</w:t>
      </w:r>
    </w:p>
    <w:p w14:paraId="1861B06C">
      <w:pPr>
        <w:spacing w:line="360" w:lineRule="auto"/>
        <w:ind w:firstLine="456"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注:按上述要求获取文件的投标人视为合法获取了本项目采购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办理数字证书(CA) ，CA申领链接: http://yzt.ynsmartcert.cn/cms/yztynghjs.html。</w:t>
      </w:r>
    </w:p>
    <w:p w14:paraId="4DF086D2">
      <w:pPr>
        <w:spacing w:line="360" w:lineRule="auto"/>
        <w:ind w:firstLine="456"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（1）如有问题可拨打政采云客户服务热线95763进一咨询，数字证书问题可咨询云南壹证通CA：0871-67276028（紧急可拨19988166369）。</w:t>
      </w:r>
    </w:p>
    <w:p w14:paraId="4903DF41">
      <w:pPr>
        <w:spacing w:line="360" w:lineRule="auto"/>
        <w:ind w:firstLine="456"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如因投标人自身原因导致在规定时间内无法正常解密的(如:浏览器故障、未安装相关驱动、网络故障、加密CA与解密CA不一致等），视为投标人自动弃标，代理机构不予处理。</w:t>
      </w:r>
    </w:p>
    <w:p w14:paraId="134C8D5C">
      <w:pPr>
        <w:spacing w:line="360" w:lineRule="auto"/>
        <w:ind w:firstLine="456"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（2）云南本地投标人如之前已在云南CA在线数字证书办理网进行过注册并办理过企业数字证书（CA），直接绑定即可，无需重复办理（2022年1月1日前办理的云南CA需到云南CA办理处进行升级。</w:t>
      </w:r>
    </w:p>
    <w:p w14:paraId="1E25F3E6">
      <w:pPr>
        <w:spacing w:line="360" w:lineRule="auto"/>
        <w:ind w:firstLine="458" w:firstLineChars="200"/>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4.售价：</w:t>
      </w:r>
      <w:r>
        <w:rPr>
          <w:rFonts w:hint="eastAsia" w:ascii="仿宋" w:hAnsi="仿宋" w:eastAsia="仿宋" w:cs="仿宋"/>
          <w:color w:val="auto"/>
          <w:spacing w:val="-6"/>
          <w:sz w:val="24"/>
          <w:szCs w:val="24"/>
        </w:rPr>
        <w:t>0.00元。</w:t>
      </w:r>
    </w:p>
    <w:bookmarkEnd w:id="105"/>
    <w:bookmarkEnd w:id="106"/>
    <w:bookmarkEnd w:id="107"/>
    <w:bookmarkEnd w:id="108"/>
    <w:p w14:paraId="34B23575">
      <w:pPr>
        <w:spacing w:line="360" w:lineRule="auto"/>
        <w:outlineLvl w:val="1"/>
        <w:rPr>
          <w:rFonts w:hint="eastAsia" w:ascii="仿宋" w:hAnsi="仿宋" w:eastAsia="仿宋" w:cs="仿宋"/>
          <w:b/>
          <w:bCs/>
          <w:color w:val="auto"/>
          <w:sz w:val="24"/>
          <w:szCs w:val="24"/>
        </w:rPr>
      </w:pPr>
      <w:bookmarkStart w:id="109" w:name="_Toc28359015"/>
      <w:bookmarkStart w:id="110" w:name="_Toc35393801"/>
      <w:bookmarkStart w:id="111" w:name="_Toc35393632"/>
      <w:bookmarkStart w:id="112" w:name="_Toc28359092"/>
      <w:bookmarkStart w:id="113" w:name="_Toc9478"/>
      <w:bookmarkStart w:id="114" w:name="_Toc3516"/>
      <w:bookmarkStart w:id="115" w:name="_Toc26366"/>
      <w:bookmarkStart w:id="116" w:name="_Toc9675"/>
      <w:bookmarkStart w:id="117" w:name="_Toc28359007"/>
      <w:bookmarkStart w:id="118" w:name="_Toc35393625"/>
      <w:bookmarkStart w:id="119" w:name="_Toc28359084"/>
      <w:bookmarkStart w:id="120" w:name="_Toc35393794"/>
      <w:r>
        <w:rPr>
          <w:rFonts w:hint="eastAsia" w:ascii="仿宋" w:hAnsi="仿宋" w:eastAsia="仿宋" w:cs="仿宋"/>
          <w:b/>
          <w:bCs/>
          <w:color w:val="auto"/>
          <w:sz w:val="24"/>
          <w:szCs w:val="24"/>
        </w:rPr>
        <w:t>四、</w:t>
      </w:r>
      <w:bookmarkEnd w:id="109"/>
      <w:bookmarkEnd w:id="110"/>
      <w:bookmarkEnd w:id="111"/>
      <w:bookmarkEnd w:id="112"/>
      <w:bookmarkEnd w:id="113"/>
      <w:r>
        <w:rPr>
          <w:rFonts w:hint="eastAsia" w:ascii="仿宋" w:hAnsi="仿宋" w:eastAsia="仿宋" w:cs="仿宋"/>
          <w:b/>
          <w:bCs/>
          <w:color w:val="auto"/>
          <w:sz w:val="24"/>
          <w:szCs w:val="24"/>
        </w:rPr>
        <w:t>提交投标文件截止时间、开标时间和地点</w:t>
      </w:r>
      <w:bookmarkEnd w:id="114"/>
      <w:bookmarkEnd w:id="115"/>
      <w:bookmarkEnd w:id="116"/>
    </w:p>
    <w:p w14:paraId="1C34AFEF">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szCs w:val="24"/>
          <w:highlight w:val="none"/>
        </w:rPr>
        <w:t>提交</w:t>
      </w:r>
      <w:r>
        <w:rPr>
          <w:rFonts w:hint="eastAsia" w:ascii="仿宋" w:hAnsi="仿宋" w:eastAsia="仿宋" w:cs="仿宋"/>
          <w:b/>
          <w:bCs/>
          <w:color w:val="auto"/>
          <w:sz w:val="24"/>
          <w:highlight w:val="none"/>
        </w:rPr>
        <w:t>投标文件截止时间：</w:t>
      </w:r>
      <w:r>
        <w:rPr>
          <w:rFonts w:hint="eastAsia" w:ascii="仿宋" w:hAnsi="仿宋" w:eastAsia="仿宋" w:cs="仿宋"/>
          <w:b w:val="0"/>
          <w:bCs w:val="0"/>
          <w:color w:val="auto"/>
          <w:sz w:val="24"/>
          <w:highlight w:val="none"/>
          <w:u w:val="single"/>
          <w:lang w:eastAsia="zh-CN"/>
        </w:rPr>
        <w:t>2026年03月22日14时00分</w:t>
      </w:r>
      <w:r>
        <w:rPr>
          <w:rFonts w:hint="eastAsia" w:ascii="仿宋" w:hAnsi="仿宋" w:eastAsia="仿宋" w:cs="仿宋"/>
          <w:color w:val="auto"/>
          <w:sz w:val="24"/>
          <w:highlight w:val="none"/>
        </w:rPr>
        <w:t>（北京时间）</w:t>
      </w:r>
    </w:p>
    <w:p w14:paraId="05500F44">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2.开标时间：</w:t>
      </w:r>
      <w:r>
        <w:rPr>
          <w:rFonts w:hint="eastAsia" w:ascii="仿宋" w:hAnsi="仿宋" w:eastAsia="仿宋" w:cs="仿宋"/>
          <w:b w:val="0"/>
          <w:bCs w:val="0"/>
          <w:color w:val="auto"/>
          <w:sz w:val="24"/>
          <w:highlight w:val="none"/>
          <w:u w:val="single"/>
          <w:lang w:eastAsia="zh-CN"/>
        </w:rPr>
        <w:t>2026年03月22日14时00分</w:t>
      </w:r>
      <w:r>
        <w:rPr>
          <w:rFonts w:hint="eastAsia" w:ascii="仿宋" w:hAnsi="仿宋" w:eastAsia="仿宋" w:cs="仿宋"/>
          <w:color w:val="auto"/>
          <w:sz w:val="24"/>
          <w:highlight w:val="none"/>
        </w:rPr>
        <w:t>（北京时间）</w:t>
      </w:r>
    </w:p>
    <w:p w14:paraId="72525795">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仿宋" w:hAnsi="仿宋" w:eastAsia="仿宋" w:cs="仿宋"/>
          <w:b w:val="0"/>
          <w:bCs w:val="0"/>
          <w:color w:val="000000" w:themeColor="text1"/>
          <w:spacing w:val="-6"/>
          <w:sz w:val="24"/>
          <w:u w:val="single"/>
          <w14:textFill>
            <w14:solidFill>
              <w14:schemeClr w14:val="tx1"/>
            </w14:solidFill>
          </w14:textFill>
        </w:rPr>
      </w:pPr>
      <w:r>
        <w:rPr>
          <w:rFonts w:hint="eastAsia" w:ascii="仿宋" w:hAnsi="仿宋" w:eastAsia="仿宋" w:cs="仿宋"/>
          <w:b/>
          <w:bCs/>
          <w:color w:val="auto"/>
          <w:sz w:val="24"/>
        </w:rPr>
        <w:t>3.地点：</w:t>
      </w:r>
      <w:r>
        <w:rPr>
          <w:rFonts w:hint="eastAsia" w:ascii="仿宋" w:hAnsi="仿宋" w:eastAsia="仿宋" w:cs="仿宋"/>
          <w:color w:val="auto"/>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r>
        <w:rPr>
          <w:rFonts w:hint="eastAsia" w:ascii="仿宋" w:hAnsi="仿宋" w:eastAsia="仿宋" w:cs="仿宋"/>
          <w:color w:val="auto"/>
          <w:sz w:val="24"/>
          <w:lang w:eastAsia="zh-CN"/>
        </w:rPr>
        <w:t>，</w:t>
      </w:r>
      <w:r>
        <w:rPr>
          <w:rFonts w:hint="eastAsia" w:ascii="仿宋" w:hAnsi="仿宋" w:eastAsia="仿宋" w:cs="仿宋"/>
          <w:b w:val="0"/>
          <w:bCs w:val="0"/>
          <w:color w:val="000000" w:themeColor="text1"/>
          <w:sz w:val="24"/>
          <w:lang w:val="en-US" w:eastAsia="zh-CN"/>
          <w14:textFill>
            <w14:solidFill>
              <w14:schemeClr w14:val="tx1"/>
            </w14:solidFill>
          </w14:textFill>
        </w:rPr>
        <w:t>采用网上开标，投标人不到现场</w:t>
      </w:r>
      <w:r>
        <w:rPr>
          <w:rFonts w:hint="eastAsia" w:ascii="仿宋" w:hAnsi="仿宋" w:eastAsia="仿宋" w:cs="仿宋"/>
          <w:b w:val="0"/>
          <w:bCs w:val="0"/>
          <w:color w:val="000000" w:themeColor="text1"/>
          <w:sz w:val="24"/>
          <w14:textFill>
            <w14:solidFill>
              <w14:schemeClr w14:val="tx1"/>
            </w14:solidFill>
          </w14:textFill>
        </w:rPr>
        <w:t>。</w:t>
      </w:r>
    </w:p>
    <w:p w14:paraId="3CCC1066">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rPr>
      </w:pPr>
      <w:bookmarkStart w:id="121" w:name="_Toc102"/>
      <w:bookmarkStart w:id="122" w:name="_Toc7904"/>
      <w:bookmarkStart w:id="123" w:name="_Toc7821"/>
      <w:bookmarkStart w:id="124" w:name="_Toc22472"/>
      <w:r>
        <w:rPr>
          <w:rFonts w:hint="eastAsia" w:ascii="仿宋" w:hAnsi="仿宋" w:eastAsia="仿宋" w:cs="仿宋"/>
          <w:b/>
          <w:bCs/>
          <w:color w:val="auto"/>
          <w:sz w:val="24"/>
          <w:szCs w:val="24"/>
        </w:rPr>
        <w:t>五、公告期限</w:t>
      </w:r>
      <w:bookmarkEnd w:id="117"/>
      <w:bookmarkEnd w:id="118"/>
      <w:bookmarkEnd w:id="119"/>
      <w:bookmarkEnd w:id="120"/>
      <w:bookmarkEnd w:id="121"/>
      <w:bookmarkEnd w:id="122"/>
      <w:bookmarkEnd w:id="123"/>
      <w:bookmarkEnd w:id="124"/>
    </w:p>
    <w:p w14:paraId="166CD12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自本公告发布之日起5个工作日。</w:t>
      </w:r>
    </w:p>
    <w:p w14:paraId="7F9F5D4D">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rPr>
      </w:pPr>
      <w:bookmarkStart w:id="125" w:name="_Toc35393626"/>
      <w:bookmarkStart w:id="126" w:name="_Toc10889"/>
      <w:bookmarkStart w:id="127" w:name="_Toc5207"/>
      <w:bookmarkStart w:id="128" w:name="_Toc10318"/>
      <w:bookmarkStart w:id="129" w:name="_Toc6552"/>
      <w:bookmarkStart w:id="130" w:name="_Toc35393795"/>
      <w:r>
        <w:rPr>
          <w:rFonts w:hint="eastAsia" w:ascii="仿宋" w:hAnsi="仿宋" w:eastAsia="仿宋" w:cs="仿宋"/>
          <w:b/>
          <w:bCs/>
          <w:color w:val="auto"/>
          <w:sz w:val="24"/>
          <w:szCs w:val="24"/>
        </w:rPr>
        <w:t>六、其他补充事宜</w:t>
      </w:r>
      <w:bookmarkEnd w:id="125"/>
      <w:bookmarkEnd w:id="126"/>
      <w:bookmarkEnd w:id="127"/>
      <w:bookmarkEnd w:id="128"/>
      <w:bookmarkEnd w:id="129"/>
      <w:bookmarkEnd w:id="130"/>
    </w:p>
    <w:p w14:paraId="778F998D">
      <w:pPr>
        <w:keepNext w:val="0"/>
        <w:keepLines w:val="0"/>
        <w:pageBreakBefore w:val="0"/>
        <w:widowControl w:val="0"/>
        <w:kinsoku/>
        <w:wordWrap/>
        <w:overflowPunct/>
        <w:topLinePunct w:val="0"/>
        <w:autoSpaceDE/>
        <w:autoSpaceDN/>
        <w:bidi w:val="0"/>
        <w:adjustRightInd/>
        <w:snapToGrid/>
        <w:spacing w:line="460" w:lineRule="exact"/>
        <w:ind w:firstLine="456" w:firstLineChars="200"/>
        <w:textAlignment w:val="auto"/>
        <w:rPr>
          <w:rFonts w:hint="default" w:ascii="仿宋" w:hAnsi="仿宋" w:eastAsia="仿宋" w:cs="仿宋"/>
          <w:color w:val="auto"/>
          <w:spacing w:val="-6"/>
          <w:sz w:val="24"/>
          <w:lang w:val="en-US" w:eastAsia="zh-CN"/>
        </w:rPr>
      </w:pPr>
      <w:r>
        <w:rPr>
          <w:rFonts w:hint="eastAsia" w:ascii="仿宋" w:hAnsi="仿宋" w:eastAsia="仿宋" w:cs="仿宋"/>
          <w:color w:val="auto"/>
          <w:spacing w:val="-6"/>
          <w:sz w:val="24"/>
        </w:rPr>
        <w:t>1.开标方式：</w:t>
      </w:r>
      <w:r>
        <w:rPr>
          <w:rFonts w:hint="eastAsia" w:ascii="仿宋" w:hAnsi="仿宋" w:eastAsia="仿宋" w:cs="仿宋"/>
          <w:color w:val="auto"/>
          <w:spacing w:val="-6"/>
          <w:sz w:val="24"/>
          <w:lang w:val="en-US" w:eastAsia="zh-CN"/>
        </w:rPr>
        <w:t>网上</w:t>
      </w:r>
      <w:r>
        <w:rPr>
          <w:rFonts w:hint="eastAsia" w:ascii="仿宋" w:hAnsi="仿宋" w:eastAsia="仿宋" w:cs="仿宋"/>
          <w:color w:val="auto"/>
          <w:spacing w:val="-6"/>
          <w:sz w:val="24"/>
        </w:rPr>
        <w:t>开标</w:t>
      </w:r>
    </w:p>
    <w:p w14:paraId="20EC4E7F">
      <w:pPr>
        <w:keepNext w:val="0"/>
        <w:keepLines w:val="0"/>
        <w:pageBreakBefore w:val="0"/>
        <w:widowControl w:val="0"/>
        <w:kinsoku/>
        <w:wordWrap/>
        <w:overflowPunct/>
        <w:topLinePunct w:val="0"/>
        <w:autoSpaceDE/>
        <w:autoSpaceDN/>
        <w:bidi w:val="0"/>
        <w:adjustRightInd/>
        <w:snapToGrid/>
        <w:spacing w:line="460" w:lineRule="exact"/>
        <w:ind w:firstLine="456" w:firstLineChars="200"/>
        <w:textAlignment w:val="auto"/>
        <w:rPr>
          <w:rFonts w:hint="eastAsia" w:ascii="仿宋" w:hAnsi="仿宋" w:eastAsia="仿宋" w:cs="仿宋"/>
          <w:color w:val="auto"/>
          <w:spacing w:val="-6"/>
          <w:sz w:val="24"/>
          <w:lang w:eastAsia="zh-CN"/>
        </w:rPr>
      </w:pPr>
      <w:r>
        <w:rPr>
          <w:rFonts w:hint="eastAsia" w:ascii="仿宋" w:hAnsi="仿宋" w:eastAsia="仿宋" w:cs="仿宋"/>
          <w:color w:val="auto"/>
          <w:spacing w:val="-6"/>
          <w:sz w:val="24"/>
        </w:rPr>
        <w:t>2.是否需要缴纳投标保证金：</w:t>
      </w:r>
      <w:r>
        <w:rPr>
          <w:rFonts w:hint="eastAsia" w:ascii="仿宋" w:hAnsi="仿宋" w:eastAsia="仿宋" w:cs="仿宋"/>
          <w:color w:val="auto"/>
          <w:spacing w:val="-6"/>
          <w:sz w:val="24"/>
          <w:lang w:val="en-US" w:eastAsia="zh-CN"/>
        </w:rPr>
        <w:t>否</w:t>
      </w:r>
    </w:p>
    <w:p w14:paraId="6EF15DA8">
      <w:pPr>
        <w:keepNext w:val="0"/>
        <w:keepLines w:val="0"/>
        <w:pageBreakBefore w:val="0"/>
        <w:widowControl w:val="0"/>
        <w:kinsoku/>
        <w:wordWrap/>
        <w:overflowPunct/>
        <w:topLinePunct w:val="0"/>
        <w:autoSpaceDE/>
        <w:autoSpaceDN/>
        <w:bidi w:val="0"/>
        <w:adjustRightInd/>
        <w:snapToGrid/>
        <w:spacing w:line="460" w:lineRule="exact"/>
        <w:ind w:firstLine="456" w:firstLineChars="200"/>
        <w:textAlignment w:val="auto"/>
        <w:rPr>
          <w:rFonts w:hint="eastAsia" w:ascii="仿宋" w:hAnsi="仿宋" w:eastAsia="仿宋" w:cs="仿宋"/>
          <w:color w:val="auto"/>
          <w:spacing w:val="-6"/>
          <w:sz w:val="24"/>
          <w:lang w:eastAsia="zh-CN"/>
        </w:rPr>
      </w:pPr>
      <w:r>
        <w:rPr>
          <w:rFonts w:hint="eastAsia" w:ascii="仿宋" w:hAnsi="仿宋" w:eastAsia="仿宋" w:cs="仿宋"/>
          <w:color w:val="auto"/>
          <w:spacing w:val="-6"/>
          <w:sz w:val="24"/>
        </w:rPr>
        <w:t>3.投标保证金金额：</w:t>
      </w:r>
      <w:r>
        <w:rPr>
          <w:rFonts w:hint="eastAsia" w:ascii="仿宋" w:hAnsi="仿宋" w:eastAsia="仿宋" w:cs="仿宋"/>
          <w:color w:val="auto"/>
          <w:spacing w:val="-6"/>
          <w:sz w:val="24"/>
          <w:lang w:val="en-US" w:eastAsia="zh-CN"/>
        </w:rPr>
        <w:t>无</w:t>
      </w:r>
    </w:p>
    <w:p w14:paraId="251B083E">
      <w:pPr>
        <w:keepNext w:val="0"/>
        <w:keepLines w:val="0"/>
        <w:pageBreakBefore w:val="0"/>
        <w:widowControl w:val="0"/>
        <w:kinsoku/>
        <w:wordWrap/>
        <w:overflowPunct/>
        <w:topLinePunct w:val="0"/>
        <w:autoSpaceDE/>
        <w:autoSpaceDN/>
        <w:bidi w:val="0"/>
        <w:adjustRightInd/>
        <w:snapToGrid/>
        <w:spacing w:line="460" w:lineRule="exact"/>
        <w:ind w:firstLine="456" w:firstLineChars="200"/>
        <w:textAlignment w:val="auto"/>
        <w:rPr>
          <w:rFonts w:hint="eastAsia" w:ascii="仿宋" w:hAnsi="仿宋" w:eastAsia="仿宋" w:cs="仿宋"/>
          <w:color w:val="auto"/>
          <w:spacing w:val="-6"/>
          <w:sz w:val="24"/>
        </w:rPr>
      </w:pPr>
      <w:r>
        <w:rPr>
          <w:rFonts w:hint="eastAsia" w:ascii="仿宋" w:hAnsi="仿宋" w:eastAsia="仿宋" w:cs="仿宋"/>
          <w:color w:val="auto"/>
          <w:spacing w:val="-6"/>
          <w:sz w:val="24"/>
        </w:rPr>
        <w:t>4.投标保证金缴纳方式：以电汇、网银、支票、汇票、本票或者金融机构、担保机构出具的保函等非现金形式提交</w:t>
      </w:r>
    </w:p>
    <w:p w14:paraId="3B526D3B">
      <w:pPr>
        <w:keepNext w:val="0"/>
        <w:keepLines w:val="0"/>
        <w:pageBreakBefore w:val="0"/>
        <w:widowControl w:val="0"/>
        <w:kinsoku/>
        <w:wordWrap/>
        <w:overflowPunct/>
        <w:topLinePunct w:val="0"/>
        <w:autoSpaceDE/>
        <w:autoSpaceDN/>
        <w:bidi w:val="0"/>
        <w:adjustRightInd/>
        <w:snapToGrid/>
        <w:spacing w:line="460" w:lineRule="exact"/>
        <w:ind w:firstLine="456" w:firstLineChars="200"/>
        <w:textAlignment w:val="auto"/>
        <w:rPr>
          <w:rFonts w:hint="eastAsia" w:ascii="仿宋" w:hAnsi="仿宋" w:eastAsia="仿宋" w:cs="仿宋"/>
          <w:color w:val="auto"/>
          <w:spacing w:val="-6"/>
          <w:sz w:val="24"/>
        </w:rPr>
      </w:pPr>
      <w:r>
        <w:rPr>
          <w:rFonts w:hint="eastAsia" w:ascii="仿宋" w:hAnsi="仿宋" w:eastAsia="仿宋" w:cs="仿宋"/>
          <w:color w:val="auto"/>
          <w:spacing w:val="-6"/>
          <w:sz w:val="24"/>
        </w:rPr>
        <w:t>5.投标保证金缴纳截止时间：同投标文件递交截止时间</w:t>
      </w:r>
    </w:p>
    <w:p w14:paraId="6E136478">
      <w:pPr>
        <w:keepNext w:val="0"/>
        <w:keepLines w:val="0"/>
        <w:pageBreakBefore w:val="0"/>
        <w:widowControl w:val="0"/>
        <w:kinsoku/>
        <w:wordWrap/>
        <w:overflowPunct/>
        <w:topLinePunct w:val="0"/>
        <w:autoSpaceDE/>
        <w:autoSpaceDN/>
        <w:bidi w:val="0"/>
        <w:adjustRightInd/>
        <w:snapToGrid/>
        <w:spacing w:line="460" w:lineRule="exact"/>
        <w:ind w:firstLine="456" w:firstLineChars="200"/>
        <w:textAlignment w:val="auto"/>
        <w:rPr>
          <w:rFonts w:hint="eastAsia" w:ascii="仿宋" w:hAnsi="仿宋" w:eastAsia="仿宋" w:cs="仿宋"/>
          <w:color w:val="auto"/>
          <w:spacing w:val="-6"/>
          <w:sz w:val="24"/>
        </w:rPr>
      </w:pPr>
      <w:r>
        <w:rPr>
          <w:rFonts w:hint="eastAsia" w:ascii="仿宋" w:hAnsi="仿宋" w:eastAsia="仿宋" w:cs="仿宋"/>
          <w:color w:val="auto"/>
          <w:spacing w:val="-6"/>
          <w:sz w:val="24"/>
        </w:rPr>
        <w:t>6.其他：采购信息、成交公告均仅在云南省政府采购网（www.yngp.com）发布，采购人及采购代理机构对其他网站或媒体转载的公告及公告内容不承担任何责任。</w:t>
      </w:r>
    </w:p>
    <w:p w14:paraId="3418737B">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rPr>
      </w:pPr>
      <w:bookmarkStart w:id="131" w:name="_Toc24966"/>
      <w:bookmarkStart w:id="132" w:name="_Toc35393627"/>
      <w:bookmarkStart w:id="133" w:name="_Toc28359008"/>
      <w:bookmarkStart w:id="134" w:name="_Toc35393796"/>
      <w:bookmarkStart w:id="135" w:name="_Toc28359085"/>
      <w:bookmarkStart w:id="136" w:name="_Toc31223"/>
      <w:bookmarkStart w:id="137" w:name="_Toc27110"/>
      <w:bookmarkStart w:id="138" w:name="_Toc14625"/>
      <w:r>
        <w:rPr>
          <w:rFonts w:hint="eastAsia" w:ascii="仿宋" w:hAnsi="仿宋" w:eastAsia="仿宋" w:cs="仿宋"/>
          <w:b/>
          <w:bCs/>
          <w:color w:val="auto"/>
          <w:sz w:val="24"/>
          <w:szCs w:val="24"/>
        </w:rPr>
        <w:t>七、对本次招标提出询问，请按以下方式联系</w:t>
      </w:r>
      <w:bookmarkEnd w:id="131"/>
      <w:bookmarkEnd w:id="132"/>
      <w:bookmarkEnd w:id="133"/>
      <w:bookmarkEnd w:id="134"/>
      <w:bookmarkEnd w:id="135"/>
      <w:bookmarkEnd w:id="136"/>
      <w:bookmarkEnd w:id="137"/>
      <w:bookmarkEnd w:id="138"/>
    </w:p>
    <w:p w14:paraId="504D3C30">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1.采购人信息</w:t>
      </w:r>
    </w:p>
    <w:p w14:paraId="6957094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 称：</w:t>
      </w:r>
      <w:r>
        <w:rPr>
          <w:rFonts w:hint="eastAsia" w:ascii="仿宋" w:hAnsi="仿宋" w:eastAsia="仿宋" w:cs="仿宋"/>
          <w:color w:val="auto"/>
          <w:sz w:val="24"/>
          <w:szCs w:val="24"/>
          <w:lang w:eastAsia="zh-CN"/>
        </w:rPr>
        <w:t>云南省林业和草原技术推广总站</w:t>
      </w:r>
    </w:p>
    <w:p w14:paraId="096B95F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址：</w:t>
      </w:r>
      <w:r>
        <w:rPr>
          <w:rFonts w:hint="eastAsia" w:ascii="仿宋" w:hAnsi="仿宋" w:eastAsia="仿宋" w:cs="仿宋"/>
          <w:color w:val="auto"/>
          <w:sz w:val="24"/>
          <w:szCs w:val="24"/>
          <w:lang w:eastAsia="zh-CN"/>
        </w:rPr>
        <w:t>昆明市盘龙区沣源路18号</w:t>
      </w:r>
    </w:p>
    <w:p w14:paraId="3325A04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联系方式：</w:t>
      </w:r>
      <w:bookmarkStart w:id="139" w:name="_Toc28359086"/>
      <w:bookmarkStart w:id="140" w:name="_Toc28359009"/>
      <w:r>
        <w:rPr>
          <w:rFonts w:hint="eastAsia" w:ascii="仿宋" w:hAnsi="仿宋" w:eastAsia="仿宋" w:cs="仿宋"/>
          <w:color w:val="auto"/>
          <w:sz w:val="24"/>
          <w:szCs w:val="24"/>
          <w:lang w:val="en-US" w:eastAsia="zh-CN"/>
        </w:rPr>
        <w:t>王老师</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13518715223</w:t>
      </w:r>
    </w:p>
    <w:p w14:paraId="66E57F35">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2.采购代理机构信息</w:t>
      </w:r>
      <w:bookmarkEnd w:id="139"/>
      <w:bookmarkEnd w:id="140"/>
    </w:p>
    <w:p w14:paraId="794A054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rPr>
      </w:pPr>
      <w:bookmarkStart w:id="141" w:name="_Toc28359010"/>
      <w:bookmarkStart w:id="142" w:name="_Toc28359087"/>
      <w:r>
        <w:rPr>
          <w:rFonts w:hint="eastAsia" w:ascii="仿宋" w:hAnsi="仿宋" w:eastAsia="仿宋" w:cs="仿宋"/>
          <w:color w:val="auto"/>
          <w:sz w:val="24"/>
          <w:szCs w:val="24"/>
        </w:rPr>
        <w:t>名    称：云南国合建设招标咨询有限公司</w:t>
      </w:r>
    </w:p>
    <w:p w14:paraId="7B0C4A6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　　址：昆明市盘龙区长青路94号现代广场16楼</w:t>
      </w:r>
    </w:p>
    <w:p w14:paraId="71EBFF0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highlight w:val="none"/>
          <w:lang w:eastAsia="zh-CN"/>
        </w:rPr>
        <w:t>蒋立</w:t>
      </w:r>
      <w:r>
        <w:rPr>
          <w:rFonts w:hint="eastAsia" w:ascii="仿宋" w:hAnsi="仿宋" w:eastAsia="仿宋" w:cs="仿宋"/>
          <w:color w:val="auto"/>
          <w:sz w:val="24"/>
          <w:szCs w:val="24"/>
          <w:highlight w:val="none"/>
        </w:rPr>
        <w:t>、夏伟、杨云惠、</w:t>
      </w:r>
      <w:r>
        <w:rPr>
          <w:rFonts w:hint="eastAsia" w:ascii="仿宋" w:hAnsi="仿宋" w:eastAsia="仿宋" w:cs="仿宋"/>
          <w:color w:val="auto"/>
          <w:sz w:val="24"/>
          <w:szCs w:val="24"/>
          <w:highlight w:val="none"/>
          <w:lang w:val="en-US" w:eastAsia="zh-CN"/>
        </w:rPr>
        <w:t>杨云鹏</w:t>
      </w:r>
      <w:r>
        <w:rPr>
          <w:rFonts w:hint="eastAsia" w:ascii="仿宋" w:hAnsi="仿宋" w:eastAsia="仿宋" w:cs="仿宋"/>
          <w:color w:val="auto"/>
          <w:sz w:val="24"/>
          <w:szCs w:val="24"/>
          <w:highlight w:val="none"/>
        </w:rPr>
        <w:t>、张正举</w:t>
      </w:r>
    </w:p>
    <w:p w14:paraId="7BB3E46E">
      <w:pPr>
        <w:keepNext w:val="0"/>
        <w:keepLines w:val="0"/>
        <w:pageBreakBefore w:val="0"/>
        <w:widowControl w:val="0"/>
        <w:kinsoku/>
        <w:wordWrap/>
        <w:overflowPunct/>
        <w:topLinePunct w:val="0"/>
        <w:autoSpaceDE/>
        <w:autoSpaceDN/>
        <w:bidi w:val="0"/>
        <w:adjustRightInd/>
        <w:snapToGrid/>
        <w:spacing w:line="460" w:lineRule="exact"/>
        <w:ind w:firstLine="1680" w:firstLineChars="7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highlight w:val="none"/>
          <w:lang w:eastAsia="zh-CN"/>
        </w:rPr>
        <w:t>15911610293、</w:t>
      </w:r>
      <w:r>
        <w:rPr>
          <w:rFonts w:hint="eastAsia" w:ascii="仿宋" w:hAnsi="仿宋" w:eastAsia="仿宋" w:cs="仿宋"/>
          <w:color w:val="auto"/>
          <w:kern w:val="0"/>
          <w:sz w:val="24"/>
          <w:szCs w:val="24"/>
          <w:highlight w:val="none"/>
        </w:rPr>
        <w:t>0871-63815951</w:t>
      </w:r>
    </w:p>
    <w:p w14:paraId="554DA558">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3.项目联系方式</w:t>
      </w:r>
    </w:p>
    <w:bookmarkEnd w:id="141"/>
    <w:bookmarkEnd w:id="142"/>
    <w:p w14:paraId="395B22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项目联系人：</w:t>
      </w:r>
      <w:r>
        <w:rPr>
          <w:rFonts w:hint="eastAsia" w:ascii="仿宋" w:hAnsi="仿宋" w:eastAsia="仿宋" w:cs="仿宋"/>
          <w:color w:val="auto"/>
          <w:sz w:val="24"/>
          <w:szCs w:val="24"/>
          <w:highlight w:val="none"/>
          <w:lang w:eastAsia="zh-CN"/>
        </w:rPr>
        <w:t>蒋立</w:t>
      </w:r>
      <w:r>
        <w:rPr>
          <w:rFonts w:hint="eastAsia" w:ascii="仿宋" w:hAnsi="仿宋" w:eastAsia="仿宋" w:cs="仿宋"/>
          <w:color w:val="auto"/>
          <w:sz w:val="24"/>
          <w:szCs w:val="24"/>
          <w:highlight w:val="none"/>
        </w:rPr>
        <w:t>、夏伟、杨云惠、</w:t>
      </w:r>
      <w:r>
        <w:rPr>
          <w:rFonts w:hint="eastAsia" w:ascii="仿宋" w:hAnsi="仿宋" w:eastAsia="仿宋" w:cs="仿宋"/>
          <w:color w:val="auto"/>
          <w:sz w:val="24"/>
          <w:szCs w:val="24"/>
          <w:highlight w:val="none"/>
          <w:lang w:val="en-US" w:eastAsia="zh-CN"/>
        </w:rPr>
        <w:t>杨云鹏</w:t>
      </w:r>
      <w:r>
        <w:rPr>
          <w:rFonts w:hint="eastAsia" w:ascii="仿宋" w:hAnsi="仿宋" w:eastAsia="仿宋" w:cs="仿宋"/>
          <w:color w:val="auto"/>
          <w:sz w:val="24"/>
          <w:szCs w:val="24"/>
          <w:highlight w:val="none"/>
        </w:rPr>
        <w:t>、张正举</w:t>
      </w:r>
    </w:p>
    <w:p w14:paraId="462583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电　　 话：</w:t>
      </w:r>
      <w:r>
        <w:rPr>
          <w:rFonts w:hint="eastAsia" w:ascii="仿宋" w:hAnsi="仿宋" w:eastAsia="仿宋" w:cs="仿宋"/>
          <w:color w:val="auto"/>
          <w:kern w:val="0"/>
          <w:sz w:val="24"/>
          <w:szCs w:val="24"/>
          <w:highlight w:val="none"/>
          <w:lang w:eastAsia="zh-CN"/>
        </w:rPr>
        <w:t>15911610293、</w:t>
      </w:r>
      <w:r>
        <w:rPr>
          <w:rFonts w:hint="eastAsia" w:ascii="仿宋" w:hAnsi="仿宋" w:eastAsia="仿宋" w:cs="仿宋"/>
          <w:color w:val="auto"/>
          <w:kern w:val="0"/>
          <w:sz w:val="24"/>
          <w:szCs w:val="24"/>
          <w:highlight w:val="none"/>
        </w:rPr>
        <w:t>0871-63815951</w:t>
      </w:r>
    </w:p>
    <w:p w14:paraId="175B2896">
      <w:pPr>
        <w:spacing w:line="360" w:lineRule="auto"/>
        <w:rPr>
          <w:rFonts w:hint="eastAsia" w:ascii="仿宋" w:hAnsi="仿宋" w:eastAsia="仿宋" w:cs="仿宋"/>
          <w:iCs/>
          <w:color w:val="auto"/>
          <w:sz w:val="44"/>
          <w:szCs w:val="44"/>
        </w:rPr>
      </w:pPr>
      <w:r>
        <w:rPr>
          <w:rFonts w:hint="eastAsia" w:ascii="仿宋" w:hAnsi="仿宋" w:eastAsia="仿宋" w:cs="仿宋"/>
          <w:iCs/>
          <w:color w:val="auto"/>
          <w:sz w:val="44"/>
          <w:szCs w:val="44"/>
        </w:rPr>
        <w:br w:type="page"/>
      </w:r>
    </w:p>
    <w:p w14:paraId="426B6818">
      <w:pPr>
        <w:pStyle w:val="2"/>
        <w:numPr>
          <w:ilvl w:val="0"/>
          <w:numId w:val="0"/>
        </w:numPr>
        <w:snapToGrid w:val="0"/>
        <w:spacing w:line="360" w:lineRule="auto"/>
        <w:ind w:left="720" w:hanging="720"/>
        <w:jc w:val="center"/>
        <w:rPr>
          <w:rFonts w:hint="eastAsia" w:ascii="仿宋" w:hAnsi="仿宋" w:eastAsia="仿宋" w:cs="仿宋"/>
          <w:iCs/>
          <w:color w:val="auto"/>
          <w:sz w:val="44"/>
          <w:szCs w:val="44"/>
        </w:rPr>
      </w:pPr>
      <w:bookmarkStart w:id="143" w:name="_Toc32392"/>
      <w:bookmarkStart w:id="144" w:name="_Toc10542"/>
      <w:bookmarkStart w:id="145" w:name="_Toc62031134"/>
      <w:bookmarkStart w:id="146" w:name="_Toc17386"/>
      <w:r>
        <w:rPr>
          <w:rFonts w:hint="eastAsia" w:ascii="仿宋" w:hAnsi="仿宋" w:eastAsia="仿宋" w:cs="仿宋"/>
          <w:iCs/>
          <w:color w:val="auto"/>
          <w:sz w:val="44"/>
          <w:szCs w:val="44"/>
        </w:rPr>
        <w:t xml:space="preserve">第二章 </w:t>
      </w:r>
      <w:bookmarkStart w:id="147" w:name="_Toc8678"/>
      <w:r>
        <w:rPr>
          <w:rFonts w:hint="eastAsia" w:ascii="仿宋" w:hAnsi="仿宋" w:eastAsia="仿宋" w:cs="仿宋"/>
          <w:iCs/>
          <w:color w:val="auto"/>
          <w:sz w:val="44"/>
          <w:szCs w:val="44"/>
        </w:rPr>
        <w:t>投标人须知</w:t>
      </w:r>
      <w:bookmarkEnd w:id="143"/>
      <w:bookmarkEnd w:id="144"/>
      <w:bookmarkEnd w:id="145"/>
      <w:bookmarkEnd w:id="146"/>
      <w:bookmarkEnd w:id="147"/>
    </w:p>
    <w:p w14:paraId="787C37C7">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color w:val="auto"/>
          <w:sz w:val="28"/>
          <w:szCs w:val="32"/>
        </w:rPr>
      </w:pPr>
      <w:bookmarkStart w:id="148" w:name="_Toc28299"/>
      <w:bookmarkStart w:id="149" w:name="_Toc1762"/>
      <w:bookmarkStart w:id="150" w:name="_Toc18520"/>
      <w:bookmarkStart w:id="151" w:name="_Toc62031135"/>
      <w:bookmarkStart w:id="152" w:name="_Toc28981"/>
      <w:r>
        <w:rPr>
          <w:rFonts w:hint="eastAsia" w:ascii="仿宋" w:hAnsi="仿宋" w:eastAsia="仿宋" w:cs="仿宋"/>
          <w:color w:val="auto"/>
          <w:sz w:val="28"/>
          <w:szCs w:val="32"/>
        </w:rPr>
        <w:t>投标人须知前附表</w:t>
      </w:r>
      <w:bookmarkEnd w:id="148"/>
      <w:bookmarkEnd w:id="149"/>
      <w:bookmarkEnd w:id="150"/>
      <w:bookmarkEnd w:id="151"/>
      <w:bookmarkEnd w:id="152"/>
    </w:p>
    <w:tbl>
      <w:tblPr>
        <w:tblStyle w:val="24"/>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367"/>
        <w:gridCol w:w="7862"/>
      </w:tblGrid>
      <w:tr w14:paraId="268E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7FC32B15">
            <w:pPr>
              <w:pStyle w:val="14"/>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条款号</w:t>
            </w:r>
          </w:p>
        </w:tc>
        <w:tc>
          <w:tcPr>
            <w:tcW w:w="1367" w:type="dxa"/>
            <w:vAlign w:val="center"/>
          </w:tcPr>
          <w:p w14:paraId="1F3B1BA8">
            <w:pPr>
              <w:pStyle w:val="14"/>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条 款 名 称</w:t>
            </w:r>
          </w:p>
        </w:tc>
        <w:tc>
          <w:tcPr>
            <w:tcW w:w="7862" w:type="dxa"/>
            <w:vAlign w:val="center"/>
          </w:tcPr>
          <w:p w14:paraId="11865F66">
            <w:pPr>
              <w:pStyle w:val="14"/>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rPr>
              <w:t>编 列 内 容</w:t>
            </w:r>
          </w:p>
        </w:tc>
      </w:tr>
      <w:tr w14:paraId="1F65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40" w:hRule="atLeast"/>
          <w:jc w:val="center"/>
        </w:trPr>
        <w:tc>
          <w:tcPr>
            <w:tcW w:w="973" w:type="dxa"/>
            <w:vMerge w:val="restart"/>
            <w:vAlign w:val="center"/>
          </w:tcPr>
          <w:p w14:paraId="0B2A21E5">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1.2</w:t>
            </w:r>
          </w:p>
        </w:tc>
        <w:tc>
          <w:tcPr>
            <w:tcW w:w="1367" w:type="dxa"/>
            <w:vAlign w:val="center"/>
          </w:tcPr>
          <w:p w14:paraId="48E059A5">
            <w:pPr>
              <w:pStyle w:val="14"/>
              <w:spacing w:line="360" w:lineRule="auto"/>
              <w:rPr>
                <w:rFonts w:hint="eastAsia" w:ascii="仿宋" w:hAnsi="仿宋" w:eastAsia="仿宋" w:cs="仿宋"/>
                <w:color w:val="auto"/>
                <w:szCs w:val="21"/>
                <w:u w:val="single"/>
              </w:rPr>
            </w:pPr>
            <w:r>
              <w:rPr>
                <w:rFonts w:hint="eastAsia" w:ascii="仿宋" w:hAnsi="仿宋" w:eastAsia="仿宋" w:cs="仿宋"/>
                <w:bCs/>
                <w:color w:val="auto"/>
                <w:szCs w:val="21"/>
              </w:rPr>
              <w:t>采购人</w:t>
            </w:r>
          </w:p>
        </w:tc>
        <w:tc>
          <w:tcPr>
            <w:tcW w:w="7862" w:type="dxa"/>
            <w:vAlign w:val="center"/>
          </w:tcPr>
          <w:p w14:paraId="323CC51D">
            <w:pPr>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采购人：</w:t>
            </w:r>
            <w:r>
              <w:rPr>
                <w:rFonts w:hint="eastAsia" w:ascii="仿宋" w:hAnsi="仿宋" w:eastAsia="仿宋" w:cs="仿宋"/>
                <w:color w:val="auto"/>
                <w:szCs w:val="21"/>
                <w:lang w:eastAsia="zh-CN"/>
              </w:rPr>
              <w:t>云南省林业和草原技术推广总站</w:t>
            </w:r>
          </w:p>
          <w:p w14:paraId="1CBB5024">
            <w:pPr>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地  址：</w:t>
            </w:r>
            <w:r>
              <w:rPr>
                <w:rFonts w:hint="eastAsia" w:ascii="仿宋" w:hAnsi="仿宋" w:eastAsia="仿宋" w:cs="仿宋"/>
                <w:color w:val="auto"/>
                <w:szCs w:val="21"/>
                <w:lang w:eastAsia="zh-CN"/>
              </w:rPr>
              <w:t>昆明市盘龙区沣源路18号</w:t>
            </w:r>
          </w:p>
          <w:p w14:paraId="59FCEFE6">
            <w:pPr>
              <w:spacing w:line="360" w:lineRule="auto"/>
              <w:rPr>
                <w:rFonts w:hint="eastAsia" w:ascii="仿宋" w:hAnsi="仿宋" w:eastAsia="仿宋" w:cs="仿宋"/>
                <w:color w:val="auto"/>
                <w:szCs w:val="21"/>
              </w:rPr>
            </w:pPr>
            <w:r>
              <w:rPr>
                <w:rFonts w:hint="eastAsia" w:ascii="仿宋" w:hAnsi="仿宋" w:eastAsia="仿宋" w:cs="仿宋"/>
                <w:color w:val="auto"/>
                <w:szCs w:val="21"/>
              </w:rPr>
              <w:t>联系人：</w:t>
            </w:r>
            <w:r>
              <w:rPr>
                <w:rFonts w:hint="eastAsia" w:ascii="仿宋" w:hAnsi="仿宋" w:eastAsia="仿宋" w:cs="仿宋"/>
                <w:color w:val="auto"/>
                <w:szCs w:val="21"/>
                <w:lang w:val="en-US" w:eastAsia="zh-CN"/>
              </w:rPr>
              <w:t>王老师</w:t>
            </w:r>
            <w:r>
              <w:rPr>
                <w:rFonts w:hint="eastAsia" w:ascii="仿宋" w:hAnsi="仿宋" w:eastAsia="仿宋" w:cs="仿宋"/>
                <w:color w:val="auto"/>
                <w:szCs w:val="21"/>
              </w:rPr>
              <w:t xml:space="preserve"> </w:t>
            </w:r>
            <w:r>
              <w:rPr>
                <w:rFonts w:hint="eastAsia" w:ascii="仿宋" w:hAnsi="仿宋" w:eastAsia="仿宋" w:cs="仿宋"/>
                <w:color w:val="auto"/>
                <w:szCs w:val="21"/>
                <w:lang w:val="en-US" w:eastAsia="zh-CN"/>
              </w:rPr>
              <w:t>13518715223</w:t>
            </w:r>
          </w:p>
        </w:tc>
      </w:tr>
      <w:tr w14:paraId="2FE1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208AFE3">
            <w:pPr>
              <w:spacing w:line="360" w:lineRule="auto"/>
              <w:rPr>
                <w:rFonts w:hint="eastAsia" w:ascii="仿宋" w:hAnsi="仿宋" w:eastAsia="仿宋" w:cs="仿宋"/>
                <w:color w:val="auto"/>
                <w:szCs w:val="21"/>
              </w:rPr>
            </w:pPr>
          </w:p>
        </w:tc>
        <w:tc>
          <w:tcPr>
            <w:tcW w:w="1367" w:type="dxa"/>
            <w:vAlign w:val="center"/>
          </w:tcPr>
          <w:p w14:paraId="0A449988">
            <w:pPr>
              <w:pStyle w:val="14"/>
              <w:spacing w:line="360" w:lineRule="auto"/>
              <w:rPr>
                <w:rFonts w:hint="eastAsia" w:ascii="仿宋" w:hAnsi="仿宋" w:eastAsia="仿宋" w:cs="仿宋"/>
                <w:bCs/>
                <w:color w:val="auto"/>
                <w:szCs w:val="21"/>
              </w:rPr>
            </w:pPr>
            <w:r>
              <w:rPr>
                <w:rFonts w:hint="eastAsia" w:ascii="仿宋" w:hAnsi="仿宋" w:eastAsia="仿宋" w:cs="仿宋"/>
                <w:bCs/>
                <w:color w:val="auto"/>
                <w:szCs w:val="21"/>
              </w:rPr>
              <w:t>采购代理机构</w:t>
            </w:r>
          </w:p>
        </w:tc>
        <w:tc>
          <w:tcPr>
            <w:tcW w:w="7862" w:type="dxa"/>
            <w:vAlign w:val="center"/>
          </w:tcPr>
          <w:p w14:paraId="101A5E58">
            <w:pPr>
              <w:spacing w:line="360" w:lineRule="auto"/>
              <w:rPr>
                <w:rFonts w:hint="eastAsia" w:ascii="仿宋" w:hAnsi="仿宋" w:eastAsia="仿宋" w:cs="仿宋"/>
                <w:color w:val="auto"/>
                <w:szCs w:val="21"/>
              </w:rPr>
            </w:pPr>
            <w:r>
              <w:rPr>
                <w:rFonts w:hint="eastAsia" w:ascii="仿宋" w:hAnsi="仿宋" w:eastAsia="仿宋" w:cs="仿宋"/>
                <w:color w:val="auto"/>
                <w:szCs w:val="21"/>
              </w:rPr>
              <w:t>采购代理机构：云南国合建设招标咨询有限公司</w:t>
            </w:r>
          </w:p>
          <w:p w14:paraId="113A8013">
            <w:pPr>
              <w:spacing w:line="360" w:lineRule="auto"/>
              <w:rPr>
                <w:rFonts w:hint="eastAsia" w:ascii="仿宋" w:hAnsi="仿宋" w:eastAsia="仿宋" w:cs="仿宋"/>
                <w:color w:val="auto"/>
                <w:szCs w:val="21"/>
              </w:rPr>
            </w:pPr>
            <w:r>
              <w:rPr>
                <w:rFonts w:hint="eastAsia" w:ascii="仿宋" w:hAnsi="仿宋" w:eastAsia="仿宋" w:cs="仿宋"/>
                <w:color w:val="auto"/>
                <w:szCs w:val="21"/>
              </w:rPr>
              <w:t>地  址：昆明市盘龙区长青路94号现代广场16楼</w:t>
            </w:r>
          </w:p>
          <w:p w14:paraId="6AEB2C2E">
            <w:pPr>
              <w:spacing w:line="360" w:lineRule="auto"/>
              <w:rPr>
                <w:rFonts w:hint="eastAsia" w:ascii="仿宋" w:hAnsi="仿宋" w:eastAsia="仿宋" w:cs="仿宋"/>
                <w:color w:val="auto"/>
                <w:szCs w:val="21"/>
              </w:rPr>
            </w:pPr>
            <w:r>
              <w:rPr>
                <w:rFonts w:hint="eastAsia" w:ascii="仿宋" w:hAnsi="仿宋" w:eastAsia="仿宋" w:cs="仿宋"/>
                <w:color w:val="auto"/>
                <w:szCs w:val="21"/>
              </w:rPr>
              <w:t>联系人：</w:t>
            </w:r>
            <w:r>
              <w:rPr>
                <w:rFonts w:hint="eastAsia" w:ascii="仿宋" w:hAnsi="仿宋" w:eastAsia="仿宋" w:cs="仿宋"/>
                <w:color w:val="auto"/>
                <w:szCs w:val="21"/>
                <w:lang w:eastAsia="zh-CN"/>
              </w:rPr>
              <w:t>蒋立</w:t>
            </w:r>
            <w:r>
              <w:rPr>
                <w:rFonts w:hint="eastAsia" w:ascii="仿宋" w:hAnsi="仿宋" w:eastAsia="仿宋" w:cs="仿宋"/>
                <w:color w:val="auto"/>
                <w:szCs w:val="21"/>
              </w:rPr>
              <w:t>、夏伟、杨云惠、</w:t>
            </w:r>
            <w:r>
              <w:rPr>
                <w:rFonts w:hint="eastAsia" w:ascii="仿宋" w:hAnsi="仿宋" w:eastAsia="仿宋" w:cs="仿宋"/>
                <w:color w:val="auto"/>
                <w:szCs w:val="21"/>
                <w:lang w:val="en-US" w:eastAsia="zh-CN"/>
              </w:rPr>
              <w:t>杨云鹏</w:t>
            </w:r>
            <w:r>
              <w:rPr>
                <w:rFonts w:hint="eastAsia" w:ascii="仿宋" w:hAnsi="仿宋" w:eastAsia="仿宋" w:cs="仿宋"/>
                <w:color w:val="auto"/>
                <w:szCs w:val="21"/>
              </w:rPr>
              <w:t>、张正举</w:t>
            </w:r>
          </w:p>
          <w:p w14:paraId="02E23FF8">
            <w:pPr>
              <w:spacing w:line="360" w:lineRule="auto"/>
              <w:rPr>
                <w:rFonts w:hint="eastAsia" w:ascii="仿宋" w:hAnsi="仿宋" w:eastAsia="仿宋" w:cs="仿宋"/>
                <w:color w:val="auto"/>
                <w:szCs w:val="21"/>
              </w:rPr>
            </w:pPr>
            <w:r>
              <w:rPr>
                <w:rFonts w:hint="eastAsia" w:ascii="仿宋" w:hAnsi="仿宋" w:eastAsia="仿宋" w:cs="仿宋"/>
                <w:color w:val="auto"/>
                <w:szCs w:val="21"/>
              </w:rPr>
              <w:t>联系电话：</w:t>
            </w:r>
            <w:r>
              <w:rPr>
                <w:rFonts w:hint="eastAsia" w:ascii="仿宋" w:hAnsi="仿宋" w:eastAsia="仿宋" w:cs="仿宋"/>
                <w:color w:val="auto"/>
                <w:szCs w:val="21"/>
                <w:lang w:eastAsia="zh-CN"/>
              </w:rPr>
              <w:t>15911610293、</w:t>
            </w:r>
            <w:r>
              <w:rPr>
                <w:rFonts w:hint="eastAsia" w:ascii="仿宋" w:hAnsi="仿宋" w:eastAsia="仿宋" w:cs="仿宋"/>
                <w:color w:val="auto"/>
                <w:szCs w:val="21"/>
              </w:rPr>
              <w:t>0871-63815951</w:t>
            </w:r>
          </w:p>
        </w:tc>
      </w:tr>
      <w:tr w14:paraId="5AC1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7DA3DF31">
            <w:pPr>
              <w:spacing w:line="360" w:lineRule="auto"/>
              <w:rPr>
                <w:rFonts w:hint="eastAsia" w:ascii="仿宋" w:hAnsi="仿宋" w:eastAsia="仿宋" w:cs="仿宋"/>
                <w:color w:val="auto"/>
                <w:szCs w:val="21"/>
              </w:rPr>
            </w:pPr>
          </w:p>
        </w:tc>
        <w:tc>
          <w:tcPr>
            <w:tcW w:w="1367" w:type="dxa"/>
            <w:vAlign w:val="center"/>
          </w:tcPr>
          <w:p w14:paraId="23EE1D28">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项目名称</w:t>
            </w:r>
          </w:p>
        </w:tc>
        <w:tc>
          <w:tcPr>
            <w:tcW w:w="7862" w:type="dxa"/>
            <w:vAlign w:val="center"/>
          </w:tcPr>
          <w:p w14:paraId="2087CA5E">
            <w:pPr>
              <w:spacing w:line="360" w:lineRule="auto"/>
              <w:rPr>
                <w:rFonts w:hint="default" w:ascii="仿宋" w:hAnsi="仿宋" w:eastAsia="仿宋" w:cs="仿宋"/>
                <w:color w:val="auto"/>
                <w:szCs w:val="21"/>
                <w:lang w:val="en-US" w:eastAsia="zh-CN"/>
              </w:rPr>
            </w:pPr>
            <w:r>
              <w:rPr>
                <w:rFonts w:hint="eastAsia" w:ascii="仿宋" w:hAnsi="仿宋" w:eastAsia="仿宋" w:cs="仿宋"/>
                <w:color w:val="auto"/>
                <w:szCs w:val="21"/>
                <w:lang w:eastAsia="zh-CN"/>
              </w:rPr>
              <w:t>云南省林业和草原技术推广总站林下滇黄精栽培技术推广示范项目肥料、药品采购项目</w:t>
            </w:r>
          </w:p>
        </w:tc>
      </w:tr>
      <w:tr w14:paraId="16B28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01815BF8">
            <w:pPr>
              <w:spacing w:line="360" w:lineRule="auto"/>
              <w:rPr>
                <w:rFonts w:hint="eastAsia" w:ascii="仿宋" w:hAnsi="仿宋" w:eastAsia="仿宋" w:cs="仿宋"/>
                <w:color w:val="auto"/>
                <w:szCs w:val="21"/>
              </w:rPr>
            </w:pPr>
          </w:p>
        </w:tc>
        <w:tc>
          <w:tcPr>
            <w:tcW w:w="1367" w:type="dxa"/>
            <w:vAlign w:val="center"/>
          </w:tcPr>
          <w:p w14:paraId="2A2CD734">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项目编号</w:t>
            </w:r>
          </w:p>
        </w:tc>
        <w:tc>
          <w:tcPr>
            <w:tcW w:w="7862" w:type="dxa"/>
            <w:vAlign w:val="center"/>
          </w:tcPr>
          <w:p w14:paraId="0DFD9AF1">
            <w:pPr>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lang w:eastAsia="zh-CN"/>
              </w:rPr>
              <w:t>YNZC2026-G1-00374-YNGH-0032</w:t>
            </w:r>
          </w:p>
        </w:tc>
      </w:tr>
      <w:tr w14:paraId="0CF3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0" w:hRule="atLeast"/>
          <w:jc w:val="center"/>
        </w:trPr>
        <w:tc>
          <w:tcPr>
            <w:tcW w:w="973" w:type="dxa"/>
            <w:vAlign w:val="center"/>
          </w:tcPr>
          <w:p w14:paraId="393D6D68">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2.1</w:t>
            </w:r>
          </w:p>
        </w:tc>
        <w:tc>
          <w:tcPr>
            <w:tcW w:w="1367" w:type="dxa"/>
            <w:vAlign w:val="center"/>
          </w:tcPr>
          <w:p w14:paraId="12A57D05">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资金来源</w:t>
            </w:r>
          </w:p>
        </w:tc>
        <w:tc>
          <w:tcPr>
            <w:tcW w:w="7862" w:type="dxa"/>
            <w:vAlign w:val="center"/>
          </w:tcPr>
          <w:p w14:paraId="6C340D3A">
            <w:pPr>
              <w:spacing w:line="360" w:lineRule="auto"/>
              <w:rPr>
                <w:rFonts w:hint="eastAsia" w:ascii="仿宋" w:hAnsi="仿宋" w:eastAsia="仿宋" w:cs="仿宋"/>
                <w:color w:val="auto"/>
                <w:szCs w:val="21"/>
              </w:rPr>
            </w:pPr>
            <w:r>
              <w:rPr>
                <w:rFonts w:hint="eastAsia" w:ascii="仿宋" w:hAnsi="仿宋" w:eastAsia="仿宋" w:cs="仿宋"/>
                <w:color w:val="auto"/>
                <w:szCs w:val="21"/>
              </w:rPr>
              <w:t>政府采购资金，已落实</w:t>
            </w:r>
          </w:p>
        </w:tc>
      </w:tr>
      <w:tr w14:paraId="7AE8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2253D77">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3.1</w:t>
            </w:r>
          </w:p>
        </w:tc>
        <w:tc>
          <w:tcPr>
            <w:tcW w:w="1367" w:type="dxa"/>
            <w:vAlign w:val="center"/>
          </w:tcPr>
          <w:p w14:paraId="51E1B554">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采购内容</w:t>
            </w:r>
          </w:p>
        </w:tc>
        <w:tc>
          <w:tcPr>
            <w:tcW w:w="7862" w:type="dxa"/>
            <w:vAlign w:val="center"/>
          </w:tcPr>
          <w:p w14:paraId="586CC0F8">
            <w:pPr>
              <w:spacing w:line="360" w:lineRule="auto"/>
              <w:rPr>
                <w:rFonts w:hint="eastAsia" w:ascii="仿宋" w:hAnsi="仿宋" w:eastAsia="仿宋" w:cs="仿宋"/>
                <w:color w:val="auto"/>
                <w:szCs w:val="21"/>
              </w:rPr>
            </w:pPr>
            <w:r>
              <w:rPr>
                <w:rFonts w:hint="eastAsia" w:ascii="仿宋" w:hAnsi="仿宋" w:eastAsia="仿宋" w:cs="仿宋"/>
                <w:color w:val="auto"/>
                <w:szCs w:val="21"/>
                <w:lang w:val="zh-CN" w:eastAsia="zh-CN"/>
              </w:rPr>
              <w:t>云南省林业和草原技术推广总站林下滇黄精栽培技术推广示范项目肥料、药品采购项目</w:t>
            </w:r>
            <w:r>
              <w:rPr>
                <w:rFonts w:hint="eastAsia" w:ascii="仿宋" w:hAnsi="仿宋" w:eastAsia="仿宋" w:cs="仿宋"/>
                <w:color w:val="auto"/>
                <w:szCs w:val="21"/>
                <w:lang w:val="en-US" w:eastAsia="zh-CN"/>
              </w:rPr>
              <w:t>1批，详见第六章《采购需求》的具体内容</w:t>
            </w:r>
            <w:r>
              <w:rPr>
                <w:rFonts w:hint="eastAsia" w:ascii="仿宋" w:hAnsi="仿宋" w:eastAsia="仿宋" w:cs="仿宋"/>
                <w:color w:val="auto"/>
                <w:szCs w:val="21"/>
                <w:lang w:val="zh-CN"/>
              </w:rPr>
              <w:t>。</w:t>
            </w:r>
          </w:p>
        </w:tc>
      </w:tr>
      <w:tr w14:paraId="712C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6A2EEF4">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3.2</w:t>
            </w:r>
          </w:p>
        </w:tc>
        <w:tc>
          <w:tcPr>
            <w:tcW w:w="1367" w:type="dxa"/>
            <w:vAlign w:val="center"/>
          </w:tcPr>
          <w:p w14:paraId="26CC8F25">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合同履行期限</w:t>
            </w:r>
          </w:p>
        </w:tc>
        <w:tc>
          <w:tcPr>
            <w:tcW w:w="7862" w:type="dxa"/>
            <w:vAlign w:val="center"/>
          </w:tcPr>
          <w:p w14:paraId="6039D0C5">
            <w:pPr>
              <w:spacing w:line="360" w:lineRule="auto"/>
              <w:rPr>
                <w:rFonts w:hint="eastAsia" w:ascii="仿宋" w:hAnsi="仿宋" w:eastAsia="仿宋" w:cs="仿宋"/>
                <w:color w:val="auto"/>
                <w:szCs w:val="21"/>
              </w:rPr>
            </w:pPr>
            <w:r>
              <w:rPr>
                <w:rFonts w:hint="eastAsia" w:ascii="仿宋" w:hAnsi="仿宋" w:eastAsia="仿宋" w:cs="仿宋"/>
                <w:color w:val="auto"/>
                <w:szCs w:val="21"/>
                <w:lang w:eastAsia="zh-CN"/>
              </w:rPr>
              <w:t>自合同签订之日起10日历天</w:t>
            </w:r>
            <w:r>
              <w:rPr>
                <w:rFonts w:hint="eastAsia" w:ascii="仿宋" w:hAnsi="仿宋" w:eastAsia="仿宋" w:cs="仿宋"/>
                <w:color w:val="auto"/>
                <w:szCs w:val="21"/>
              </w:rPr>
              <w:t>，具体按采购人需要量配送。</w:t>
            </w:r>
          </w:p>
        </w:tc>
      </w:tr>
      <w:tr w14:paraId="13D71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42F70D">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4.1</w:t>
            </w:r>
          </w:p>
        </w:tc>
        <w:tc>
          <w:tcPr>
            <w:tcW w:w="1367" w:type="dxa"/>
            <w:vAlign w:val="center"/>
          </w:tcPr>
          <w:p w14:paraId="1094DF6C">
            <w:pPr>
              <w:pStyle w:val="14"/>
              <w:spacing w:line="360" w:lineRule="auto"/>
              <w:rPr>
                <w:rFonts w:hint="eastAsia" w:ascii="仿宋" w:hAnsi="仿宋" w:eastAsia="仿宋" w:cs="仿宋"/>
                <w:color w:val="auto"/>
                <w:szCs w:val="21"/>
              </w:rPr>
            </w:pPr>
            <w:r>
              <w:rPr>
                <w:rFonts w:hint="eastAsia" w:ascii="仿宋" w:hAnsi="仿宋" w:eastAsia="仿宋" w:cs="仿宋"/>
                <w:bCs/>
                <w:color w:val="auto"/>
                <w:szCs w:val="21"/>
              </w:rPr>
              <w:t>★</w:t>
            </w:r>
            <w:r>
              <w:rPr>
                <w:rFonts w:hint="eastAsia" w:ascii="仿宋" w:hAnsi="仿宋" w:eastAsia="仿宋" w:cs="仿宋"/>
                <w:color w:val="auto"/>
                <w:szCs w:val="21"/>
              </w:rPr>
              <w:t>资格条件</w:t>
            </w:r>
          </w:p>
        </w:tc>
        <w:tc>
          <w:tcPr>
            <w:tcW w:w="7862" w:type="dxa"/>
            <w:vAlign w:val="center"/>
          </w:tcPr>
          <w:p w14:paraId="2859D503">
            <w:pPr>
              <w:spacing w:line="36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一、</w:t>
            </w:r>
            <w:r>
              <w:rPr>
                <w:rFonts w:hint="eastAsia" w:ascii="仿宋" w:hAnsi="仿宋" w:eastAsia="仿宋" w:cs="仿宋"/>
                <w:color w:val="auto"/>
                <w:szCs w:val="21"/>
              </w:rPr>
              <w:t>投标人应满足《中华人民共和国政府采购法》第二十二条规定：</w:t>
            </w:r>
          </w:p>
          <w:p w14:paraId="26AA41B6">
            <w:pPr>
              <w:spacing w:line="360" w:lineRule="auto"/>
              <w:rPr>
                <w:rFonts w:hint="eastAsia" w:ascii="仿宋" w:hAnsi="仿宋" w:eastAsia="仿宋" w:cs="仿宋"/>
                <w:color w:val="auto"/>
                <w:szCs w:val="21"/>
              </w:rPr>
            </w:pPr>
            <w:r>
              <w:rPr>
                <w:rFonts w:hint="eastAsia" w:ascii="仿宋" w:hAnsi="仿宋" w:eastAsia="仿宋" w:cs="仿宋"/>
                <w:color w:val="auto"/>
                <w:szCs w:val="21"/>
              </w:rPr>
              <w:t>（1）具有独立承担民事责任的能力：</w:t>
            </w:r>
            <w:r>
              <w:rPr>
                <w:rFonts w:hint="eastAsia" w:ascii="仿宋" w:hAnsi="仿宋" w:eastAsia="仿宋" w:cs="仿宋"/>
                <w:color w:val="auto"/>
                <w:szCs w:val="21"/>
                <w:lang w:eastAsia="zh-CN"/>
              </w:rPr>
              <w:t>投标人为法人、其他组织或者自然人，提供有效的营业执照或事业单位法人证书或民办非企业登记证书或执业许可证或社会团体登记证或自然人身份证明</w:t>
            </w:r>
            <w:r>
              <w:rPr>
                <w:rFonts w:hint="eastAsia" w:ascii="仿宋" w:hAnsi="仿宋" w:eastAsia="仿宋" w:cs="仿宋"/>
                <w:color w:val="auto"/>
                <w:szCs w:val="21"/>
              </w:rPr>
              <w:t>；</w:t>
            </w:r>
          </w:p>
          <w:p w14:paraId="79454656">
            <w:pPr>
              <w:spacing w:line="360" w:lineRule="auto"/>
              <w:rPr>
                <w:rFonts w:hint="eastAsia" w:ascii="仿宋" w:hAnsi="仿宋" w:eastAsia="仿宋" w:cs="仿宋"/>
                <w:color w:val="auto"/>
                <w:szCs w:val="21"/>
              </w:rPr>
            </w:pPr>
            <w:r>
              <w:rPr>
                <w:rFonts w:hint="eastAsia" w:ascii="仿宋" w:hAnsi="仿宋" w:eastAsia="仿宋" w:cs="仿宋"/>
                <w:color w:val="auto"/>
                <w:szCs w:val="21"/>
              </w:rPr>
              <w:t>（2）具有良好的商业信誉和健全的财务会计制度：</w:t>
            </w:r>
          </w:p>
          <w:p w14:paraId="46AE24DD">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①在国家企业信用信息公示系统（www.gsxt.gov.cn）中未出现列入严重违法失信企业名单（黑名单），参与本项目的投标人信用查询截止时点：投标文件递交截止当天查询（查询结果以采购人或采购代理机构查询结果为准，并将查询记录留存，投标人无需再提供）；</w:t>
            </w:r>
          </w:p>
          <w:p w14:paraId="24BE4F0E">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②具有健全的财务会计制度：</w:t>
            </w:r>
            <w:r>
              <w:rPr>
                <w:rFonts w:hint="eastAsia" w:ascii="仿宋" w:hAnsi="仿宋" w:eastAsia="仿宋" w:cs="仿宋"/>
                <w:color w:val="auto"/>
                <w:szCs w:val="21"/>
                <w:lang w:eastAsia="zh-CN"/>
              </w:rPr>
              <w:t>提供经第三方审计机构审计的2023至2025年任一年度的财务状况审计报告（</w:t>
            </w:r>
            <w:r>
              <w:rPr>
                <w:rFonts w:hint="eastAsia" w:ascii="仿宋" w:hAnsi="仿宋" w:eastAsia="仿宋" w:cs="仿宋"/>
                <w:color w:val="auto"/>
                <w:szCs w:val="21"/>
                <w:lang w:val="en-US" w:eastAsia="zh-CN"/>
              </w:rPr>
              <w:t>报表至少包括资产负债表、利润表、现金流量表，审计报告须附注册会计师行业统一监管平台验证码</w:t>
            </w:r>
            <w:r>
              <w:rPr>
                <w:rFonts w:hint="eastAsia" w:ascii="仿宋" w:hAnsi="仿宋" w:eastAsia="仿宋" w:cs="仿宋"/>
                <w:color w:val="auto"/>
                <w:szCs w:val="21"/>
                <w:lang w:eastAsia="zh-CN"/>
              </w:rPr>
              <w:t>）或基本开户银行出具的资信证明（成立不满1年的，提供基本开户银行出具的资信证明）</w:t>
            </w:r>
            <w:r>
              <w:rPr>
                <w:rFonts w:hint="eastAsia" w:ascii="仿宋" w:hAnsi="仿宋" w:eastAsia="仿宋" w:cs="仿宋"/>
                <w:color w:val="auto"/>
                <w:szCs w:val="21"/>
              </w:rPr>
              <w:t>；</w:t>
            </w:r>
          </w:p>
          <w:p w14:paraId="1BD0B920">
            <w:pPr>
              <w:spacing w:line="360" w:lineRule="auto"/>
              <w:rPr>
                <w:rFonts w:hint="eastAsia" w:ascii="仿宋" w:hAnsi="仿宋" w:eastAsia="仿宋" w:cs="仿宋"/>
                <w:color w:val="auto"/>
                <w:szCs w:val="21"/>
              </w:rPr>
            </w:pPr>
            <w:r>
              <w:rPr>
                <w:rFonts w:hint="eastAsia" w:ascii="仿宋" w:hAnsi="仿宋" w:eastAsia="仿宋" w:cs="仿宋"/>
                <w:color w:val="auto"/>
                <w:szCs w:val="21"/>
              </w:rPr>
              <w:t>（3）具有履行合同所必需的设备和专业技术能力：提供相关证明材料或书面声明；</w:t>
            </w:r>
          </w:p>
          <w:p w14:paraId="573418E0">
            <w:pPr>
              <w:spacing w:line="360" w:lineRule="auto"/>
              <w:rPr>
                <w:rFonts w:hint="eastAsia" w:ascii="仿宋" w:hAnsi="仿宋" w:eastAsia="仿宋" w:cs="仿宋"/>
                <w:color w:val="auto"/>
                <w:szCs w:val="21"/>
              </w:rPr>
            </w:pPr>
            <w:r>
              <w:rPr>
                <w:rFonts w:hint="eastAsia" w:ascii="仿宋" w:hAnsi="仿宋" w:eastAsia="仿宋" w:cs="仿宋"/>
                <w:color w:val="auto"/>
                <w:szCs w:val="21"/>
              </w:rPr>
              <w:t>（4）具有依法缴纳税收和社会保障资金的良好记录：提供</w:t>
            </w:r>
            <w:r>
              <w:rPr>
                <w:rFonts w:hint="eastAsia" w:ascii="仿宋" w:hAnsi="仿宋" w:eastAsia="仿宋" w:cs="仿宋"/>
                <w:color w:val="auto"/>
                <w:szCs w:val="21"/>
                <w:lang w:eastAsia="zh-CN"/>
              </w:rPr>
              <w:t>2025年01月</w:t>
            </w:r>
            <w:r>
              <w:rPr>
                <w:rFonts w:hint="eastAsia" w:ascii="仿宋" w:hAnsi="仿宋" w:eastAsia="仿宋" w:cs="仿宋"/>
                <w:color w:val="auto"/>
                <w:szCs w:val="21"/>
              </w:rPr>
              <w:t>至今任意2个月依法缴纳税收和缴纳社会保障资金的证明（成立未满2个月的提供成立以来的税收和社会保障资金缴纳凭证或相关情况说明；依法免税或不需要缴纳社会保障资金的，应提供相应文件证明其依法免税或不需要缴纳社会保障资金）</w:t>
            </w:r>
          </w:p>
          <w:p w14:paraId="0C6E69EF">
            <w:pPr>
              <w:spacing w:line="360" w:lineRule="auto"/>
              <w:rPr>
                <w:rFonts w:hint="eastAsia" w:ascii="仿宋" w:hAnsi="仿宋" w:eastAsia="仿宋" w:cs="仿宋"/>
                <w:color w:val="auto"/>
                <w:szCs w:val="21"/>
              </w:rPr>
            </w:pPr>
            <w:r>
              <w:rPr>
                <w:rFonts w:hint="eastAsia" w:ascii="仿宋" w:hAnsi="仿宋" w:eastAsia="仿宋" w:cs="仿宋"/>
                <w:color w:val="auto"/>
                <w:szCs w:val="21"/>
              </w:rPr>
              <w:t>（5）参加政府采购活动前三年内，在经营活动中没有重大违法记录，提供参加本次政府采购活动前三年内在经营活动中没有重大违法记录的书面声明；</w:t>
            </w:r>
          </w:p>
          <w:p w14:paraId="48DB4320">
            <w:pPr>
              <w:spacing w:line="360" w:lineRule="auto"/>
              <w:rPr>
                <w:rFonts w:hint="eastAsia" w:ascii="仿宋" w:hAnsi="仿宋" w:eastAsia="仿宋" w:cs="仿宋"/>
                <w:color w:val="auto"/>
                <w:szCs w:val="21"/>
              </w:rPr>
            </w:pPr>
            <w:r>
              <w:rPr>
                <w:rFonts w:hint="eastAsia" w:ascii="仿宋" w:hAnsi="仿宋" w:eastAsia="仿宋" w:cs="仿宋"/>
                <w:color w:val="auto"/>
                <w:szCs w:val="21"/>
              </w:rPr>
              <w:t>（6）法律、行政法规规定的其他条件。</w:t>
            </w:r>
          </w:p>
          <w:p w14:paraId="17CEB9CE">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或采购代理机构查询结果为准，并将查询记录留存，投标人无需再提供）；</w:t>
            </w:r>
          </w:p>
          <w:p w14:paraId="21CAFA5A">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②本次招标不接受联合体投标：提供承诺或书面声明；</w:t>
            </w:r>
          </w:p>
          <w:p w14:paraId="431105EC">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③不存在《中华人民共和国政府采购法实施条例》第十八条规定情形：即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34265AE1">
            <w:pPr>
              <w:spacing w:line="360" w:lineRule="auto"/>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二、本项目为专门面向中小企业采购项目，提供中小企业声明函。</w:t>
            </w:r>
          </w:p>
        </w:tc>
      </w:tr>
      <w:tr w14:paraId="4A4D0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72BC5F3">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4.2</w:t>
            </w:r>
          </w:p>
        </w:tc>
        <w:tc>
          <w:tcPr>
            <w:tcW w:w="1367" w:type="dxa"/>
            <w:vAlign w:val="center"/>
          </w:tcPr>
          <w:p w14:paraId="12B1BC4E">
            <w:pPr>
              <w:pStyle w:val="14"/>
              <w:spacing w:line="360" w:lineRule="auto"/>
              <w:rPr>
                <w:rFonts w:hint="eastAsia" w:ascii="仿宋" w:hAnsi="仿宋" w:eastAsia="仿宋" w:cs="仿宋"/>
                <w:color w:val="auto"/>
                <w:szCs w:val="21"/>
              </w:rPr>
            </w:pPr>
            <w:r>
              <w:rPr>
                <w:rFonts w:hint="eastAsia" w:ascii="仿宋" w:hAnsi="仿宋" w:eastAsia="仿宋" w:cs="仿宋"/>
                <w:bCs/>
                <w:color w:val="auto"/>
                <w:szCs w:val="21"/>
              </w:rPr>
              <w:t>★本项目的特定资格要求</w:t>
            </w:r>
          </w:p>
        </w:tc>
        <w:tc>
          <w:tcPr>
            <w:tcW w:w="7862" w:type="dxa"/>
            <w:vAlign w:val="center"/>
          </w:tcPr>
          <w:p w14:paraId="1FF98D37">
            <w:pPr>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lang w:eastAsia="zh-CN"/>
              </w:rPr>
              <w:t>投标人具有有效期内的《农药经营许可证》</w:t>
            </w:r>
          </w:p>
        </w:tc>
      </w:tr>
      <w:tr w14:paraId="13F2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30A07A0">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8.1</w:t>
            </w:r>
          </w:p>
        </w:tc>
        <w:tc>
          <w:tcPr>
            <w:tcW w:w="1367" w:type="dxa"/>
            <w:vAlign w:val="center"/>
          </w:tcPr>
          <w:p w14:paraId="179C99F0">
            <w:pPr>
              <w:spacing w:line="360" w:lineRule="auto"/>
              <w:rPr>
                <w:rFonts w:hint="eastAsia" w:ascii="仿宋" w:hAnsi="仿宋" w:eastAsia="仿宋" w:cs="仿宋"/>
                <w:color w:val="auto"/>
                <w:szCs w:val="21"/>
              </w:rPr>
            </w:pPr>
            <w:r>
              <w:rPr>
                <w:rFonts w:hint="eastAsia" w:ascii="仿宋" w:hAnsi="仿宋" w:eastAsia="仿宋" w:cs="仿宋"/>
                <w:color w:val="auto"/>
                <w:szCs w:val="21"/>
              </w:rPr>
              <w:t>招标文件澄清截止时间</w:t>
            </w:r>
          </w:p>
        </w:tc>
        <w:tc>
          <w:tcPr>
            <w:tcW w:w="7862" w:type="dxa"/>
            <w:vAlign w:val="center"/>
          </w:tcPr>
          <w:p w14:paraId="2F9FEB88">
            <w:pPr>
              <w:spacing w:line="360" w:lineRule="auto"/>
              <w:rPr>
                <w:rFonts w:hint="eastAsia" w:ascii="仿宋" w:hAnsi="仿宋" w:eastAsia="仿宋" w:cs="仿宋"/>
                <w:color w:val="auto"/>
                <w:szCs w:val="21"/>
              </w:rPr>
            </w:pPr>
            <w:r>
              <w:rPr>
                <w:rFonts w:hint="eastAsia" w:ascii="仿宋" w:hAnsi="仿宋" w:eastAsia="仿宋" w:cs="仿宋"/>
                <w:color w:val="auto"/>
                <w:szCs w:val="21"/>
              </w:rPr>
              <w:t>提交投标文件的截止日期15日前</w:t>
            </w:r>
          </w:p>
        </w:tc>
      </w:tr>
      <w:tr w14:paraId="14B9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099D736">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8.3</w:t>
            </w:r>
          </w:p>
        </w:tc>
        <w:tc>
          <w:tcPr>
            <w:tcW w:w="1367" w:type="dxa"/>
            <w:vAlign w:val="center"/>
          </w:tcPr>
          <w:p w14:paraId="35E718C3">
            <w:pPr>
              <w:spacing w:line="360" w:lineRule="auto"/>
              <w:rPr>
                <w:rFonts w:hint="eastAsia" w:ascii="仿宋" w:hAnsi="仿宋" w:eastAsia="仿宋" w:cs="仿宋"/>
                <w:color w:val="auto"/>
                <w:szCs w:val="21"/>
              </w:rPr>
            </w:pPr>
            <w:r>
              <w:rPr>
                <w:rFonts w:hint="eastAsia" w:ascii="仿宋" w:hAnsi="仿宋" w:eastAsia="仿宋" w:cs="仿宋"/>
                <w:color w:val="auto"/>
                <w:szCs w:val="21"/>
              </w:rPr>
              <w:t>招标文件澄清联系方式</w:t>
            </w:r>
          </w:p>
        </w:tc>
        <w:tc>
          <w:tcPr>
            <w:tcW w:w="7862" w:type="dxa"/>
            <w:vAlign w:val="center"/>
          </w:tcPr>
          <w:p w14:paraId="771CB735">
            <w:pPr>
              <w:spacing w:line="360" w:lineRule="auto"/>
              <w:rPr>
                <w:rFonts w:hint="eastAsia" w:ascii="仿宋" w:hAnsi="仿宋" w:eastAsia="仿宋" w:cs="仿宋"/>
                <w:color w:val="auto"/>
                <w:szCs w:val="21"/>
              </w:rPr>
            </w:pPr>
            <w:r>
              <w:rPr>
                <w:rFonts w:hint="eastAsia" w:ascii="仿宋" w:hAnsi="仿宋" w:eastAsia="仿宋" w:cs="仿宋"/>
                <w:color w:val="auto"/>
                <w:szCs w:val="21"/>
              </w:rPr>
              <w:t>澄清联系人：</w:t>
            </w:r>
            <w:r>
              <w:rPr>
                <w:rFonts w:hint="eastAsia" w:ascii="仿宋" w:hAnsi="仿宋" w:eastAsia="仿宋" w:cs="仿宋"/>
                <w:color w:val="auto"/>
                <w:szCs w:val="21"/>
                <w:lang w:eastAsia="zh-CN"/>
              </w:rPr>
              <w:t>蒋立</w:t>
            </w:r>
          </w:p>
          <w:p w14:paraId="413348B0">
            <w:pPr>
              <w:spacing w:line="360" w:lineRule="auto"/>
              <w:rPr>
                <w:rFonts w:hint="eastAsia" w:ascii="仿宋" w:hAnsi="仿宋" w:eastAsia="仿宋" w:cs="仿宋"/>
                <w:color w:val="auto"/>
                <w:szCs w:val="21"/>
              </w:rPr>
            </w:pPr>
            <w:r>
              <w:rPr>
                <w:rFonts w:hint="eastAsia" w:ascii="仿宋" w:hAnsi="仿宋" w:eastAsia="仿宋" w:cs="仿宋"/>
                <w:color w:val="auto"/>
                <w:szCs w:val="21"/>
              </w:rPr>
              <w:t>电话：</w:t>
            </w:r>
            <w:r>
              <w:rPr>
                <w:rFonts w:hint="eastAsia" w:ascii="仿宋" w:hAnsi="仿宋" w:eastAsia="仿宋" w:cs="仿宋"/>
                <w:color w:val="auto"/>
                <w:szCs w:val="21"/>
                <w:lang w:eastAsia="zh-CN"/>
              </w:rPr>
              <w:t>15911610293</w:t>
            </w:r>
            <w:r>
              <w:rPr>
                <w:rFonts w:hint="eastAsia" w:ascii="仿宋" w:hAnsi="仿宋" w:eastAsia="仿宋" w:cs="仿宋"/>
                <w:color w:val="auto"/>
                <w:szCs w:val="21"/>
              </w:rPr>
              <w:t xml:space="preserve"> 传真：0871-63815951</w:t>
            </w:r>
          </w:p>
        </w:tc>
      </w:tr>
      <w:tr w14:paraId="3D70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EF0EFF9">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10.3</w:t>
            </w:r>
          </w:p>
        </w:tc>
        <w:tc>
          <w:tcPr>
            <w:tcW w:w="1367" w:type="dxa"/>
            <w:vAlign w:val="center"/>
          </w:tcPr>
          <w:p w14:paraId="1DE2C4BD">
            <w:pPr>
              <w:autoSpaceDE w:val="0"/>
              <w:autoSpaceDN w:val="0"/>
              <w:snapToGrid w:val="0"/>
              <w:spacing w:line="360" w:lineRule="auto"/>
              <w:textAlignment w:val="bottom"/>
              <w:rPr>
                <w:rFonts w:hint="eastAsia" w:ascii="仿宋" w:hAnsi="仿宋" w:eastAsia="仿宋" w:cs="仿宋"/>
                <w:color w:val="auto"/>
              </w:rPr>
            </w:pPr>
            <w:r>
              <w:rPr>
                <w:rFonts w:hint="eastAsia" w:ascii="仿宋" w:hAnsi="仿宋" w:eastAsia="仿宋" w:cs="仿宋"/>
                <w:color w:val="auto"/>
              </w:rPr>
              <w:t>实质性要求和条件</w:t>
            </w:r>
          </w:p>
        </w:tc>
        <w:tc>
          <w:tcPr>
            <w:tcW w:w="7862" w:type="dxa"/>
            <w:vAlign w:val="center"/>
          </w:tcPr>
          <w:p w14:paraId="743F6039">
            <w:pPr>
              <w:autoSpaceDE w:val="0"/>
              <w:autoSpaceDN w:val="0"/>
              <w:snapToGrid w:val="0"/>
              <w:spacing w:line="360" w:lineRule="auto"/>
              <w:textAlignment w:val="bottom"/>
              <w:rPr>
                <w:rFonts w:hint="eastAsia" w:ascii="仿宋" w:hAnsi="仿宋" w:eastAsia="仿宋" w:cs="仿宋"/>
                <w:b/>
                <w:bCs/>
                <w:color w:val="auto"/>
              </w:rPr>
            </w:pPr>
            <w:r>
              <w:rPr>
                <w:rFonts w:hint="eastAsia" w:ascii="仿宋" w:hAnsi="仿宋" w:eastAsia="仿宋" w:cs="仿宋"/>
                <w:color w:val="auto"/>
              </w:rPr>
              <w:t>第四章“评标办法”符合性评审标准规定的内容及本招标文件中标注★号的其他条款为实质性要求和条件，不满足任何一条将导致投标无效。请各投标人仔细阅读符合性评审标准和★号条款。</w:t>
            </w:r>
          </w:p>
        </w:tc>
      </w:tr>
      <w:tr w14:paraId="41DF6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68F08FA">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16.1</w:t>
            </w:r>
          </w:p>
        </w:tc>
        <w:tc>
          <w:tcPr>
            <w:tcW w:w="1367" w:type="dxa"/>
            <w:vAlign w:val="center"/>
          </w:tcPr>
          <w:p w14:paraId="4B44EB68">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投标有效期</w:t>
            </w:r>
          </w:p>
        </w:tc>
        <w:tc>
          <w:tcPr>
            <w:tcW w:w="7862" w:type="dxa"/>
            <w:vAlign w:val="center"/>
          </w:tcPr>
          <w:p w14:paraId="5B3C06C9">
            <w:pPr>
              <w:spacing w:line="360" w:lineRule="auto"/>
              <w:rPr>
                <w:rFonts w:hint="eastAsia" w:ascii="仿宋" w:hAnsi="仿宋" w:eastAsia="仿宋" w:cs="仿宋"/>
                <w:color w:val="auto"/>
                <w:szCs w:val="21"/>
              </w:rPr>
            </w:pPr>
            <w:r>
              <w:rPr>
                <w:rFonts w:hint="eastAsia" w:ascii="仿宋" w:hAnsi="仿宋" w:eastAsia="仿宋" w:cs="仿宋"/>
                <w:color w:val="auto"/>
                <w:szCs w:val="21"/>
              </w:rPr>
              <w:t>投标截止日期后90天</w:t>
            </w:r>
          </w:p>
        </w:tc>
      </w:tr>
      <w:tr w14:paraId="378C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78CD037">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17.1</w:t>
            </w:r>
          </w:p>
        </w:tc>
        <w:tc>
          <w:tcPr>
            <w:tcW w:w="1367" w:type="dxa"/>
            <w:vAlign w:val="center"/>
          </w:tcPr>
          <w:p w14:paraId="6B0AF3E4">
            <w:pPr>
              <w:spacing w:line="360" w:lineRule="auto"/>
              <w:rPr>
                <w:rFonts w:hint="eastAsia" w:ascii="仿宋" w:hAnsi="仿宋" w:eastAsia="仿宋" w:cs="仿宋"/>
                <w:color w:val="auto"/>
                <w:szCs w:val="21"/>
              </w:rPr>
            </w:pPr>
            <w:r>
              <w:rPr>
                <w:rFonts w:hint="eastAsia" w:ascii="仿宋" w:hAnsi="仿宋" w:eastAsia="仿宋" w:cs="仿宋"/>
                <w:color w:val="auto"/>
                <w:kern w:val="0"/>
                <w:szCs w:val="21"/>
              </w:rPr>
              <w:t>投标文件签字及盖章要求</w:t>
            </w:r>
          </w:p>
        </w:tc>
        <w:tc>
          <w:tcPr>
            <w:tcW w:w="7862" w:type="dxa"/>
            <w:vAlign w:val="center"/>
          </w:tcPr>
          <w:p w14:paraId="587CA9C9">
            <w:pPr>
              <w:spacing w:line="360" w:lineRule="auto"/>
              <w:rPr>
                <w:rFonts w:hint="eastAsia" w:ascii="仿宋" w:hAnsi="仿宋" w:eastAsia="仿宋" w:cs="仿宋"/>
                <w:color w:val="auto"/>
                <w:szCs w:val="21"/>
              </w:rPr>
            </w:pPr>
            <w:r>
              <w:rPr>
                <w:rFonts w:hint="eastAsia" w:ascii="仿宋" w:hAnsi="仿宋" w:eastAsia="仿宋" w:cs="仿宋"/>
                <w:color w:val="auto"/>
                <w:szCs w:val="21"/>
              </w:rPr>
              <w:t>按照投标文件格式要求由投标人的法定代表人或其委托代理人签字或盖章。委托代理人签字的，投标文件应附法定代表人签署的授权委托书。</w:t>
            </w:r>
          </w:p>
        </w:tc>
      </w:tr>
      <w:tr w14:paraId="32EA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FF403C1">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17.2</w:t>
            </w:r>
          </w:p>
        </w:tc>
        <w:tc>
          <w:tcPr>
            <w:tcW w:w="1367" w:type="dxa"/>
            <w:vAlign w:val="center"/>
          </w:tcPr>
          <w:p w14:paraId="599528F9">
            <w:pPr>
              <w:spacing w:line="360" w:lineRule="auto"/>
              <w:rPr>
                <w:rFonts w:hint="eastAsia" w:ascii="仿宋" w:hAnsi="仿宋" w:eastAsia="仿宋" w:cs="仿宋"/>
                <w:color w:val="auto"/>
                <w:kern w:val="0"/>
                <w:szCs w:val="21"/>
              </w:rPr>
            </w:pPr>
            <w:r>
              <w:rPr>
                <w:rFonts w:hint="eastAsia" w:ascii="仿宋" w:hAnsi="仿宋" w:eastAsia="仿宋" w:cs="仿宋"/>
                <w:color w:val="auto"/>
                <w:kern w:val="0"/>
                <w:szCs w:val="21"/>
              </w:rPr>
              <w:t>电子投标文件的递交</w:t>
            </w:r>
          </w:p>
        </w:tc>
        <w:tc>
          <w:tcPr>
            <w:tcW w:w="7862" w:type="dxa"/>
            <w:vAlign w:val="center"/>
          </w:tcPr>
          <w:p w14:paraId="3948C56E">
            <w:pPr>
              <w:spacing w:line="360" w:lineRule="auto"/>
              <w:rPr>
                <w:rFonts w:hint="eastAsia" w:ascii="仿宋" w:hAnsi="仿宋" w:eastAsia="仿宋" w:cs="仿宋"/>
                <w:color w:val="auto"/>
                <w:kern w:val="0"/>
                <w:szCs w:val="21"/>
              </w:rPr>
            </w:pPr>
            <w:r>
              <w:rPr>
                <w:rFonts w:hint="eastAsia" w:ascii="仿宋" w:hAnsi="仿宋" w:eastAsia="仿宋" w:cs="仿宋"/>
                <w:color w:val="auto"/>
                <w:kern w:val="0"/>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32F7D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127836A">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18.1</w:t>
            </w:r>
          </w:p>
        </w:tc>
        <w:tc>
          <w:tcPr>
            <w:tcW w:w="1367" w:type="dxa"/>
            <w:vAlign w:val="center"/>
          </w:tcPr>
          <w:p w14:paraId="7B29E013">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投标保证金</w:t>
            </w:r>
          </w:p>
        </w:tc>
        <w:tc>
          <w:tcPr>
            <w:tcW w:w="7862" w:type="dxa"/>
            <w:vAlign w:val="center"/>
          </w:tcPr>
          <w:p w14:paraId="78ADC9BD">
            <w:pPr>
              <w:widowControl/>
              <w:spacing w:line="360" w:lineRule="auto"/>
              <w:jc w:val="left"/>
              <w:rPr>
                <w:rFonts w:hint="eastAsia" w:ascii="仿宋" w:hAnsi="仿宋" w:eastAsia="仿宋" w:cs="仿宋"/>
                <w:color w:val="auto"/>
                <w:szCs w:val="21"/>
                <w:lang w:eastAsia="zh-CN"/>
              </w:rPr>
            </w:pPr>
            <w:r>
              <w:rPr>
                <w:rFonts w:hint="eastAsia" w:ascii="仿宋" w:hAnsi="仿宋" w:eastAsia="仿宋" w:cs="仿宋"/>
                <w:color w:val="auto"/>
                <w:szCs w:val="21"/>
                <w:lang w:val="en-US" w:eastAsia="zh-CN"/>
              </w:rPr>
              <w:t>本项目不收取。</w:t>
            </w:r>
          </w:p>
        </w:tc>
      </w:tr>
      <w:tr w14:paraId="04171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CE248CA">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19</w:t>
            </w:r>
          </w:p>
        </w:tc>
        <w:tc>
          <w:tcPr>
            <w:tcW w:w="1367" w:type="dxa"/>
            <w:vAlign w:val="center"/>
          </w:tcPr>
          <w:p w14:paraId="6C14F247">
            <w:pPr>
              <w:spacing w:line="360" w:lineRule="auto"/>
              <w:rPr>
                <w:rFonts w:hint="eastAsia" w:ascii="仿宋" w:hAnsi="仿宋" w:eastAsia="仿宋" w:cs="仿宋"/>
                <w:color w:val="auto"/>
                <w:szCs w:val="21"/>
              </w:rPr>
            </w:pPr>
            <w:r>
              <w:rPr>
                <w:rFonts w:hint="eastAsia" w:ascii="仿宋" w:hAnsi="仿宋" w:eastAsia="仿宋" w:cs="仿宋"/>
                <w:color w:val="auto"/>
                <w:szCs w:val="21"/>
              </w:rPr>
              <w:t>投标文件的加密</w:t>
            </w:r>
          </w:p>
        </w:tc>
        <w:tc>
          <w:tcPr>
            <w:tcW w:w="7862" w:type="dxa"/>
            <w:vAlign w:val="center"/>
          </w:tcPr>
          <w:p w14:paraId="33924A45">
            <w:pPr>
              <w:spacing w:line="360" w:lineRule="auto"/>
              <w:rPr>
                <w:rFonts w:hint="eastAsia" w:ascii="仿宋" w:hAnsi="仿宋" w:eastAsia="仿宋" w:cs="仿宋"/>
                <w:color w:val="auto"/>
                <w:kern w:val="0"/>
                <w:szCs w:val="21"/>
              </w:rPr>
            </w:pPr>
            <w:r>
              <w:rPr>
                <w:rFonts w:hint="eastAsia" w:ascii="仿宋" w:hAnsi="仿宋" w:eastAsia="仿宋" w:cs="仿宋"/>
                <w:color w:val="auto"/>
                <w:szCs w:val="21"/>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1F69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673F4CB">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20.1</w:t>
            </w:r>
          </w:p>
        </w:tc>
        <w:tc>
          <w:tcPr>
            <w:tcW w:w="1367" w:type="dxa"/>
            <w:vAlign w:val="center"/>
          </w:tcPr>
          <w:p w14:paraId="1A6CA9EA">
            <w:pPr>
              <w:pStyle w:val="14"/>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递交投标文件的截止时间（同投标截止时间）</w:t>
            </w:r>
          </w:p>
        </w:tc>
        <w:tc>
          <w:tcPr>
            <w:tcW w:w="7862" w:type="dxa"/>
            <w:vAlign w:val="center"/>
          </w:tcPr>
          <w:p w14:paraId="1DDDD4FF">
            <w:pPr>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2026年03月22日14时00分</w:t>
            </w:r>
          </w:p>
        </w:tc>
      </w:tr>
      <w:tr w14:paraId="5BCE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81E2ADA">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20.2</w:t>
            </w:r>
          </w:p>
        </w:tc>
        <w:tc>
          <w:tcPr>
            <w:tcW w:w="1367" w:type="dxa"/>
            <w:vAlign w:val="center"/>
          </w:tcPr>
          <w:p w14:paraId="5E5D7EFF">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递交投标文件地点</w:t>
            </w:r>
          </w:p>
        </w:tc>
        <w:tc>
          <w:tcPr>
            <w:tcW w:w="7862" w:type="dxa"/>
            <w:vAlign w:val="center"/>
          </w:tcPr>
          <w:p w14:paraId="31BA6838">
            <w:pPr>
              <w:spacing w:line="360" w:lineRule="auto"/>
              <w:rPr>
                <w:rFonts w:hint="eastAsia" w:ascii="仿宋" w:hAnsi="仿宋" w:eastAsia="仿宋" w:cs="仿宋"/>
                <w:color w:val="auto"/>
                <w:szCs w:val="21"/>
              </w:rPr>
            </w:pPr>
            <w:r>
              <w:rPr>
                <w:rFonts w:hint="eastAsia" w:ascii="仿宋" w:hAnsi="仿宋" w:eastAsia="仿宋" w:cs="仿宋"/>
                <w:color w:val="auto"/>
                <w:szCs w:val="21"/>
              </w:rPr>
              <w:t>政采云平台</w:t>
            </w:r>
          </w:p>
        </w:tc>
      </w:tr>
      <w:tr w14:paraId="65F0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1AE73AD">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20.3</w:t>
            </w:r>
          </w:p>
        </w:tc>
        <w:tc>
          <w:tcPr>
            <w:tcW w:w="1367" w:type="dxa"/>
            <w:vAlign w:val="center"/>
          </w:tcPr>
          <w:p w14:paraId="623733D6">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是否退还投标文件</w:t>
            </w:r>
          </w:p>
        </w:tc>
        <w:tc>
          <w:tcPr>
            <w:tcW w:w="7862" w:type="dxa"/>
            <w:vAlign w:val="center"/>
          </w:tcPr>
          <w:p w14:paraId="519CD33E">
            <w:pPr>
              <w:spacing w:line="360" w:lineRule="auto"/>
              <w:rPr>
                <w:rFonts w:hint="eastAsia" w:ascii="仿宋" w:hAnsi="仿宋" w:eastAsia="仿宋" w:cs="仿宋"/>
                <w:color w:val="auto"/>
                <w:szCs w:val="21"/>
              </w:rPr>
            </w:pPr>
            <w:r>
              <w:rPr>
                <w:rFonts w:hint="eastAsia" w:ascii="仿宋" w:hAnsi="仿宋" w:eastAsia="仿宋" w:cs="仿宋"/>
                <w:color w:val="auto"/>
                <w:szCs w:val="21"/>
              </w:rPr>
              <w:t>否</w:t>
            </w:r>
          </w:p>
        </w:tc>
      </w:tr>
      <w:tr w14:paraId="3AF3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2A05523">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21.1</w:t>
            </w:r>
          </w:p>
        </w:tc>
        <w:tc>
          <w:tcPr>
            <w:tcW w:w="1367" w:type="dxa"/>
            <w:vAlign w:val="center"/>
          </w:tcPr>
          <w:p w14:paraId="08EE9A3D">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开标时间和地点</w:t>
            </w:r>
          </w:p>
        </w:tc>
        <w:tc>
          <w:tcPr>
            <w:tcW w:w="7862" w:type="dxa"/>
            <w:vAlign w:val="center"/>
          </w:tcPr>
          <w:p w14:paraId="6CEAAAD2">
            <w:pPr>
              <w:spacing w:line="360" w:lineRule="auto"/>
              <w:rPr>
                <w:rFonts w:hint="eastAsia" w:ascii="仿宋" w:hAnsi="仿宋" w:eastAsia="仿宋" w:cs="仿宋"/>
                <w:color w:val="auto"/>
                <w:szCs w:val="21"/>
              </w:rPr>
            </w:pPr>
            <w:r>
              <w:rPr>
                <w:rFonts w:hint="eastAsia" w:ascii="仿宋" w:hAnsi="仿宋" w:eastAsia="仿宋" w:cs="仿宋"/>
                <w:color w:val="auto"/>
                <w:szCs w:val="21"/>
              </w:rPr>
              <w:t>开标时间：同投标截止时间</w:t>
            </w:r>
          </w:p>
          <w:p w14:paraId="33D1192A">
            <w:pPr>
              <w:spacing w:line="360" w:lineRule="auto"/>
              <w:rPr>
                <w:rFonts w:hint="eastAsia" w:ascii="仿宋" w:hAnsi="仿宋" w:eastAsia="仿宋" w:cs="仿宋"/>
                <w:color w:val="auto"/>
                <w:szCs w:val="21"/>
              </w:rPr>
            </w:pPr>
            <w:r>
              <w:rPr>
                <w:rFonts w:hint="eastAsia" w:ascii="仿宋" w:hAnsi="仿宋" w:eastAsia="仿宋" w:cs="仿宋"/>
                <w:color w:val="auto"/>
                <w:szCs w:val="21"/>
              </w:rPr>
              <w:t>开标地点：政采云平台</w:t>
            </w:r>
          </w:p>
        </w:tc>
      </w:tr>
      <w:tr w14:paraId="3BC0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7FEFB4E2">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22.1</w:t>
            </w:r>
          </w:p>
        </w:tc>
        <w:tc>
          <w:tcPr>
            <w:tcW w:w="1367" w:type="dxa"/>
            <w:vAlign w:val="center"/>
          </w:tcPr>
          <w:p w14:paraId="49247D98">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评标委员会组成</w:t>
            </w:r>
          </w:p>
        </w:tc>
        <w:tc>
          <w:tcPr>
            <w:tcW w:w="7862" w:type="dxa"/>
            <w:vAlign w:val="center"/>
          </w:tcPr>
          <w:p w14:paraId="1B2F2C96">
            <w:pPr>
              <w:spacing w:line="360" w:lineRule="auto"/>
              <w:rPr>
                <w:rFonts w:hint="eastAsia" w:ascii="仿宋" w:hAnsi="仿宋" w:eastAsia="仿宋" w:cs="仿宋"/>
                <w:color w:val="auto"/>
                <w:szCs w:val="21"/>
              </w:rPr>
            </w:pPr>
            <w:r>
              <w:rPr>
                <w:rFonts w:hint="eastAsia" w:ascii="仿宋" w:hAnsi="仿宋" w:eastAsia="仿宋" w:cs="仿宋"/>
                <w:color w:val="auto"/>
                <w:szCs w:val="21"/>
              </w:rPr>
              <w:t>评标由采购人依法组建的评标委员会负责。评标委员会由采购人代表和评审专家组成，成员人数应当为5人及以上单数，其中评审专家不得少于成员总数的三分之二</w:t>
            </w:r>
          </w:p>
        </w:tc>
      </w:tr>
      <w:tr w14:paraId="0B44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B682688">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22.5</w:t>
            </w:r>
          </w:p>
        </w:tc>
        <w:tc>
          <w:tcPr>
            <w:tcW w:w="1367" w:type="dxa"/>
            <w:vAlign w:val="center"/>
          </w:tcPr>
          <w:p w14:paraId="3C0C17CF">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评标办法</w:t>
            </w:r>
          </w:p>
        </w:tc>
        <w:tc>
          <w:tcPr>
            <w:tcW w:w="7862" w:type="dxa"/>
            <w:vAlign w:val="center"/>
          </w:tcPr>
          <w:p w14:paraId="79BD732C">
            <w:pPr>
              <w:spacing w:line="360" w:lineRule="auto"/>
              <w:rPr>
                <w:rFonts w:hint="eastAsia" w:ascii="仿宋" w:hAnsi="仿宋" w:eastAsia="仿宋" w:cs="仿宋"/>
                <w:color w:val="auto"/>
                <w:szCs w:val="21"/>
              </w:rPr>
            </w:pPr>
            <w:r>
              <w:rPr>
                <w:rFonts w:hint="eastAsia" w:ascii="仿宋" w:hAnsi="仿宋" w:eastAsia="仿宋" w:cs="仿宋"/>
                <w:color w:val="auto"/>
                <w:szCs w:val="21"/>
              </w:rPr>
              <w:t>综合评分法</w:t>
            </w:r>
          </w:p>
          <w:p w14:paraId="78A8C579">
            <w:pPr>
              <w:spacing w:line="360" w:lineRule="auto"/>
              <w:rPr>
                <w:rFonts w:hint="eastAsia" w:ascii="仿宋" w:hAnsi="仿宋" w:eastAsia="仿宋" w:cs="仿宋"/>
                <w:color w:val="auto"/>
                <w:szCs w:val="21"/>
              </w:rPr>
            </w:pPr>
            <w:r>
              <w:rPr>
                <w:rFonts w:hint="eastAsia" w:ascii="仿宋" w:hAnsi="仿宋" w:eastAsia="仿宋" w:cs="仿宋"/>
                <w:color w:val="auto"/>
                <w:szCs w:val="21"/>
              </w:rPr>
              <w:t>评标委员会推荐中标候选人的人数:3名</w:t>
            </w:r>
          </w:p>
        </w:tc>
      </w:tr>
      <w:tr w14:paraId="06C7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333A36">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28.1</w:t>
            </w:r>
          </w:p>
        </w:tc>
        <w:tc>
          <w:tcPr>
            <w:tcW w:w="1367" w:type="dxa"/>
            <w:vAlign w:val="center"/>
          </w:tcPr>
          <w:p w14:paraId="58D92987">
            <w:pPr>
              <w:pStyle w:val="14"/>
              <w:spacing w:line="360" w:lineRule="auto"/>
              <w:jc w:val="center"/>
              <w:rPr>
                <w:rFonts w:hint="eastAsia" w:ascii="仿宋" w:hAnsi="仿宋" w:eastAsia="仿宋" w:cs="仿宋"/>
                <w:color w:val="auto"/>
                <w:szCs w:val="21"/>
                <w:lang w:val="zh-CN"/>
              </w:rPr>
            </w:pPr>
            <w:r>
              <w:rPr>
                <w:rFonts w:hint="eastAsia" w:ascii="仿宋" w:hAnsi="仿宋" w:eastAsia="仿宋" w:cs="仿宋"/>
                <w:color w:val="auto"/>
                <w:szCs w:val="21"/>
              </w:rPr>
              <w:t>履约保证金</w:t>
            </w:r>
          </w:p>
        </w:tc>
        <w:tc>
          <w:tcPr>
            <w:tcW w:w="7862" w:type="dxa"/>
            <w:vAlign w:val="center"/>
          </w:tcPr>
          <w:p w14:paraId="3A68CBB1">
            <w:pPr>
              <w:pStyle w:val="14"/>
              <w:spacing w:line="360" w:lineRule="auto"/>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本项目不收取。</w:t>
            </w:r>
          </w:p>
        </w:tc>
      </w:tr>
      <w:tr w14:paraId="659C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E243CD4">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28.3</w:t>
            </w:r>
          </w:p>
        </w:tc>
        <w:tc>
          <w:tcPr>
            <w:tcW w:w="1367" w:type="dxa"/>
            <w:vAlign w:val="center"/>
          </w:tcPr>
          <w:p w14:paraId="59A3316D">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履约保证金退还时间</w:t>
            </w:r>
          </w:p>
        </w:tc>
        <w:tc>
          <w:tcPr>
            <w:tcW w:w="7862" w:type="dxa"/>
            <w:vAlign w:val="center"/>
          </w:tcPr>
          <w:p w14:paraId="3EA00D69">
            <w:pPr>
              <w:pStyle w:val="14"/>
              <w:spacing w:line="300" w:lineRule="exact"/>
              <w:rPr>
                <w:rFonts w:hint="eastAsia" w:ascii="仿宋" w:hAnsi="仿宋" w:eastAsia="仿宋" w:cs="仿宋"/>
                <w:color w:val="auto"/>
                <w:szCs w:val="21"/>
              </w:rPr>
            </w:pPr>
            <w:r>
              <w:rPr>
                <w:rFonts w:hint="eastAsia" w:ascii="仿宋" w:hAnsi="仿宋" w:eastAsia="仿宋" w:cs="仿宋"/>
                <w:color w:val="auto"/>
                <w:szCs w:val="21"/>
                <w:lang w:val="en-US" w:eastAsia="zh-CN"/>
              </w:rPr>
              <w:t>本项目不收取。</w:t>
            </w:r>
          </w:p>
        </w:tc>
      </w:tr>
      <w:tr w14:paraId="598D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340D6E7">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29.1</w:t>
            </w:r>
          </w:p>
        </w:tc>
        <w:tc>
          <w:tcPr>
            <w:tcW w:w="1367" w:type="dxa"/>
            <w:vAlign w:val="center"/>
          </w:tcPr>
          <w:p w14:paraId="5FB43A6D">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中标服务费</w:t>
            </w:r>
          </w:p>
        </w:tc>
        <w:tc>
          <w:tcPr>
            <w:tcW w:w="7862" w:type="dxa"/>
            <w:vAlign w:val="center"/>
          </w:tcPr>
          <w:p w14:paraId="046BB780">
            <w:pPr>
              <w:spacing w:line="360" w:lineRule="auto"/>
              <w:rPr>
                <w:rFonts w:hint="eastAsia" w:ascii="仿宋" w:hAnsi="仿宋" w:eastAsia="仿宋" w:cs="仿宋"/>
                <w:color w:val="auto"/>
                <w:lang w:val="zh-CN"/>
              </w:rPr>
            </w:pPr>
            <w:r>
              <w:rPr>
                <w:rFonts w:hint="eastAsia" w:ascii="仿宋" w:hAnsi="仿宋" w:eastAsia="仿宋" w:cs="仿宋"/>
                <w:color w:val="auto"/>
              </w:rPr>
              <w:t>以本项目中标价作为基准价，参照原国家计委《关于印发&lt;招标代理服务收费管理暂行办法&gt;的通知》(计价格[2002]1980号)规定的货物类收费标准收取，由中标单位领取中标通知书时一次性付清。</w:t>
            </w:r>
          </w:p>
          <w:p w14:paraId="5D208230">
            <w:pPr>
              <w:spacing w:line="360" w:lineRule="auto"/>
              <w:rPr>
                <w:rFonts w:hint="eastAsia" w:ascii="仿宋" w:hAnsi="仿宋" w:eastAsia="仿宋" w:cs="仿宋"/>
                <w:color w:val="auto"/>
                <w:lang w:val="zh-CN"/>
              </w:rPr>
            </w:pPr>
            <w:bookmarkStart w:id="153" w:name="_Toc15906"/>
            <w:bookmarkStart w:id="154" w:name="_Toc13480"/>
            <w:bookmarkStart w:id="155" w:name="_Toc26466"/>
            <w:bookmarkStart w:id="156" w:name="_Toc11593"/>
            <w:r>
              <w:rPr>
                <w:rFonts w:hint="eastAsia" w:ascii="仿宋" w:hAnsi="仿宋" w:eastAsia="仿宋" w:cs="仿宋"/>
                <w:color w:val="auto"/>
                <w:lang w:val="zh-CN"/>
              </w:rPr>
              <w:t>收款单位：云南国合建设招标咨询有限公司</w:t>
            </w:r>
            <w:bookmarkEnd w:id="153"/>
            <w:bookmarkEnd w:id="154"/>
            <w:bookmarkEnd w:id="155"/>
            <w:bookmarkEnd w:id="156"/>
          </w:p>
          <w:p w14:paraId="1E6E68F4">
            <w:pPr>
              <w:spacing w:line="360" w:lineRule="auto"/>
              <w:rPr>
                <w:rFonts w:hint="eastAsia" w:ascii="仿宋" w:hAnsi="仿宋" w:eastAsia="仿宋" w:cs="仿宋"/>
                <w:color w:val="auto"/>
                <w:lang w:val="zh-CN"/>
              </w:rPr>
            </w:pPr>
            <w:bookmarkStart w:id="157" w:name="_Toc27154"/>
            <w:bookmarkStart w:id="158" w:name="_Toc15352"/>
            <w:bookmarkStart w:id="159" w:name="_Toc27936"/>
            <w:bookmarkStart w:id="160" w:name="_Toc7547"/>
            <w:r>
              <w:rPr>
                <w:rFonts w:hint="eastAsia" w:ascii="仿宋" w:hAnsi="仿宋" w:eastAsia="仿宋" w:cs="仿宋"/>
                <w:color w:val="auto"/>
                <w:lang w:val="zh-CN"/>
              </w:rPr>
              <w:t>开户行：中国农业银行昆明市白龙寺支行</w:t>
            </w:r>
            <w:bookmarkEnd w:id="157"/>
            <w:bookmarkEnd w:id="158"/>
            <w:bookmarkEnd w:id="159"/>
            <w:bookmarkEnd w:id="160"/>
          </w:p>
          <w:p w14:paraId="1897E2DA">
            <w:pPr>
              <w:spacing w:line="360" w:lineRule="auto"/>
              <w:rPr>
                <w:rFonts w:hint="eastAsia" w:ascii="仿宋" w:hAnsi="仿宋" w:eastAsia="仿宋" w:cs="仿宋"/>
                <w:color w:val="auto"/>
                <w:lang w:val="zh-CN"/>
              </w:rPr>
            </w:pPr>
            <w:bookmarkStart w:id="161" w:name="_Toc24180"/>
            <w:bookmarkStart w:id="162" w:name="_Toc32650"/>
            <w:bookmarkStart w:id="163" w:name="_Toc24068"/>
            <w:bookmarkStart w:id="164" w:name="_Toc1061"/>
            <w:r>
              <w:rPr>
                <w:rFonts w:hint="eastAsia" w:ascii="仿宋" w:hAnsi="仿宋" w:eastAsia="仿宋" w:cs="仿宋"/>
                <w:color w:val="auto"/>
                <w:lang w:val="zh-CN"/>
              </w:rPr>
              <w:t>账号：24019001040006899</w:t>
            </w:r>
            <w:bookmarkEnd w:id="161"/>
            <w:bookmarkEnd w:id="162"/>
            <w:bookmarkEnd w:id="163"/>
            <w:bookmarkEnd w:id="164"/>
          </w:p>
          <w:p w14:paraId="7DDB5A80">
            <w:pPr>
              <w:spacing w:line="360" w:lineRule="auto"/>
              <w:rPr>
                <w:rFonts w:hint="eastAsia" w:ascii="仿宋" w:hAnsi="仿宋" w:eastAsia="仿宋" w:cs="仿宋"/>
                <w:color w:val="auto"/>
              </w:rPr>
            </w:pPr>
            <w:bookmarkStart w:id="165" w:name="_Toc771"/>
            <w:bookmarkStart w:id="166" w:name="_Toc23819"/>
            <w:bookmarkStart w:id="167" w:name="_Toc21155"/>
            <w:bookmarkStart w:id="168" w:name="_Toc30122"/>
            <w:r>
              <w:rPr>
                <w:rFonts w:hint="eastAsia" w:ascii="仿宋" w:hAnsi="仿宋" w:eastAsia="仿宋" w:cs="仿宋"/>
                <w:color w:val="auto"/>
                <w:lang w:val="zh-CN"/>
              </w:rPr>
              <w:t>注：中标服务费由中标人支付，投标人报价应包含中标服务费</w:t>
            </w:r>
            <w:bookmarkEnd w:id="165"/>
            <w:r>
              <w:rPr>
                <w:rFonts w:hint="eastAsia" w:ascii="仿宋" w:hAnsi="仿宋" w:eastAsia="仿宋" w:cs="仿宋"/>
                <w:color w:val="auto"/>
                <w:lang w:val="zh-CN"/>
              </w:rPr>
              <w:t>。</w:t>
            </w:r>
            <w:bookmarkEnd w:id="166"/>
            <w:bookmarkEnd w:id="167"/>
            <w:bookmarkEnd w:id="168"/>
          </w:p>
        </w:tc>
      </w:tr>
      <w:tr w14:paraId="526F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4408716">
            <w:pPr>
              <w:pStyle w:val="14"/>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31.1</w:t>
            </w:r>
          </w:p>
        </w:tc>
        <w:tc>
          <w:tcPr>
            <w:tcW w:w="9229" w:type="dxa"/>
            <w:gridSpan w:val="2"/>
            <w:vAlign w:val="center"/>
          </w:tcPr>
          <w:p w14:paraId="33F98FAB">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需要补充的其他内容</w:t>
            </w:r>
          </w:p>
        </w:tc>
      </w:tr>
      <w:tr w14:paraId="5E7CC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456C666">
            <w:pPr>
              <w:spacing w:line="360" w:lineRule="auto"/>
              <w:jc w:val="center"/>
              <w:rPr>
                <w:rFonts w:hint="eastAsia" w:ascii="仿宋" w:hAnsi="仿宋" w:eastAsia="仿宋" w:cs="仿宋"/>
                <w:color w:val="auto"/>
                <w:kern w:val="0"/>
                <w:szCs w:val="21"/>
                <w:lang w:val="zh-CN"/>
              </w:rPr>
            </w:pPr>
            <w:r>
              <w:rPr>
                <w:rFonts w:hint="eastAsia" w:ascii="仿宋" w:hAnsi="仿宋" w:eastAsia="仿宋" w:cs="仿宋"/>
                <w:color w:val="auto"/>
                <w:kern w:val="0"/>
                <w:szCs w:val="21"/>
                <w:lang w:val="zh-CN"/>
              </w:rPr>
              <w:t>（</w:t>
            </w:r>
            <w:r>
              <w:rPr>
                <w:rFonts w:hint="eastAsia" w:ascii="仿宋" w:hAnsi="仿宋" w:eastAsia="仿宋" w:cs="仿宋"/>
                <w:color w:val="auto"/>
                <w:kern w:val="0"/>
                <w:szCs w:val="21"/>
              </w:rPr>
              <w:t>1</w:t>
            </w:r>
            <w:r>
              <w:rPr>
                <w:rFonts w:hint="eastAsia" w:ascii="仿宋" w:hAnsi="仿宋" w:eastAsia="仿宋" w:cs="仿宋"/>
                <w:color w:val="auto"/>
                <w:kern w:val="0"/>
                <w:szCs w:val="21"/>
                <w:lang w:val="zh-CN"/>
              </w:rPr>
              <w:t>）</w:t>
            </w:r>
          </w:p>
        </w:tc>
        <w:tc>
          <w:tcPr>
            <w:tcW w:w="9229" w:type="dxa"/>
            <w:gridSpan w:val="2"/>
            <w:vAlign w:val="center"/>
          </w:tcPr>
          <w:p w14:paraId="48D2EE7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政府采购政策响应：</w:t>
            </w:r>
          </w:p>
          <w:p w14:paraId="0ACF395D">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一、小型和微型企业价格评分优惠政策</w:t>
            </w:r>
          </w:p>
          <w:p w14:paraId="3E748CE3">
            <w:pPr>
              <w:spacing w:line="440" w:lineRule="exact"/>
              <w:rPr>
                <w:rFonts w:hint="default" w:ascii="仿宋" w:hAnsi="仿宋" w:eastAsia="仿宋" w:cs="仿宋"/>
                <w:kern w:val="0"/>
                <w:szCs w:val="21"/>
                <w:highlight w:val="none"/>
                <w:lang w:val="en-US" w:eastAsia="zh-CN"/>
              </w:rPr>
            </w:pPr>
            <w:r>
              <w:rPr>
                <w:rFonts w:hint="eastAsia" w:ascii="仿宋" w:hAnsi="仿宋" w:eastAsia="仿宋" w:cs="仿宋"/>
                <w:kern w:val="0"/>
                <w:szCs w:val="21"/>
                <w:highlight w:val="none"/>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r>
              <w:rPr>
                <w:rFonts w:hint="eastAsia" w:ascii="仿宋" w:hAnsi="仿宋" w:eastAsia="仿宋" w:cs="仿宋"/>
                <w:b/>
                <w:bCs/>
                <w:kern w:val="0"/>
                <w:szCs w:val="21"/>
                <w:highlight w:val="none"/>
                <w:lang w:val="en-US" w:eastAsia="zh-CN"/>
              </w:rPr>
              <w:t>本项目为专门面向中小企业采购项目，不再执行价格优惠。</w:t>
            </w:r>
          </w:p>
          <w:p w14:paraId="36AC823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（2）联合体各方均为小型、微型企业的，联合体视同为小型、微型企业，在评标报价评分时给予联合体报价10%（工程项目为3%）的扣除，在投标报价用扣除后的价格参与评审。</w:t>
            </w:r>
          </w:p>
          <w:p w14:paraId="3F6B9D3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49D72990">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（4）组成联合体的小微企业与联合体内其他企业之间存在直接控股、管理关系的，不享受价格扣除优惠政策。</w:t>
            </w:r>
          </w:p>
          <w:p w14:paraId="56267F25">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169" w:name="OLE_LINK50"/>
            <w:r>
              <w:rPr>
                <w:rFonts w:hint="eastAsia" w:ascii="仿宋" w:hAnsi="仿宋" w:eastAsia="仿宋" w:cs="仿宋"/>
                <w:kern w:val="0"/>
                <w:szCs w:val="21"/>
                <w:highlight w:val="none"/>
                <w:lang w:val="zh-CN"/>
              </w:rPr>
              <w:t>个体工商户</w:t>
            </w:r>
            <w:bookmarkEnd w:id="169"/>
            <w:r>
              <w:rPr>
                <w:rFonts w:hint="eastAsia" w:ascii="仿宋" w:hAnsi="仿宋" w:eastAsia="仿宋" w:cs="仿宋"/>
                <w:kern w:val="0"/>
                <w:szCs w:val="21"/>
                <w:highlight w:val="none"/>
                <w:lang w:val="zh-CN"/>
              </w:rPr>
              <w:t>，在政府采购活动中视同中小企业。</w:t>
            </w:r>
          </w:p>
          <w:p w14:paraId="1F4217A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二、监狱企业优惠政策</w:t>
            </w:r>
          </w:p>
          <w:p w14:paraId="0C48DB41">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0D06751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三、残疾人福利性单位优惠政策</w:t>
            </w:r>
          </w:p>
          <w:p w14:paraId="71F5D77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024404B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四、环保节能政策</w:t>
            </w:r>
          </w:p>
          <w:p w14:paraId="18EF0C1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4AF38FF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rPr>
              <w:t>五、</w:t>
            </w:r>
            <w:r>
              <w:rPr>
                <w:rFonts w:hint="eastAsia" w:ascii="仿宋" w:hAnsi="仿宋" w:eastAsia="仿宋" w:cs="仿宋"/>
                <w:kern w:val="0"/>
                <w:szCs w:val="21"/>
                <w:highlight w:val="none"/>
                <w:lang w:val="zh-CN"/>
              </w:rPr>
              <w:t>进口产品政策</w:t>
            </w:r>
          </w:p>
          <w:p w14:paraId="0CFB0049">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根据《政府采购进口产品管理办法》(财库〔2007〕119号)、《关于政府采购进口产品管理有关问题的通知》(财办库〔2008〕248号)的规定，实施进口产品采购。</w:t>
            </w:r>
          </w:p>
          <w:p w14:paraId="45605A63">
            <w:pPr>
              <w:spacing w:line="440" w:lineRule="exact"/>
              <w:ind w:firstLine="0" w:firstLineChars="0"/>
              <w:rPr>
                <w:rFonts w:hint="eastAsia" w:ascii="仿宋" w:hAnsi="仿宋" w:eastAsia="仿宋" w:cs="仿宋"/>
                <w:b/>
                <w:bCs/>
                <w:kern w:val="0"/>
                <w:szCs w:val="21"/>
                <w:highlight w:val="none"/>
                <w:lang w:val="zh-CN"/>
              </w:rPr>
            </w:pPr>
            <w:r>
              <w:rPr>
                <w:rFonts w:hint="eastAsia" w:ascii="仿宋" w:hAnsi="仿宋" w:eastAsia="仿宋" w:cs="仿宋"/>
                <w:kern w:val="0"/>
                <w:szCs w:val="21"/>
                <w:highlight w:val="none"/>
                <w:lang w:val="en-US" w:eastAsia="zh-CN"/>
              </w:rPr>
              <w:t>六</w:t>
            </w:r>
            <w:r>
              <w:rPr>
                <w:rFonts w:hint="eastAsia" w:ascii="仿宋" w:hAnsi="仿宋" w:eastAsia="仿宋" w:cs="仿宋"/>
                <w:kern w:val="0"/>
                <w:szCs w:val="21"/>
                <w:highlight w:val="none"/>
                <w:lang w:val="zh-CN" w:eastAsia="zh-CN"/>
              </w:rPr>
              <w:t>、</w:t>
            </w:r>
            <w:r>
              <w:rPr>
                <w:rFonts w:hint="eastAsia" w:ascii="仿宋" w:hAnsi="仿宋" w:eastAsia="仿宋" w:cs="仿宋"/>
                <w:kern w:val="0"/>
                <w:szCs w:val="21"/>
                <w:highlight w:val="none"/>
                <w:lang w:val="zh-CN"/>
              </w:rPr>
              <w:t>本国产品政策</w:t>
            </w:r>
            <w:r>
              <w:rPr>
                <w:rFonts w:hint="eastAsia" w:ascii="仿宋" w:hAnsi="仿宋" w:eastAsia="仿宋" w:cs="仿宋"/>
                <w:b/>
                <w:bCs/>
                <w:kern w:val="0"/>
                <w:szCs w:val="21"/>
                <w:highlight w:val="none"/>
                <w:lang w:val="zh-CN"/>
              </w:rPr>
              <w:t>（</w:t>
            </w:r>
            <w:r>
              <w:rPr>
                <w:rFonts w:hint="eastAsia" w:ascii="仿宋" w:hAnsi="仿宋" w:eastAsia="仿宋" w:cs="仿宋"/>
                <w:b/>
                <w:bCs/>
                <w:kern w:val="0"/>
                <w:szCs w:val="21"/>
                <w:highlight w:val="none"/>
                <w:lang w:val="en-US" w:eastAsia="zh-CN"/>
              </w:rPr>
              <w:t>本项目属于</w:t>
            </w:r>
            <w:r>
              <w:rPr>
                <w:rFonts w:hint="eastAsia" w:ascii="仿宋" w:hAnsi="仿宋" w:eastAsia="仿宋" w:cs="仿宋"/>
                <w:b/>
                <w:bCs/>
                <w:kern w:val="0"/>
                <w:szCs w:val="21"/>
                <w:highlight w:val="none"/>
                <w:lang w:val="zh-CN"/>
              </w:rPr>
              <w:t>农林牧渔业产品，</w:t>
            </w:r>
            <w:r>
              <w:rPr>
                <w:rFonts w:hint="eastAsia" w:ascii="仿宋" w:hAnsi="仿宋" w:eastAsia="仿宋" w:cs="仿宋"/>
                <w:b/>
                <w:bCs/>
                <w:kern w:val="0"/>
                <w:szCs w:val="21"/>
                <w:highlight w:val="none"/>
                <w:lang w:val="en-US" w:eastAsia="zh-CN"/>
              </w:rPr>
              <w:t>不再执行本国产品优惠政策</w:t>
            </w:r>
            <w:r>
              <w:rPr>
                <w:rFonts w:hint="eastAsia" w:ascii="仿宋" w:hAnsi="仿宋" w:eastAsia="仿宋" w:cs="仿宋"/>
                <w:b/>
                <w:bCs/>
                <w:kern w:val="0"/>
                <w:szCs w:val="21"/>
                <w:highlight w:val="none"/>
                <w:lang w:val="zh-CN"/>
              </w:rPr>
              <w:t>）</w:t>
            </w:r>
          </w:p>
          <w:p w14:paraId="76E38B1C">
            <w:pPr>
              <w:spacing w:line="360" w:lineRule="auto"/>
              <w:rPr>
                <w:rFonts w:hint="eastAsia" w:ascii="仿宋" w:hAnsi="仿宋" w:eastAsia="仿宋" w:cs="仿宋"/>
                <w:color w:val="auto"/>
                <w:kern w:val="0"/>
                <w:szCs w:val="21"/>
                <w:lang w:val="zh-CN"/>
              </w:rPr>
            </w:pPr>
            <w:r>
              <w:rPr>
                <w:rFonts w:hint="eastAsia" w:ascii="仿宋" w:hAnsi="仿宋" w:eastAsia="仿宋" w:cs="仿宋"/>
                <w:kern w:val="0"/>
                <w:szCs w:val="21"/>
                <w:highlight w:val="none"/>
                <w:lang w:val="zh-CN"/>
              </w:rPr>
              <w:t>根据《国务院办公厅关于在政府采购中实施本国产品标准及相关政策的通知》（国办发〔2025〕34号）及《财政部 工业信息化部关于贯彻落实《国务院办公厅关于在政府采购中实施本国产品标准及相关政策的通知》的意见》（财库〔2025〕30号）的规定，实施本国产品采购。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其中，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w:t>
            </w:r>
          </w:p>
        </w:tc>
      </w:tr>
      <w:tr w14:paraId="1321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EED8C8A">
            <w:pPr>
              <w:pStyle w:val="14"/>
              <w:spacing w:line="360" w:lineRule="auto"/>
              <w:jc w:val="center"/>
              <w:rPr>
                <w:rFonts w:hint="eastAsia" w:ascii="仿宋" w:hAnsi="仿宋" w:eastAsia="仿宋" w:cs="仿宋"/>
                <w:color w:val="auto"/>
                <w:szCs w:val="21"/>
                <w:lang w:val="zh-CN"/>
              </w:rPr>
            </w:pPr>
            <w:r>
              <w:rPr>
                <w:rFonts w:hint="eastAsia" w:ascii="仿宋" w:hAnsi="仿宋" w:eastAsia="仿宋" w:cs="仿宋"/>
                <w:color w:val="auto"/>
                <w:szCs w:val="21"/>
              </w:rPr>
              <w:t>（2）</w:t>
            </w:r>
          </w:p>
        </w:tc>
        <w:tc>
          <w:tcPr>
            <w:tcW w:w="9229" w:type="dxa"/>
            <w:gridSpan w:val="2"/>
            <w:vAlign w:val="center"/>
          </w:tcPr>
          <w:p w14:paraId="2F6C5A01">
            <w:pPr>
              <w:pStyle w:val="14"/>
              <w:spacing w:line="360" w:lineRule="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rPr>
              <w:t>本项目核心产品：</w:t>
            </w:r>
            <w:r>
              <w:rPr>
                <w:rFonts w:hint="eastAsia" w:ascii="仿宋" w:hAnsi="仿宋" w:eastAsia="仿宋" w:cs="仿宋"/>
                <w:b/>
                <w:bCs/>
                <w:color w:val="auto"/>
                <w:szCs w:val="21"/>
                <w:highlight w:val="none"/>
                <w:lang w:val="en-US" w:eastAsia="zh-CN"/>
              </w:rPr>
              <w:t>1标段：</w:t>
            </w:r>
            <w:r>
              <w:rPr>
                <w:rFonts w:hint="eastAsia" w:ascii="仿宋" w:hAnsi="仿宋" w:eastAsia="仿宋" w:cs="仿宋"/>
                <w:b/>
                <w:bCs/>
                <w:color w:val="auto"/>
                <w:szCs w:val="21"/>
                <w:highlight w:val="none"/>
              </w:rPr>
              <w:t>45%复合肥</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2标段：钙镁磷肥料</w:t>
            </w:r>
          </w:p>
          <w:p w14:paraId="2AA93488">
            <w:pPr>
              <w:pStyle w:val="14"/>
              <w:spacing w:line="360" w:lineRule="auto"/>
              <w:rPr>
                <w:rFonts w:hint="eastAsia" w:ascii="仿宋" w:hAnsi="仿宋" w:eastAsia="仿宋" w:cs="仿宋"/>
                <w:color w:val="auto"/>
                <w:highlight w:val="none"/>
                <w:lang w:val="zh-CN"/>
              </w:rPr>
            </w:pPr>
            <w:r>
              <w:rPr>
                <w:rFonts w:hint="eastAsia" w:ascii="仿宋" w:hAnsi="仿宋" w:eastAsia="仿宋" w:cs="仿宋"/>
                <w:color w:val="auto"/>
                <w:szCs w:val="21"/>
                <w:highlight w:val="none"/>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2897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4416CCB">
            <w:pPr>
              <w:pStyle w:val="14"/>
              <w:spacing w:line="360" w:lineRule="auto"/>
              <w:rPr>
                <w:rFonts w:hint="eastAsia" w:ascii="仿宋" w:hAnsi="仿宋" w:eastAsia="仿宋" w:cs="仿宋"/>
                <w:color w:val="auto"/>
                <w:szCs w:val="21"/>
              </w:rPr>
            </w:pPr>
            <w:r>
              <w:rPr>
                <w:rFonts w:hint="eastAsia" w:ascii="仿宋" w:hAnsi="仿宋" w:eastAsia="仿宋" w:cs="仿宋"/>
                <w:color w:val="auto"/>
                <w:szCs w:val="21"/>
              </w:rPr>
              <w:t>（3）</w:t>
            </w:r>
          </w:p>
        </w:tc>
        <w:tc>
          <w:tcPr>
            <w:tcW w:w="9229" w:type="dxa"/>
            <w:gridSpan w:val="2"/>
            <w:vAlign w:val="center"/>
          </w:tcPr>
          <w:p w14:paraId="40AB1537">
            <w:pPr>
              <w:pStyle w:val="14"/>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本项目为电子标，投标文件格式中要求签字或盖章的地方均可以进行电子签章</w:t>
            </w:r>
            <w:r>
              <w:rPr>
                <w:rFonts w:hint="eastAsia" w:ascii="仿宋" w:hAnsi="仿宋" w:eastAsia="仿宋" w:cs="仿宋"/>
                <w:color w:val="auto"/>
                <w:szCs w:val="21"/>
                <w:lang w:eastAsia="zh-CN"/>
              </w:rPr>
              <w:t>。</w:t>
            </w:r>
          </w:p>
        </w:tc>
      </w:tr>
    </w:tbl>
    <w:p w14:paraId="65B87653">
      <w:pPr>
        <w:spacing w:line="360" w:lineRule="auto"/>
        <w:rPr>
          <w:rFonts w:hint="eastAsia" w:ascii="仿宋" w:hAnsi="仿宋" w:eastAsia="仿宋" w:cs="仿宋"/>
          <w:b/>
          <w:bCs/>
          <w:color w:val="auto"/>
          <w:sz w:val="24"/>
          <w:szCs w:val="24"/>
        </w:rPr>
      </w:pPr>
      <w:bookmarkStart w:id="170" w:name="_Toc10671"/>
      <w:bookmarkStart w:id="171" w:name="_Toc30211"/>
      <w:bookmarkStart w:id="172" w:name="_Toc30077"/>
      <w:r>
        <w:rPr>
          <w:rFonts w:hint="eastAsia" w:ascii="仿宋" w:hAnsi="仿宋" w:eastAsia="仿宋" w:cs="仿宋"/>
          <w:b/>
          <w:bCs/>
          <w:color w:val="auto"/>
          <w:sz w:val="24"/>
          <w:szCs w:val="24"/>
        </w:rPr>
        <w:br w:type="page"/>
      </w:r>
    </w:p>
    <w:p w14:paraId="5309D337">
      <w:pPr>
        <w:widowControl/>
        <w:spacing w:line="360" w:lineRule="auto"/>
        <w:jc w:val="center"/>
        <w:outlineLvl w:val="1"/>
        <w:rPr>
          <w:rFonts w:hint="eastAsia" w:ascii="仿宋" w:hAnsi="仿宋" w:eastAsia="仿宋" w:cs="仿宋"/>
          <w:b/>
          <w:bCs/>
          <w:color w:val="auto"/>
          <w:sz w:val="24"/>
          <w:szCs w:val="24"/>
        </w:rPr>
      </w:pPr>
      <w:bookmarkStart w:id="173" w:name="_Toc17224"/>
      <w:r>
        <w:rPr>
          <w:rFonts w:hint="eastAsia" w:ascii="仿宋" w:hAnsi="仿宋" w:eastAsia="仿宋" w:cs="仿宋"/>
          <w:b/>
          <w:bCs/>
          <w:color w:val="auto"/>
          <w:sz w:val="24"/>
          <w:szCs w:val="24"/>
        </w:rPr>
        <w:t>一、总  则</w:t>
      </w:r>
      <w:bookmarkEnd w:id="170"/>
      <w:bookmarkEnd w:id="171"/>
      <w:bookmarkEnd w:id="172"/>
      <w:bookmarkEnd w:id="173"/>
    </w:p>
    <w:p w14:paraId="3C2A8E38">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174" w:name="_Toc30542"/>
      <w:bookmarkStart w:id="175" w:name="_Toc20379"/>
      <w:bookmarkStart w:id="176" w:name="_Toc6270"/>
      <w:bookmarkStart w:id="177" w:name="_Toc24918"/>
      <w:bookmarkStart w:id="178" w:name="_Toc62031136"/>
      <w:bookmarkStart w:id="179" w:name="_Toc13118"/>
      <w:r>
        <w:rPr>
          <w:rFonts w:hint="eastAsia" w:ascii="仿宋" w:hAnsi="仿宋" w:eastAsia="仿宋" w:cs="仿宋"/>
          <w:color w:val="auto"/>
          <w:sz w:val="24"/>
          <w:szCs w:val="24"/>
        </w:rPr>
        <w:t>项目概况</w:t>
      </w:r>
      <w:bookmarkEnd w:id="174"/>
      <w:bookmarkEnd w:id="175"/>
      <w:bookmarkEnd w:id="176"/>
      <w:bookmarkEnd w:id="177"/>
      <w:bookmarkEnd w:id="178"/>
      <w:bookmarkEnd w:id="179"/>
    </w:p>
    <w:p w14:paraId="7ACA4A1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 根据《中华人民共和国政府采购法》《政府采购货物和服务招标投标管理办法》（财政部令第87号）等有关法律、法规和规章的规定，本招标项目已具备招标条件。</w:t>
      </w:r>
    </w:p>
    <w:p w14:paraId="0265F8F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 本项目采购人、采购代理机构、项目名称及项目编号：见“</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w:t>
      </w:r>
    </w:p>
    <w:p w14:paraId="2BD6C0BC">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180" w:name="_Toc19217"/>
      <w:bookmarkStart w:id="181" w:name="_Toc62031137"/>
      <w:bookmarkStart w:id="182" w:name="_Toc4542"/>
      <w:bookmarkStart w:id="183" w:name="_Toc24553"/>
      <w:bookmarkStart w:id="184" w:name="_Toc11017"/>
      <w:bookmarkStart w:id="185" w:name="_Toc7228"/>
      <w:r>
        <w:rPr>
          <w:rFonts w:hint="eastAsia" w:ascii="仿宋" w:hAnsi="仿宋" w:eastAsia="仿宋" w:cs="仿宋"/>
          <w:color w:val="auto"/>
          <w:sz w:val="24"/>
          <w:szCs w:val="24"/>
        </w:rPr>
        <w:t>资金来源</w:t>
      </w:r>
      <w:bookmarkEnd w:id="180"/>
      <w:bookmarkEnd w:id="181"/>
      <w:bookmarkEnd w:id="182"/>
      <w:bookmarkEnd w:id="183"/>
      <w:bookmarkEnd w:id="184"/>
      <w:bookmarkEnd w:id="185"/>
    </w:p>
    <w:p w14:paraId="7A96B8B6">
      <w:pPr>
        <w:spacing w:line="360" w:lineRule="auto"/>
        <w:ind w:firstLine="436" w:firstLineChars="200"/>
        <w:jc w:val="left"/>
        <w:rPr>
          <w:rFonts w:hint="eastAsia" w:ascii="仿宋" w:hAnsi="仿宋" w:eastAsia="仿宋" w:cs="仿宋"/>
          <w:color w:val="auto"/>
          <w:spacing w:val="-11"/>
          <w:sz w:val="24"/>
          <w:szCs w:val="24"/>
        </w:rPr>
      </w:pPr>
      <w:r>
        <w:rPr>
          <w:rFonts w:hint="eastAsia" w:ascii="仿宋" w:hAnsi="仿宋" w:eastAsia="仿宋" w:cs="仿宋"/>
          <w:color w:val="auto"/>
          <w:spacing w:val="-11"/>
          <w:sz w:val="24"/>
          <w:szCs w:val="24"/>
        </w:rPr>
        <w:t>2.1 “</w:t>
      </w:r>
      <w:r>
        <w:rPr>
          <w:rFonts w:hint="eastAsia" w:ascii="仿宋" w:hAnsi="仿宋" w:eastAsia="仿宋" w:cs="仿宋"/>
          <w:b/>
          <w:bCs/>
          <w:color w:val="auto"/>
          <w:spacing w:val="-11"/>
          <w:sz w:val="24"/>
          <w:szCs w:val="24"/>
        </w:rPr>
        <w:t>投标人须知前附表</w:t>
      </w:r>
      <w:r>
        <w:rPr>
          <w:rFonts w:hint="eastAsia" w:ascii="仿宋" w:hAnsi="仿宋" w:eastAsia="仿宋" w:cs="仿宋"/>
          <w:color w:val="auto"/>
          <w:spacing w:val="-11"/>
          <w:sz w:val="24"/>
          <w:szCs w:val="24"/>
        </w:rPr>
        <w:t>”中所述的采购人已获得一笔资金，用于采购“</w:t>
      </w:r>
      <w:r>
        <w:rPr>
          <w:rFonts w:hint="eastAsia" w:ascii="仿宋" w:hAnsi="仿宋" w:eastAsia="仿宋" w:cs="仿宋"/>
          <w:iCs/>
          <w:color w:val="auto"/>
          <w:spacing w:val="-11"/>
          <w:kern w:val="0"/>
          <w:sz w:val="24"/>
          <w:szCs w:val="24"/>
        </w:rPr>
        <w:t>采购需求</w:t>
      </w:r>
      <w:r>
        <w:rPr>
          <w:rFonts w:hint="eastAsia" w:ascii="仿宋" w:hAnsi="仿宋" w:eastAsia="仿宋" w:cs="仿宋"/>
          <w:color w:val="auto"/>
          <w:spacing w:val="-11"/>
          <w:sz w:val="24"/>
          <w:szCs w:val="24"/>
        </w:rPr>
        <w:t>”所要求内容。</w:t>
      </w:r>
    </w:p>
    <w:p w14:paraId="10584C6F">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186" w:name="_Toc62031138"/>
      <w:bookmarkStart w:id="187" w:name="_Toc30150"/>
      <w:bookmarkStart w:id="188" w:name="_Toc16361"/>
      <w:bookmarkStart w:id="189" w:name="_Toc16166"/>
      <w:bookmarkStart w:id="190" w:name="_Toc11120"/>
      <w:bookmarkStart w:id="191" w:name="_Toc18719"/>
      <w:r>
        <w:rPr>
          <w:rFonts w:hint="eastAsia" w:ascii="仿宋" w:hAnsi="仿宋" w:eastAsia="仿宋" w:cs="仿宋"/>
          <w:color w:val="auto"/>
          <w:sz w:val="24"/>
          <w:szCs w:val="24"/>
        </w:rPr>
        <w:t>采购内容及</w:t>
      </w:r>
      <w:bookmarkEnd w:id="186"/>
      <w:bookmarkEnd w:id="187"/>
      <w:r>
        <w:rPr>
          <w:rFonts w:hint="eastAsia" w:ascii="仿宋" w:hAnsi="仿宋" w:eastAsia="仿宋" w:cs="仿宋"/>
          <w:color w:val="auto"/>
          <w:sz w:val="24"/>
          <w:szCs w:val="24"/>
        </w:rPr>
        <w:t>合同履行期限</w:t>
      </w:r>
      <w:bookmarkEnd w:id="188"/>
      <w:bookmarkEnd w:id="189"/>
      <w:bookmarkEnd w:id="190"/>
      <w:bookmarkEnd w:id="191"/>
    </w:p>
    <w:p w14:paraId="3562BAC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3.1 本项目采购内容：见“</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w:t>
      </w:r>
    </w:p>
    <w:p w14:paraId="3871A2B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3.2 本项目合同履行期限：见“</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w:t>
      </w:r>
    </w:p>
    <w:p w14:paraId="599AE632">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192" w:name="_Toc10420"/>
      <w:bookmarkStart w:id="193" w:name="_Toc31154"/>
      <w:bookmarkStart w:id="194" w:name="_Toc62031139"/>
      <w:bookmarkStart w:id="195" w:name="_Toc12296"/>
      <w:bookmarkStart w:id="196" w:name="_Toc22"/>
      <w:bookmarkStart w:id="197" w:name="_Toc20816"/>
      <w:r>
        <w:rPr>
          <w:rFonts w:hint="eastAsia" w:ascii="仿宋" w:hAnsi="仿宋" w:eastAsia="仿宋" w:cs="仿宋"/>
          <w:color w:val="auto"/>
          <w:sz w:val="24"/>
          <w:szCs w:val="24"/>
        </w:rPr>
        <w:t>合格的</w:t>
      </w:r>
      <w:bookmarkEnd w:id="192"/>
      <w:bookmarkEnd w:id="193"/>
      <w:bookmarkEnd w:id="194"/>
      <w:bookmarkEnd w:id="195"/>
      <w:r>
        <w:rPr>
          <w:rFonts w:hint="eastAsia" w:ascii="仿宋" w:hAnsi="仿宋" w:eastAsia="仿宋" w:cs="仿宋"/>
          <w:color w:val="auto"/>
          <w:sz w:val="24"/>
          <w:szCs w:val="24"/>
        </w:rPr>
        <w:t>投标人</w:t>
      </w:r>
      <w:bookmarkEnd w:id="196"/>
      <w:bookmarkEnd w:id="197"/>
    </w:p>
    <w:p w14:paraId="7C2ACF6B">
      <w:pPr>
        <w:spacing w:line="360" w:lineRule="auto"/>
        <w:ind w:firstLine="436" w:firstLineChars="200"/>
        <w:jc w:val="left"/>
        <w:rPr>
          <w:rFonts w:hint="eastAsia" w:ascii="仿宋" w:hAnsi="仿宋" w:eastAsia="仿宋" w:cs="仿宋"/>
          <w:color w:val="auto"/>
          <w:spacing w:val="-11"/>
          <w:sz w:val="24"/>
          <w:szCs w:val="24"/>
        </w:rPr>
      </w:pPr>
      <w:r>
        <w:rPr>
          <w:rFonts w:hint="eastAsia" w:ascii="仿宋" w:hAnsi="仿宋" w:eastAsia="仿宋" w:cs="仿宋"/>
          <w:color w:val="auto"/>
          <w:spacing w:val="-11"/>
          <w:sz w:val="24"/>
          <w:szCs w:val="24"/>
        </w:rPr>
        <w:t>4.1 投标人应具备《中华人民共和国政府采购法》第二十二条规定的条件见</w:t>
      </w:r>
      <w:r>
        <w:rPr>
          <w:rFonts w:hint="eastAsia" w:ascii="仿宋" w:hAnsi="仿宋" w:eastAsia="仿宋" w:cs="仿宋"/>
          <w:b/>
          <w:color w:val="auto"/>
          <w:spacing w:val="-11"/>
          <w:sz w:val="24"/>
          <w:szCs w:val="24"/>
        </w:rPr>
        <w:t>“投标人须知前附表”</w:t>
      </w:r>
      <w:r>
        <w:rPr>
          <w:rFonts w:hint="eastAsia" w:ascii="仿宋" w:hAnsi="仿宋" w:eastAsia="仿宋" w:cs="仿宋"/>
          <w:color w:val="auto"/>
          <w:spacing w:val="-11"/>
          <w:sz w:val="24"/>
          <w:szCs w:val="24"/>
        </w:rPr>
        <w:t>。</w:t>
      </w:r>
    </w:p>
    <w:p w14:paraId="7C5AFC23">
      <w:pPr>
        <w:spacing w:line="360" w:lineRule="auto"/>
        <w:ind w:firstLine="456" w:firstLineChars="200"/>
        <w:jc w:val="left"/>
        <w:rPr>
          <w:rFonts w:hint="eastAsia" w:ascii="仿宋" w:hAnsi="仿宋" w:eastAsia="仿宋" w:cs="仿宋"/>
          <w:color w:val="auto"/>
          <w:sz w:val="24"/>
          <w:szCs w:val="24"/>
        </w:rPr>
      </w:pPr>
      <w:r>
        <w:rPr>
          <w:rFonts w:hint="eastAsia" w:ascii="仿宋" w:hAnsi="仿宋" w:eastAsia="仿宋" w:cs="仿宋"/>
          <w:color w:val="auto"/>
          <w:spacing w:val="-6"/>
          <w:sz w:val="24"/>
          <w:szCs w:val="24"/>
        </w:rPr>
        <w:t>4.2 投标人应符合采购人根据采购项目的特殊要求规定的特定资格要求见</w:t>
      </w:r>
      <w:r>
        <w:rPr>
          <w:rFonts w:hint="eastAsia" w:ascii="仿宋" w:hAnsi="仿宋" w:eastAsia="仿宋" w:cs="仿宋"/>
          <w:b/>
          <w:color w:val="auto"/>
          <w:spacing w:val="-6"/>
          <w:sz w:val="24"/>
          <w:szCs w:val="24"/>
        </w:rPr>
        <w:t>“投标人须知前附表”</w:t>
      </w:r>
      <w:r>
        <w:rPr>
          <w:rFonts w:hint="eastAsia" w:ascii="仿宋" w:hAnsi="仿宋" w:eastAsia="仿宋" w:cs="仿宋"/>
          <w:color w:val="auto"/>
          <w:spacing w:val="-6"/>
          <w:sz w:val="24"/>
          <w:szCs w:val="24"/>
        </w:rPr>
        <w:t>。</w:t>
      </w:r>
    </w:p>
    <w:p w14:paraId="50BE2A75">
      <w:pPr>
        <w:tabs>
          <w:tab w:val="left" w:pos="1260"/>
        </w:tabs>
        <w:spacing w:line="360" w:lineRule="auto"/>
        <w:ind w:left="420" w:leftChars="200"/>
        <w:rPr>
          <w:rFonts w:hint="eastAsia" w:ascii="仿宋" w:hAnsi="仿宋" w:eastAsia="仿宋" w:cs="仿宋"/>
          <w:color w:val="auto"/>
          <w:sz w:val="24"/>
          <w:szCs w:val="24"/>
        </w:rPr>
      </w:pPr>
      <w:r>
        <w:rPr>
          <w:rFonts w:hint="eastAsia" w:ascii="仿宋" w:hAnsi="仿宋" w:eastAsia="仿宋" w:cs="仿宋"/>
          <w:color w:val="auto"/>
          <w:sz w:val="24"/>
          <w:szCs w:val="24"/>
        </w:rPr>
        <w:t>4.3 投标人存在下列情况之一的，投标无效：</w:t>
      </w:r>
    </w:p>
    <w:p w14:paraId="0BBC82E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(1)未按照招标文件的规定提交投标保证金的；</w:t>
      </w:r>
    </w:p>
    <w:p w14:paraId="1E22B9D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(2)投标文件未按招标文件要求签署、盖章的；</w:t>
      </w:r>
    </w:p>
    <w:p w14:paraId="79E9F0E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(3)不具备招标文件中规定的资格要求的；</w:t>
      </w:r>
    </w:p>
    <w:p w14:paraId="3D66860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(4)报价超过招标文件中规定的预算金额或者最高限价的；</w:t>
      </w:r>
    </w:p>
    <w:p w14:paraId="6CF5D28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(5)投标文件含有采购人不能接受的附加条件的；</w:t>
      </w:r>
    </w:p>
    <w:p w14:paraId="5EFA61F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(6)法律、法规和招标文件规定的其他无效情形。</w:t>
      </w:r>
    </w:p>
    <w:p w14:paraId="38F7395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 有下列情形之一的，视为投标人串通投标，其投标无效：</w:t>
      </w:r>
    </w:p>
    <w:p w14:paraId="7D63DD6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(1)不同投标人的投标文件由同一单位或者个人编制；</w:t>
      </w:r>
    </w:p>
    <w:p w14:paraId="5A8E44A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(2)不同投标人委托同一单位或者个人办理投标事宜；</w:t>
      </w:r>
    </w:p>
    <w:p w14:paraId="18DC063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(3)不同投标人的投标文件载明的项目管理成员或者联系人员为同一人；</w:t>
      </w:r>
    </w:p>
    <w:p w14:paraId="74C96B7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(4)不同投标人的投标文件异常一致或者投标报价呈规律性差异；</w:t>
      </w:r>
    </w:p>
    <w:p w14:paraId="116CF32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(5)不同投标人的投标文件相互混装；</w:t>
      </w:r>
    </w:p>
    <w:p w14:paraId="1BD7D30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(6)不同投标人的投标保证金从同一单位或者个人的账户转出。</w:t>
      </w:r>
    </w:p>
    <w:p w14:paraId="1741905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4.5 符合上述条件的投标人应承担投标及履约中应承担的全部责任与义务。</w:t>
      </w:r>
    </w:p>
    <w:p w14:paraId="51A7BD4D">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198" w:name="_Toc30387"/>
      <w:bookmarkStart w:id="199" w:name="_Toc18113"/>
      <w:bookmarkStart w:id="200" w:name="_Toc24398"/>
      <w:bookmarkStart w:id="201" w:name="_Toc16398"/>
      <w:bookmarkStart w:id="202" w:name="_Toc5876"/>
      <w:r>
        <w:rPr>
          <w:rFonts w:hint="eastAsia" w:ascii="仿宋" w:hAnsi="仿宋" w:eastAsia="仿宋" w:cs="仿宋"/>
          <w:color w:val="auto"/>
          <w:sz w:val="24"/>
          <w:szCs w:val="24"/>
        </w:rPr>
        <w:t>投标费用</w:t>
      </w:r>
      <w:bookmarkEnd w:id="198"/>
      <w:bookmarkEnd w:id="199"/>
      <w:bookmarkEnd w:id="200"/>
      <w:bookmarkEnd w:id="201"/>
      <w:bookmarkEnd w:id="202"/>
    </w:p>
    <w:p w14:paraId="43128691">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5.1 不论投标结果如何，投标人均应自行承担所有与准备和参加投标活动有关的全部费用。</w:t>
      </w:r>
    </w:p>
    <w:p w14:paraId="6C3926B3">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03" w:name="_Toc4698"/>
      <w:bookmarkStart w:id="204" w:name="_Toc23870"/>
      <w:bookmarkStart w:id="205" w:name="_Toc22767"/>
      <w:bookmarkStart w:id="206" w:name="_Toc28762"/>
      <w:bookmarkStart w:id="207" w:name="_Toc20427"/>
      <w:r>
        <w:rPr>
          <w:rFonts w:hint="eastAsia" w:ascii="仿宋" w:hAnsi="仿宋" w:eastAsia="仿宋" w:cs="仿宋"/>
          <w:color w:val="auto"/>
          <w:sz w:val="24"/>
          <w:szCs w:val="24"/>
        </w:rPr>
        <w:t>质疑和投诉</w:t>
      </w:r>
      <w:bookmarkEnd w:id="203"/>
      <w:bookmarkEnd w:id="204"/>
      <w:bookmarkEnd w:id="205"/>
      <w:bookmarkEnd w:id="206"/>
      <w:bookmarkEnd w:id="207"/>
    </w:p>
    <w:p w14:paraId="714D18D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442AB7B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6.2投标人知其权益受到损害之日，是指：</w:t>
      </w:r>
    </w:p>
    <w:p w14:paraId="0583A82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①对可以质疑的采购文件提出质疑的，为收到采购文件之日或者采购文件公告期限届满之日；</w:t>
      </w:r>
    </w:p>
    <w:p w14:paraId="36E66A3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②对采购过程提出质疑的，为各采购程序环节结束之日；</w:t>
      </w:r>
    </w:p>
    <w:p w14:paraId="6FB4862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③对中标或者成交结果提出质疑的，为中标或者成交结果公告期限届满之日。</w:t>
      </w:r>
    </w:p>
    <w:p w14:paraId="1B414E0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1191054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6.4提出质疑的投标人应当是参与所质疑项目采购活动的投标人。其中，对采购文件质疑的，应当是已依法获取其可质疑的采购文件的潜在投标人。</w:t>
      </w:r>
    </w:p>
    <w:p w14:paraId="1F0BC4D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60BE64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（一）投标人的姓名或者名称、地址、邮编、联系人及联系电话；</w:t>
      </w:r>
    </w:p>
    <w:p w14:paraId="53E9728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（二）质疑项目的名称、编号；</w:t>
      </w:r>
    </w:p>
    <w:p w14:paraId="456E010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（三）具体、明确的质疑事项和与质疑事项相关的请求；</w:t>
      </w:r>
    </w:p>
    <w:p w14:paraId="20A9F51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（四）事实依据；</w:t>
      </w:r>
    </w:p>
    <w:p w14:paraId="315BA47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（五）必要的法律依据；</w:t>
      </w:r>
    </w:p>
    <w:p w14:paraId="312DF41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（六）提出质疑的日期。</w:t>
      </w:r>
    </w:p>
    <w:p w14:paraId="695B910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6.6投标人为自然人的，应当由本人签字；投标人为法人或者其他组织的，应当由法定代表人、主要负责人，或者其授权代表签字或者盖章，并加盖公章。</w:t>
      </w:r>
    </w:p>
    <w:p w14:paraId="3C9F383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6.7投标人不得捏造事实、提供虚假材料或者以非法手段取得证明材料。</w:t>
      </w:r>
    </w:p>
    <w:p w14:paraId="1B76F43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103FCFA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6.9采购人、采购代理机构将在收到投标人质疑函后七个工作日内作出答复，但质疑答复的内容不涉及商业秘密。</w:t>
      </w:r>
    </w:p>
    <w:p w14:paraId="1C70B37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042C27B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6.11接收质疑的方式</w:t>
      </w:r>
    </w:p>
    <w:p w14:paraId="0A62EB7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受理质疑部门：云南国合建设招标咨询有限公司</w:t>
      </w:r>
    </w:p>
    <w:p w14:paraId="7FE4CB5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通讯地址：昆明市盘龙区长青路94号现代广场16楼</w:t>
      </w:r>
    </w:p>
    <w:p w14:paraId="06C565F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联系人及电话：同本项目公告中明示的联系人及联系电话。</w:t>
      </w:r>
    </w:p>
    <w:p w14:paraId="441D1FD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6.12投诉人必须首先经过质疑程序，在对采购人、采购代理机构的答复不满意，或者采购人、采购代理机构未在规定的时间内做出答复的，可以在答复期满后十五个工作日内书面向同级政府采购监督管理部门投诉。</w:t>
      </w:r>
    </w:p>
    <w:p w14:paraId="0211D866">
      <w:pPr>
        <w:widowControl/>
        <w:spacing w:line="360" w:lineRule="auto"/>
        <w:jc w:val="center"/>
        <w:outlineLvl w:val="1"/>
        <w:rPr>
          <w:rFonts w:hint="eastAsia" w:ascii="仿宋" w:hAnsi="仿宋" w:eastAsia="仿宋" w:cs="仿宋"/>
          <w:b/>
          <w:bCs/>
          <w:color w:val="auto"/>
          <w:sz w:val="24"/>
          <w:szCs w:val="24"/>
        </w:rPr>
      </w:pPr>
      <w:bookmarkStart w:id="208" w:name="_Toc4772"/>
      <w:bookmarkStart w:id="209" w:name="_Toc1134"/>
      <w:bookmarkStart w:id="210" w:name="_Toc6881"/>
      <w:bookmarkStart w:id="211" w:name="_Toc31257"/>
      <w:r>
        <w:rPr>
          <w:rFonts w:hint="eastAsia" w:ascii="仿宋" w:hAnsi="仿宋" w:eastAsia="仿宋" w:cs="仿宋"/>
          <w:b/>
          <w:bCs/>
          <w:color w:val="auto"/>
          <w:sz w:val="24"/>
          <w:szCs w:val="24"/>
        </w:rPr>
        <w:t>二、招标文件</w:t>
      </w:r>
      <w:bookmarkEnd w:id="208"/>
      <w:bookmarkEnd w:id="209"/>
      <w:bookmarkEnd w:id="210"/>
      <w:bookmarkEnd w:id="211"/>
    </w:p>
    <w:p w14:paraId="1141B57C">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12" w:name="_Toc25548"/>
      <w:bookmarkStart w:id="213" w:name="_Toc5633"/>
      <w:bookmarkStart w:id="214" w:name="_Toc62031142"/>
      <w:bookmarkStart w:id="215" w:name="_Toc12686"/>
      <w:bookmarkStart w:id="216" w:name="_Toc26494"/>
      <w:bookmarkStart w:id="217" w:name="_Toc13436"/>
      <w:r>
        <w:rPr>
          <w:rFonts w:hint="eastAsia" w:ascii="仿宋" w:hAnsi="仿宋" w:eastAsia="仿宋" w:cs="仿宋"/>
          <w:color w:val="auto"/>
          <w:sz w:val="24"/>
          <w:szCs w:val="24"/>
        </w:rPr>
        <w:t>招标文件构成</w:t>
      </w:r>
      <w:bookmarkEnd w:id="212"/>
      <w:bookmarkEnd w:id="213"/>
      <w:bookmarkEnd w:id="214"/>
      <w:bookmarkEnd w:id="215"/>
      <w:bookmarkEnd w:id="216"/>
      <w:bookmarkEnd w:id="217"/>
    </w:p>
    <w:p w14:paraId="7ED0261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7.1 要求提供的项目、采购过程及合同条款在招标文件中均有说明，招标文件共七章，各章的内容如下：</w:t>
      </w:r>
    </w:p>
    <w:p w14:paraId="20F21555">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第一章  招标公告</w:t>
      </w:r>
    </w:p>
    <w:p w14:paraId="73D720ED">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第二章  投标人须知</w:t>
      </w:r>
    </w:p>
    <w:p w14:paraId="0D8A4CEA">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第三章  资格审查</w:t>
      </w:r>
    </w:p>
    <w:p w14:paraId="438169A3">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第四章  评标办法</w:t>
      </w:r>
    </w:p>
    <w:p w14:paraId="10ED22A9">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第五章  合同书样式及主要条款</w:t>
      </w:r>
    </w:p>
    <w:p w14:paraId="69D32C36">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第六章  采购需求</w:t>
      </w:r>
    </w:p>
    <w:p w14:paraId="1CEB6E27">
      <w:pPr>
        <w:spacing w:line="360" w:lineRule="auto"/>
        <w:ind w:firstLine="410" w:firstLineChars="171"/>
        <w:jc w:val="left"/>
        <w:rPr>
          <w:rFonts w:hint="eastAsia" w:ascii="仿宋" w:hAnsi="仿宋" w:eastAsia="仿宋" w:cs="仿宋"/>
          <w:color w:val="auto"/>
          <w:sz w:val="24"/>
          <w:szCs w:val="24"/>
        </w:rPr>
      </w:pPr>
      <w:r>
        <w:rPr>
          <w:rFonts w:hint="eastAsia" w:ascii="仿宋" w:hAnsi="仿宋" w:eastAsia="仿宋" w:cs="仿宋"/>
          <w:color w:val="auto"/>
          <w:sz w:val="24"/>
          <w:szCs w:val="24"/>
        </w:rPr>
        <w:t>第七章  投标文件格式</w:t>
      </w:r>
    </w:p>
    <w:p w14:paraId="18260C74">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18" w:name="_Toc12534"/>
      <w:bookmarkStart w:id="219" w:name="_Toc6411"/>
      <w:bookmarkStart w:id="220" w:name="_Toc30200"/>
      <w:bookmarkStart w:id="221" w:name="_Toc31397"/>
      <w:bookmarkStart w:id="222" w:name="_Toc20353"/>
      <w:bookmarkStart w:id="223" w:name="_Toc62031143"/>
      <w:r>
        <w:rPr>
          <w:rFonts w:hint="eastAsia" w:ascii="仿宋" w:hAnsi="仿宋" w:eastAsia="仿宋" w:cs="仿宋"/>
          <w:color w:val="auto"/>
          <w:sz w:val="24"/>
          <w:szCs w:val="24"/>
        </w:rPr>
        <w:t>招标文件的澄清</w:t>
      </w:r>
      <w:bookmarkEnd w:id="218"/>
      <w:bookmarkEnd w:id="219"/>
      <w:bookmarkEnd w:id="220"/>
      <w:bookmarkEnd w:id="221"/>
      <w:bookmarkEnd w:id="222"/>
      <w:bookmarkEnd w:id="223"/>
    </w:p>
    <w:p w14:paraId="53201344">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8.1 投标人应认真审核第六章“采购需求”中的采购内容及要求，如发现采购内容有误或要求不合理的，投标人必须在“</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”规定截止时间前以书面形式（加盖公章）要求采购代理机构澄清，截止时间后送达的澄清要求概不接受，由此产生的后果由投标人负责。</w:t>
      </w:r>
    </w:p>
    <w:p w14:paraId="06C637E9">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8.2 采购代理机构将以书面或网上发布公告形式答复所有获取招标文件的投标人（答复中不包含问题的来源）要求澄清的问题，其他澄清方式无效。</w:t>
      </w:r>
    </w:p>
    <w:p w14:paraId="41D19B08">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8.3 招标文件澄清联系方式见“</w:t>
      </w:r>
      <w:r>
        <w:rPr>
          <w:rFonts w:hint="eastAsia" w:ascii="仿宋" w:hAnsi="仿宋" w:eastAsia="仿宋" w:cs="仿宋"/>
          <w:b/>
          <w:color w:val="auto"/>
          <w:sz w:val="24"/>
          <w:szCs w:val="24"/>
        </w:rPr>
        <w:t>投标人须知前附表”。</w:t>
      </w:r>
    </w:p>
    <w:p w14:paraId="2E9C20BB">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24" w:name="_Toc23990"/>
      <w:bookmarkStart w:id="225" w:name="_Toc10529"/>
      <w:bookmarkStart w:id="226" w:name="_Toc7906"/>
      <w:bookmarkStart w:id="227" w:name="_Toc62031144"/>
      <w:bookmarkStart w:id="228" w:name="_Toc10674"/>
      <w:bookmarkStart w:id="229" w:name="_Toc1486"/>
      <w:r>
        <w:rPr>
          <w:rFonts w:hint="eastAsia" w:ascii="仿宋" w:hAnsi="仿宋" w:eastAsia="仿宋" w:cs="仿宋"/>
          <w:color w:val="auto"/>
          <w:sz w:val="24"/>
          <w:szCs w:val="24"/>
        </w:rPr>
        <w:t>招标文件的修改</w:t>
      </w:r>
      <w:bookmarkEnd w:id="224"/>
      <w:bookmarkEnd w:id="225"/>
      <w:bookmarkEnd w:id="226"/>
      <w:bookmarkEnd w:id="227"/>
      <w:bookmarkEnd w:id="228"/>
      <w:bookmarkEnd w:id="229"/>
    </w:p>
    <w:p w14:paraId="3D72855B">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9.1 采购代理机构对已发出的招标文件进行必要澄清或者修改的，于招标文件要求提交投标文件截止时间十五日前，在采购信息发布媒体上发布更正公告，并以书面形式通知所有招标文件收受人。该澄清或者修改的内容为招标文件的组成部分。</w:t>
      </w:r>
    </w:p>
    <w:p w14:paraId="34CF008D">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588F09BF">
      <w:pPr>
        <w:widowControl/>
        <w:spacing w:line="360" w:lineRule="auto"/>
        <w:jc w:val="center"/>
        <w:outlineLvl w:val="1"/>
        <w:rPr>
          <w:rFonts w:hint="eastAsia" w:ascii="仿宋" w:hAnsi="仿宋" w:eastAsia="仿宋" w:cs="仿宋"/>
          <w:b/>
          <w:bCs/>
          <w:color w:val="auto"/>
          <w:sz w:val="24"/>
          <w:szCs w:val="24"/>
        </w:rPr>
      </w:pPr>
      <w:bookmarkStart w:id="230" w:name="_Toc29902"/>
      <w:bookmarkStart w:id="231" w:name="_Toc22405"/>
      <w:bookmarkStart w:id="232" w:name="_Toc28717"/>
      <w:bookmarkStart w:id="233" w:name="_Toc30225"/>
      <w:r>
        <w:rPr>
          <w:rFonts w:hint="eastAsia" w:ascii="仿宋" w:hAnsi="仿宋" w:eastAsia="仿宋" w:cs="仿宋"/>
          <w:b/>
          <w:bCs/>
          <w:color w:val="auto"/>
          <w:sz w:val="24"/>
          <w:szCs w:val="24"/>
        </w:rPr>
        <w:t>三、投标文件的编制</w:t>
      </w:r>
      <w:bookmarkEnd w:id="230"/>
      <w:bookmarkEnd w:id="231"/>
      <w:bookmarkEnd w:id="232"/>
      <w:bookmarkEnd w:id="233"/>
    </w:p>
    <w:p w14:paraId="16B9C59E">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34" w:name="_Toc22528"/>
      <w:bookmarkStart w:id="235" w:name="_Toc11854"/>
      <w:bookmarkStart w:id="236" w:name="_Toc62031145"/>
      <w:bookmarkStart w:id="237" w:name="_Toc22912"/>
      <w:bookmarkStart w:id="238" w:name="_Toc9589"/>
      <w:bookmarkStart w:id="239" w:name="_Toc31000"/>
      <w:r>
        <w:rPr>
          <w:rFonts w:hint="eastAsia" w:ascii="仿宋" w:hAnsi="仿宋" w:eastAsia="仿宋" w:cs="仿宋"/>
          <w:color w:val="auto"/>
          <w:sz w:val="24"/>
          <w:szCs w:val="24"/>
        </w:rPr>
        <w:t>投标文件编写注意事项</w:t>
      </w:r>
      <w:bookmarkEnd w:id="234"/>
      <w:bookmarkEnd w:id="235"/>
      <w:bookmarkEnd w:id="236"/>
      <w:bookmarkEnd w:id="237"/>
      <w:bookmarkEnd w:id="238"/>
      <w:bookmarkEnd w:id="239"/>
    </w:p>
    <w:p w14:paraId="66C37940">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color w:val="auto"/>
          <w:spacing w:val="-6"/>
          <w:sz w:val="24"/>
          <w:szCs w:val="24"/>
        </w:rPr>
        <w:t>资料，没有对招标文件的实质性要求和条件作出响应是投标人的风险，并可能导致该投标被拒绝。</w:t>
      </w:r>
    </w:p>
    <w:p w14:paraId="3740A0DE">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10.2对招标文件提出的实质性要求和条件作出响应是指投标人必须对招标文件中标明</w:t>
      </w:r>
      <w:r>
        <w:rPr>
          <w:rFonts w:hint="eastAsia" w:ascii="仿宋" w:hAnsi="仿宋" w:eastAsia="仿宋" w:cs="仿宋"/>
          <w:b/>
          <w:bCs/>
          <w:color w:val="auto"/>
          <w:sz w:val="24"/>
          <w:szCs w:val="24"/>
        </w:rPr>
        <w:t>的实质性要求和条件、合同主要条款及其它要求等内容作出满足或者优于原要求和条件的承</w:t>
      </w:r>
      <w:r>
        <w:rPr>
          <w:rFonts w:hint="eastAsia" w:ascii="仿宋" w:hAnsi="仿宋" w:eastAsia="仿宋" w:cs="仿宋"/>
          <w:color w:val="auto"/>
          <w:sz w:val="24"/>
          <w:szCs w:val="24"/>
        </w:rPr>
        <w:t>诺。</w:t>
      </w:r>
    </w:p>
    <w:p w14:paraId="247E6EDE">
      <w:pPr>
        <w:spacing w:line="360" w:lineRule="auto"/>
        <w:ind w:firstLine="470" w:firstLineChars="196"/>
        <w:jc w:val="left"/>
        <w:rPr>
          <w:rFonts w:hint="eastAsia" w:ascii="仿宋" w:hAnsi="仿宋" w:eastAsia="仿宋" w:cs="仿宋"/>
          <w:b/>
          <w:bCs/>
          <w:color w:val="auto"/>
          <w:sz w:val="24"/>
          <w:szCs w:val="24"/>
        </w:rPr>
      </w:pPr>
      <w:r>
        <w:rPr>
          <w:rFonts w:hint="eastAsia" w:ascii="仿宋" w:hAnsi="仿宋" w:eastAsia="仿宋" w:cs="仿宋"/>
          <w:bCs/>
          <w:color w:val="auto"/>
          <w:sz w:val="24"/>
          <w:szCs w:val="24"/>
        </w:rPr>
        <w:t xml:space="preserve">10.3 </w:t>
      </w:r>
      <w:r>
        <w:rPr>
          <w:rFonts w:hint="eastAsia" w:ascii="仿宋" w:hAnsi="仿宋" w:eastAsia="仿宋" w:cs="仿宋"/>
          <w:b/>
          <w:bCs/>
          <w:color w:val="auto"/>
          <w:sz w:val="24"/>
          <w:szCs w:val="24"/>
        </w:rPr>
        <w:t>招标文件中的实质性要求和条件详见“投标人须知前附表”。</w:t>
      </w:r>
    </w:p>
    <w:p w14:paraId="31E1B8C1">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40" w:name="_Toc12107"/>
      <w:bookmarkStart w:id="241" w:name="_Toc21502"/>
      <w:bookmarkStart w:id="242" w:name="_Toc3724"/>
      <w:bookmarkStart w:id="243" w:name="_Toc62031146"/>
      <w:bookmarkStart w:id="244" w:name="_Toc15035"/>
      <w:bookmarkStart w:id="245" w:name="_Toc11322"/>
      <w:r>
        <w:rPr>
          <w:rFonts w:hint="eastAsia" w:ascii="仿宋" w:hAnsi="仿宋" w:eastAsia="仿宋" w:cs="仿宋"/>
          <w:color w:val="auto"/>
          <w:sz w:val="24"/>
          <w:szCs w:val="24"/>
        </w:rPr>
        <w:t>投标的语言及计量单位</w:t>
      </w:r>
      <w:bookmarkEnd w:id="240"/>
      <w:bookmarkEnd w:id="241"/>
      <w:bookmarkEnd w:id="242"/>
      <w:bookmarkEnd w:id="243"/>
      <w:bookmarkEnd w:id="244"/>
      <w:bookmarkEnd w:id="245"/>
    </w:p>
    <w:p w14:paraId="41FC0434">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 投标人的投标文件以及投标人与采购代理机构就有关投标的所有来往函电统一使用中文（特别规定除外）。</w:t>
      </w:r>
    </w:p>
    <w:p w14:paraId="066DFFE1">
      <w:pPr>
        <w:spacing w:line="360" w:lineRule="auto"/>
        <w:ind w:firstLine="456" w:firstLineChars="200"/>
        <w:jc w:val="lef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11.2 投标文件中使用的计量单位除招标文件中有特殊规定外，一律使用中国法定计量单位。</w:t>
      </w:r>
    </w:p>
    <w:p w14:paraId="7AC65C43">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46" w:name="_Toc14599"/>
      <w:bookmarkStart w:id="247" w:name="_Toc27745"/>
      <w:bookmarkStart w:id="248" w:name="_Toc8622"/>
      <w:bookmarkStart w:id="249" w:name="_Toc20777"/>
      <w:bookmarkStart w:id="250" w:name="_Toc31750"/>
      <w:r>
        <w:rPr>
          <w:rFonts w:hint="eastAsia" w:ascii="仿宋" w:hAnsi="仿宋" w:eastAsia="仿宋" w:cs="仿宋"/>
          <w:color w:val="auto"/>
          <w:sz w:val="24"/>
          <w:szCs w:val="24"/>
        </w:rPr>
        <w:t>投标文件构成</w:t>
      </w:r>
      <w:bookmarkEnd w:id="246"/>
      <w:bookmarkEnd w:id="247"/>
      <w:bookmarkEnd w:id="248"/>
      <w:bookmarkEnd w:id="249"/>
      <w:bookmarkEnd w:id="250"/>
    </w:p>
    <w:p w14:paraId="0E9AC6F4">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12.1投标文件构成详见第七章</w:t>
      </w:r>
      <w:r>
        <w:rPr>
          <w:rFonts w:hint="eastAsia" w:ascii="仿宋" w:hAnsi="仿宋" w:eastAsia="仿宋" w:cs="仿宋"/>
          <w:b/>
          <w:bCs/>
          <w:color w:val="auto"/>
          <w:sz w:val="24"/>
          <w:szCs w:val="24"/>
        </w:rPr>
        <w:t>“投标文件格式”</w:t>
      </w:r>
      <w:r>
        <w:rPr>
          <w:rFonts w:hint="eastAsia" w:ascii="仿宋" w:hAnsi="仿宋" w:eastAsia="仿宋" w:cs="仿宋"/>
          <w:b/>
          <w:color w:val="auto"/>
          <w:sz w:val="24"/>
          <w:szCs w:val="24"/>
        </w:rPr>
        <w:t>。</w:t>
      </w:r>
    </w:p>
    <w:p w14:paraId="6828E22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b/>
          <w:color w:val="auto"/>
          <w:sz w:val="24"/>
          <w:szCs w:val="24"/>
        </w:rPr>
        <w:t>未按规定格式填写的投标人将不能通过符合性评审。</w:t>
      </w:r>
    </w:p>
    <w:p w14:paraId="4E8F380C">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51" w:name="_Toc11242"/>
      <w:bookmarkStart w:id="252" w:name="_Toc62031147"/>
      <w:bookmarkStart w:id="253" w:name="_Toc943"/>
      <w:bookmarkStart w:id="254" w:name="_Toc7808"/>
      <w:bookmarkStart w:id="255" w:name="_Toc6587"/>
      <w:bookmarkStart w:id="256" w:name="_Toc4189"/>
      <w:r>
        <w:rPr>
          <w:rFonts w:hint="eastAsia" w:ascii="仿宋" w:hAnsi="仿宋" w:eastAsia="仿宋" w:cs="仿宋"/>
          <w:color w:val="auto"/>
          <w:sz w:val="24"/>
          <w:szCs w:val="24"/>
        </w:rPr>
        <w:t>投标文件的格式要求</w:t>
      </w:r>
      <w:bookmarkEnd w:id="251"/>
      <w:bookmarkEnd w:id="252"/>
      <w:bookmarkEnd w:id="253"/>
      <w:bookmarkEnd w:id="254"/>
      <w:bookmarkEnd w:id="255"/>
      <w:bookmarkEnd w:id="256"/>
    </w:p>
    <w:p w14:paraId="54F9003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（1）投标人应按第七章“</w:t>
      </w:r>
      <w:r>
        <w:rPr>
          <w:rFonts w:hint="eastAsia" w:ascii="仿宋" w:hAnsi="仿宋" w:eastAsia="仿宋" w:cs="仿宋"/>
          <w:b/>
          <w:color w:val="auto"/>
          <w:sz w:val="24"/>
          <w:szCs w:val="24"/>
        </w:rPr>
        <w:t>投标文件格式</w:t>
      </w:r>
      <w:r>
        <w:rPr>
          <w:rFonts w:hint="eastAsia" w:ascii="仿宋" w:hAnsi="仿宋" w:eastAsia="仿宋" w:cs="仿宋"/>
          <w:color w:val="auto"/>
          <w:sz w:val="24"/>
          <w:szCs w:val="24"/>
        </w:rPr>
        <w:t>”提供的格式完整地填写。</w:t>
      </w:r>
    </w:p>
    <w:p w14:paraId="427A34A2">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57" w:name="_Toc62031148"/>
      <w:bookmarkStart w:id="258" w:name="_Toc19616"/>
      <w:bookmarkStart w:id="259" w:name="_Toc9255"/>
      <w:bookmarkStart w:id="260" w:name="_Toc1860"/>
      <w:bookmarkStart w:id="261" w:name="_Toc26016"/>
      <w:bookmarkStart w:id="262" w:name="_Toc1942"/>
      <w:r>
        <w:rPr>
          <w:rFonts w:hint="eastAsia" w:ascii="仿宋" w:hAnsi="仿宋" w:eastAsia="仿宋" w:cs="仿宋"/>
          <w:color w:val="auto"/>
          <w:sz w:val="24"/>
          <w:szCs w:val="24"/>
        </w:rPr>
        <w:t>投标报价</w:t>
      </w:r>
      <w:bookmarkEnd w:id="257"/>
      <w:bookmarkEnd w:id="258"/>
      <w:bookmarkEnd w:id="259"/>
      <w:bookmarkEnd w:id="260"/>
      <w:bookmarkEnd w:id="261"/>
      <w:bookmarkEnd w:id="262"/>
    </w:p>
    <w:p w14:paraId="25585E8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14.1报价为下浮率，下浮率≥0%，报价不得为负值（即不允许上浮报价）。</w:t>
      </w:r>
    </w:p>
    <w:p w14:paraId="47A3A53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14.2 投标人须就“</w:t>
      </w:r>
      <w:r>
        <w:rPr>
          <w:rFonts w:hint="eastAsia" w:ascii="仿宋" w:hAnsi="仿宋" w:eastAsia="仿宋" w:cs="仿宋"/>
          <w:b/>
          <w:bCs/>
          <w:color w:val="auto"/>
          <w:sz w:val="24"/>
          <w:szCs w:val="24"/>
        </w:rPr>
        <w:t>采购需求</w:t>
      </w:r>
      <w:r>
        <w:rPr>
          <w:rFonts w:hint="eastAsia" w:ascii="仿宋" w:hAnsi="仿宋" w:eastAsia="仿宋" w:cs="仿宋"/>
          <w:color w:val="auto"/>
          <w:sz w:val="24"/>
          <w:szCs w:val="24"/>
        </w:rPr>
        <w:t>”中的</w:t>
      </w:r>
      <w:r>
        <w:rPr>
          <w:rFonts w:hint="eastAsia" w:ascii="仿宋" w:hAnsi="仿宋" w:eastAsia="仿宋" w:cs="仿宋"/>
          <w:b/>
          <w:bCs/>
          <w:color w:val="auto"/>
          <w:sz w:val="24"/>
          <w:szCs w:val="24"/>
        </w:rPr>
        <w:t>内容作完整唯一报价</w:t>
      </w:r>
      <w:r>
        <w:rPr>
          <w:rFonts w:hint="eastAsia" w:ascii="仿宋" w:hAnsi="仿宋" w:eastAsia="仿宋" w:cs="仿宋"/>
          <w:color w:val="auto"/>
          <w:sz w:val="24"/>
          <w:szCs w:val="24"/>
        </w:rPr>
        <w:t>。</w:t>
      </w:r>
    </w:p>
    <w:p w14:paraId="5D7170D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rPr>
        <w:t>14.3投标人的投标报价应依据招标文件的要求及有关资料，执行国家规定的现行技术、经济标准、</w:t>
      </w:r>
      <w:r>
        <w:rPr>
          <w:rFonts w:hint="eastAsia" w:ascii="仿宋" w:hAnsi="仿宋" w:eastAsia="仿宋" w:cs="仿宋"/>
          <w:color w:val="auto"/>
          <w:sz w:val="24"/>
          <w:szCs w:val="24"/>
          <w:highlight w:val="none"/>
        </w:rPr>
        <w:t>定额及规范，由投标人自行测算出现行市场的各类价格。</w:t>
      </w:r>
      <w:r>
        <w:rPr>
          <w:rFonts w:hint="eastAsia" w:ascii="仿宋" w:hAnsi="仿宋" w:eastAsia="仿宋" w:cs="仿宋"/>
          <w:sz w:val="24"/>
          <w:szCs w:val="24"/>
          <w:lang w:val="en-US" w:eastAsia="zh-CN"/>
        </w:rPr>
        <w:t>与</w:t>
      </w:r>
      <w:r>
        <w:rPr>
          <w:rFonts w:hint="eastAsia" w:ascii="仿宋" w:hAnsi="仿宋" w:eastAsia="仿宋" w:cs="仿宋"/>
          <w:sz w:val="24"/>
          <w:szCs w:val="24"/>
        </w:rPr>
        <w:t>货物</w:t>
      </w:r>
      <w:r>
        <w:rPr>
          <w:rFonts w:hint="eastAsia" w:ascii="仿宋" w:hAnsi="仿宋" w:eastAsia="仿宋" w:cs="仿宋"/>
          <w:sz w:val="24"/>
          <w:szCs w:val="24"/>
          <w:lang w:val="en-US" w:eastAsia="zh-CN"/>
        </w:rPr>
        <w:t>相关</w:t>
      </w:r>
      <w:r>
        <w:rPr>
          <w:rFonts w:hint="eastAsia" w:ascii="仿宋" w:hAnsi="仿宋" w:eastAsia="仿宋" w:cs="仿宋"/>
          <w:sz w:val="24"/>
          <w:szCs w:val="24"/>
        </w:rPr>
        <w:t>的运费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装卸费</w:t>
      </w:r>
      <w:r>
        <w:rPr>
          <w:rFonts w:hint="eastAsia" w:ascii="仿宋" w:hAnsi="仿宋" w:eastAsia="仿宋" w:cs="仿宋"/>
          <w:sz w:val="24"/>
          <w:szCs w:val="24"/>
        </w:rPr>
        <w:t>、保险、人工成本等费用，</w:t>
      </w:r>
      <w:r>
        <w:rPr>
          <w:rFonts w:hint="eastAsia" w:ascii="仿宋" w:hAnsi="仿宋" w:eastAsia="仿宋" w:cs="仿宋"/>
          <w:sz w:val="24"/>
          <w:szCs w:val="24"/>
          <w:lang w:val="en-US" w:eastAsia="zh-CN"/>
        </w:rPr>
        <w:t>由中标人承担</w:t>
      </w:r>
      <w:r>
        <w:rPr>
          <w:rFonts w:hint="eastAsia" w:ascii="仿宋" w:hAnsi="仿宋" w:eastAsia="仿宋" w:cs="仿宋"/>
          <w:color w:val="auto"/>
          <w:sz w:val="24"/>
          <w:szCs w:val="24"/>
          <w:highlight w:val="none"/>
        </w:rPr>
        <w:t>。合同一旦签订，此合同价格在合同执行期间将不因工作量的变化而调整。</w:t>
      </w:r>
    </w:p>
    <w:p w14:paraId="276511D7">
      <w:pPr>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14.4投标人的投标总报价若低于总价最高限价10%以上的：需提供采购清单对应的分项单价报价表中所有产品的供货来源渠道证明，并对能够按照投标报价完成供货的承诺。</w:t>
      </w:r>
    </w:p>
    <w:p w14:paraId="147B1336">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63" w:name="_Toc62031149"/>
      <w:bookmarkStart w:id="264" w:name="_Toc11392"/>
      <w:bookmarkStart w:id="265" w:name="_Toc23348"/>
      <w:bookmarkStart w:id="266" w:name="_Toc26157"/>
      <w:bookmarkStart w:id="267" w:name="_Toc24780"/>
      <w:bookmarkStart w:id="268" w:name="_Toc4374"/>
      <w:r>
        <w:rPr>
          <w:rFonts w:hint="eastAsia" w:ascii="仿宋" w:hAnsi="仿宋" w:eastAsia="仿宋" w:cs="仿宋"/>
          <w:color w:val="auto"/>
          <w:sz w:val="24"/>
          <w:szCs w:val="24"/>
        </w:rPr>
        <w:t>投标货币</w:t>
      </w:r>
      <w:bookmarkEnd w:id="263"/>
      <w:bookmarkEnd w:id="264"/>
      <w:bookmarkEnd w:id="265"/>
      <w:bookmarkEnd w:id="266"/>
      <w:bookmarkEnd w:id="267"/>
      <w:bookmarkEnd w:id="268"/>
    </w:p>
    <w:p w14:paraId="237B00F1">
      <w:pPr>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投标应以人民币报价。</w:t>
      </w:r>
    </w:p>
    <w:p w14:paraId="25EA054B">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69" w:name="_Toc16374"/>
      <w:bookmarkStart w:id="270" w:name="_Toc62031150"/>
      <w:bookmarkStart w:id="271" w:name="_Toc17468"/>
      <w:bookmarkStart w:id="272" w:name="_Toc14969"/>
      <w:bookmarkStart w:id="273" w:name="_Toc6854"/>
      <w:bookmarkStart w:id="274" w:name="_Toc27945"/>
      <w:r>
        <w:rPr>
          <w:rFonts w:hint="eastAsia" w:ascii="仿宋" w:hAnsi="仿宋" w:eastAsia="仿宋" w:cs="仿宋"/>
          <w:color w:val="auto"/>
          <w:sz w:val="24"/>
          <w:szCs w:val="24"/>
        </w:rPr>
        <w:t>投标有效期</w:t>
      </w:r>
      <w:bookmarkEnd w:id="269"/>
      <w:bookmarkEnd w:id="270"/>
      <w:bookmarkEnd w:id="271"/>
      <w:bookmarkEnd w:id="272"/>
      <w:bookmarkEnd w:id="273"/>
      <w:bookmarkEnd w:id="274"/>
    </w:p>
    <w:p w14:paraId="7A0DCE1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16.1 在“</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”规定的投标有效期内，投标人不得要求撤销或修改其投标文件。</w:t>
      </w:r>
    </w:p>
    <w:p w14:paraId="5601C115">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711584F">
      <w:pPr>
        <w:pStyle w:val="4"/>
        <w:keepNext w:val="0"/>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75" w:name="_Toc11956"/>
      <w:bookmarkStart w:id="276" w:name="_Toc1668"/>
      <w:r>
        <w:rPr>
          <w:rFonts w:hint="eastAsia" w:ascii="仿宋" w:hAnsi="仿宋" w:eastAsia="仿宋" w:cs="仿宋"/>
          <w:color w:val="auto"/>
          <w:sz w:val="24"/>
          <w:szCs w:val="24"/>
        </w:rPr>
        <w:t>投标文件的签章及递交要求</w:t>
      </w:r>
      <w:bookmarkEnd w:id="275"/>
      <w:bookmarkEnd w:id="276"/>
    </w:p>
    <w:p w14:paraId="50101019">
      <w:pPr>
        <w:spacing w:line="360" w:lineRule="auto"/>
        <w:ind w:firstLine="480" w:firstLineChars="200"/>
        <w:jc w:val="left"/>
        <w:rPr>
          <w:rFonts w:hint="eastAsia" w:ascii="仿宋" w:hAnsi="仿宋" w:eastAsia="仿宋" w:cs="仿宋"/>
          <w:color w:val="auto"/>
          <w:sz w:val="24"/>
          <w:szCs w:val="24"/>
        </w:rPr>
      </w:pPr>
      <w:bookmarkStart w:id="277" w:name="_Toc28433"/>
      <w:bookmarkStart w:id="278" w:name="_Toc17751"/>
      <w:r>
        <w:rPr>
          <w:rFonts w:hint="eastAsia" w:ascii="仿宋" w:hAnsi="仿宋" w:eastAsia="仿宋" w:cs="仿宋"/>
          <w:color w:val="auto"/>
          <w:sz w:val="24"/>
          <w:szCs w:val="24"/>
        </w:rPr>
        <w:t>17.1 投标文件电子签章及电子签名要求：详见“投标人须知前附表”。</w:t>
      </w:r>
      <w:bookmarkEnd w:id="277"/>
      <w:bookmarkEnd w:id="278"/>
    </w:p>
    <w:p w14:paraId="349AAB62">
      <w:pPr>
        <w:spacing w:line="360" w:lineRule="auto"/>
        <w:ind w:firstLine="480" w:firstLineChars="200"/>
        <w:jc w:val="left"/>
        <w:rPr>
          <w:rFonts w:hint="eastAsia" w:ascii="仿宋" w:hAnsi="仿宋" w:eastAsia="仿宋" w:cs="仿宋"/>
          <w:color w:val="auto"/>
          <w:sz w:val="24"/>
          <w:szCs w:val="24"/>
        </w:rPr>
      </w:pPr>
      <w:bookmarkStart w:id="279" w:name="_Toc17462"/>
      <w:bookmarkStart w:id="280" w:name="_Toc9368"/>
      <w:r>
        <w:rPr>
          <w:rFonts w:hint="eastAsia" w:ascii="仿宋" w:hAnsi="仿宋" w:eastAsia="仿宋" w:cs="仿宋"/>
          <w:color w:val="auto"/>
          <w:sz w:val="24"/>
          <w:szCs w:val="24"/>
        </w:rPr>
        <w:t xml:space="preserve">17.2 </w:t>
      </w:r>
      <w:bookmarkEnd w:id="279"/>
      <w:bookmarkEnd w:id="280"/>
      <w:bookmarkStart w:id="281" w:name="_Toc9510"/>
      <w:bookmarkStart w:id="282" w:name="_Toc22630"/>
      <w:r>
        <w:rPr>
          <w:rFonts w:hint="eastAsia" w:ascii="仿宋" w:hAnsi="仿宋" w:eastAsia="仿宋" w:cs="仿宋"/>
          <w:color w:val="auto"/>
          <w:sz w:val="24"/>
          <w:szCs w:val="24"/>
        </w:rPr>
        <w:t>电子投标文件的递交：详见“投标人须知前附表”。</w:t>
      </w:r>
      <w:bookmarkEnd w:id="281"/>
      <w:bookmarkEnd w:id="282"/>
    </w:p>
    <w:p w14:paraId="2A20705E">
      <w:pPr>
        <w:pStyle w:val="4"/>
        <w:keepNext w:val="0"/>
        <w:keepLines w:val="0"/>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83" w:name="_Toc26049"/>
      <w:bookmarkStart w:id="284" w:name="_Toc28375"/>
      <w:bookmarkStart w:id="285" w:name="_Toc975"/>
      <w:bookmarkStart w:id="286" w:name="_Toc62031152"/>
      <w:bookmarkStart w:id="287" w:name="_Toc15272"/>
      <w:bookmarkStart w:id="288" w:name="_Toc32178"/>
      <w:r>
        <w:rPr>
          <w:rFonts w:hint="eastAsia" w:ascii="仿宋" w:hAnsi="仿宋" w:eastAsia="仿宋" w:cs="仿宋"/>
          <w:color w:val="auto"/>
          <w:sz w:val="24"/>
          <w:szCs w:val="24"/>
        </w:rPr>
        <w:t>投标保证金</w:t>
      </w:r>
      <w:bookmarkEnd w:id="283"/>
      <w:bookmarkEnd w:id="284"/>
      <w:bookmarkEnd w:id="285"/>
      <w:bookmarkEnd w:id="286"/>
      <w:bookmarkEnd w:id="287"/>
      <w:bookmarkEnd w:id="288"/>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本项目不收取</w:t>
      </w:r>
      <w:r>
        <w:rPr>
          <w:rFonts w:hint="eastAsia" w:ascii="仿宋" w:hAnsi="仿宋" w:eastAsia="仿宋" w:cs="仿宋"/>
          <w:color w:val="auto"/>
          <w:sz w:val="24"/>
          <w:szCs w:val="24"/>
          <w:lang w:eastAsia="zh-CN"/>
        </w:rPr>
        <w:t>）</w:t>
      </w:r>
    </w:p>
    <w:p w14:paraId="0A5DC50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18.1 投标保证金为人民币。投标人应在递交投标文件截止时间以前按</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规定的方式及金额交至采购代理机构，并在投标有效期内保持有效。本项目不接受现金形式的投标保证金。</w:t>
      </w:r>
    </w:p>
    <w:p w14:paraId="44ED2CE6">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18.2 办理投标保证金手续时，请务必在银行进账单或电汇单的用途栏或空白栏上注明项目编号。</w:t>
      </w:r>
    </w:p>
    <w:p w14:paraId="1B62DEA1">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18.3 采购代理机构自中标通知书发出之日起5个工作日内退还未中标人的投标保证金，自采购合同签订之日起5个工作日内退还中标人的投标保证金。</w:t>
      </w:r>
    </w:p>
    <w:p w14:paraId="0BECF3C9">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18.4　有下列情形之一的，投标保证金不予退还：</w:t>
      </w:r>
    </w:p>
    <w:p w14:paraId="120CA49E">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（1）投标有效期内投标人撤销投标文件的；</w:t>
      </w:r>
    </w:p>
    <w:p w14:paraId="293C97A8">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（2）投标人在投标文件中提供虚假材料的；</w:t>
      </w:r>
    </w:p>
    <w:p w14:paraId="4E27D57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）除因不可抗力或招标文件认可的情形以外，中标投标人不与采购人签订合同的；</w:t>
      </w:r>
    </w:p>
    <w:p w14:paraId="133E896B">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）投标人与采购人、其他投标人或者采购代理机构恶意串通的；</w:t>
      </w:r>
    </w:p>
    <w:p w14:paraId="1B56B117">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）采购文件规定的其他情形。</w:t>
      </w:r>
    </w:p>
    <w:p w14:paraId="1F1D750B">
      <w:pPr>
        <w:widowControl/>
        <w:spacing w:line="360" w:lineRule="auto"/>
        <w:jc w:val="center"/>
        <w:outlineLvl w:val="1"/>
        <w:rPr>
          <w:rFonts w:hint="eastAsia" w:ascii="仿宋" w:hAnsi="仿宋" w:eastAsia="仿宋" w:cs="仿宋"/>
          <w:b/>
          <w:bCs/>
          <w:color w:val="auto"/>
          <w:sz w:val="24"/>
          <w:szCs w:val="24"/>
        </w:rPr>
      </w:pPr>
      <w:bookmarkStart w:id="289" w:name="_Toc31439"/>
      <w:bookmarkStart w:id="290" w:name="_Toc28615"/>
      <w:bookmarkStart w:id="291" w:name="_Toc26678"/>
      <w:bookmarkStart w:id="292" w:name="_Toc21352"/>
      <w:r>
        <w:rPr>
          <w:rFonts w:hint="eastAsia" w:ascii="仿宋" w:hAnsi="仿宋" w:eastAsia="仿宋" w:cs="仿宋"/>
          <w:b/>
          <w:bCs/>
          <w:color w:val="auto"/>
          <w:sz w:val="24"/>
          <w:szCs w:val="24"/>
        </w:rPr>
        <w:t>四、投标文件的提交</w:t>
      </w:r>
      <w:bookmarkEnd w:id="289"/>
      <w:bookmarkEnd w:id="290"/>
      <w:bookmarkEnd w:id="291"/>
      <w:bookmarkEnd w:id="292"/>
    </w:p>
    <w:p w14:paraId="16700B0F">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93" w:name="_Toc62031153"/>
      <w:bookmarkStart w:id="294" w:name="_Toc1559"/>
      <w:bookmarkStart w:id="295" w:name="_Toc3379"/>
      <w:bookmarkStart w:id="296" w:name="_Toc4952"/>
      <w:bookmarkStart w:id="297" w:name="_Toc27833"/>
      <w:bookmarkStart w:id="298" w:name="_Toc8214"/>
      <w:r>
        <w:rPr>
          <w:rFonts w:hint="eastAsia" w:ascii="仿宋" w:hAnsi="仿宋" w:eastAsia="仿宋" w:cs="仿宋"/>
          <w:color w:val="auto"/>
          <w:sz w:val="24"/>
          <w:szCs w:val="24"/>
        </w:rPr>
        <w:t>投标文件的</w:t>
      </w:r>
      <w:bookmarkEnd w:id="293"/>
      <w:bookmarkEnd w:id="294"/>
      <w:r>
        <w:rPr>
          <w:rFonts w:hint="eastAsia" w:ascii="仿宋" w:hAnsi="仿宋" w:eastAsia="仿宋" w:cs="仿宋"/>
          <w:color w:val="auto"/>
          <w:sz w:val="24"/>
          <w:szCs w:val="24"/>
        </w:rPr>
        <w:t>加密</w:t>
      </w:r>
      <w:bookmarkEnd w:id="295"/>
      <w:bookmarkEnd w:id="296"/>
      <w:bookmarkEnd w:id="297"/>
      <w:bookmarkEnd w:id="298"/>
    </w:p>
    <w:p w14:paraId="375F159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32E6B216">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299" w:name="_Toc62031154"/>
      <w:bookmarkStart w:id="300" w:name="_Toc9097"/>
      <w:bookmarkStart w:id="301" w:name="_Toc9392"/>
      <w:bookmarkStart w:id="302" w:name="_Toc25020"/>
      <w:bookmarkStart w:id="303" w:name="_Toc301"/>
      <w:bookmarkStart w:id="304" w:name="_Toc4192"/>
      <w:r>
        <w:rPr>
          <w:rFonts w:hint="eastAsia" w:ascii="仿宋" w:hAnsi="仿宋" w:eastAsia="仿宋" w:cs="仿宋"/>
          <w:color w:val="auto"/>
          <w:sz w:val="24"/>
          <w:szCs w:val="24"/>
        </w:rPr>
        <w:t>提交投标文件的截止时间和地点</w:t>
      </w:r>
      <w:bookmarkEnd w:id="299"/>
      <w:bookmarkEnd w:id="300"/>
      <w:bookmarkEnd w:id="301"/>
      <w:bookmarkEnd w:id="302"/>
      <w:bookmarkEnd w:id="303"/>
      <w:bookmarkEnd w:id="304"/>
    </w:p>
    <w:p w14:paraId="7F277361">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20.1 投标文件的提交不得迟于“</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”规定的提交投标文件截止时间。</w:t>
      </w:r>
    </w:p>
    <w:p w14:paraId="5B951A0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20.2 投标人必须在规定时间内将投标文件提交到“</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”规定的地点。</w:t>
      </w:r>
    </w:p>
    <w:p w14:paraId="6705B4E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20.3 除“</w:t>
      </w:r>
      <w:r>
        <w:rPr>
          <w:rFonts w:hint="eastAsia" w:ascii="仿宋" w:hAnsi="仿宋" w:eastAsia="仿宋" w:cs="仿宋"/>
          <w:b/>
          <w:color w:val="auto"/>
          <w:sz w:val="24"/>
          <w:szCs w:val="24"/>
        </w:rPr>
        <w:t>投标人须知前附表</w:t>
      </w:r>
      <w:r>
        <w:rPr>
          <w:rFonts w:hint="eastAsia" w:ascii="仿宋" w:hAnsi="仿宋" w:eastAsia="仿宋" w:cs="仿宋"/>
          <w:color w:val="auto"/>
          <w:sz w:val="24"/>
          <w:szCs w:val="24"/>
        </w:rPr>
        <w:t>”另有规定外，投标人所递交的投标文件不予退还。</w:t>
      </w:r>
    </w:p>
    <w:p w14:paraId="66DA4339">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20.4 逾期提交的投标文件，采购代理机构不予受理。</w:t>
      </w:r>
    </w:p>
    <w:p w14:paraId="334B125D">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20.5</w:t>
      </w: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投标文件提交截止时间前出现下列情况的视为撤回投标文件：（1）政采云电子平台显示投标人未上传投标文件；（2）因投标人原因上传的投标文件在开启文件时无法解密。</w:t>
      </w:r>
    </w:p>
    <w:p w14:paraId="4B55E8D1">
      <w:pPr>
        <w:widowControl/>
        <w:spacing w:line="360" w:lineRule="auto"/>
        <w:jc w:val="center"/>
        <w:outlineLvl w:val="1"/>
        <w:rPr>
          <w:rFonts w:hint="eastAsia" w:ascii="仿宋" w:hAnsi="仿宋" w:eastAsia="仿宋" w:cs="仿宋"/>
          <w:b/>
          <w:bCs/>
          <w:color w:val="auto"/>
          <w:sz w:val="24"/>
          <w:szCs w:val="24"/>
        </w:rPr>
      </w:pPr>
      <w:bookmarkStart w:id="305" w:name="_Toc31151"/>
      <w:bookmarkStart w:id="306" w:name="_Toc1620"/>
      <w:bookmarkStart w:id="307" w:name="_Toc12505"/>
      <w:bookmarkStart w:id="308" w:name="_Toc4667"/>
      <w:r>
        <w:rPr>
          <w:rFonts w:hint="eastAsia" w:ascii="仿宋" w:hAnsi="仿宋" w:eastAsia="仿宋" w:cs="仿宋"/>
          <w:b/>
          <w:bCs/>
          <w:color w:val="auto"/>
          <w:sz w:val="24"/>
          <w:szCs w:val="24"/>
        </w:rPr>
        <w:t>五、开标与评标</w:t>
      </w:r>
      <w:bookmarkEnd w:id="305"/>
      <w:bookmarkEnd w:id="306"/>
      <w:bookmarkEnd w:id="307"/>
      <w:bookmarkEnd w:id="308"/>
    </w:p>
    <w:p w14:paraId="4D9EF109">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09" w:name="_Toc31264"/>
      <w:bookmarkStart w:id="310" w:name="_Toc30852"/>
      <w:bookmarkStart w:id="311" w:name="_Toc23308"/>
      <w:bookmarkStart w:id="312" w:name="_Toc6305"/>
      <w:bookmarkStart w:id="313" w:name="_Toc62031155"/>
      <w:bookmarkStart w:id="314" w:name="_Toc21886"/>
      <w:r>
        <w:rPr>
          <w:rFonts w:hint="eastAsia" w:ascii="仿宋" w:hAnsi="仿宋" w:eastAsia="仿宋" w:cs="仿宋"/>
          <w:color w:val="auto"/>
          <w:sz w:val="24"/>
          <w:szCs w:val="24"/>
        </w:rPr>
        <w:t>开标</w:t>
      </w:r>
      <w:bookmarkEnd w:id="309"/>
      <w:bookmarkEnd w:id="310"/>
      <w:bookmarkEnd w:id="311"/>
      <w:bookmarkEnd w:id="312"/>
      <w:bookmarkEnd w:id="313"/>
      <w:bookmarkEnd w:id="314"/>
    </w:p>
    <w:p w14:paraId="7C2D20C4">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21.1 采购代理机构将在“</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”规定的时间和地点进行开标，投标人的法定代表人或其委托代理人应参加开标会。</w:t>
      </w:r>
    </w:p>
    <w:p w14:paraId="53CD33C6">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21.2 开标时政采云平台提取所有已成功上传的投标文件，投标人按照政采云平台自动提取的投标人顺序，使用投标人编制投标文件时的加密数字证书对投标文件进行解密。</w:t>
      </w:r>
    </w:p>
    <w:p w14:paraId="4537AF11">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21.3 开标程序</w:t>
      </w:r>
    </w:p>
    <w:p w14:paraId="6960300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（1）开标会由采购代理机构主持，主持人宣布开标会议开始；</w:t>
      </w:r>
    </w:p>
    <w:p w14:paraId="4A7418E7">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（2）介绍参加开标会的人员名单；</w:t>
      </w:r>
    </w:p>
    <w:p w14:paraId="1D2C916E">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因投标人原因造成投标文件未解密的，视为撤销其投标文件；对于开标时未在解密时间内进行解密的投标企业，不再等待。因投标人自身原因导致在规定时间内无法正常解密的(如:浏览器故障、未安装相关驱动、网络故障、加密CA与解密CA不一致等），视为投标人自动弃标，代理机构不予处理。</w:t>
      </w:r>
    </w:p>
    <w:p w14:paraId="1C89DFF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（4）唱标：由系统按照政采云平台自动提取的所有投标人顺序宣读投标人在其投标文件中承诺的投标报价、合同履行期限等以及采购代理机构认为有必要宣读的其他内容；</w:t>
      </w:r>
    </w:p>
    <w:p w14:paraId="6A26C334">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（5）采购人、纪律监察、投标人、采购代理机构有关人员在开标记录上签字确认。</w:t>
      </w:r>
    </w:p>
    <w:p w14:paraId="07E1C9D0">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（6）开标会议结束。</w:t>
      </w:r>
    </w:p>
    <w:p w14:paraId="65C19E06">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投标人不足3家的，不得开标。</w:t>
      </w:r>
    </w:p>
    <w:p w14:paraId="6BF712AB">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21.4 投标文件报价出现前后不一致的，按照下列规定修正：</w:t>
      </w:r>
    </w:p>
    <w:p w14:paraId="42FA9BE7">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（1）投标文件中开标一览表（报价表）内容与投标文件中相应内容不一致的，以开标一</w:t>
      </w:r>
    </w:p>
    <w:p w14:paraId="0E93BF7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览表（报价表）为准；</w:t>
      </w:r>
    </w:p>
    <w:p w14:paraId="476FC8A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（2）大写金额和小写金额不一致的，以大写金额为准；</w:t>
      </w:r>
    </w:p>
    <w:p w14:paraId="63D7567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（3）单价金额小数点或者百分比有明显错位的，以开标一览表的总价为准，并修改单价；</w:t>
      </w:r>
    </w:p>
    <w:p w14:paraId="37F1CF5E">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（4）总价金额与按单价汇总金额不一致的，以单价金额计算结果为准。</w:t>
      </w:r>
    </w:p>
    <w:p w14:paraId="5C497AAB">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同时出现两种以上不一致的，按照前款规定的顺序修正。修正后的报价按照招标文件规定并经投标人确认后产生约束力，投标人不确认的，其投标无效。</w:t>
      </w:r>
    </w:p>
    <w:p w14:paraId="1ECE53D9">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15" w:name="_Toc818"/>
      <w:bookmarkStart w:id="316" w:name="_Toc32186"/>
      <w:bookmarkStart w:id="317" w:name="_Toc15873"/>
      <w:bookmarkStart w:id="318" w:name="_Toc62031156"/>
      <w:bookmarkStart w:id="319" w:name="_Toc24947"/>
      <w:bookmarkStart w:id="320" w:name="_Toc3465"/>
      <w:r>
        <w:rPr>
          <w:rFonts w:hint="eastAsia" w:ascii="仿宋" w:hAnsi="仿宋" w:eastAsia="仿宋" w:cs="仿宋"/>
          <w:color w:val="auto"/>
          <w:sz w:val="24"/>
          <w:szCs w:val="24"/>
        </w:rPr>
        <w:t>评标</w:t>
      </w:r>
      <w:bookmarkEnd w:id="315"/>
      <w:bookmarkEnd w:id="316"/>
      <w:bookmarkEnd w:id="317"/>
      <w:bookmarkEnd w:id="318"/>
      <w:bookmarkEnd w:id="319"/>
      <w:bookmarkEnd w:id="320"/>
    </w:p>
    <w:p w14:paraId="491E693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22.1 评标由采购人依法组建的评标委员会负责。评标委员会由采购人代表和评审专家组成，成员人数应当为5人及以上单数，其中评审专家不得少于成员总数的三分之二。</w:t>
      </w:r>
    </w:p>
    <w:p w14:paraId="4F2CD3C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22.2 根据《政府采购货物和服务招标投标管理办法》(财政部令第 87 号)规定，评标委员会及其成员不得有下列行为：</w:t>
      </w:r>
    </w:p>
    <w:p w14:paraId="67D2CA15">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（1）确定参与评标至评标结束前私自接触投标人；</w:t>
      </w:r>
    </w:p>
    <w:p w14:paraId="2A689D8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（2）接受投标人提出的与投标文件不一致的澄清或者说明，本办法第五十一条规定的情形除外；</w:t>
      </w:r>
    </w:p>
    <w:p w14:paraId="647EB0E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（3）违反评标纪律发表倾向性意见或者征询采购人的倾向性意见；</w:t>
      </w:r>
    </w:p>
    <w:p w14:paraId="5E5B26D2">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（4）对需要专业判断的主观评审因素协商评分；</w:t>
      </w:r>
    </w:p>
    <w:p w14:paraId="32A1D0FB">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（5）在评标过程中擅离职守，影响评标程序正常进行的；</w:t>
      </w:r>
    </w:p>
    <w:p w14:paraId="249EE0A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（6）记录、复制或者带走任何评标资料；</w:t>
      </w:r>
    </w:p>
    <w:p w14:paraId="4BDB3051">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（7）其他不遵守评标纪律的行为。</w:t>
      </w:r>
    </w:p>
    <w:p w14:paraId="3EDEF36B">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评标委员会成员有前款第（1）至（5）项行为之一的，其评审意见无效，并不得获取评审劳务报酬和报销异地评审差旅费。</w:t>
      </w:r>
    </w:p>
    <w:p w14:paraId="4677DD1E">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6D310B4F">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22.4评标原则</w:t>
      </w:r>
    </w:p>
    <w:p w14:paraId="294D06D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评标活动遵循公平、公正、科学和择优的原则。</w:t>
      </w:r>
    </w:p>
    <w:p w14:paraId="3EB7DE06">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22.5评标办法</w:t>
      </w:r>
    </w:p>
    <w:p w14:paraId="75A4BE50">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评标委员会按照第四章“评标办法”规定的方法、评审因素、标准和程序对投标文件进行评审。第四章“评标办法”没有规定的方法、评审因素和标准，不作为评标依据。</w:t>
      </w:r>
    </w:p>
    <w:p w14:paraId="1071D17E">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评标完成后，评标委员会应当向采购人提交书面评标报告和中标候选人名单。评标委员会推荐中标候选人的人数见投标人须知前附表。</w:t>
      </w:r>
    </w:p>
    <w:p w14:paraId="024D03F7">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21" w:name="_Toc18866"/>
      <w:bookmarkStart w:id="322" w:name="_Toc2830"/>
      <w:bookmarkStart w:id="323" w:name="_Toc62031157"/>
      <w:bookmarkStart w:id="324" w:name="_Toc5678"/>
      <w:bookmarkStart w:id="325" w:name="_Toc2803"/>
      <w:bookmarkStart w:id="326" w:name="_Toc27911"/>
      <w:r>
        <w:rPr>
          <w:rFonts w:hint="eastAsia" w:ascii="仿宋" w:hAnsi="仿宋" w:eastAsia="仿宋" w:cs="仿宋"/>
          <w:color w:val="auto"/>
          <w:sz w:val="24"/>
          <w:szCs w:val="24"/>
        </w:rPr>
        <w:t>评标过程的保密</w:t>
      </w:r>
      <w:bookmarkEnd w:id="321"/>
      <w:bookmarkEnd w:id="322"/>
      <w:bookmarkEnd w:id="323"/>
      <w:bookmarkEnd w:id="324"/>
      <w:bookmarkEnd w:id="325"/>
      <w:bookmarkEnd w:id="326"/>
    </w:p>
    <w:p w14:paraId="3B87968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16607A44">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27" w:name="_Toc7845"/>
      <w:bookmarkStart w:id="328" w:name="_Toc26094"/>
      <w:bookmarkStart w:id="329" w:name="_Toc10390"/>
      <w:bookmarkStart w:id="330" w:name="_Toc20995"/>
      <w:bookmarkStart w:id="331" w:name="_Toc62031158"/>
      <w:bookmarkStart w:id="332" w:name="_Toc24526"/>
      <w:r>
        <w:rPr>
          <w:rFonts w:hint="eastAsia" w:ascii="仿宋" w:hAnsi="仿宋" w:eastAsia="仿宋" w:cs="仿宋"/>
          <w:color w:val="auto"/>
          <w:sz w:val="24"/>
          <w:szCs w:val="24"/>
        </w:rPr>
        <w:t>在招标采购中，出现下列情形之一的，项目废标：</w:t>
      </w:r>
      <w:bookmarkEnd w:id="327"/>
      <w:bookmarkEnd w:id="328"/>
      <w:bookmarkEnd w:id="329"/>
      <w:bookmarkEnd w:id="330"/>
      <w:bookmarkEnd w:id="331"/>
      <w:bookmarkEnd w:id="332"/>
    </w:p>
    <w:p w14:paraId="18789D80">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（1）符合专业条件的投标人或者对招标文件作实质响应的投标人不足三家的；</w:t>
      </w:r>
    </w:p>
    <w:p w14:paraId="1A0AFA07">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（2）出现影响采购公正的违法、违规行为的；</w:t>
      </w:r>
    </w:p>
    <w:p w14:paraId="55F18729">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（3）投标人的报价均超过了采购预算，采购人不能支付的；</w:t>
      </w:r>
    </w:p>
    <w:p w14:paraId="65114FA8">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（4）因重大变故，采购任务取消的。</w:t>
      </w:r>
    </w:p>
    <w:p w14:paraId="4C91D862">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废标后，采购人应当将废标理由通知所有投标人。</w:t>
      </w:r>
    </w:p>
    <w:p w14:paraId="4096042C">
      <w:pPr>
        <w:widowControl/>
        <w:spacing w:line="360" w:lineRule="auto"/>
        <w:jc w:val="center"/>
        <w:outlineLvl w:val="1"/>
        <w:rPr>
          <w:rFonts w:hint="eastAsia" w:ascii="仿宋" w:hAnsi="仿宋" w:eastAsia="仿宋" w:cs="仿宋"/>
          <w:b/>
          <w:bCs/>
          <w:color w:val="auto"/>
          <w:sz w:val="24"/>
          <w:szCs w:val="24"/>
        </w:rPr>
      </w:pPr>
      <w:bookmarkStart w:id="333" w:name="_Toc12852"/>
      <w:bookmarkStart w:id="334" w:name="_Toc11286"/>
      <w:bookmarkStart w:id="335" w:name="_Toc25578"/>
      <w:bookmarkStart w:id="336" w:name="_Toc29047"/>
      <w:r>
        <w:rPr>
          <w:rFonts w:hint="eastAsia" w:ascii="仿宋" w:hAnsi="仿宋" w:eastAsia="仿宋" w:cs="仿宋"/>
          <w:b/>
          <w:bCs/>
          <w:color w:val="auto"/>
          <w:sz w:val="24"/>
          <w:szCs w:val="24"/>
        </w:rPr>
        <w:t>六、中标结果</w:t>
      </w:r>
      <w:bookmarkEnd w:id="333"/>
      <w:bookmarkEnd w:id="334"/>
      <w:bookmarkEnd w:id="335"/>
      <w:bookmarkEnd w:id="336"/>
    </w:p>
    <w:p w14:paraId="50CE694F">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37" w:name="_Toc62031159"/>
      <w:bookmarkStart w:id="338" w:name="_Toc5839"/>
      <w:bookmarkStart w:id="339" w:name="_Toc6888"/>
      <w:bookmarkStart w:id="340" w:name="_Toc14482"/>
      <w:bookmarkStart w:id="341" w:name="_Toc28795"/>
      <w:bookmarkStart w:id="342" w:name="_Toc31002"/>
      <w:r>
        <w:rPr>
          <w:rFonts w:hint="eastAsia" w:ascii="仿宋" w:hAnsi="仿宋" w:eastAsia="仿宋" w:cs="仿宋"/>
          <w:color w:val="auto"/>
          <w:sz w:val="24"/>
          <w:szCs w:val="24"/>
        </w:rPr>
        <w:t>中标人的确定</w:t>
      </w:r>
      <w:bookmarkEnd w:id="337"/>
      <w:bookmarkEnd w:id="338"/>
      <w:bookmarkEnd w:id="339"/>
      <w:bookmarkEnd w:id="340"/>
      <w:bookmarkEnd w:id="341"/>
      <w:bookmarkEnd w:id="342"/>
    </w:p>
    <w:p w14:paraId="09B61466">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25.1 采购代理机构应当在评标结束后二个工作日内将评标报告送采购人。</w:t>
      </w:r>
    </w:p>
    <w:p w14:paraId="1AF346C6">
      <w:pPr>
        <w:spacing w:line="360" w:lineRule="auto"/>
        <w:ind w:firstLine="456" w:firstLineChars="200"/>
        <w:jc w:val="left"/>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25.2 采购人应当在收到评标报告后五个工作日内，按照评标报告中推荐的中标人候选人顺序确定中标人。</w:t>
      </w:r>
    </w:p>
    <w:p w14:paraId="3EF5ADB1">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43" w:name="_Toc62031160"/>
      <w:bookmarkStart w:id="344" w:name="_Toc26126"/>
      <w:bookmarkStart w:id="345" w:name="_Toc5151"/>
      <w:bookmarkStart w:id="346" w:name="_Toc9064"/>
      <w:bookmarkStart w:id="347" w:name="_Toc8053"/>
      <w:bookmarkStart w:id="348" w:name="_Toc24789"/>
      <w:r>
        <w:rPr>
          <w:rFonts w:hint="eastAsia" w:ascii="仿宋" w:hAnsi="仿宋" w:eastAsia="仿宋" w:cs="仿宋"/>
          <w:color w:val="auto"/>
          <w:sz w:val="24"/>
          <w:szCs w:val="24"/>
        </w:rPr>
        <w:t>中标通知书</w:t>
      </w:r>
      <w:bookmarkEnd w:id="343"/>
      <w:bookmarkEnd w:id="344"/>
      <w:bookmarkEnd w:id="345"/>
      <w:bookmarkEnd w:id="346"/>
      <w:bookmarkEnd w:id="347"/>
      <w:bookmarkEnd w:id="348"/>
    </w:p>
    <w:p w14:paraId="612BBC2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26.1 中标人确定后，中标结果由采购代理机构在公告发布的媒介上公示,同时向中标人发出中标通知书。</w:t>
      </w:r>
    </w:p>
    <w:p w14:paraId="08BC004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26.2 中标通知书是合同的一个组成部分。</w:t>
      </w:r>
    </w:p>
    <w:p w14:paraId="0EAE86B8">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49" w:name="_Toc2602"/>
      <w:bookmarkStart w:id="350" w:name="_Toc23737"/>
      <w:bookmarkStart w:id="351" w:name="_Toc62031161"/>
      <w:bookmarkStart w:id="352" w:name="_Toc15266"/>
      <w:bookmarkStart w:id="353" w:name="_Toc12402"/>
      <w:bookmarkStart w:id="354" w:name="_Toc7391"/>
      <w:r>
        <w:rPr>
          <w:rFonts w:hint="eastAsia" w:ascii="仿宋" w:hAnsi="仿宋" w:eastAsia="仿宋" w:cs="仿宋"/>
          <w:color w:val="auto"/>
          <w:sz w:val="24"/>
          <w:szCs w:val="24"/>
        </w:rPr>
        <w:t>签订合同</w:t>
      </w:r>
      <w:bookmarkEnd w:id="349"/>
      <w:bookmarkEnd w:id="350"/>
      <w:bookmarkEnd w:id="351"/>
      <w:bookmarkEnd w:id="352"/>
      <w:bookmarkEnd w:id="353"/>
      <w:bookmarkEnd w:id="354"/>
    </w:p>
    <w:p w14:paraId="002F881E">
      <w:pPr>
        <w:spacing w:line="360" w:lineRule="auto"/>
        <w:ind w:firstLine="436" w:firstLineChars="200"/>
        <w:jc w:val="left"/>
        <w:rPr>
          <w:rFonts w:hint="eastAsia" w:ascii="仿宋" w:hAnsi="仿宋" w:eastAsia="仿宋" w:cs="仿宋"/>
          <w:color w:val="auto"/>
          <w:sz w:val="24"/>
          <w:szCs w:val="24"/>
        </w:rPr>
      </w:pPr>
      <w:r>
        <w:rPr>
          <w:rFonts w:hint="eastAsia" w:ascii="仿宋" w:hAnsi="仿宋" w:eastAsia="仿宋" w:cs="仿宋"/>
          <w:color w:val="auto"/>
          <w:spacing w:val="-11"/>
          <w:sz w:val="24"/>
          <w:szCs w:val="24"/>
        </w:rPr>
        <w:t xml:space="preserve">27.1 </w:t>
      </w:r>
      <w:r>
        <w:rPr>
          <w:rFonts w:hint="eastAsia" w:ascii="仿宋" w:hAnsi="仿宋" w:eastAsia="仿宋" w:cs="仿宋"/>
          <w:color w:val="auto"/>
          <w:sz w:val="24"/>
          <w:szCs w:val="24"/>
        </w:rPr>
        <w:t>中标人收到中标通知书后，按招标文件、投标文件及有关澄清承诺书的要求与采购人签订合同。</w:t>
      </w:r>
    </w:p>
    <w:p w14:paraId="3769752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27.2 </w:t>
      </w:r>
      <w:r>
        <w:rPr>
          <w:rFonts w:hint="eastAsia" w:ascii="仿宋" w:hAnsi="仿宋" w:eastAsia="仿宋" w:cs="仿宋"/>
          <w:color w:val="auto"/>
          <w:sz w:val="24"/>
        </w:rPr>
        <w:t>中标投标人拒绝与采购人签订合同的，采购人可以按照评审报告推荐的中标候选人名单排序，确定下一候选人为中标人，也可以重新开展政府采购活动</w:t>
      </w:r>
      <w:r>
        <w:rPr>
          <w:rFonts w:hint="eastAsia" w:ascii="仿宋" w:hAnsi="仿宋" w:eastAsia="仿宋" w:cs="仿宋"/>
          <w:color w:val="auto"/>
          <w:sz w:val="24"/>
          <w:szCs w:val="24"/>
        </w:rPr>
        <w:t>。</w:t>
      </w:r>
    </w:p>
    <w:p w14:paraId="052719A1">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55" w:name="_Toc21890"/>
      <w:bookmarkStart w:id="356" w:name="_Toc10122"/>
      <w:bookmarkStart w:id="357" w:name="_Toc16926"/>
      <w:bookmarkStart w:id="358" w:name="_Toc3062"/>
      <w:bookmarkStart w:id="359" w:name="_Toc1808"/>
      <w:bookmarkStart w:id="360" w:name="_Toc62031162"/>
      <w:r>
        <w:rPr>
          <w:rFonts w:hint="eastAsia" w:ascii="仿宋" w:hAnsi="仿宋" w:eastAsia="仿宋" w:cs="仿宋"/>
          <w:color w:val="auto"/>
          <w:sz w:val="24"/>
          <w:szCs w:val="24"/>
        </w:rPr>
        <w:t>履约保证金</w:t>
      </w:r>
      <w:bookmarkEnd w:id="355"/>
      <w:bookmarkEnd w:id="356"/>
      <w:bookmarkEnd w:id="357"/>
      <w:bookmarkEnd w:id="358"/>
      <w:bookmarkEnd w:id="359"/>
      <w:bookmarkEnd w:id="360"/>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本项目不收取</w:t>
      </w:r>
      <w:r>
        <w:rPr>
          <w:rFonts w:hint="eastAsia" w:ascii="仿宋" w:hAnsi="仿宋" w:eastAsia="仿宋" w:cs="仿宋"/>
          <w:color w:val="auto"/>
          <w:sz w:val="24"/>
          <w:szCs w:val="24"/>
          <w:lang w:eastAsia="zh-CN"/>
        </w:rPr>
        <w:t>）</w:t>
      </w:r>
    </w:p>
    <w:p w14:paraId="0BBEF439">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28.1拟签订的合同文本要求中标人提交履约保证金的，投标人应当以支票、汇票、本票或者金融机构、担保机构出具的保函等非现金形式提交。履约保证金的数额详见</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w:t>
      </w:r>
    </w:p>
    <w:p w14:paraId="7003323D">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28.2签订合同后，如中标人不按双方签订合同约定履约，则没收其全部履约保证金，履约保证金不足以赔偿损失的，按实际损失赔偿。</w:t>
      </w:r>
    </w:p>
    <w:p w14:paraId="10E3CCE5">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28.3履约保证金按</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的规定退还。</w:t>
      </w:r>
    </w:p>
    <w:p w14:paraId="1396D446">
      <w:pPr>
        <w:widowControl/>
        <w:spacing w:line="360" w:lineRule="auto"/>
        <w:jc w:val="center"/>
        <w:outlineLvl w:val="1"/>
        <w:rPr>
          <w:rFonts w:hint="eastAsia" w:ascii="仿宋" w:hAnsi="仿宋" w:eastAsia="仿宋" w:cs="仿宋"/>
          <w:b/>
          <w:bCs/>
          <w:color w:val="auto"/>
          <w:sz w:val="24"/>
          <w:szCs w:val="24"/>
        </w:rPr>
      </w:pPr>
      <w:bookmarkStart w:id="361" w:name="_Toc28544"/>
      <w:bookmarkStart w:id="362" w:name="_Toc25285"/>
      <w:bookmarkStart w:id="363" w:name="_Toc29860"/>
      <w:bookmarkStart w:id="364" w:name="_Toc1863"/>
      <w:r>
        <w:rPr>
          <w:rFonts w:hint="eastAsia" w:ascii="仿宋" w:hAnsi="仿宋" w:eastAsia="仿宋" w:cs="仿宋"/>
          <w:b/>
          <w:bCs/>
          <w:color w:val="auto"/>
          <w:sz w:val="24"/>
          <w:szCs w:val="24"/>
        </w:rPr>
        <w:t>七、其他事项</w:t>
      </w:r>
      <w:bookmarkEnd w:id="361"/>
      <w:bookmarkEnd w:id="362"/>
      <w:bookmarkEnd w:id="363"/>
      <w:bookmarkEnd w:id="364"/>
    </w:p>
    <w:p w14:paraId="1DE6C1EC">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365" w:name="_Toc23842"/>
      <w:bookmarkStart w:id="366" w:name="_Toc14899"/>
      <w:bookmarkStart w:id="367" w:name="_Toc18976"/>
      <w:bookmarkStart w:id="368" w:name="_Toc32647"/>
      <w:bookmarkStart w:id="369" w:name="_Toc28495"/>
      <w:r>
        <w:rPr>
          <w:rFonts w:hint="eastAsia" w:ascii="仿宋" w:hAnsi="仿宋" w:eastAsia="仿宋" w:cs="仿宋"/>
          <w:color w:val="auto"/>
          <w:sz w:val="24"/>
          <w:szCs w:val="24"/>
        </w:rPr>
        <w:t>中标服务费</w:t>
      </w:r>
      <w:bookmarkEnd w:id="365"/>
      <w:bookmarkEnd w:id="366"/>
      <w:bookmarkEnd w:id="367"/>
      <w:bookmarkEnd w:id="368"/>
      <w:bookmarkEnd w:id="369"/>
    </w:p>
    <w:p w14:paraId="6B26A684">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29.1中标服务费由采购代理机构向中标人收取，收取标准详见“</w:t>
      </w:r>
      <w:r>
        <w:rPr>
          <w:rFonts w:hint="eastAsia" w:ascii="仿宋" w:hAnsi="仿宋" w:eastAsia="仿宋" w:cs="仿宋"/>
          <w:b/>
          <w:bCs/>
          <w:color w:val="auto"/>
          <w:sz w:val="24"/>
          <w:szCs w:val="24"/>
        </w:rPr>
        <w:t>投标人须知前附表</w:t>
      </w:r>
      <w:r>
        <w:rPr>
          <w:rFonts w:hint="eastAsia" w:ascii="仿宋" w:hAnsi="仿宋" w:eastAsia="仿宋" w:cs="仿宋"/>
          <w:color w:val="auto"/>
          <w:sz w:val="24"/>
          <w:szCs w:val="24"/>
        </w:rPr>
        <w:t>”。</w:t>
      </w:r>
    </w:p>
    <w:p w14:paraId="650A5C62">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29.2中标单位应在接受“中标通知书”时向采购代理机构一次付清中标服务费。</w:t>
      </w:r>
    </w:p>
    <w:p w14:paraId="7D5E6861">
      <w:pPr>
        <w:pStyle w:val="2"/>
        <w:numPr>
          <w:ilvl w:val="0"/>
          <w:numId w:val="0"/>
        </w:numPr>
        <w:tabs>
          <w:tab w:val="left" w:pos="360"/>
          <w:tab w:val="clear" w:pos="720"/>
        </w:tabs>
        <w:spacing w:line="360" w:lineRule="auto"/>
        <w:ind w:firstLine="883" w:firstLineChars="200"/>
        <w:jc w:val="center"/>
        <w:rPr>
          <w:rFonts w:hint="eastAsia" w:ascii="仿宋" w:hAnsi="仿宋" w:eastAsia="仿宋" w:cs="仿宋"/>
          <w:color w:val="auto"/>
          <w:sz w:val="32"/>
          <w:szCs w:val="32"/>
        </w:rPr>
      </w:pPr>
      <w:bookmarkStart w:id="370" w:name="_Toc2737"/>
      <w:bookmarkStart w:id="371" w:name="_Toc14297"/>
      <w:bookmarkStart w:id="372" w:name="_Toc23263"/>
      <w:bookmarkStart w:id="373" w:name="_Toc16005"/>
      <w:bookmarkStart w:id="374" w:name="_Toc22893"/>
      <w:bookmarkStart w:id="375" w:name="_Toc17352"/>
      <w:bookmarkStart w:id="376" w:name="_Toc62031164"/>
      <w:bookmarkStart w:id="377" w:name="_Toc241"/>
      <w:bookmarkStart w:id="378" w:name="_Toc2055"/>
      <w:bookmarkStart w:id="379" w:name="_Toc28812"/>
      <w:bookmarkStart w:id="380" w:name="_Toc23111"/>
      <w:r>
        <w:rPr>
          <w:rFonts w:hint="eastAsia" w:ascii="仿宋" w:hAnsi="仿宋" w:eastAsia="仿宋" w:cs="仿宋"/>
          <w:iCs/>
          <w:color w:val="auto"/>
          <w:sz w:val="44"/>
          <w:szCs w:val="44"/>
        </w:rPr>
        <w:t>第四章</w:t>
      </w:r>
      <w:r>
        <w:rPr>
          <w:rFonts w:hint="eastAsia" w:ascii="仿宋" w:hAnsi="仿宋" w:eastAsia="仿宋" w:cs="仿宋"/>
          <w:color w:val="auto"/>
          <w:sz w:val="32"/>
          <w:szCs w:val="32"/>
        </w:rPr>
        <w:t xml:space="preserve"> </w:t>
      </w:r>
      <w:r>
        <w:rPr>
          <w:rFonts w:hint="eastAsia" w:ascii="仿宋" w:hAnsi="仿宋" w:eastAsia="仿宋" w:cs="仿宋"/>
          <w:iCs/>
          <w:color w:val="auto"/>
          <w:sz w:val="44"/>
          <w:szCs w:val="44"/>
        </w:rPr>
        <w:t>评标办法（综合评分法）</w:t>
      </w:r>
      <w:bookmarkEnd w:id="370"/>
      <w:bookmarkEnd w:id="371"/>
      <w:bookmarkEnd w:id="372"/>
      <w:bookmarkEnd w:id="373"/>
      <w:bookmarkEnd w:id="374"/>
    </w:p>
    <w:p w14:paraId="2CC8A9BB">
      <w:pPr>
        <w:spacing w:line="360" w:lineRule="auto"/>
        <w:ind w:firstLine="482" w:firstLineChars="200"/>
        <w:outlineLvl w:val="1"/>
        <w:rPr>
          <w:rFonts w:hint="eastAsia" w:ascii="仿宋" w:hAnsi="仿宋" w:eastAsia="仿宋" w:cs="仿宋"/>
          <w:b/>
          <w:bCs/>
          <w:color w:val="auto"/>
          <w:sz w:val="24"/>
          <w:szCs w:val="24"/>
        </w:rPr>
      </w:pPr>
      <w:bookmarkStart w:id="381" w:name="_Toc13183"/>
      <w:bookmarkStart w:id="382" w:name="_Toc3593"/>
      <w:bookmarkStart w:id="383" w:name="_Toc6527"/>
      <w:bookmarkStart w:id="384" w:name="_Toc32181"/>
      <w:bookmarkStart w:id="385" w:name="_Toc15997"/>
      <w:r>
        <w:rPr>
          <w:rFonts w:hint="eastAsia" w:ascii="仿宋" w:hAnsi="仿宋" w:eastAsia="仿宋" w:cs="仿宋"/>
          <w:b/>
          <w:bCs/>
          <w:color w:val="auto"/>
          <w:sz w:val="24"/>
          <w:szCs w:val="24"/>
        </w:rPr>
        <w:t>一、评标机构</w:t>
      </w:r>
      <w:bookmarkEnd w:id="381"/>
      <w:bookmarkEnd w:id="382"/>
      <w:bookmarkEnd w:id="383"/>
      <w:bookmarkEnd w:id="384"/>
      <w:bookmarkEnd w:id="385"/>
    </w:p>
    <w:p w14:paraId="0B0BFA1C">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评标机构为评标委员会，评标委员会的组成见投标人须知前附表22.1。</w:t>
      </w:r>
    </w:p>
    <w:p w14:paraId="14706428">
      <w:pPr>
        <w:spacing w:line="360" w:lineRule="auto"/>
        <w:ind w:firstLine="482" w:firstLineChars="200"/>
        <w:outlineLvl w:val="1"/>
        <w:rPr>
          <w:rFonts w:hint="eastAsia" w:ascii="仿宋" w:hAnsi="仿宋" w:eastAsia="仿宋" w:cs="仿宋"/>
          <w:b/>
          <w:bCs/>
          <w:color w:val="auto"/>
          <w:sz w:val="24"/>
          <w:szCs w:val="24"/>
        </w:rPr>
      </w:pPr>
      <w:bookmarkStart w:id="386" w:name="_Toc20163"/>
      <w:bookmarkStart w:id="387" w:name="_Toc15501"/>
      <w:bookmarkStart w:id="388" w:name="_Toc762"/>
      <w:bookmarkStart w:id="389" w:name="_Toc23888"/>
      <w:bookmarkStart w:id="390" w:name="_Toc4559"/>
      <w:r>
        <w:rPr>
          <w:rFonts w:hint="eastAsia" w:ascii="仿宋" w:hAnsi="仿宋" w:eastAsia="仿宋" w:cs="仿宋"/>
          <w:b/>
          <w:bCs/>
          <w:color w:val="auto"/>
          <w:sz w:val="24"/>
          <w:szCs w:val="24"/>
        </w:rPr>
        <w:t>二、采购人或者采购代理机构职责</w:t>
      </w:r>
      <w:bookmarkEnd w:id="386"/>
      <w:bookmarkEnd w:id="387"/>
      <w:bookmarkEnd w:id="388"/>
      <w:bookmarkEnd w:id="389"/>
      <w:bookmarkEnd w:id="390"/>
    </w:p>
    <w:p w14:paraId="4A0EBE0A">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采购人或者采购代理机构负责组织评标工作，并履行下列职责：</w:t>
      </w:r>
    </w:p>
    <w:p w14:paraId="51D8616E">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（一）核对评审专家身份和采购人代表授权函，对评审专家在政府采购活动中的职责履行情况予以记录，并及时将有关违法违规行为向财政部门报告。</w:t>
      </w:r>
    </w:p>
    <w:p w14:paraId="0BB02B37">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（二）宣布评标纪律。</w:t>
      </w:r>
    </w:p>
    <w:p w14:paraId="6F6E876B">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（三）公布投标人名单，告知评审专家应当回避的情形。</w:t>
      </w:r>
    </w:p>
    <w:p w14:paraId="6E176BC3">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（四）组织评标委员会推选评标组长，采购人代表不得担任组长。</w:t>
      </w:r>
    </w:p>
    <w:p w14:paraId="781EF5F1">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（五）在评标期间采取必要的通讯管理措施，保证评标活动不受外界干扰。</w:t>
      </w:r>
    </w:p>
    <w:p w14:paraId="538F564A">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（六）根据评标委员会的要求介绍政府采购相关政策法规、招标文件。</w:t>
      </w:r>
    </w:p>
    <w:p w14:paraId="02F8C4B3">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（七）维护评标秩序，监督评标委员会依照招标文件规定的评标程序、方法和标准进行独立评审，及时制止和纠正采购人代表、评审专家的倾向性言论或者违法违规行为。</w:t>
      </w:r>
    </w:p>
    <w:p w14:paraId="469AAC2E">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6DDB5750">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（九）评审工作完成后，按照规定向评审专家支付劳务报酬和异地评审差旅费，不得向评审专家以外的其他人员支付评审劳务报酬。</w:t>
      </w:r>
    </w:p>
    <w:p w14:paraId="73F32652">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（十）处理与评标有关的其他事项。</w:t>
      </w:r>
    </w:p>
    <w:p w14:paraId="0B7C8E5D">
      <w:pPr>
        <w:pStyle w:val="10"/>
        <w:spacing w:line="360" w:lineRule="auto"/>
        <w:ind w:left="0"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采购人可以在评标前说明项目背景和采购需求，说明内容不得含有歧视性、倾向性意见，不得超出招标文件所述范围。说明应当提交书面材料，并随采购文件一并存档。</w:t>
      </w:r>
    </w:p>
    <w:p w14:paraId="6F545ED5">
      <w:pPr>
        <w:spacing w:line="360" w:lineRule="auto"/>
        <w:ind w:firstLine="482" w:firstLineChars="200"/>
        <w:outlineLvl w:val="1"/>
        <w:rPr>
          <w:rFonts w:hint="eastAsia" w:ascii="仿宋" w:hAnsi="仿宋" w:eastAsia="仿宋" w:cs="仿宋"/>
          <w:b/>
          <w:bCs/>
          <w:color w:val="auto"/>
          <w:sz w:val="24"/>
          <w:szCs w:val="24"/>
        </w:rPr>
      </w:pPr>
      <w:bookmarkStart w:id="391" w:name="_Toc16296"/>
      <w:bookmarkStart w:id="392" w:name="_Toc15494"/>
      <w:bookmarkStart w:id="393" w:name="_Toc5472"/>
      <w:bookmarkStart w:id="394" w:name="_Toc24749"/>
      <w:bookmarkStart w:id="395" w:name="_Toc5670"/>
      <w:r>
        <w:rPr>
          <w:rFonts w:hint="eastAsia" w:ascii="仿宋" w:hAnsi="仿宋" w:eastAsia="仿宋" w:cs="仿宋"/>
          <w:b/>
          <w:bCs/>
          <w:color w:val="auto"/>
          <w:sz w:val="24"/>
          <w:szCs w:val="24"/>
        </w:rPr>
        <w:t>三、评标委员会职责</w:t>
      </w:r>
      <w:bookmarkEnd w:id="391"/>
      <w:bookmarkEnd w:id="392"/>
      <w:bookmarkEnd w:id="393"/>
      <w:bookmarkEnd w:id="394"/>
      <w:bookmarkEnd w:id="395"/>
    </w:p>
    <w:p w14:paraId="67BEC1B2">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评标委员会负责具体评标事务，并独立履行下列职责：</w:t>
      </w:r>
    </w:p>
    <w:p w14:paraId="6F03B96F">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（一）审查、评价投标文件是否符合招标文件的商务、技术、服务等实质性要求。</w:t>
      </w:r>
    </w:p>
    <w:p w14:paraId="1B0316F4">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（二）要求投标人对投标文件有关事项作出澄清或者说明。</w:t>
      </w:r>
    </w:p>
    <w:p w14:paraId="303E0EFF">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（三）对投标文件进行比较和评价。</w:t>
      </w:r>
    </w:p>
    <w:p w14:paraId="5BD2B824">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（四）评标委员会按得分由高到低顺序推荐中标候选人，并提出书面评标报告。</w:t>
      </w:r>
    </w:p>
    <w:p w14:paraId="61E56C50">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（五）向采购人、采购代理机构或者有关部门报告评标中发现的违法行为。</w:t>
      </w:r>
    </w:p>
    <w:p w14:paraId="3B0B7EC5">
      <w:pPr>
        <w:spacing w:line="360" w:lineRule="auto"/>
        <w:ind w:firstLine="482" w:firstLineChars="200"/>
        <w:outlineLvl w:val="1"/>
        <w:rPr>
          <w:rFonts w:hint="eastAsia" w:ascii="仿宋" w:hAnsi="仿宋" w:eastAsia="仿宋" w:cs="仿宋"/>
          <w:b/>
          <w:bCs/>
          <w:color w:val="auto"/>
          <w:sz w:val="24"/>
          <w:szCs w:val="24"/>
        </w:rPr>
      </w:pPr>
      <w:bookmarkStart w:id="396" w:name="_Toc18133"/>
      <w:bookmarkStart w:id="397" w:name="_Toc5893"/>
      <w:bookmarkStart w:id="398" w:name="_Toc16706"/>
      <w:bookmarkStart w:id="399" w:name="_Toc25840"/>
      <w:bookmarkStart w:id="400" w:name="_Toc17158"/>
      <w:r>
        <w:rPr>
          <w:rFonts w:hint="eastAsia" w:ascii="仿宋" w:hAnsi="仿宋" w:eastAsia="仿宋" w:cs="仿宋"/>
          <w:b/>
          <w:bCs/>
          <w:color w:val="auto"/>
          <w:sz w:val="24"/>
          <w:szCs w:val="24"/>
        </w:rPr>
        <w:t>四、评标纪律</w:t>
      </w:r>
      <w:bookmarkEnd w:id="396"/>
      <w:bookmarkEnd w:id="397"/>
      <w:bookmarkEnd w:id="398"/>
      <w:bookmarkEnd w:id="399"/>
      <w:bookmarkEnd w:id="400"/>
    </w:p>
    <w:p w14:paraId="29A423A6">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（一）对评标内容和评标过程要严格保密，不得向投标人或与该过程无关的其它人员泄露。</w:t>
      </w:r>
    </w:p>
    <w:p w14:paraId="03DAEA2D">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（二）评标期间的一切资料，包括评标意见、评标记录和评标结论，一律不得向外传和泄露。</w:t>
      </w:r>
    </w:p>
    <w:p w14:paraId="6468652B">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（三）任何属于投标文件审查、澄清、评价和比较的资料，不得向投标人或与该过程无关的其它人员泄露。</w:t>
      </w:r>
    </w:p>
    <w:p w14:paraId="1F997630">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（四）所有资料（包括招标文件、投标文件、评标表格及各种文字记录）在评标结束后均应分别整理、存档备查，任何人不得复制和保留。</w:t>
      </w:r>
    </w:p>
    <w:p w14:paraId="73FDA047">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（五）评标期间，未经允许评标委员会以外的任何单位或部门不得参加评标和采访评标工作。</w:t>
      </w:r>
    </w:p>
    <w:p w14:paraId="05A86B6F">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（六）评标期间，评标人员不得外出，确需外出时应事先请假。</w:t>
      </w:r>
    </w:p>
    <w:p w14:paraId="6D8C79F2">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（七）评标期间，所有与会人员均不得私自以任何方式和投标人进行联系，需询问、澄清的问题由评委会统一组织办理。</w:t>
      </w:r>
    </w:p>
    <w:p w14:paraId="48161297">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（八）评标结束后，与会人员不得向外界透露评标人员的评标意见，如因此造成的后果由责任者承担。</w:t>
      </w:r>
    </w:p>
    <w:p w14:paraId="030C16F8">
      <w:pPr>
        <w:spacing w:line="360" w:lineRule="auto"/>
        <w:ind w:firstLine="482" w:firstLineChars="200"/>
        <w:outlineLvl w:val="1"/>
        <w:rPr>
          <w:rFonts w:hint="eastAsia" w:ascii="仿宋" w:hAnsi="仿宋" w:eastAsia="仿宋" w:cs="仿宋"/>
          <w:b/>
          <w:bCs/>
          <w:color w:val="auto"/>
          <w:sz w:val="24"/>
          <w:szCs w:val="24"/>
        </w:rPr>
      </w:pPr>
      <w:bookmarkStart w:id="401" w:name="_Toc13888"/>
      <w:bookmarkStart w:id="402" w:name="_Toc2292"/>
      <w:bookmarkStart w:id="403" w:name="_Toc8450"/>
      <w:bookmarkStart w:id="404" w:name="_Toc6712"/>
      <w:bookmarkStart w:id="405" w:name="_Toc26939"/>
      <w:r>
        <w:rPr>
          <w:rFonts w:hint="eastAsia" w:ascii="仿宋" w:hAnsi="仿宋" w:eastAsia="仿宋" w:cs="仿宋"/>
          <w:b/>
          <w:bCs/>
          <w:color w:val="auto"/>
          <w:sz w:val="24"/>
          <w:szCs w:val="24"/>
        </w:rPr>
        <w:t>五、评标原则</w:t>
      </w:r>
      <w:bookmarkEnd w:id="401"/>
      <w:bookmarkEnd w:id="402"/>
      <w:bookmarkEnd w:id="403"/>
      <w:bookmarkEnd w:id="404"/>
      <w:bookmarkEnd w:id="405"/>
    </w:p>
    <w:p w14:paraId="78CA8C49">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评标将遵循下列原则：</w:t>
      </w:r>
    </w:p>
    <w:p w14:paraId="0F0C5461">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（一）坚持公平、公正、科学、择优的原则，本着实事求是的精神，不带有任何主观意愿和偏见，认真负责地做好评标工作，公平、公正地对待每一个投标人。</w:t>
      </w:r>
    </w:p>
    <w:p w14:paraId="0B42AC2D">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（二）全面分析，综合评审。</w:t>
      </w:r>
    </w:p>
    <w:p w14:paraId="71B28828">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（三）评标只对投标人的投标文件进行评审，投标文件以外的资料、信息不应作为评标的依据。</w:t>
      </w:r>
    </w:p>
    <w:p w14:paraId="43BBE2B8">
      <w:pPr>
        <w:spacing w:line="360" w:lineRule="auto"/>
        <w:ind w:firstLine="482" w:firstLineChars="200"/>
        <w:outlineLvl w:val="1"/>
        <w:rPr>
          <w:rFonts w:hint="eastAsia" w:ascii="仿宋" w:hAnsi="仿宋" w:eastAsia="仿宋" w:cs="仿宋"/>
          <w:b/>
          <w:bCs/>
          <w:color w:val="auto"/>
          <w:sz w:val="24"/>
          <w:szCs w:val="24"/>
        </w:rPr>
      </w:pPr>
      <w:bookmarkStart w:id="406" w:name="_Toc8342"/>
      <w:bookmarkStart w:id="407" w:name="_Toc12674"/>
      <w:bookmarkStart w:id="408" w:name="_Toc9766"/>
      <w:bookmarkStart w:id="409" w:name="_Toc25450"/>
      <w:bookmarkStart w:id="410" w:name="_Toc490"/>
      <w:r>
        <w:rPr>
          <w:rFonts w:hint="eastAsia" w:ascii="仿宋" w:hAnsi="仿宋" w:eastAsia="仿宋" w:cs="仿宋"/>
          <w:b/>
          <w:bCs/>
          <w:color w:val="auto"/>
          <w:sz w:val="24"/>
          <w:szCs w:val="24"/>
        </w:rPr>
        <w:t>六、评标程序</w:t>
      </w:r>
      <w:bookmarkEnd w:id="406"/>
      <w:bookmarkEnd w:id="407"/>
      <w:bookmarkEnd w:id="408"/>
      <w:bookmarkEnd w:id="409"/>
      <w:bookmarkEnd w:id="410"/>
    </w:p>
    <w:p w14:paraId="2011FA0F">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本次招标所采用的评标方法为《政府采购货物和服务招标投标管理办法》（财政部令第87号）第五十五条规定的“综合评分法”。</w:t>
      </w:r>
    </w:p>
    <w:p w14:paraId="32124862">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（一）符合性审查</w:t>
      </w:r>
    </w:p>
    <w:p w14:paraId="7838D84C">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评标委员会依据符合性评审标准对符合资格的投标人的投标文件进行符合性审查，有一项不符合评审标准的，评标委员会应当否决其投标。</w:t>
      </w:r>
    </w:p>
    <w:p w14:paraId="43D27BC1">
      <w:pPr>
        <w:rPr>
          <w:rFonts w:hint="eastAsia" w:ascii="仿宋" w:hAnsi="仿宋" w:eastAsia="仿宋" w:cs="仿宋"/>
          <w:b/>
          <w:bCs/>
          <w:color w:val="auto"/>
          <w:szCs w:val="24"/>
        </w:rPr>
      </w:pPr>
      <w:r>
        <w:rPr>
          <w:rFonts w:hint="eastAsia" w:ascii="仿宋" w:hAnsi="仿宋" w:eastAsia="仿宋" w:cs="仿宋"/>
          <w:b/>
          <w:bCs/>
          <w:color w:val="auto"/>
          <w:szCs w:val="24"/>
        </w:rPr>
        <w:br w:type="page"/>
      </w:r>
    </w:p>
    <w:p w14:paraId="72950B50">
      <w:pPr>
        <w:pStyle w:val="10"/>
        <w:spacing w:line="360" w:lineRule="auto"/>
        <w:ind w:left="0"/>
        <w:jc w:val="center"/>
        <w:rPr>
          <w:rFonts w:hint="eastAsia" w:ascii="仿宋" w:hAnsi="仿宋" w:eastAsia="仿宋" w:cs="仿宋"/>
          <w:color w:val="auto"/>
          <w:szCs w:val="24"/>
        </w:rPr>
      </w:pPr>
      <w:r>
        <w:rPr>
          <w:rFonts w:hint="eastAsia" w:ascii="仿宋" w:hAnsi="仿宋" w:eastAsia="仿宋" w:cs="仿宋"/>
          <w:b/>
          <w:bCs/>
          <w:color w:val="auto"/>
          <w:szCs w:val="24"/>
        </w:rPr>
        <w:t>符合性审查表</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1"/>
        <w:gridCol w:w="1386"/>
        <w:gridCol w:w="7361"/>
      </w:tblGrid>
      <w:tr w14:paraId="25BA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6054081D">
            <w:pPr>
              <w:pStyle w:val="10"/>
              <w:spacing w:line="360" w:lineRule="auto"/>
              <w:ind w:left="0"/>
              <w:rPr>
                <w:rFonts w:hint="eastAsia" w:ascii="仿宋" w:hAnsi="仿宋" w:eastAsia="仿宋" w:cs="仿宋"/>
                <w:b/>
                <w:bCs/>
                <w:color w:val="auto"/>
                <w:szCs w:val="24"/>
              </w:rPr>
            </w:pPr>
            <w:r>
              <w:rPr>
                <w:rFonts w:hint="eastAsia" w:ascii="仿宋" w:hAnsi="仿宋" w:eastAsia="仿宋" w:cs="仿宋"/>
                <w:b/>
                <w:bCs/>
                <w:color w:val="auto"/>
                <w:szCs w:val="24"/>
              </w:rPr>
              <w:t>审查内容</w:t>
            </w:r>
          </w:p>
        </w:tc>
        <w:tc>
          <w:tcPr>
            <w:tcW w:w="696" w:type="pct"/>
          </w:tcPr>
          <w:p w14:paraId="2B8018BD">
            <w:pPr>
              <w:pStyle w:val="10"/>
              <w:spacing w:line="360" w:lineRule="auto"/>
              <w:ind w:left="0"/>
              <w:rPr>
                <w:rFonts w:hint="eastAsia" w:ascii="仿宋" w:hAnsi="仿宋" w:eastAsia="仿宋" w:cs="仿宋"/>
                <w:b/>
                <w:bCs/>
                <w:color w:val="auto"/>
                <w:szCs w:val="24"/>
              </w:rPr>
            </w:pPr>
            <w:r>
              <w:rPr>
                <w:rFonts w:hint="eastAsia" w:ascii="仿宋" w:hAnsi="仿宋" w:eastAsia="仿宋" w:cs="仿宋"/>
                <w:b/>
                <w:bCs/>
                <w:color w:val="auto"/>
                <w:szCs w:val="24"/>
              </w:rPr>
              <w:t>评审因素</w:t>
            </w:r>
          </w:p>
        </w:tc>
        <w:tc>
          <w:tcPr>
            <w:tcW w:w="3695" w:type="pct"/>
          </w:tcPr>
          <w:p w14:paraId="6E035F2F">
            <w:pPr>
              <w:pStyle w:val="10"/>
              <w:spacing w:line="360" w:lineRule="auto"/>
              <w:jc w:val="center"/>
              <w:rPr>
                <w:rFonts w:hint="eastAsia" w:ascii="仿宋" w:hAnsi="仿宋" w:eastAsia="仿宋" w:cs="仿宋"/>
                <w:b/>
                <w:bCs/>
                <w:color w:val="auto"/>
                <w:szCs w:val="24"/>
              </w:rPr>
            </w:pPr>
            <w:r>
              <w:rPr>
                <w:rFonts w:hint="eastAsia" w:ascii="仿宋" w:hAnsi="仿宋" w:eastAsia="仿宋" w:cs="仿宋"/>
                <w:b/>
                <w:bCs/>
                <w:color w:val="auto"/>
                <w:szCs w:val="24"/>
              </w:rPr>
              <w:t>评审标准</w:t>
            </w:r>
          </w:p>
        </w:tc>
      </w:tr>
      <w:tr w14:paraId="19B3E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restart"/>
            <w:vAlign w:val="center"/>
          </w:tcPr>
          <w:p w14:paraId="05A9F7DD">
            <w:pPr>
              <w:pStyle w:val="10"/>
              <w:spacing w:line="360" w:lineRule="auto"/>
              <w:ind w:left="0"/>
              <w:rPr>
                <w:rFonts w:hint="eastAsia" w:ascii="仿宋" w:hAnsi="仿宋" w:eastAsia="仿宋" w:cs="仿宋"/>
                <w:color w:val="auto"/>
                <w:szCs w:val="24"/>
              </w:rPr>
            </w:pPr>
            <w:r>
              <w:rPr>
                <w:rFonts w:hint="eastAsia" w:ascii="仿宋" w:hAnsi="仿宋" w:eastAsia="仿宋" w:cs="仿宋"/>
                <w:color w:val="auto"/>
                <w:szCs w:val="24"/>
              </w:rPr>
              <w:t>符合性评审标准</w:t>
            </w:r>
          </w:p>
        </w:tc>
        <w:tc>
          <w:tcPr>
            <w:tcW w:w="696" w:type="pct"/>
            <w:vAlign w:val="center"/>
          </w:tcPr>
          <w:p w14:paraId="49E15B59">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投标函</w:t>
            </w:r>
          </w:p>
        </w:tc>
        <w:tc>
          <w:tcPr>
            <w:tcW w:w="3695" w:type="pct"/>
            <w:vAlign w:val="center"/>
          </w:tcPr>
          <w:p w14:paraId="36DFF771">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有法定代表人或其委托代理人签字或签章，并盖单位公章；符合第七章“投标文件格式”中规定的格式及内容。</w:t>
            </w:r>
          </w:p>
        </w:tc>
      </w:tr>
      <w:tr w14:paraId="2BF1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131C1BA">
            <w:pPr>
              <w:pStyle w:val="10"/>
              <w:spacing w:line="360" w:lineRule="auto"/>
              <w:jc w:val="center"/>
              <w:rPr>
                <w:rFonts w:hint="eastAsia" w:ascii="仿宋" w:hAnsi="仿宋" w:eastAsia="仿宋" w:cs="仿宋"/>
                <w:color w:val="auto"/>
                <w:szCs w:val="24"/>
              </w:rPr>
            </w:pPr>
          </w:p>
        </w:tc>
        <w:tc>
          <w:tcPr>
            <w:tcW w:w="696" w:type="pct"/>
            <w:vAlign w:val="center"/>
          </w:tcPr>
          <w:p w14:paraId="1D58619B">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法定代表人身份证明书</w:t>
            </w:r>
          </w:p>
        </w:tc>
        <w:tc>
          <w:tcPr>
            <w:tcW w:w="3695" w:type="pct"/>
            <w:vAlign w:val="center"/>
          </w:tcPr>
          <w:p w14:paraId="6C7381E6">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符合招标文件规定格式及内容，并盖单位公章；</w:t>
            </w:r>
          </w:p>
        </w:tc>
      </w:tr>
      <w:tr w14:paraId="7FBF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E58F574">
            <w:pPr>
              <w:pStyle w:val="10"/>
              <w:spacing w:line="360" w:lineRule="auto"/>
              <w:rPr>
                <w:rFonts w:hint="eastAsia" w:ascii="仿宋" w:hAnsi="仿宋" w:eastAsia="仿宋" w:cs="仿宋"/>
                <w:color w:val="auto"/>
                <w:szCs w:val="24"/>
              </w:rPr>
            </w:pPr>
          </w:p>
        </w:tc>
        <w:tc>
          <w:tcPr>
            <w:tcW w:w="696" w:type="pct"/>
            <w:vAlign w:val="center"/>
          </w:tcPr>
          <w:p w14:paraId="4526ECA6">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法定代表人授权委托书</w:t>
            </w:r>
          </w:p>
        </w:tc>
        <w:tc>
          <w:tcPr>
            <w:tcW w:w="3695" w:type="pct"/>
            <w:vAlign w:val="center"/>
          </w:tcPr>
          <w:p w14:paraId="57DBF2E2">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有法定代表人及其委托代理人签字或签章，并盖单位公章；符合招标文件规定格式及内容；投标文件正本中法定代表人授权委托书为原件。</w:t>
            </w:r>
          </w:p>
        </w:tc>
      </w:tr>
      <w:tr w14:paraId="30A6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A02C55A">
            <w:pPr>
              <w:pStyle w:val="10"/>
              <w:spacing w:line="360" w:lineRule="auto"/>
              <w:rPr>
                <w:rFonts w:hint="eastAsia" w:ascii="仿宋" w:hAnsi="仿宋" w:eastAsia="仿宋" w:cs="仿宋"/>
                <w:color w:val="auto"/>
                <w:szCs w:val="24"/>
              </w:rPr>
            </w:pPr>
          </w:p>
        </w:tc>
        <w:tc>
          <w:tcPr>
            <w:tcW w:w="696" w:type="pct"/>
            <w:vAlign w:val="center"/>
          </w:tcPr>
          <w:p w14:paraId="05D1BAA3">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投标文件签署、盖章</w:t>
            </w:r>
          </w:p>
        </w:tc>
        <w:tc>
          <w:tcPr>
            <w:tcW w:w="3695" w:type="pct"/>
            <w:vAlign w:val="center"/>
          </w:tcPr>
          <w:p w14:paraId="2305F6F4">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投标文件按招标文件要求签署、盖章的</w:t>
            </w:r>
          </w:p>
        </w:tc>
      </w:tr>
      <w:tr w14:paraId="23F9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507B6AE">
            <w:pPr>
              <w:pStyle w:val="10"/>
              <w:spacing w:line="360" w:lineRule="auto"/>
              <w:rPr>
                <w:rFonts w:hint="eastAsia" w:ascii="仿宋" w:hAnsi="仿宋" w:eastAsia="仿宋" w:cs="仿宋"/>
                <w:color w:val="auto"/>
                <w:szCs w:val="24"/>
              </w:rPr>
            </w:pPr>
          </w:p>
        </w:tc>
        <w:tc>
          <w:tcPr>
            <w:tcW w:w="696" w:type="pct"/>
            <w:vAlign w:val="center"/>
          </w:tcPr>
          <w:p w14:paraId="5A116EFB">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投标有效期</w:t>
            </w:r>
          </w:p>
        </w:tc>
        <w:tc>
          <w:tcPr>
            <w:tcW w:w="3695" w:type="pct"/>
            <w:vAlign w:val="center"/>
          </w:tcPr>
          <w:p w14:paraId="091E65DD">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符合第二章“投标人须知”第16.1项规定</w:t>
            </w:r>
          </w:p>
        </w:tc>
      </w:tr>
      <w:tr w14:paraId="5DDC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DBEB5FB">
            <w:pPr>
              <w:pStyle w:val="10"/>
              <w:spacing w:line="360" w:lineRule="auto"/>
              <w:rPr>
                <w:rFonts w:hint="eastAsia" w:ascii="仿宋" w:hAnsi="仿宋" w:eastAsia="仿宋" w:cs="仿宋"/>
                <w:color w:val="auto"/>
                <w:szCs w:val="24"/>
              </w:rPr>
            </w:pPr>
          </w:p>
        </w:tc>
        <w:tc>
          <w:tcPr>
            <w:tcW w:w="696" w:type="pct"/>
            <w:vAlign w:val="center"/>
          </w:tcPr>
          <w:p w14:paraId="0339B281">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投标报价</w:t>
            </w:r>
          </w:p>
        </w:tc>
        <w:tc>
          <w:tcPr>
            <w:tcW w:w="3695" w:type="pct"/>
            <w:vAlign w:val="center"/>
          </w:tcPr>
          <w:p w14:paraId="49DF4B09">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下浮率≥0%，报价不得为负值（即不允许上浮报价）</w:t>
            </w:r>
          </w:p>
        </w:tc>
      </w:tr>
      <w:tr w14:paraId="4FC0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12DDD7F9">
            <w:pPr>
              <w:pStyle w:val="10"/>
              <w:spacing w:line="360" w:lineRule="auto"/>
              <w:rPr>
                <w:rFonts w:hint="eastAsia" w:ascii="仿宋" w:hAnsi="仿宋" w:eastAsia="仿宋" w:cs="仿宋"/>
                <w:color w:val="auto"/>
                <w:szCs w:val="24"/>
              </w:rPr>
            </w:pPr>
          </w:p>
        </w:tc>
        <w:tc>
          <w:tcPr>
            <w:tcW w:w="696" w:type="pct"/>
            <w:vAlign w:val="center"/>
          </w:tcPr>
          <w:p w14:paraId="53119C89">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投标文件的编制</w:t>
            </w:r>
          </w:p>
        </w:tc>
        <w:tc>
          <w:tcPr>
            <w:tcW w:w="3695" w:type="pct"/>
            <w:vAlign w:val="center"/>
          </w:tcPr>
          <w:p w14:paraId="0484D70D">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符合招标文件格式及资料提供的要求。</w:t>
            </w:r>
          </w:p>
        </w:tc>
      </w:tr>
      <w:tr w14:paraId="2A07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978E378">
            <w:pPr>
              <w:pStyle w:val="10"/>
              <w:spacing w:line="360" w:lineRule="auto"/>
              <w:rPr>
                <w:rFonts w:hint="eastAsia" w:ascii="仿宋" w:hAnsi="仿宋" w:eastAsia="仿宋" w:cs="仿宋"/>
                <w:color w:val="auto"/>
                <w:szCs w:val="24"/>
              </w:rPr>
            </w:pPr>
          </w:p>
        </w:tc>
        <w:tc>
          <w:tcPr>
            <w:tcW w:w="696" w:type="pct"/>
            <w:vAlign w:val="center"/>
          </w:tcPr>
          <w:p w14:paraId="36C79A4E">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其它实质性要求</w:t>
            </w:r>
          </w:p>
        </w:tc>
        <w:tc>
          <w:tcPr>
            <w:tcW w:w="3695" w:type="pct"/>
            <w:vAlign w:val="center"/>
          </w:tcPr>
          <w:p w14:paraId="4512C4A0">
            <w:pPr>
              <w:spacing w:line="360" w:lineRule="auto"/>
              <w:rPr>
                <w:rFonts w:hint="eastAsia" w:ascii="仿宋" w:hAnsi="仿宋" w:eastAsia="仿宋" w:cs="仿宋"/>
                <w:color w:val="auto"/>
                <w:szCs w:val="21"/>
              </w:rPr>
            </w:pPr>
            <w:r>
              <w:rPr>
                <w:rFonts w:hint="eastAsia" w:ascii="仿宋" w:hAnsi="仿宋" w:eastAsia="仿宋" w:cs="仿宋"/>
                <w:color w:val="auto"/>
                <w:szCs w:val="21"/>
              </w:rPr>
              <w:t>（1）实质性响应</w:t>
            </w:r>
            <w:r>
              <w:rPr>
                <w:rFonts w:hint="eastAsia" w:ascii="仿宋" w:hAnsi="仿宋" w:eastAsia="仿宋" w:cs="仿宋"/>
                <w:color w:val="auto"/>
                <w:kern w:val="0"/>
                <w:szCs w:val="21"/>
              </w:rPr>
              <w:t>招标</w:t>
            </w:r>
            <w:r>
              <w:rPr>
                <w:rFonts w:hint="eastAsia" w:ascii="仿宋" w:hAnsi="仿宋" w:eastAsia="仿宋" w:cs="仿宋"/>
                <w:color w:val="auto"/>
                <w:szCs w:val="21"/>
              </w:rPr>
              <w:t>文件中★号条款；</w:t>
            </w:r>
          </w:p>
          <w:p w14:paraId="66300D59">
            <w:pPr>
              <w:spacing w:line="360" w:lineRule="auto"/>
              <w:rPr>
                <w:rFonts w:hint="eastAsia" w:ascii="仿宋" w:hAnsi="仿宋" w:eastAsia="仿宋" w:cs="仿宋"/>
                <w:color w:val="auto"/>
                <w:szCs w:val="21"/>
              </w:rPr>
            </w:pPr>
            <w:r>
              <w:rPr>
                <w:rFonts w:hint="eastAsia" w:ascii="仿宋" w:hAnsi="仿宋" w:eastAsia="仿宋" w:cs="仿宋"/>
                <w:color w:val="auto"/>
                <w:szCs w:val="21"/>
              </w:rPr>
              <w:t>（2）投标文件未含有采购人不能接受的附加条件的；</w:t>
            </w:r>
          </w:p>
          <w:p w14:paraId="458F56F3">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（3）法律、法规和招标文件规定的其他无效情形；</w:t>
            </w:r>
          </w:p>
        </w:tc>
      </w:tr>
      <w:tr w14:paraId="73F9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75CBEC1">
            <w:pPr>
              <w:pStyle w:val="10"/>
              <w:spacing w:line="360" w:lineRule="auto"/>
              <w:rPr>
                <w:rFonts w:hint="eastAsia" w:ascii="仿宋" w:hAnsi="仿宋" w:eastAsia="仿宋" w:cs="仿宋"/>
                <w:color w:val="auto"/>
                <w:szCs w:val="24"/>
              </w:rPr>
            </w:pPr>
          </w:p>
        </w:tc>
        <w:tc>
          <w:tcPr>
            <w:tcW w:w="696" w:type="pct"/>
            <w:vAlign w:val="center"/>
          </w:tcPr>
          <w:p w14:paraId="0A562298">
            <w:pPr>
              <w:spacing w:line="360" w:lineRule="auto"/>
              <w:jc w:val="center"/>
              <w:rPr>
                <w:rFonts w:hint="eastAsia" w:ascii="仿宋" w:hAnsi="仿宋" w:eastAsia="仿宋" w:cs="仿宋"/>
                <w:color w:val="auto"/>
                <w:spacing w:val="-4"/>
                <w:sz w:val="24"/>
                <w:szCs w:val="24"/>
              </w:rPr>
            </w:pPr>
            <w:r>
              <w:rPr>
                <w:rFonts w:hint="eastAsia" w:ascii="仿宋" w:hAnsi="仿宋" w:eastAsia="仿宋" w:cs="仿宋"/>
                <w:color w:val="auto"/>
                <w:szCs w:val="21"/>
              </w:rPr>
              <w:t>无串通投标的情形</w:t>
            </w:r>
          </w:p>
        </w:tc>
        <w:tc>
          <w:tcPr>
            <w:tcW w:w="3695" w:type="pct"/>
            <w:vAlign w:val="center"/>
          </w:tcPr>
          <w:p w14:paraId="4DCD2030">
            <w:pPr>
              <w:spacing w:line="360" w:lineRule="auto"/>
              <w:rPr>
                <w:rFonts w:hint="eastAsia" w:ascii="仿宋" w:hAnsi="仿宋" w:eastAsia="仿宋" w:cs="仿宋"/>
                <w:color w:val="auto"/>
                <w:spacing w:val="-4"/>
                <w:sz w:val="24"/>
                <w:szCs w:val="24"/>
              </w:rPr>
            </w:pPr>
            <w:r>
              <w:rPr>
                <w:rFonts w:hint="eastAsia" w:ascii="仿宋" w:hAnsi="仿宋" w:eastAsia="仿宋" w:cs="仿宋"/>
                <w:color w:val="auto"/>
                <w:szCs w:val="21"/>
              </w:rPr>
              <w:t>无法律法规规定的串通投标的情形。</w:t>
            </w:r>
          </w:p>
        </w:tc>
      </w:tr>
    </w:tbl>
    <w:p w14:paraId="5D95B5F2">
      <w:pPr>
        <w:pStyle w:val="10"/>
        <w:spacing w:line="360" w:lineRule="auto"/>
        <w:ind w:left="0"/>
        <w:rPr>
          <w:rFonts w:hint="eastAsia" w:ascii="仿宋" w:hAnsi="仿宋" w:eastAsia="仿宋" w:cs="仿宋"/>
          <w:b/>
          <w:bCs/>
          <w:color w:val="auto"/>
          <w:szCs w:val="24"/>
        </w:rPr>
      </w:pPr>
      <w:r>
        <w:rPr>
          <w:rFonts w:hint="eastAsia" w:ascii="仿宋" w:hAnsi="仿宋" w:eastAsia="仿宋" w:cs="仿宋"/>
          <w:b/>
          <w:bCs/>
          <w:color w:val="auto"/>
          <w:szCs w:val="24"/>
        </w:rPr>
        <w:t>（二）澄清有关问题</w:t>
      </w:r>
    </w:p>
    <w:p w14:paraId="4A69C418">
      <w:pPr>
        <w:pStyle w:val="10"/>
        <w:spacing w:line="360" w:lineRule="auto"/>
        <w:ind w:left="0" w:firstLine="482" w:firstLineChars="200"/>
        <w:rPr>
          <w:rFonts w:hint="eastAsia" w:ascii="仿宋" w:hAnsi="仿宋" w:eastAsia="仿宋" w:cs="仿宋"/>
          <w:b/>
          <w:bCs/>
          <w:color w:val="auto"/>
          <w:szCs w:val="24"/>
        </w:rPr>
      </w:pPr>
      <w:r>
        <w:rPr>
          <w:rFonts w:hint="eastAsia" w:ascii="仿宋" w:hAnsi="仿宋" w:eastAsia="仿宋" w:cs="仿宋"/>
          <w:b/>
          <w:bCs/>
          <w:color w:val="auto"/>
          <w:szCs w:val="24"/>
        </w:rPr>
        <w:t>1.投标文件内容澄清</w:t>
      </w:r>
    </w:p>
    <w:p w14:paraId="49459749">
      <w:pPr>
        <w:pStyle w:val="10"/>
        <w:spacing w:line="360" w:lineRule="auto"/>
        <w:ind w:left="0" w:firstLine="456" w:firstLineChars="200"/>
        <w:rPr>
          <w:rFonts w:hint="eastAsia" w:ascii="仿宋" w:hAnsi="仿宋" w:eastAsia="仿宋" w:cs="仿宋"/>
          <w:color w:val="auto"/>
          <w:spacing w:val="-6"/>
          <w:szCs w:val="24"/>
        </w:rPr>
      </w:pPr>
      <w:r>
        <w:rPr>
          <w:rFonts w:hint="eastAsia" w:ascii="仿宋" w:hAnsi="仿宋" w:eastAsia="仿宋" w:cs="仿宋"/>
          <w:color w:val="auto"/>
          <w:spacing w:val="-6"/>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5558ABA3">
      <w:pPr>
        <w:pStyle w:val="10"/>
        <w:spacing w:line="360" w:lineRule="auto"/>
        <w:ind w:left="0" w:firstLine="482" w:firstLineChars="200"/>
        <w:rPr>
          <w:rFonts w:hint="eastAsia" w:ascii="仿宋" w:hAnsi="仿宋" w:eastAsia="仿宋" w:cs="仿宋"/>
          <w:b/>
          <w:bCs/>
          <w:color w:val="auto"/>
          <w:szCs w:val="24"/>
        </w:rPr>
      </w:pPr>
      <w:r>
        <w:rPr>
          <w:rFonts w:hint="eastAsia" w:ascii="仿宋" w:hAnsi="仿宋" w:eastAsia="仿宋" w:cs="仿宋"/>
          <w:b/>
          <w:bCs/>
          <w:color w:val="auto"/>
          <w:szCs w:val="24"/>
        </w:rPr>
        <w:t>2.报价不一致情形澄清</w:t>
      </w:r>
    </w:p>
    <w:p w14:paraId="686FBDE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投标文件报价出现前后不一致的，除招标文件另有规定外，按照下列规定修正：</w:t>
      </w:r>
    </w:p>
    <w:p w14:paraId="527F30BA">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（1）投标文件中开标一览表（报价表）内容与投标文件中相应内容不一致的，以开标一</w:t>
      </w:r>
    </w:p>
    <w:p w14:paraId="6B548A81">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览表（报价表）为准；</w:t>
      </w:r>
    </w:p>
    <w:p w14:paraId="7B19720E">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（2）大写金额和小写金额不一致的，以大写金额为准；</w:t>
      </w:r>
    </w:p>
    <w:p w14:paraId="139BF0C6">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（3）单价金额小数点或者百分比有明显错位的，以开标一览表的总价为准，并修改单价；</w:t>
      </w:r>
    </w:p>
    <w:p w14:paraId="1D268EE5">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（4）总价金额与按单价汇总金额不一致的，以单价金额计算结果为准。</w:t>
      </w:r>
    </w:p>
    <w:p w14:paraId="14C2FF56">
      <w:pPr>
        <w:pStyle w:val="10"/>
        <w:spacing w:line="360" w:lineRule="auto"/>
        <w:ind w:left="0" w:firstLine="436" w:firstLineChars="200"/>
        <w:rPr>
          <w:rFonts w:hint="eastAsia" w:ascii="仿宋" w:hAnsi="仿宋" w:eastAsia="仿宋" w:cs="仿宋"/>
          <w:color w:val="auto"/>
          <w:szCs w:val="24"/>
        </w:rPr>
      </w:pPr>
      <w:r>
        <w:rPr>
          <w:rFonts w:hint="eastAsia" w:ascii="仿宋" w:hAnsi="仿宋" w:eastAsia="仿宋" w:cs="仿宋"/>
          <w:color w:val="auto"/>
          <w:spacing w:val="-11"/>
          <w:szCs w:val="24"/>
        </w:rPr>
        <w:t>同时出现两种以上不一致的，按照前款规定的顺序修正。修正后的报价按照招标文件规定并经投标人确认后产生约束力，投标人不确认的，其投标无效</w:t>
      </w:r>
      <w:r>
        <w:rPr>
          <w:rFonts w:hint="eastAsia" w:ascii="仿宋" w:hAnsi="仿宋" w:eastAsia="仿宋" w:cs="仿宋"/>
          <w:color w:val="auto"/>
          <w:szCs w:val="24"/>
        </w:rPr>
        <w:t>。</w:t>
      </w:r>
    </w:p>
    <w:p w14:paraId="5F43CC5E">
      <w:pPr>
        <w:pStyle w:val="10"/>
        <w:spacing w:line="360" w:lineRule="auto"/>
        <w:ind w:left="0" w:firstLine="482" w:firstLineChars="200"/>
        <w:rPr>
          <w:rFonts w:hint="eastAsia" w:ascii="仿宋" w:hAnsi="仿宋" w:eastAsia="仿宋" w:cs="仿宋"/>
          <w:b/>
          <w:bCs/>
          <w:color w:val="auto"/>
          <w:szCs w:val="24"/>
        </w:rPr>
      </w:pPr>
      <w:r>
        <w:rPr>
          <w:rFonts w:hint="eastAsia" w:ascii="仿宋" w:hAnsi="仿宋" w:eastAsia="仿宋" w:cs="仿宋"/>
          <w:b/>
          <w:bCs/>
          <w:color w:val="auto"/>
          <w:szCs w:val="24"/>
        </w:rPr>
        <w:t>3.报价过低情形澄清</w:t>
      </w:r>
    </w:p>
    <w:p w14:paraId="04845E94">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3、异常低价情形澄清</w:t>
      </w:r>
    </w:p>
    <w:p w14:paraId="7527C6FB">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3.1、评标委员会认为投标人的报价（总价或单价）明显低于其他通过符合性审查投标人的报价（总价或单价），有可能影响服务质量或者不能诚信履约的，应当要求其在评审现场合理的时间内提供书面说明，必要时提交相关证明材料；投标人不能证明其报价合理性的，评标委员会应当将其作为无效投标处理。</w:t>
      </w:r>
    </w:p>
    <w:p w14:paraId="6E0B463C">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3.2、出现下列情形之一的，评标委员会应当启动异常低价投标审查程序：</w:t>
      </w:r>
    </w:p>
    <w:p w14:paraId="7547F1FB">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（1）投标报价低于全部通过符合性审查投标人投标报价平均值</w:t>
      </w:r>
      <w:r>
        <w:rPr>
          <w:rFonts w:hint="eastAsia" w:ascii="仿宋" w:hAnsi="仿宋" w:eastAsia="仿宋" w:cs="仿宋"/>
          <w:color w:val="auto"/>
          <w:spacing w:val="-11"/>
          <w:szCs w:val="24"/>
          <w:lang w:val="en-US" w:eastAsia="zh-CN"/>
        </w:rPr>
        <w:t>60</w:t>
      </w:r>
      <w:r>
        <w:rPr>
          <w:rFonts w:hint="eastAsia" w:ascii="仿宋" w:hAnsi="仿宋" w:eastAsia="仿宋" w:cs="仿宋"/>
          <w:color w:val="auto"/>
          <w:spacing w:val="-11"/>
          <w:szCs w:val="24"/>
        </w:rPr>
        <w:t>%的，即投标报价</w:t>
      </w:r>
      <w:r>
        <w:rPr>
          <w:rFonts w:hint="eastAsia" w:ascii="仿宋" w:hAnsi="仿宋" w:eastAsia="仿宋" w:cs="仿宋"/>
          <w:color w:val="auto"/>
          <w:spacing w:val="-11"/>
          <w:szCs w:val="24"/>
          <w:lang w:val="en-US" w:eastAsia="zh-CN"/>
        </w:rPr>
        <w:t>＜</w:t>
      </w:r>
      <w:r>
        <w:rPr>
          <w:rFonts w:hint="eastAsia" w:ascii="仿宋" w:hAnsi="仿宋" w:eastAsia="仿宋" w:cs="仿宋"/>
          <w:color w:val="auto"/>
          <w:spacing w:val="-11"/>
          <w:szCs w:val="24"/>
        </w:rPr>
        <w:t>全部通过符合性审查投标人投标报价平均值×</w:t>
      </w:r>
      <w:r>
        <w:rPr>
          <w:rFonts w:hint="eastAsia" w:ascii="仿宋" w:hAnsi="仿宋" w:eastAsia="仿宋" w:cs="仿宋"/>
          <w:color w:val="auto"/>
          <w:spacing w:val="-11"/>
          <w:szCs w:val="24"/>
          <w:lang w:val="en-US" w:eastAsia="zh-CN"/>
        </w:rPr>
        <w:t>60</w:t>
      </w:r>
      <w:r>
        <w:rPr>
          <w:rFonts w:hint="eastAsia" w:ascii="仿宋" w:hAnsi="仿宋" w:eastAsia="仿宋" w:cs="仿宋"/>
          <w:color w:val="auto"/>
          <w:spacing w:val="-11"/>
          <w:szCs w:val="24"/>
        </w:rPr>
        <w:t>%；</w:t>
      </w:r>
    </w:p>
    <w:p w14:paraId="5D3FD229">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（2）投标报价低于通过符合性审查的次低报价投标人投标报价</w:t>
      </w:r>
      <w:r>
        <w:rPr>
          <w:rFonts w:hint="eastAsia" w:ascii="仿宋" w:hAnsi="仿宋" w:eastAsia="仿宋" w:cs="仿宋"/>
          <w:color w:val="auto"/>
          <w:spacing w:val="-11"/>
          <w:szCs w:val="24"/>
          <w:lang w:val="en-US" w:eastAsia="zh-CN"/>
        </w:rPr>
        <w:t>60</w:t>
      </w:r>
      <w:r>
        <w:rPr>
          <w:rFonts w:hint="eastAsia" w:ascii="仿宋" w:hAnsi="仿宋" w:eastAsia="仿宋" w:cs="仿宋"/>
          <w:color w:val="auto"/>
          <w:spacing w:val="-11"/>
          <w:szCs w:val="24"/>
        </w:rPr>
        <w:t>%的，即投标报价</w:t>
      </w:r>
      <w:r>
        <w:rPr>
          <w:rFonts w:hint="eastAsia" w:ascii="仿宋" w:hAnsi="仿宋" w:eastAsia="仿宋" w:cs="仿宋"/>
          <w:color w:val="auto"/>
          <w:spacing w:val="-11"/>
          <w:szCs w:val="24"/>
          <w:lang w:val="en-US" w:eastAsia="zh-CN"/>
        </w:rPr>
        <w:t>＜</w:t>
      </w:r>
      <w:r>
        <w:rPr>
          <w:rFonts w:hint="eastAsia" w:ascii="仿宋" w:hAnsi="仿宋" w:eastAsia="仿宋" w:cs="仿宋"/>
          <w:color w:val="auto"/>
          <w:spacing w:val="-11"/>
          <w:szCs w:val="24"/>
        </w:rPr>
        <w:t>通过符合性审查的次低报价投标人投标报价×</w:t>
      </w:r>
      <w:r>
        <w:rPr>
          <w:rFonts w:hint="eastAsia" w:ascii="仿宋" w:hAnsi="仿宋" w:eastAsia="仿宋" w:cs="仿宋"/>
          <w:color w:val="auto"/>
          <w:spacing w:val="-11"/>
          <w:szCs w:val="24"/>
          <w:lang w:val="en-US" w:eastAsia="zh-CN"/>
        </w:rPr>
        <w:t>60</w:t>
      </w:r>
      <w:r>
        <w:rPr>
          <w:rFonts w:hint="eastAsia" w:ascii="仿宋" w:hAnsi="仿宋" w:eastAsia="仿宋" w:cs="仿宋"/>
          <w:color w:val="auto"/>
          <w:spacing w:val="-11"/>
          <w:szCs w:val="24"/>
        </w:rPr>
        <w:t>%；</w:t>
      </w:r>
    </w:p>
    <w:p w14:paraId="27722C61">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（3）投标报价低于采购项目最高限价</w:t>
      </w:r>
      <w:r>
        <w:rPr>
          <w:rFonts w:hint="eastAsia" w:ascii="仿宋" w:hAnsi="仿宋" w:eastAsia="仿宋" w:cs="仿宋"/>
          <w:color w:val="auto"/>
          <w:spacing w:val="-11"/>
          <w:szCs w:val="24"/>
          <w:lang w:val="en-US" w:eastAsia="zh-CN"/>
        </w:rPr>
        <w:t>60</w:t>
      </w:r>
      <w:r>
        <w:rPr>
          <w:rFonts w:hint="eastAsia" w:ascii="仿宋" w:hAnsi="仿宋" w:eastAsia="仿宋" w:cs="仿宋"/>
          <w:color w:val="auto"/>
          <w:spacing w:val="-11"/>
          <w:szCs w:val="24"/>
        </w:rPr>
        <w:t>%的，即投标报价</w:t>
      </w:r>
      <w:r>
        <w:rPr>
          <w:rFonts w:hint="eastAsia" w:ascii="仿宋" w:hAnsi="仿宋" w:eastAsia="仿宋" w:cs="仿宋"/>
          <w:color w:val="auto"/>
          <w:spacing w:val="-11"/>
          <w:szCs w:val="24"/>
          <w:lang w:val="en-US" w:eastAsia="zh-CN"/>
        </w:rPr>
        <w:t>＜</w:t>
      </w:r>
      <w:r>
        <w:rPr>
          <w:rFonts w:hint="eastAsia" w:ascii="仿宋" w:hAnsi="仿宋" w:eastAsia="仿宋" w:cs="仿宋"/>
          <w:color w:val="auto"/>
          <w:spacing w:val="-11"/>
          <w:szCs w:val="24"/>
        </w:rPr>
        <w:t>采购项目最高限价×</w:t>
      </w:r>
      <w:r>
        <w:rPr>
          <w:rFonts w:hint="eastAsia" w:ascii="仿宋" w:hAnsi="仿宋" w:eastAsia="仿宋" w:cs="仿宋"/>
          <w:color w:val="auto"/>
          <w:spacing w:val="-11"/>
          <w:szCs w:val="24"/>
          <w:lang w:val="en-US" w:eastAsia="zh-CN"/>
        </w:rPr>
        <w:t>60</w:t>
      </w:r>
      <w:r>
        <w:rPr>
          <w:rFonts w:hint="eastAsia" w:ascii="仿宋" w:hAnsi="仿宋" w:eastAsia="仿宋" w:cs="仿宋"/>
          <w:color w:val="auto"/>
          <w:spacing w:val="-11"/>
          <w:szCs w:val="24"/>
        </w:rPr>
        <w:t>%；</w:t>
      </w:r>
    </w:p>
    <w:p w14:paraId="2AA9719D">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（4）评标委员会基于专业判断，认为投标人报价过低，有可能影响产品质量或者不能诚信履约的其他情形。</w:t>
      </w:r>
    </w:p>
    <w:p w14:paraId="3558D55E">
      <w:pPr>
        <w:pStyle w:val="10"/>
        <w:spacing w:line="360" w:lineRule="auto"/>
        <w:ind w:left="0" w:firstLine="436" w:firstLineChars="200"/>
        <w:rPr>
          <w:rFonts w:hint="eastAsia" w:ascii="仿宋" w:hAnsi="仿宋" w:eastAsia="仿宋" w:cs="仿宋"/>
          <w:color w:val="auto"/>
          <w:spacing w:val="-11"/>
          <w:szCs w:val="24"/>
        </w:rPr>
      </w:pPr>
      <w:r>
        <w:rPr>
          <w:rFonts w:hint="eastAsia" w:ascii="仿宋" w:hAnsi="仿宋" w:eastAsia="仿宋" w:cs="仿宋"/>
          <w:color w:val="auto"/>
          <w:spacing w:val="-11"/>
          <w:szCs w:val="24"/>
        </w:rPr>
        <w:t>3.3、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420D2336">
      <w:pPr>
        <w:pStyle w:val="10"/>
        <w:spacing w:line="360" w:lineRule="auto"/>
        <w:ind w:left="0" w:firstLine="436" w:firstLineChars="200"/>
        <w:rPr>
          <w:rFonts w:hint="eastAsia" w:ascii="仿宋" w:hAnsi="仿宋" w:eastAsia="仿宋" w:cs="仿宋"/>
          <w:color w:val="auto"/>
          <w:szCs w:val="24"/>
        </w:rPr>
      </w:pPr>
      <w:r>
        <w:rPr>
          <w:rFonts w:hint="eastAsia" w:ascii="仿宋" w:hAnsi="仿宋" w:eastAsia="仿宋" w:cs="仿宋"/>
          <w:color w:val="auto"/>
          <w:spacing w:val="-11"/>
          <w:szCs w:val="24"/>
        </w:rPr>
        <w:t>3.4、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B022DD4">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（三）商务和技术评估、综合比较与评价</w:t>
      </w:r>
    </w:p>
    <w:p w14:paraId="4748EFC5">
      <w:pPr>
        <w:autoSpaceDE w:val="0"/>
        <w:autoSpaceDN w:val="0"/>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综合评分方式</w:t>
      </w:r>
    </w:p>
    <w:p w14:paraId="0B85DB8C">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投标人的评标总得分＝F1＋F2+F3；</w:t>
      </w:r>
    </w:p>
    <w:p w14:paraId="7150C492">
      <w:pPr>
        <w:spacing w:line="360" w:lineRule="auto"/>
        <w:ind w:firstLine="458" w:firstLineChars="200"/>
        <w:jc w:val="left"/>
        <w:rPr>
          <w:rFonts w:hint="eastAsia" w:ascii="仿宋" w:hAnsi="仿宋" w:eastAsia="仿宋" w:cs="仿宋"/>
          <w:b/>
          <w:bCs/>
          <w:color w:val="auto"/>
          <w:spacing w:val="-6"/>
          <w:sz w:val="24"/>
          <w:szCs w:val="24"/>
        </w:rPr>
      </w:pPr>
      <w:r>
        <w:rPr>
          <w:rFonts w:hint="eastAsia" w:ascii="仿宋" w:hAnsi="仿宋" w:eastAsia="仿宋" w:cs="仿宋"/>
          <w:b/>
          <w:bCs/>
          <w:color w:val="auto"/>
          <w:spacing w:val="-6"/>
          <w:sz w:val="24"/>
          <w:szCs w:val="24"/>
        </w:rPr>
        <w:t>其中：F1、F2、F3分别为投标报价部分、技术部分、商务部分3项评分因素的汇总得分。</w:t>
      </w:r>
    </w:p>
    <w:p w14:paraId="6239B974">
      <w:pPr>
        <w:spacing w:line="360" w:lineRule="auto"/>
        <w:ind w:firstLine="482" w:firstLineChars="200"/>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具体评审细则如下：</w:t>
      </w:r>
    </w:p>
    <w:tbl>
      <w:tblPr>
        <w:tblStyle w:val="24"/>
        <w:tblW w:w="9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077"/>
        <w:gridCol w:w="1340"/>
        <w:gridCol w:w="7336"/>
      </w:tblGrid>
      <w:tr w14:paraId="3623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67" w:hRule="atLeast"/>
        </w:trPr>
        <w:tc>
          <w:tcPr>
            <w:tcW w:w="1077" w:type="dxa"/>
            <w:vAlign w:val="center"/>
          </w:tcPr>
          <w:p w14:paraId="184D2C51">
            <w:pPr>
              <w:spacing w:line="360" w:lineRule="auto"/>
              <w:jc w:val="left"/>
              <w:rPr>
                <w:rFonts w:hint="eastAsia" w:ascii="仿宋" w:hAnsi="仿宋" w:eastAsia="仿宋" w:cs="仿宋"/>
                <w:color w:val="auto"/>
                <w:sz w:val="20"/>
                <w:szCs w:val="20"/>
              </w:rPr>
            </w:pPr>
            <w:r>
              <w:rPr>
                <w:rFonts w:hint="eastAsia" w:ascii="仿宋" w:hAnsi="仿宋" w:eastAsia="仿宋" w:cs="仿宋"/>
                <w:b/>
                <w:color w:val="auto"/>
                <w:sz w:val="20"/>
                <w:szCs w:val="20"/>
              </w:rPr>
              <w:t>审查内容</w:t>
            </w:r>
          </w:p>
        </w:tc>
        <w:tc>
          <w:tcPr>
            <w:tcW w:w="1340" w:type="dxa"/>
            <w:vAlign w:val="center"/>
          </w:tcPr>
          <w:p w14:paraId="485ED14C">
            <w:pPr>
              <w:spacing w:line="360" w:lineRule="auto"/>
              <w:jc w:val="center"/>
              <w:rPr>
                <w:rFonts w:hint="eastAsia" w:ascii="仿宋" w:hAnsi="仿宋" w:eastAsia="仿宋" w:cs="仿宋"/>
                <w:color w:val="auto"/>
                <w:sz w:val="20"/>
                <w:szCs w:val="20"/>
              </w:rPr>
            </w:pPr>
            <w:r>
              <w:rPr>
                <w:rFonts w:hint="eastAsia" w:ascii="仿宋" w:hAnsi="仿宋" w:eastAsia="仿宋" w:cs="仿宋"/>
                <w:b/>
                <w:color w:val="auto"/>
                <w:sz w:val="20"/>
                <w:szCs w:val="20"/>
              </w:rPr>
              <w:t>评分因素</w:t>
            </w:r>
          </w:p>
        </w:tc>
        <w:tc>
          <w:tcPr>
            <w:tcW w:w="7336" w:type="dxa"/>
            <w:vAlign w:val="center"/>
          </w:tcPr>
          <w:p w14:paraId="2D5B7C0E">
            <w:pPr>
              <w:spacing w:line="360" w:lineRule="auto"/>
              <w:jc w:val="center"/>
              <w:rPr>
                <w:rFonts w:hint="eastAsia" w:ascii="仿宋" w:hAnsi="仿宋" w:eastAsia="仿宋" w:cs="仿宋"/>
                <w:b/>
                <w:color w:val="auto"/>
                <w:sz w:val="20"/>
                <w:szCs w:val="20"/>
              </w:rPr>
            </w:pPr>
            <w:r>
              <w:rPr>
                <w:rFonts w:hint="eastAsia" w:ascii="仿宋" w:hAnsi="仿宋" w:eastAsia="仿宋" w:cs="仿宋"/>
                <w:b/>
                <w:color w:val="auto"/>
                <w:sz w:val="20"/>
                <w:szCs w:val="20"/>
              </w:rPr>
              <w:t>评分标准</w:t>
            </w:r>
          </w:p>
        </w:tc>
      </w:tr>
      <w:tr w14:paraId="336E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6" w:hRule="atLeast"/>
        </w:trPr>
        <w:tc>
          <w:tcPr>
            <w:tcW w:w="1077" w:type="dxa"/>
            <w:vAlign w:val="center"/>
          </w:tcPr>
          <w:p w14:paraId="6056B8BE">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投标报价F1评审</w:t>
            </w:r>
          </w:p>
          <w:p w14:paraId="0455F43F">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（满分30分）</w:t>
            </w:r>
          </w:p>
        </w:tc>
        <w:tc>
          <w:tcPr>
            <w:tcW w:w="1340" w:type="dxa"/>
            <w:vAlign w:val="center"/>
          </w:tcPr>
          <w:p w14:paraId="5FDF6A71">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投标报价</w:t>
            </w:r>
          </w:p>
          <w:p w14:paraId="0B2F6FA1">
            <w:pPr>
              <w:spacing w:line="360" w:lineRule="auto"/>
              <w:jc w:val="center"/>
              <w:rPr>
                <w:rFonts w:hint="eastAsia" w:ascii="仿宋" w:hAnsi="仿宋" w:eastAsia="仿宋" w:cs="仿宋"/>
                <w:b/>
                <w:bCs/>
                <w:color w:val="auto"/>
                <w:kern w:val="0"/>
                <w:sz w:val="20"/>
                <w:szCs w:val="20"/>
              </w:rPr>
            </w:pPr>
            <w:r>
              <w:rPr>
                <w:rFonts w:hint="eastAsia" w:ascii="仿宋" w:hAnsi="仿宋" w:eastAsia="仿宋" w:cs="仿宋"/>
                <w:b/>
                <w:bCs/>
                <w:color w:val="auto"/>
                <w:sz w:val="20"/>
                <w:szCs w:val="20"/>
              </w:rPr>
              <w:t>（满分30分）</w:t>
            </w:r>
          </w:p>
        </w:tc>
        <w:tc>
          <w:tcPr>
            <w:tcW w:w="7336" w:type="dxa"/>
            <w:vAlign w:val="center"/>
          </w:tcPr>
          <w:p w14:paraId="364EC5D6">
            <w:pPr>
              <w:spacing w:line="360" w:lineRule="auto"/>
              <w:rPr>
                <w:rFonts w:hint="eastAsia" w:ascii="仿宋" w:hAnsi="仿宋" w:eastAsia="仿宋" w:cs="仿宋"/>
                <w:color w:val="auto"/>
                <w:kern w:val="0"/>
                <w:sz w:val="20"/>
                <w:szCs w:val="20"/>
              </w:rPr>
            </w:pPr>
            <w:r>
              <w:rPr>
                <w:rFonts w:hint="eastAsia" w:ascii="仿宋" w:hAnsi="仿宋" w:eastAsia="仿宋" w:cs="仿宋"/>
                <w:color w:val="auto"/>
                <w:kern w:val="0"/>
                <w:sz w:val="20"/>
                <w:szCs w:val="20"/>
              </w:rPr>
              <w:t>满足招标文件要求且投标价格（1-下浮率）最低的投标报价为评标基准价，其报价分为满分。其他有效投标人的报价得分统一按照下列公式计算：报价得分=(1-评标基准价/1-投标报价)×30，得分保留小数点后两位。</w:t>
            </w:r>
          </w:p>
        </w:tc>
      </w:tr>
      <w:tr w14:paraId="05154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340" w:hRule="atLeast"/>
        </w:trPr>
        <w:tc>
          <w:tcPr>
            <w:tcW w:w="1077" w:type="dxa"/>
            <w:vMerge w:val="restart"/>
            <w:vAlign w:val="center"/>
          </w:tcPr>
          <w:p w14:paraId="761ADC77">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技术部分F2评审</w:t>
            </w:r>
          </w:p>
          <w:p w14:paraId="67FCE29E">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（满分</w:t>
            </w:r>
            <w:r>
              <w:rPr>
                <w:rFonts w:hint="eastAsia" w:ascii="仿宋" w:hAnsi="仿宋" w:eastAsia="仿宋" w:cs="仿宋"/>
                <w:b/>
                <w:bCs/>
                <w:color w:val="auto"/>
                <w:sz w:val="20"/>
                <w:szCs w:val="20"/>
                <w:lang w:val="en-US" w:eastAsia="zh-CN"/>
              </w:rPr>
              <w:t>42</w:t>
            </w:r>
            <w:r>
              <w:rPr>
                <w:rFonts w:hint="eastAsia" w:ascii="仿宋" w:hAnsi="仿宋" w:eastAsia="仿宋" w:cs="仿宋"/>
                <w:b/>
                <w:bCs/>
                <w:color w:val="auto"/>
                <w:sz w:val="20"/>
                <w:szCs w:val="20"/>
              </w:rPr>
              <w:t>分）</w:t>
            </w:r>
          </w:p>
        </w:tc>
        <w:tc>
          <w:tcPr>
            <w:tcW w:w="1340" w:type="dxa"/>
            <w:shd w:val="clear" w:color="auto" w:fill="auto"/>
            <w:vAlign w:val="center"/>
          </w:tcPr>
          <w:p w14:paraId="7AAE3F95">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rPr>
              <w:t>技术指标响应（满分10分）</w:t>
            </w:r>
          </w:p>
        </w:tc>
        <w:tc>
          <w:tcPr>
            <w:tcW w:w="7336" w:type="dxa"/>
            <w:shd w:val="clear" w:color="auto" w:fill="auto"/>
            <w:vAlign w:val="center"/>
          </w:tcPr>
          <w:p w14:paraId="7BB8123D">
            <w:pPr>
              <w:spacing w:line="360" w:lineRule="auto"/>
              <w:rPr>
                <w:rFonts w:hint="default" w:ascii="仿宋" w:hAnsi="仿宋" w:eastAsia="仿宋" w:cs="仿宋"/>
                <w:b/>
                <w:bCs/>
                <w:color w:val="auto"/>
                <w:kern w:val="0"/>
                <w:sz w:val="20"/>
                <w:szCs w:val="20"/>
                <w:lang w:val="en-US" w:eastAsia="zh-CN"/>
              </w:rPr>
            </w:pPr>
            <w:r>
              <w:rPr>
                <w:rFonts w:hint="eastAsia" w:ascii="仿宋" w:hAnsi="仿宋" w:eastAsia="仿宋" w:cs="仿宋"/>
                <w:b/>
                <w:bCs/>
                <w:color w:val="auto"/>
                <w:kern w:val="0"/>
                <w:sz w:val="20"/>
                <w:szCs w:val="20"/>
                <w:lang w:val="en-US" w:eastAsia="zh-CN"/>
              </w:rPr>
              <w:t>1标段：</w:t>
            </w:r>
          </w:p>
          <w:p w14:paraId="3CBE7865">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产品技术参数共58条，完全满足招标文件要求的得10分，投标产品每出现一项技术参数不满足招标文件要求的扣0.173分；</w:t>
            </w:r>
          </w:p>
          <w:p w14:paraId="29E1B7D6">
            <w:pPr>
              <w:spacing w:line="360" w:lineRule="auto"/>
              <w:rPr>
                <w:rFonts w:hint="default" w:ascii="仿宋" w:hAnsi="仿宋" w:eastAsia="仿宋" w:cs="仿宋"/>
                <w:b/>
                <w:bCs/>
                <w:color w:val="auto"/>
                <w:kern w:val="0"/>
                <w:sz w:val="20"/>
                <w:szCs w:val="20"/>
                <w:lang w:val="en-US" w:eastAsia="zh-CN"/>
              </w:rPr>
            </w:pPr>
            <w:r>
              <w:rPr>
                <w:rFonts w:hint="eastAsia" w:ascii="仿宋" w:hAnsi="仿宋" w:eastAsia="仿宋" w:cs="仿宋"/>
                <w:b/>
                <w:bCs/>
                <w:color w:val="auto"/>
                <w:kern w:val="0"/>
                <w:sz w:val="20"/>
                <w:szCs w:val="20"/>
                <w:lang w:val="en-US" w:eastAsia="zh-CN"/>
              </w:rPr>
              <w:t>2标段：</w:t>
            </w:r>
          </w:p>
          <w:p w14:paraId="08A78D73">
            <w:pPr>
              <w:spacing w:line="360" w:lineRule="auto"/>
              <w:rPr>
                <w:rFonts w:hint="eastAsia" w:ascii="仿宋" w:hAnsi="仿宋" w:eastAsia="仿宋" w:cs="仿宋"/>
                <w:color w:val="auto"/>
                <w:kern w:val="0"/>
                <w:sz w:val="20"/>
                <w:szCs w:val="20"/>
              </w:rPr>
            </w:pPr>
            <w:r>
              <w:rPr>
                <w:rFonts w:hint="eastAsia" w:ascii="仿宋" w:hAnsi="仿宋" w:eastAsia="仿宋" w:cs="仿宋"/>
                <w:color w:val="auto"/>
                <w:kern w:val="0"/>
                <w:sz w:val="20"/>
                <w:szCs w:val="20"/>
                <w:lang w:val="en-US" w:eastAsia="zh-CN"/>
              </w:rPr>
              <w:t>产品技术参数共7条，完全满足招标文件要求的得10分，投标产品每出现一项技术参数不满足招标文件要求的扣1.43分；</w:t>
            </w:r>
          </w:p>
        </w:tc>
      </w:tr>
      <w:tr w14:paraId="22D6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trPr>
        <w:tc>
          <w:tcPr>
            <w:tcW w:w="1077" w:type="dxa"/>
            <w:vMerge w:val="continue"/>
            <w:vAlign w:val="center"/>
          </w:tcPr>
          <w:p w14:paraId="61711486">
            <w:pPr>
              <w:spacing w:line="360" w:lineRule="auto"/>
              <w:jc w:val="center"/>
              <w:rPr>
                <w:rFonts w:hint="eastAsia" w:ascii="仿宋" w:hAnsi="仿宋" w:eastAsia="仿宋" w:cs="仿宋"/>
                <w:b/>
                <w:bCs/>
                <w:color w:val="auto"/>
                <w:sz w:val="20"/>
                <w:szCs w:val="20"/>
              </w:rPr>
            </w:pPr>
          </w:p>
        </w:tc>
        <w:tc>
          <w:tcPr>
            <w:tcW w:w="1340" w:type="dxa"/>
            <w:vAlign w:val="center"/>
          </w:tcPr>
          <w:p w14:paraId="442641C7">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rPr>
              <w:t>供应配送方案（满分</w:t>
            </w:r>
            <w:r>
              <w:rPr>
                <w:rFonts w:hint="eastAsia" w:ascii="仿宋" w:hAnsi="仿宋" w:eastAsia="仿宋" w:cs="仿宋"/>
                <w:b/>
                <w:bCs/>
                <w:color w:val="auto"/>
                <w:kern w:val="0"/>
                <w:sz w:val="20"/>
                <w:szCs w:val="20"/>
                <w:lang w:val="en-US" w:eastAsia="zh-CN"/>
              </w:rPr>
              <w:t>20</w:t>
            </w:r>
            <w:r>
              <w:rPr>
                <w:rFonts w:hint="eastAsia" w:ascii="仿宋" w:hAnsi="仿宋" w:eastAsia="仿宋" w:cs="仿宋"/>
                <w:b/>
                <w:bCs/>
                <w:color w:val="auto"/>
                <w:kern w:val="0"/>
                <w:sz w:val="20"/>
                <w:szCs w:val="20"/>
              </w:rPr>
              <w:t>分）</w:t>
            </w:r>
          </w:p>
        </w:tc>
        <w:tc>
          <w:tcPr>
            <w:tcW w:w="7336" w:type="dxa"/>
            <w:vAlign w:val="center"/>
          </w:tcPr>
          <w:p w14:paraId="1AF537B4">
            <w:pPr>
              <w:spacing w:line="360" w:lineRule="auto"/>
              <w:rPr>
                <w:rFonts w:hint="eastAsia" w:ascii="仿宋" w:hAnsi="仿宋" w:eastAsia="仿宋" w:cs="仿宋"/>
                <w:color w:val="auto"/>
                <w:kern w:val="0"/>
                <w:sz w:val="20"/>
                <w:szCs w:val="20"/>
                <w:lang w:val="en-US"/>
              </w:rPr>
            </w:pPr>
            <w:r>
              <w:rPr>
                <w:rFonts w:hint="eastAsia" w:ascii="仿宋" w:hAnsi="仿宋" w:eastAsia="仿宋" w:cs="仿宋"/>
                <w:color w:val="auto"/>
                <w:kern w:val="0"/>
                <w:sz w:val="20"/>
                <w:szCs w:val="20"/>
                <w:lang w:val="en-US" w:eastAsia="zh-CN"/>
              </w:rPr>
              <w:t>针对本项目提供包括但不限于①供货计划②货物来源渠道证明③配送任务下达后响应时间计划④货品验收方案等进行评审。</w:t>
            </w:r>
          </w:p>
          <w:p w14:paraId="04C5097B">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eastAsia="zh-CN"/>
              </w:rPr>
              <w:t>以上</w:t>
            </w:r>
            <w:r>
              <w:rPr>
                <w:rFonts w:hint="eastAsia" w:ascii="仿宋" w:hAnsi="仿宋" w:eastAsia="仿宋" w:cs="仿宋"/>
                <w:color w:val="auto"/>
                <w:kern w:val="0"/>
                <w:sz w:val="20"/>
                <w:szCs w:val="20"/>
                <w:lang w:val="en-US" w:eastAsia="zh-CN"/>
              </w:rPr>
              <w:t>4</w:t>
            </w:r>
            <w:r>
              <w:rPr>
                <w:rFonts w:hint="eastAsia" w:ascii="仿宋" w:hAnsi="仿宋" w:eastAsia="仿宋" w:cs="仿宋"/>
                <w:color w:val="auto"/>
                <w:kern w:val="0"/>
                <w:sz w:val="20"/>
                <w:szCs w:val="20"/>
                <w:lang w:eastAsia="zh-CN"/>
              </w:rPr>
              <w:t>项方案</w:t>
            </w:r>
            <w:r>
              <w:rPr>
                <w:rFonts w:hint="eastAsia" w:ascii="仿宋" w:hAnsi="仿宋" w:eastAsia="仿宋" w:cs="仿宋"/>
                <w:color w:val="auto"/>
                <w:kern w:val="0"/>
                <w:sz w:val="20"/>
                <w:szCs w:val="20"/>
                <w:lang w:val="en-US" w:eastAsia="zh-CN"/>
              </w:rPr>
              <w:t>完整、</w:t>
            </w:r>
            <w:r>
              <w:rPr>
                <w:rFonts w:hint="eastAsia" w:ascii="仿宋" w:hAnsi="仿宋" w:eastAsia="仿宋" w:cs="仿宋"/>
                <w:color w:val="auto"/>
                <w:kern w:val="0"/>
                <w:sz w:val="20"/>
                <w:szCs w:val="20"/>
                <w:lang w:eastAsia="zh-CN"/>
              </w:rPr>
              <w:t>具体、合理、针对性和可行性强，整个</w:t>
            </w:r>
            <w:r>
              <w:rPr>
                <w:rFonts w:hint="eastAsia" w:ascii="仿宋" w:hAnsi="仿宋" w:eastAsia="仿宋" w:cs="仿宋"/>
                <w:color w:val="auto"/>
                <w:kern w:val="0"/>
                <w:sz w:val="20"/>
                <w:szCs w:val="20"/>
                <w:lang w:val="en-US" w:eastAsia="zh-CN"/>
              </w:rPr>
              <w:t>方案阐述</w:t>
            </w:r>
            <w:r>
              <w:rPr>
                <w:rFonts w:hint="eastAsia" w:ascii="仿宋" w:hAnsi="仿宋" w:eastAsia="仿宋" w:cs="仿宋"/>
                <w:color w:val="auto"/>
                <w:kern w:val="0"/>
                <w:sz w:val="20"/>
                <w:szCs w:val="20"/>
                <w:lang w:eastAsia="zh-CN"/>
              </w:rPr>
              <w:t>清晰明确，可行性和操作性强的每项得</w:t>
            </w:r>
            <w:r>
              <w:rPr>
                <w:rFonts w:hint="eastAsia" w:ascii="仿宋" w:hAnsi="仿宋" w:eastAsia="仿宋" w:cs="仿宋"/>
                <w:color w:val="auto"/>
                <w:kern w:val="0"/>
                <w:sz w:val="20"/>
                <w:szCs w:val="20"/>
                <w:lang w:val="en-US" w:eastAsia="zh-CN"/>
              </w:rPr>
              <w:t>5</w:t>
            </w:r>
            <w:r>
              <w:rPr>
                <w:rFonts w:hint="eastAsia" w:ascii="仿宋" w:hAnsi="仿宋" w:eastAsia="仿宋" w:cs="仿宋"/>
                <w:color w:val="auto"/>
                <w:kern w:val="0"/>
                <w:sz w:val="20"/>
                <w:szCs w:val="20"/>
                <w:lang w:eastAsia="zh-CN"/>
              </w:rPr>
              <w:t>分，共</w:t>
            </w:r>
            <w:r>
              <w:rPr>
                <w:rFonts w:hint="eastAsia" w:ascii="仿宋" w:hAnsi="仿宋" w:eastAsia="仿宋" w:cs="仿宋"/>
                <w:color w:val="auto"/>
                <w:kern w:val="0"/>
                <w:sz w:val="20"/>
                <w:szCs w:val="20"/>
                <w:lang w:val="en-US" w:eastAsia="zh-CN"/>
              </w:rPr>
              <w:t>20</w:t>
            </w:r>
            <w:r>
              <w:rPr>
                <w:rFonts w:hint="eastAsia" w:ascii="仿宋" w:hAnsi="仿宋" w:eastAsia="仿宋" w:cs="仿宋"/>
                <w:color w:val="auto"/>
                <w:kern w:val="0"/>
                <w:sz w:val="20"/>
                <w:szCs w:val="20"/>
                <w:lang w:eastAsia="zh-CN"/>
              </w:rPr>
              <w:t>分；否则</w:t>
            </w:r>
            <w:r>
              <w:rPr>
                <w:rFonts w:hint="eastAsia" w:ascii="仿宋" w:hAnsi="仿宋" w:eastAsia="仿宋" w:cs="仿宋"/>
                <w:color w:val="auto"/>
                <w:kern w:val="0"/>
                <w:sz w:val="20"/>
                <w:szCs w:val="20"/>
                <w:lang w:val="en-US" w:eastAsia="zh-CN"/>
              </w:rPr>
              <w:t>评标委员会</w:t>
            </w:r>
            <w:r>
              <w:rPr>
                <w:rFonts w:hint="eastAsia" w:ascii="仿宋" w:hAnsi="仿宋" w:eastAsia="仿宋" w:cs="仿宋"/>
                <w:color w:val="auto"/>
                <w:kern w:val="0"/>
                <w:sz w:val="20"/>
                <w:szCs w:val="20"/>
                <w:lang w:eastAsia="zh-CN"/>
              </w:rPr>
              <w:t>根据以下原则进行扣分。</w:t>
            </w:r>
          </w:p>
          <w:p w14:paraId="33B5EB4F">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eastAsia="zh-CN"/>
              </w:rPr>
              <w:t>①无</w:t>
            </w:r>
            <w:r>
              <w:rPr>
                <w:rFonts w:hint="eastAsia" w:ascii="仿宋" w:hAnsi="仿宋" w:eastAsia="仿宋" w:cs="仿宋"/>
                <w:color w:val="auto"/>
                <w:kern w:val="0"/>
                <w:sz w:val="20"/>
                <w:szCs w:val="20"/>
                <w:lang w:val="en-US" w:eastAsia="zh-CN"/>
              </w:rPr>
              <w:t>内容或内容</w:t>
            </w:r>
            <w:r>
              <w:rPr>
                <w:rFonts w:hint="eastAsia" w:ascii="仿宋" w:hAnsi="仿宋" w:eastAsia="仿宋" w:cs="仿宋"/>
                <w:color w:val="auto"/>
                <w:kern w:val="0"/>
                <w:sz w:val="20"/>
                <w:szCs w:val="20"/>
                <w:lang w:eastAsia="zh-CN"/>
              </w:rPr>
              <w:t>表述与本项目无关或不相符的每项扣</w:t>
            </w:r>
            <w:r>
              <w:rPr>
                <w:rFonts w:hint="eastAsia" w:ascii="仿宋" w:hAnsi="仿宋" w:eastAsia="仿宋" w:cs="仿宋"/>
                <w:color w:val="auto"/>
                <w:kern w:val="0"/>
                <w:sz w:val="20"/>
                <w:szCs w:val="20"/>
                <w:lang w:val="en-US" w:eastAsia="zh-CN"/>
              </w:rPr>
              <w:t>5</w:t>
            </w:r>
            <w:r>
              <w:rPr>
                <w:rFonts w:hint="eastAsia" w:ascii="仿宋" w:hAnsi="仿宋" w:eastAsia="仿宋" w:cs="仿宋"/>
                <w:color w:val="auto"/>
                <w:kern w:val="0"/>
                <w:sz w:val="20"/>
                <w:szCs w:val="20"/>
                <w:lang w:eastAsia="zh-CN"/>
              </w:rPr>
              <w:t>分；</w:t>
            </w:r>
          </w:p>
          <w:p w14:paraId="5309CC94">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val="en-US" w:eastAsia="zh-CN"/>
              </w:rPr>
              <w:t>②内容</w:t>
            </w:r>
            <w:r>
              <w:rPr>
                <w:rFonts w:hint="eastAsia" w:ascii="仿宋" w:hAnsi="仿宋" w:eastAsia="仿宋" w:cs="仿宋"/>
                <w:color w:val="auto"/>
                <w:kern w:val="0"/>
                <w:sz w:val="20"/>
                <w:szCs w:val="20"/>
              </w:rPr>
              <w:t>缺乏完整性、合理性</w:t>
            </w:r>
            <w:r>
              <w:rPr>
                <w:rFonts w:hint="eastAsia" w:ascii="仿宋" w:hAnsi="仿宋" w:eastAsia="仿宋" w:cs="仿宋"/>
                <w:color w:val="auto"/>
                <w:kern w:val="0"/>
                <w:sz w:val="20"/>
                <w:szCs w:val="20"/>
                <w:lang w:eastAsia="zh-CN"/>
              </w:rPr>
              <w:t>、</w:t>
            </w:r>
            <w:r>
              <w:rPr>
                <w:rFonts w:hint="eastAsia" w:ascii="仿宋" w:hAnsi="仿宋" w:eastAsia="仿宋" w:cs="仿宋"/>
                <w:color w:val="auto"/>
                <w:kern w:val="0"/>
                <w:sz w:val="20"/>
                <w:szCs w:val="20"/>
                <w:lang w:val="en-US" w:eastAsia="zh-CN"/>
              </w:rPr>
              <w:t>可行性</w:t>
            </w:r>
            <w:r>
              <w:rPr>
                <w:rFonts w:hint="eastAsia" w:ascii="仿宋" w:hAnsi="仿宋" w:eastAsia="仿宋" w:cs="仿宋"/>
                <w:color w:val="auto"/>
                <w:kern w:val="0"/>
                <w:sz w:val="20"/>
                <w:szCs w:val="20"/>
              </w:rPr>
              <w:t>的</w:t>
            </w:r>
            <w:r>
              <w:rPr>
                <w:rFonts w:hint="eastAsia" w:ascii="仿宋" w:hAnsi="仿宋" w:eastAsia="仿宋" w:cs="仿宋"/>
                <w:color w:val="auto"/>
                <w:kern w:val="0"/>
                <w:sz w:val="20"/>
                <w:szCs w:val="20"/>
                <w:lang w:eastAsia="zh-CN"/>
              </w:rPr>
              <w:t>每项扣</w:t>
            </w:r>
            <w:r>
              <w:rPr>
                <w:rFonts w:hint="eastAsia" w:ascii="仿宋" w:hAnsi="仿宋" w:eastAsia="仿宋" w:cs="仿宋"/>
                <w:color w:val="auto"/>
                <w:kern w:val="0"/>
                <w:sz w:val="20"/>
                <w:szCs w:val="20"/>
                <w:lang w:val="en-US" w:eastAsia="zh-CN"/>
              </w:rPr>
              <w:t>3</w:t>
            </w:r>
            <w:r>
              <w:rPr>
                <w:rFonts w:hint="eastAsia" w:ascii="仿宋" w:hAnsi="仿宋" w:eastAsia="仿宋" w:cs="仿宋"/>
                <w:color w:val="auto"/>
                <w:kern w:val="0"/>
                <w:sz w:val="20"/>
                <w:szCs w:val="20"/>
                <w:lang w:eastAsia="zh-CN"/>
              </w:rPr>
              <w:t>分；</w:t>
            </w:r>
          </w:p>
          <w:p w14:paraId="193A967A">
            <w:pPr>
              <w:spacing w:line="360" w:lineRule="auto"/>
              <w:rPr>
                <w:rFonts w:hint="eastAsia" w:ascii="仿宋" w:hAnsi="仿宋" w:eastAsia="仿宋" w:cs="仿宋"/>
                <w:color w:val="auto"/>
                <w:kern w:val="0"/>
                <w:sz w:val="20"/>
                <w:szCs w:val="20"/>
              </w:rPr>
            </w:pPr>
            <w:r>
              <w:rPr>
                <w:rFonts w:hint="eastAsia" w:ascii="仿宋" w:hAnsi="仿宋" w:eastAsia="仿宋" w:cs="仿宋"/>
                <w:color w:val="auto"/>
                <w:kern w:val="0"/>
                <w:sz w:val="20"/>
                <w:szCs w:val="20"/>
                <w:lang w:val="en-US" w:eastAsia="zh-CN"/>
              </w:rPr>
              <w:t>③</w:t>
            </w:r>
            <w:r>
              <w:rPr>
                <w:rFonts w:hint="eastAsia" w:ascii="仿宋" w:hAnsi="仿宋" w:eastAsia="仿宋" w:cs="仿宋"/>
                <w:color w:val="auto"/>
                <w:kern w:val="0"/>
                <w:sz w:val="20"/>
                <w:szCs w:val="20"/>
                <w:lang w:eastAsia="zh-CN"/>
              </w:rPr>
              <w:t>内容</w:t>
            </w:r>
            <w:r>
              <w:rPr>
                <w:rFonts w:hint="eastAsia" w:ascii="仿宋" w:hAnsi="仿宋" w:eastAsia="仿宋" w:cs="仿宋"/>
                <w:color w:val="auto"/>
                <w:kern w:val="0"/>
                <w:sz w:val="20"/>
                <w:szCs w:val="20"/>
              </w:rPr>
              <w:t>合理</w:t>
            </w:r>
            <w:r>
              <w:rPr>
                <w:rFonts w:hint="eastAsia" w:ascii="仿宋" w:hAnsi="仿宋" w:eastAsia="仿宋" w:cs="仿宋"/>
                <w:color w:val="auto"/>
                <w:kern w:val="0"/>
                <w:sz w:val="20"/>
                <w:szCs w:val="20"/>
                <w:lang w:eastAsia="zh-CN"/>
              </w:rPr>
              <w:t>、</w:t>
            </w:r>
            <w:r>
              <w:rPr>
                <w:rFonts w:hint="eastAsia" w:ascii="仿宋" w:hAnsi="仿宋" w:eastAsia="仿宋" w:cs="仿宋"/>
                <w:color w:val="auto"/>
                <w:kern w:val="0"/>
                <w:sz w:val="20"/>
                <w:szCs w:val="20"/>
                <w:lang w:val="en-US" w:eastAsia="zh-CN"/>
              </w:rPr>
              <w:t>有针对性，但</w:t>
            </w:r>
            <w:r>
              <w:rPr>
                <w:rFonts w:hint="eastAsia" w:ascii="仿宋" w:hAnsi="仿宋" w:eastAsia="仿宋" w:cs="仿宋"/>
                <w:color w:val="auto"/>
                <w:kern w:val="0"/>
                <w:sz w:val="20"/>
                <w:szCs w:val="20"/>
                <w:lang w:eastAsia="zh-CN"/>
              </w:rPr>
              <w:t>存在缺陷（缺陷指内容前后矛盾或不一致、前后逻辑错误、涉及的规范及标准错误、地点区域错误、</w:t>
            </w:r>
            <w:r>
              <w:rPr>
                <w:rFonts w:hint="eastAsia" w:ascii="仿宋" w:hAnsi="仿宋" w:eastAsia="仿宋" w:cs="仿宋"/>
                <w:color w:val="auto"/>
                <w:kern w:val="0"/>
                <w:sz w:val="20"/>
                <w:szCs w:val="20"/>
                <w:lang w:val="en-US" w:eastAsia="zh-CN"/>
              </w:rPr>
              <w:t>部分</w:t>
            </w:r>
            <w:r>
              <w:rPr>
                <w:rFonts w:hint="eastAsia" w:ascii="仿宋" w:hAnsi="仿宋" w:eastAsia="仿宋" w:cs="仿宋"/>
                <w:color w:val="auto"/>
                <w:kern w:val="0"/>
                <w:sz w:val="20"/>
                <w:szCs w:val="20"/>
                <w:lang w:eastAsia="zh-CN"/>
              </w:rPr>
              <w:t>内容缺失等）的每项扣</w:t>
            </w:r>
            <w:r>
              <w:rPr>
                <w:rFonts w:hint="eastAsia" w:ascii="仿宋" w:hAnsi="仿宋" w:eastAsia="仿宋" w:cs="仿宋"/>
                <w:color w:val="auto"/>
                <w:kern w:val="0"/>
                <w:sz w:val="20"/>
                <w:szCs w:val="20"/>
                <w:lang w:val="en-US" w:eastAsia="zh-CN"/>
              </w:rPr>
              <w:t>1</w:t>
            </w:r>
            <w:r>
              <w:rPr>
                <w:rFonts w:hint="eastAsia" w:ascii="仿宋" w:hAnsi="仿宋" w:eastAsia="仿宋" w:cs="仿宋"/>
                <w:color w:val="auto"/>
                <w:kern w:val="0"/>
                <w:sz w:val="20"/>
                <w:szCs w:val="20"/>
                <w:lang w:eastAsia="zh-CN"/>
              </w:rPr>
              <w:t>分。</w:t>
            </w:r>
          </w:p>
        </w:tc>
      </w:tr>
      <w:tr w14:paraId="77A2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trPr>
        <w:tc>
          <w:tcPr>
            <w:tcW w:w="1077" w:type="dxa"/>
            <w:vMerge w:val="continue"/>
            <w:vAlign w:val="center"/>
          </w:tcPr>
          <w:p w14:paraId="46635287">
            <w:pPr>
              <w:spacing w:line="360" w:lineRule="auto"/>
              <w:jc w:val="center"/>
              <w:rPr>
                <w:rFonts w:hint="eastAsia" w:ascii="仿宋" w:hAnsi="仿宋" w:eastAsia="仿宋" w:cs="仿宋"/>
                <w:b/>
                <w:bCs/>
                <w:color w:val="auto"/>
                <w:sz w:val="20"/>
                <w:szCs w:val="20"/>
              </w:rPr>
            </w:pPr>
          </w:p>
        </w:tc>
        <w:tc>
          <w:tcPr>
            <w:tcW w:w="1340" w:type="dxa"/>
            <w:vAlign w:val="center"/>
          </w:tcPr>
          <w:p w14:paraId="4673CA61">
            <w:pPr>
              <w:spacing w:line="360" w:lineRule="auto"/>
              <w:jc w:val="center"/>
              <w:rPr>
                <w:rFonts w:hint="eastAsia" w:ascii="仿宋" w:hAnsi="仿宋" w:eastAsia="仿宋" w:cs="仿宋"/>
                <w:b/>
                <w:bCs/>
                <w:color w:val="auto"/>
                <w:kern w:val="0"/>
                <w:sz w:val="20"/>
                <w:szCs w:val="20"/>
              </w:rPr>
            </w:pPr>
            <w:r>
              <w:rPr>
                <w:rFonts w:hint="eastAsia" w:ascii="仿宋" w:hAnsi="仿宋" w:eastAsia="仿宋" w:cs="仿宋"/>
                <w:b/>
                <w:bCs/>
                <w:color w:val="auto"/>
                <w:kern w:val="0"/>
                <w:sz w:val="20"/>
                <w:szCs w:val="20"/>
                <w:lang w:val="en-US" w:eastAsia="zh-CN"/>
              </w:rPr>
              <w:t>配送服务能力</w:t>
            </w:r>
            <w:r>
              <w:rPr>
                <w:rFonts w:hint="eastAsia" w:ascii="仿宋" w:hAnsi="仿宋" w:eastAsia="仿宋" w:cs="仿宋"/>
                <w:b/>
                <w:bCs/>
                <w:color w:val="auto"/>
                <w:kern w:val="0"/>
                <w:sz w:val="20"/>
                <w:szCs w:val="20"/>
              </w:rPr>
              <w:t>（满分</w:t>
            </w:r>
            <w:r>
              <w:rPr>
                <w:rFonts w:hint="eastAsia" w:ascii="仿宋" w:hAnsi="仿宋" w:eastAsia="仿宋" w:cs="仿宋"/>
                <w:b/>
                <w:bCs/>
                <w:color w:val="auto"/>
                <w:kern w:val="0"/>
                <w:sz w:val="20"/>
                <w:szCs w:val="20"/>
                <w:lang w:val="en-US" w:eastAsia="zh-CN"/>
              </w:rPr>
              <w:t>12</w:t>
            </w:r>
            <w:r>
              <w:rPr>
                <w:rFonts w:hint="eastAsia" w:ascii="仿宋" w:hAnsi="仿宋" w:eastAsia="仿宋" w:cs="仿宋"/>
                <w:b/>
                <w:bCs/>
                <w:color w:val="auto"/>
                <w:kern w:val="0"/>
                <w:sz w:val="20"/>
                <w:szCs w:val="20"/>
              </w:rPr>
              <w:t>分）</w:t>
            </w:r>
          </w:p>
        </w:tc>
        <w:tc>
          <w:tcPr>
            <w:tcW w:w="7336" w:type="dxa"/>
            <w:vAlign w:val="center"/>
          </w:tcPr>
          <w:p w14:paraId="402E1552">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eastAsia="zh-CN"/>
              </w:rPr>
              <w:t>针对本项目提</w:t>
            </w:r>
            <w:r>
              <w:rPr>
                <w:rFonts w:hint="eastAsia" w:ascii="仿宋" w:hAnsi="仿宋" w:eastAsia="仿宋" w:cs="仿宋"/>
                <w:color w:val="auto"/>
                <w:kern w:val="0"/>
                <w:sz w:val="20"/>
                <w:szCs w:val="20"/>
                <w:lang w:val="en-US" w:eastAsia="zh-CN"/>
              </w:rPr>
              <w:t>供包括但不限于①</w:t>
            </w:r>
            <w:r>
              <w:rPr>
                <w:rFonts w:hint="eastAsia" w:ascii="仿宋" w:hAnsi="仿宋" w:eastAsia="仿宋" w:cs="仿宋"/>
                <w:color w:val="auto"/>
                <w:kern w:val="0"/>
                <w:sz w:val="20"/>
                <w:szCs w:val="20"/>
                <w:lang w:eastAsia="zh-CN"/>
              </w:rPr>
              <w:t>服务人员配置；</w:t>
            </w:r>
            <w:r>
              <w:rPr>
                <w:rFonts w:hint="eastAsia" w:ascii="仿宋" w:hAnsi="仿宋" w:eastAsia="仿宋" w:cs="仿宋"/>
                <w:color w:val="auto"/>
                <w:kern w:val="0"/>
                <w:sz w:val="20"/>
                <w:szCs w:val="20"/>
                <w:lang w:val="en-US" w:eastAsia="zh-CN"/>
              </w:rPr>
              <w:t>②车辆配置；③符合肥料、农药经营、配送服务的管理规范要求（质量管理制度以及覆盖肥料、农药经营、质量控制和追溯全过程的信息管理系统）等进行评审。</w:t>
            </w:r>
          </w:p>
          <w:p w14:paraId="6754B097">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eastAsia="zh-CN"/>
              </w:rPr>
              <w:t>以上</w:t>
            </w:r>
            <w:r>
              <w:rPr>
                <w:rFonts w:hint="eastAsia" w:ascii="仿宋" w:hAnsi="仿宋" w:eastAsia="仿宋" w:cs="仿宋"/>
                <w:color w:val="auto"/>
                <w:kern w:val="0"/>
                <w:sz w:val="20"/>
                <w:szCs w:val="20"/>
                <w:lang w:val="en-US" w:eastAsia="zh-CN"/>
              </w:rPr>
              <w:t>3</w:t>
            </w:r>
            <w:r>
              <w:rPr>
                <w:rFonts w:hint="eastAsia" w:ascii="仿宋" w:hAnsi="仿宋" w:eastAsia="仿宋" w:cs="仿宋"/>
                <w:color w:val="auto"/>
                <w:kern w:val="0"/>
                <w:sz w:val="20"/>
                <w:szCs w:val="20"/>
                <w:lang w:eastAsia="zh-CN"/>
              </w:rPr>
              <w:t>项方案</w:t>
            </w:r>
            <w:r>
              <w:rPr>
                <w:rFonts w:hint="eastAsia" w:ascii="仿宋" w:hAnsi="仿宋" w:eastAsia="仿宋" w:cs="仿宋"/>
                <w:color w:val="auto"/>
                <w:kern w:val="0"/>
                <w:sz w:val="20"/>
                <w:szCs w:val="20"/>
                <w:lang w:val="en-US" w:eastAsia="zh-CN"/>
              </w:rPr>
              <w:t>完整、</w:t>
            </w:r>
            <w:r>
              <w:rPr>
                <w:rFonts w:hint="eastAsia" w:ascii="仿宋" w:hAnsi="仿宋" w:eastAsia="仿宋" w:cs="仿宋"/>
                <w:color w:val="auto"/>
                <w:kern w:val="0"/>
                <w:sz w:val="20"/>
                <w:szCs w:val="20"/>
                <w:lang w:eastAsia="zh-CN"/>
              </w:rPr>
              <w:t>具体、合理、针对性和可行性强，整个</w:t>
            </w:r>
            <w:r>
              <w:rPr>
                <w:rFonts w:hint="eastAsia" w:ascii="仿宋" w:hAnsi="仿宋" w:eastAsia="仿宋" w:cs="仿宋"/>
                <w:color w:val="auto"/>
                <w:kern w:val="0"/>
                <w:sz w:val="20"/>
                <w:szCs w:val="20"/>
                <w:lang w:val="en-US" w:eastAsia="zh-CN"/>
              </w:rPr>
              <w:t>方案阐述</w:t>
            </w:r>
            <w:r>
              <w:rPr>
                <w:rFonts w:hint="eastAsia" w:ascii="仿宋" w:hAnsi="仿宋" w:eastAsia="仿宋" w:cs="仿宋"/>
                <w:color w:val="auto"/>
                <w:kern w:val="0"/>
                <w:sz w:val="20"/>
                <w:szCs w:val="20"/>
                <w:lang w:eastAsia="zh-CN"/>
              </w:rPr>
              <w:t>清晰明确，可行性和操作性强的每项得</w:t>
            </w:r>
            <w:r>
              <w:rPr>
                <w:rFonts w:hint="eastAsia" w:ascii="仿宋" w:hAnsi="仿宋" w:eastAsia="仿宋" w:cs="仿宋"/>
                <w:color w:val="auto"/>
                <w:kern w:val="0"/>
                <w:sz w:val="20"/>
                <w:szCs w:val="20"/>
                <w:lang w:val="en-US" w:eastAsia="zh-CN"/>
              </w:rPr>
              <w:t>4</w:t>
            </w:r>
            <w:r>
              <w:rPr>
                <w:rFonts w:hint="eastAsia" w:ascii="仿宋" w:hAnsi="仿宋" w:eastAsia="仿宋" w:cs="仿宋"/>
                <w:color w:val="auto"/>
                <w:kern w:val="0"/>
                <w:sz w:val="20"/>
                <w:szCs w:val="20"/>
                <w:lang w:eastAsia="zh-CN"/>
              </w:rPr>
              <w:t>分，共</w:t>
            </w:r>
            <w:r>
              <w:rPr>
                <w:rFonts w:hint="eastAsia" w:ascii="仿宋" w:hAnsi="仿宋" w:eastAsia="仿宋" w:cs="仿宋"/>
                <w:color w:val="auto"/>
                <w:kern w:val="0"/>
                <w:sz w:val="20"/>
                <w:szCs w:val="20"/>
                <w:lang w:val="en-US" w:eastAsia="zh-CN"/>
              </w:rPr>
              <w:t>12</w:t>
            </w:r>
            <w:r>
              <w:rPr>
                <w:rFonts w:hint="eastAsia" w:ascii="仿宋" w:hAnsi="仿宋" w:eastAsia="仿宋" w:cs="仿宋"/>
                <w:color w:val="auto"/>
                <w:kern w:val="0"/>
                <w:sz w:val="20"/>
                <w:szCs w:val="20"/>
                <w:lang w:eastAsia="zh-CN"/>
              </w:rPr>
              <w:t>分；否则</w:t>
            </w:r>
            <w:r>
              <w:rPr>
                <w:rFonts w:hint="eastAsia" w:ascii="仿宋" w:hAnsi="仿宋" w:eastAsia="仿宋" w:cs="仿宋"/>
                <w:color w:val="auto"/>
                <w:kern w:val="0"/>
                <w:sz w:val="20"/>
                <w:szCs w:val="20"/>
                <w:lang w:val="en-US" w:eastAsia="zh-CN"/>
              </w:rPr>
              <w:t>评标委员会</w:t>
            </w:r>
            <w:r>
              <w:rPr>
                <w:rFonts w:hint="eastAsia" w:ascii="仿宋" w:hAnsi="仿宋" w:eastAsia="仿宋" w:cs="仿宋"/>
                <w:color w:val="auto"/>
                <w:kern w:val="0"/>
                <w:sz w:val="20"/>
                <w:szCs w:val="20"/>
                <w:lang w:eastAsia="zh-CN"/>
              </w:rPr>
              <w:t>根据以下原则进行扣分。</w:t>
            </w:r>
          </w:p>
          <w:p w14:paraId="3110677F">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eastAsia="zh-CN"/>
              </w:rPr>
              <w:t>①无</w:t>
            </w:r>
            <w:r>
              <w:rPr>
                <w:rFonts w:hint="eastAsia" w:ascii="仿宋" w:hAnsi="仿宋" w:eastAsia="仿宋" w:cs="仿宋"/>
                <w:color w:val="auto"/>
                <w:kern w:val="0"/>
                <w:sz w:val="20"/>
                <w:szCs w:val="20"/>
                <w:lang w:val="en-US" w:eastAsia="zh-CN"/>
              </w:rPr>
              <w:t>内容或内容</w:t>
            </w:r>
            <w:r>
              <w:rPr>
                <w:rFonts w:hint="eastAsia" w:ascii="仿宋" w:hAnsi="仿宋" w:eastAsia="仿宋" w:cs="仿宋"/>
                <w:color w:val="auto"/>
                <w:kern w:val="0"/>
                <w:sz w:val="20"/>
                <w:szCs w:val="20"/>
                <w:lang w:eastAsia="zh-CN"/>
              </w:rPr>
              <w:t>表述与本项目无关或不相符的每项扣</w:t>
            </w:r>
            <w:r>
              <w:rPr>
                <w:rFonts w:hint="eastAsia" w:ascii="仿宋" w:hAnsi="仿宋" w:eastAsia="仿宋" w:cs="仿宋"/>
                <w:color w:val="auto"/>
                <w:kern w:val="0"/>
                <w:sz w:val="20"/>
                <w:szCs w:val="20"/>
                <w:lang w:val="en-US" w:eastAsia="zh-CN"/>
              </w:rPr>
              <w:t>4</w:t>
            </w:r>
            <w:r>
              <w:rPr>
                <w:rFonts w:hint="eastAsia" w:ascii="仿宋" w:hAnsi="仿宋" w:eastAsia="仿宋" w:cs="仿宋"/>
                <w:color w:val="auto"/>
                <w:kern w:val="0"/>
                <w:sz w:val="20"/>
                <w:szCs w:val="20"/>
                <w:lang w:eastAsia="zh-CN"/>
              </w:rPr>
              <w:t>分；</w:t>
            </w:r>
          </w:p>
          <w:p w14:paraId="78CC79E6">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val="en-US" w:eastAsia="zh-CN"/>
              </w:rPr>
              <w:t>②内容</w:t>
            </w:r>
            <w:r>
              <w:rPr>
                <w:rFonts w:hint="eastAsia" w:ascii="仿宋" w:hAnsi="仿宋" w:eastAsia="仿宋" w:cs="仿宋"/>
                <w:color w:val="auto"/>
                <w:kern w:val="0"/>
                <w:sz w:val="20"/>
                <w:szCs w:val="20"/>
                <w:lang w:eastAsia="zh-CN"/>
              </w:rPr>
              <w:t>缺乏完整性、合理性、</w:t>
            </w:r>
            <w:r>
              <w:rPr>
                <w:rFonts w:hint="eastAsia" w:ascii="仿宋" w:hAnsi="仿宋" w:eastAsia="仿宋" w:cs="仿宋"/>
                <w:color w:val="auto"/>
                <w:kern w:val="0"/>
                <w:sz w:val="20"/>
                <w:szCs w:val="20"/>
                <w:lang w:val="en-US" w:eastAsia="zh-CN"/>
              </w:rPr>
              <w:t>可行性</w:t>
            </w:r>
            <w:r>
              <w:rPr>
                <w:rFonts w:hint="eastAsia" w:ascii="仿宋" w:hAnsi="仿宋" w:eastAsia="仿宋" w:cs="仿宋"/>
                <w:color w:val="auto"/>
                <w:kern w:val="0"/>
                <w:sz w:val="20"/>
                <w:szCs w:val="20"/>
                <w:lang w:eastAsia="zh-CN"/>
              </w:rPr>
              <w:t>的每项扣</w:t>
            </w:r>
            <w:r>
              <w:rPr>
                <w:rFonts w:hint="eastAsia" w:ascii="仿宋" w:hAnsi="仿宋" w:eastAsia="仿宋" w:cs="仿宋"/>
                <w:color w:val="auto"/>
                <w:kern w:val="0"/>
                <w:sz w:val="20"/>
                <w:szCs w:val="20"/>
                <w:lang w:val="en-US" w:eastAsia="zh-CN"/>
              </w:rPr>
              <w:t>2</w:t>
            </w:r>
            <w:r>
              <w:rPr>
                <w:rFonts w:hint="eastAsia" w:ascii="仿宋" w:hAnsi="仿宋" w:eastAsia="仿宋" w:cs="仿宋"/>
                <w:color w:val="auto"/>
                <w:kern w:val="0"/>
                <w:sz w:val="20"/>
                <w:szCs w:val="20"/>
                <w:lang w:eastAsia="zh-CN"/>
              </w:rPr>
              <w:t>分；</w:t>
            </w:r>
          </w:p>
          <w:p w14:paraId="757F3C39">
            <w:pPr>
              <w:spacing w:line="360" w:lineRule="auto"/>
              <w:rPr>
                <w:rFonts w:hint="eastAsia" w:ascii="仿宋" w:hAnsi="仿宋" w:eastAsia="仿宋" w:cs="仿宋"/>
                <w:color w:val="auto"/>
                <w:kern w:val="0"/>
                <w:sz w:val="20"/>
                <w:szCs w:val="20"/>
                <w:lang w:eastAsia="zh-CN"/>
              </w:rPr>
            </w:pPr>
            <w:r>
              <w:rPr>
                <w:rFonts w:hint="eastAsia" w:ascii="仿宋" w:hAnsi="仿宋" w:eastAsia="仿宋" w:cs="仿宋"/>
                <w:color w:val="auto"/>
                <w:kern w:val="0"/>
                <w:sz w:val="20"/>
                <w:szCs w:val="20"/>
                <w:lang w:val="en-US" w:eastAsia="zh-CN"/>
              </w:rPr>
              <w:t>③</w:t>
            </w:r>
            <w:r>
              <w:rPr>
                <w:rFonts w:hint="eastAsia" w:ascii="仿宋" w:hAnsi="仿宋" w:eastAsia="仿宋" w:cs="仿宋"/>
                <w:color w:val="auto"/>
                <w:kern w:val="0"/>
                <w:sz w:val="20"/>
                <w:szCs w:val="20"/>
                <w:lang w:eastAsia="zh-CN"/>
              </w:rPr>
              <w:t>内容合理、</w:t>
            </w:r>
            <w:r>
              <w:rPr>
                <w:rFonts w:hint="eastAsia" w:ascii="仿宋" w:hAnsi="仿宋" w:eastAsia="仿宋" w:cs="仿宋"/>
                <w:color w:val="auto"/>
                <w:kern w:val="0"/>
                <w:sz w:val="20"/>
                <w:szCs w:val="20"/>
                <w:lang w:val="en-US" w:eastAsia="zh-CN"/>
              </w:rPr>
              <w:t>有针对性，但</w:t>
            </w:r>
            <w:r>
              <w:rPr>
                <w:rFonts w:hint="eastAsia" w:ascii="仿宋" w:hAnsi="仿宋" w:eastAsia="仿宋" w:cs="仿宋"/>
                <w:color w:val="auto"/>
                <w:kern w:val="0"/>
                <w:sz w:val="20"/>
                <w:szCs w:val="20"/>
                <w:lang w:eastAsia="zh-CN"/>
              </w:rPr>
              <w:t>存在缺陷（缺陷指内容前后矛盾或不一致、前后逻辑错误、涉及的规范及标准错误、地点区域错误、</w:t>
            </w:r>
            <w:r>
              <w:rPr>
                <w:rFonts w:hint="eastAsia" w:ascii="仿宋" w:hAnsi="仿宋" w:eastAsia="仿宋" w:cs="仿宋"/>
                <w:color w:val="auto"/>
                <w:kern w:val="0"/>
                <w:sz w:val="20"/>
                <w:szCs w:val="20"/>
                <w:lang w:val="en-US" w:eastAsia="zh-CN"/>
              </w:rPr>
              <w:t>部分</w:t>
            </w:r>
            <w:r>
              <w:rPr>
                <w:rFonts w:hint="eastAsia" w:ascii="仿宋" w:hAnsi="仿宋" w:eastAsia="仿宋" w:cs="仿宋"/>
                <w:color w:val="auto"/>
                <w:kern w:val="0"/>
                <w:sz w:val="20"/>
                <w:szCs w:val="20"/>
                <w:lang w:eastAsia="zh-CN"/>
              </w:rPr>
              <w:t>内容缺失等）的每项扣</w:t>
            </w:r>
            <w:r>
              <w:rPr>
                <w:rFonts w:hint="eastAsia" w:ascii="仿宋" w:hAnsi="仿宋" w:eastAsia="仿宋" w:cs="仿宋"/>
                <w:color w:val="auto"/>
                <w:kern w:val="0"/>
                <w:sz w:val="20"/>
                <w:szCs w:val="20"/>
                <w:lang w:val="en-US" w:eastAsia="zh-CN"/>
              </w:rPr>
              <w:t>1</w:t>
            </w:r>
            <w:r>
              <w:rPr>
                <w:rFonts w:hint="eastAsia" w:ascii="仿宋" w:hAnsi="仿宋" w:eastAsia="仿宋" w:cs="仿宋"/>
                <w:color w:val="auto"/>
                <w:kern w:val="0"/>
                <w:sz w:val="20"/>
                <w:szCs w:val="20"/>
                <w:lang w:eastAsia="zh-CN"/>
              </w:rPr>
              <w:t>分。</w:t>
            </w:r>
          </w:p>
          <w:p w14:paraId="58FE5244">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注：</w:t>
            </w:r>
          </w:p>
          <w:p w14:paraId="7DBF74C5">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人员证明材料指：人员身份证、劳动合同或社保凭证；</w:t>
            </w:r>
          </w:p>
          <w:p w14:paraId="2E8EFF32">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车辆证明材料指：自有车辆提供行驶证，如为租赁车辆则还需提供车辆的租赁合同或租车协议。</w:t>
            </w:r>
          </w:p>
        </w:tc>
      </w:tr>
      <w:tr w14:paraId="39DEB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42" w:hRule="atLeast"/>
        </w:trPr>
        <w:tc>
          <w:tcPr>
            <w:tcW w:w="1077" w:type="dxa"/>
            <w:vMerge w:val="continue"/>
            <w:vAlign w:val="center"/>
          </w:tcPr>
          <w:p w14:paraId="2E571199">
            <w:pPr>
              <w:spacing w:line="360" w:lineRule="auto"/>
              <w:jc w:val="center"/>
              <w:rPr>
                <w:rFonts w:hint="eastAsia" w:ascii="仿宋" w:hAnsi="仿宋" w:eastAsia="仿宋" w:cs="仿宋"/>
                <w:color w:val="auto"/>
                <w:sz w:val="20"/>
                <w:szCs w:val="20"/>
              </w:rPr>
            </w:pPr>
          </w:p>
        </w:tc>
        <w:tc>
          <w:tcPr>
            <w:tcW w:w="8676" w:type="dxa"/>
            <w:gridSpan w:val="2"/>
            <w:vAlign w:val="center"/>
          </w:tcPr>
          <w:p w14:paraId="6B863FA6">
            <w:pPr>
              <w:spacing w:line="360" w:lineRule="auto"/>
              <w:rPr>
                <w:rFonts w:hint="eastAsia" w:ascii="仿宋" w:hAnsi="仿宋" w:eastAsia="仿宋" w:cs="仿宋"/>
                <w:color w:val="auto"/>
                <w:kern w:val="0"/>
                <w:sz w:val="20"/>
                <w:szCs w:val="20"/>
              </w:rPr>
            </w:pPr>
            <w:r>
              <w:rPr>
                <w:rFonts w:hint="eastAsia" w:ascii="仿宋" w:hAnsi="仿宋" w:eastAsia="仿宋" w:cs="仿宋"/>
                <w:color w:val="auto"/>
                <w:kern w:val="0"/>
                <w:sz w:val="20"/>
                <w:szCs w:val="20"/>
              </w:rPr>
              <w:t>备注：对各投标人的投标文件的技术文件独立进行打分。</w:t>
            </w:r>
          </w:p>
        </w:tc>
      </w:tr>
      <w:tr w14:paraId="60D6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728" w:hRule="atLeast"/>
        </w:trPr>
        <w:tc>
          <w:tcPr>
            <w:tcW w:w="1077" w:type="dxa"/>
            <w:vMerge w:val="restart"/>
            <w:vAlign w:val="center"/>
          </w:tcPr>
          <w:p w14:paraId="1932B5E8">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商务部分F3评审</w:t>
            </w:r>
          </w:p>
          <w:p w14:paraId="58BADCF9">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（满分</w:t>
            </w:r>
            <w:r>
              <w:rPr>
                <w:rFonts w:hint="eastAsia" w:ascii="仿宋" w:hAnsi="仿宋" w:eastAsia="仿宋" w:cs="仿宋"/>
                <w:b/>
                <w:bCs/>
                <w:color w:val="auto"/>
                <w:sz w:val="20"/>
                <w:szCs w:val="20"/>
                <w:lang w:val="en-US" w:eastAsia="zh-CN"/>
              </w:rPr>
              <w:t>28</w:t>
            </w:r>
            <w:r>
              <w:rPr>
                <w:rFonts w:hint="eastAsia" w:ascii="仿宋" w:hAnsi="仿宋" w:eastAsia="仿宋" w:cs="仿宋"/>
                <w:b/>
                <w:bCs/>
                <w:color w:val="auto"/>
                <w:sz w:val="20"/>
                <w:szCs w:val="20"/>
              </w:rPr>
              <w:t>分）</w:t>
            </w:r>
          </w:p>
        </w:tc>
        <w:tc>
          <w:tcPr>
            <w:tcW w:w="1340" w:type="dxa"/>
            <w:shd w:val="clear" w:color="auto" w:fill="auto"/>
            <w:vAlign w:val="center"/>
          </w:tcPr>
          <w:p w14:paraId="25FC06FE">
            <w:pPr>
              <w:spacing w:line="360" w:lineRule="auto"/>
              <w:jc w:val="center"/>
              <w:rPr>
                <w:rFonts w:hint="eastAsia" w:ascii="仿宋" w:hAnsi="仿宋" w:eastAsia="仿宋" w:cs="仿宋"/>
                <w:b/>
                <w:bCs/>
                <w:color w:val="auto"/>
                <w:kern w:val="0"/>
                <w:sz w:val="20"/>
                <w:szCs w:val="20"/>
                <w:lang w:val="en-US" w:eastAsia="zh-CN"/>
              </w:rPr>
            </w:pPr>
            <w:r>
              <w:rPr>
                <w:rFonts w:hint="eastAsia" w:ascii="仿宋" w:hAnsi="仿宋" w:eastAsia="仿宋" w:cs="仿宋"/>
                <w:b/>
                <w:bCs/>
                <w:color w:val="auto"/>
                <w:kern w:val="0"/>
                <w:sz w:val="20"/>
                <w:szCs w:val="20"/>
                <w:lang w:val="en-US" w:eastAsia="zh-CN"/>
              </w:rPr>
              <w:t>产品质量承诺及保障措施</w:t>
            </w:r>
          </w:p>
          <w:p w14:paraId="578E65F3">
            <w:pPr>
              <w:spacing w:line="360" w:lineRule="auto"/>
              <w:jc w:val="center"/>
              <w:rPr>
                <w:rFonts w:hint="eastAsia" w:ascii="仿宋" w:hAnsi="仿宋" w:eastAsia="仿宋" w:cs="仿宋"/>
                <w:b/>
                <w:bCs/>
                <w:color w:val="auto"/>
                <w:sz w:val="20"/>
                <w:szCs w:val="20"/>
              </w:rPr>
            </w:pPr>
            <w:r>
              <w:rPr>
                <w:rFonts w:hint="eastAsia" w:ascii="仿宋" w:hAnsi="仿宋" w:eastAsia="仿宋" w:cs="仿宋"/>
                <w:b/>
                <w:bCs/>
                <w:color w:val="auto"/>
                <w:kern w:val="0"/>
                <w:sz w:val="20"/>
                <w:szCs w:val="20"/>
                <w:lang w:val="en-US" w:eastAsia="zh-CN"/>
              </w:rPr>
              <w:t>（满分12分）</w:t>
            </w:r>
          </w:p>
        </w:tc>
        <w:tc>
          <w:tcPr>
            <w:tcW w:w="7336" w:type="dxa"/>
            <w:shd w:val="clear" w:color="auto" w:fill="auto"/>
            <w:vAlign w:val="center"/>
          </w:tcPr>
          <w:p w14:paraId="26000533">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针对本项目提供包括但不限于①产品质量承诺②产品质量保障措施③问题产品处理方式和措施④产品质量问题的违约处罚及保障力度等进行评审。</w:t>
            </w:r>
          </w:p>
          <w:p w14:paraId="260A1E8F">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以上4项方案完整、具体、合理、针对性和可行性强，整个方案阐述清晰明确，可行性和操作性强的每项得3分，共12分；否则评标委员会根据以下原则进行扣分。</w:t>
            </w:r>
          </w:p>
          <w:p w14:paraId="0DE949BC">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①无内容或内容表述与本项目无关或不相符的每项扣3分；</w:t>
            </w:r>
          </w:p>
          <w:p w14:paraId="25047428">
            <w:pPr>
              <w:spacing w:line="360" w:lineRule="auto"/>
              <w:rPr>
                <w:rFonts w:hint="eastAsia" w:ascii="仿宋" w:hAnsi="仿宋" w:eastAsia="仿宋" w:cs="仿宋"/>
                <w:color w:val="auto"/>
                <w:kern w:val="0"/>
                <w:sz w:val="20"/>
                <w:szCs w:val="20"/>
                <w:lang w:val="en-US" w:eastAsia="zh-CN"/>
              </w:rPr>
            </w:pPr>
            <w:r>
              <w:rPr>
                <w:rFonts w:hint="eastAsia" w:ascii="仿宋" w:hAnsi="仿宋" w:eastAsia="仿宋" w:cs="仿宋"/>
                <w:color w:val="auto"/>
                <w:kern w:val="0"/>
                <w:sz w:val="20"/>
                <w:szCs w:val="20"/>
                <w:lang w:val="en-US" w:eastAsia="zh-CN"/>
              </w:rPr>
              <w:t>②内容缺乏完整性、合理性、可行性的每项扣2分；</w:t>
            </w:r>
          </w:p>
          <w:p w14:paraId="10E3A6D3">
            <w:pPr>
              <w:spacing w:line="360" w:lineRule="auto"/>
              <w:rPr>
                <w:rFonts w:hint="eastAsia" w:ascii="仿宋" w:hAnsi="仿宋" w:eastAsia="仿宋" w:cs="仿宋"/>
                <w:color w:val="auto"/>
                <w:sz w:val="20"/>
                <w:szCs w:val="20"/>
              </w:rPr>
            </w:pPr>
            <w:r>
              <w:rPr>
                <w:rFonts w:hint="eastAsia" w:ascii="仿宋" w:hAnsi="仿宋" w:eastAsia="仿宋" w:cs="仿宋"/>
                <w:color w:val="auto"/>
                <w:kern w:val="0"/>
                <w:sz w:val="20"/>
                <w:szCs w:val="20"/>
                <w:lang w:val="en-US" w:eastAsia="zh-CN"/>
              </w:rPr>
              <w:t>③内容合理、有针对性，但存在缺陷（缺陷指内容前后矛盾或不一致、前后逻辑错误、涉及的规范及标准错误、地点区域错误、部分内容缺失等）的每项扣1分。</w:t>
            </w:r>
          </w:p>
        </w:tc>
      </w:tr>
      <w:tr w14:paraId="1EDC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33" w:hRule="atLeast"/>
        </w:trPr>
        <w:tc>
          <w:tcPr>
            <w:tcW w:w="1077" w:type="dxa"/>
            <w:vMerge w:val="continue"/>
            <w:vAlign w:val="center"/>
          </w:tcPr>
          <w:p w14:paraId="1C048F13">
            <w:pPr>
              <w:spacing w:line="360" w:lineRule="auto"/>
              <w:jc w:val="center"/>
              <w:rPr>
                <w:rFonts w:hint="eastAsia" w:ascii="仿宋" w:hAnsi="仿宋" w:eastAsia="仿宋" w:cs="仿宋"/>
                <w:b/>
                <w:bCs/>
                <w:color w:val="auto"/>
                <w:sz w:val="20"/>
                <w:szCs w:val="20"/>
              </w:rPr>
            </w:pPr>
          </w:p>
        </w:tc>
        <w:tc>
          <w:tcPr>
            <w:tcW w:w="1340" w:type="dxa"/>
            <w:shd w:val="clear" w:color="auto" w:fill="auto"/>
            <w:vAlign w:val="center"/>
          </w:tcPr>
          <w:p w14:paraId="50DA01AF">
            <w:pPr>
              <w:spacing w:line="360" w:lineRule="auto"/>
              <w:jc w:val="center"/>
              <w:rPr>
                <w:rFonts w:hint="eastAsia" w:ascii="仿宋" w:hAnsi="仿宋" w:eastAsia="仿宋" w:cs="仿宋"/>
                <w:b/>
                <w:bCs/>
                <w:color w:val="auto"/>
                <w:kern w:val="0"/>
                <w:sz w:val="20"/>
                <w:szCs w:val="20"/>
              </w:rPr>
            </w:pPr>
            <w:r>
              <w:rPr>
                <w:rFonts w:hint="eastAsia" w:ascii="仿宋" w:hAnsi="仿宋" w:eastAsia="仿宋" w:cs="仿宋"/>
                <w:b/>
                <w:bCs/>
                <w:color w:val="auto"/>
                <w:kern w:val="0"/>
                <w:sz w:val="20"/>
                <w:szCs w:val="20"/>
                <w:lang w:val="en-US" w:eastAsia="zh-CN"/>
              </w:rPr>
              <w:t>售后服务方案（满分16分）</w:t>
            </w:r>
          </w:p>
        </w:tc>
        <w:tc>
          <w:tcPr>
            <w:tcW w:w="7336" w:type="dxa"/>
            <w:shd w:val="clear" w:color="auto" w:fill="auto"/>
            <w:vAlign w:val="center"/>
          </w:tcPr>
          <w:p w14:paraId="39D1E938">
            <w:pPr>
              <w:spacing w:line="360" w:lineRule="auto"/>
              <w:jc w:val="left"/>
              <w:rPr>
                <w:rFonts w:hint="eastAsia" w:ascii="仿宋" w:hAnsi="仿宋" w:eastAsia="仿宋" w:cs="仿宋"/>
                <w:b w:val="0"/>
                <w:bCs w:val="0"/>
                <w:color w:val="auto"/>
                <w:kern w:val="0"/>
                <w:sz w:val="20"/>
                <w:szCs w:val="20"/>
                <w:lang w:val="en-US" w:eastAsia="zh-CN"/>
              </w:rPr>
            </w:pPr>
            <w:r>
              <w:rPr>
                <w:rFonts w:hint="eastAsia" w:ascii="仿宋" w:hAnsi="仿宋" w:eastAsia="仿宋" w:cs="仿宋"/>
                <w:b w:val="0"/>
                <w:bCs w:val="0"/>
                <w:color w:val="auto"/>
                <w:kern w:val="0"/>
                <w:sz w:val="20"/>
                <w:szCs w:val="20"/>
                <w:lang w:val="en-US" w:eastAsia="zh-CN"/>
              </w:rPr>
              <w:t>针对本项目提供包括但不限于①售后服务管理体系②售后服务保障措施③售后服务承诺④售后服务的违约处罚及保障力度等进行评审。</w:t>
            </w:r>
          </w:p>
          <w:p w14:paraId="2205E011">
            <w:pPr>
              <w:spacing w:line="360" w:lineRule="auto"/>
              <w:jc w:val="left"/>
              <w:rPr>
                <w:rFonts w:hint="eastAsia" w:ascii="仿宋" w:hAnsi="仿宋" w:eastAsia="仿宋" w:cs="仿宋"/>
                <w:b w:val="0"/>
                <w:bCs w:val="0"/>
                <w:color w:val="auto"/>
                <w:kern w:val="0"/>
                <w:sz w:val="20"/>
                <w:szCs w:val="20"/>
                <w:lang w:val="en-US" w:eastAsia="zh-CN"/>
              </w:rPr>
            </w:pPr>
            <w:r>
              <w:rPr>
                <w:rFonts w:hint="eastAsia" w:ascii="仿宋" w:hAnsi="仿宋" w:eastAsia="仿宋" w:cs="仿宋"/>
                <w:b w:val="0"/>
                <w:bCs w:val="0"/>
                <w:color w:val="auto"/>
                <w:kern w:val="0"/>
                <w:sz w:val="20"/>
                <w:szCs w:val="20"/>
                <w:lang w:val="en-US" w:eastAsia="zh-CN"/>
              </w:rPr>
              <w:t>以上4项方案完整、具体、合理、针对性和可行性强，整个方案阐述清晰明确，可行性和操作性强的每项得4分，共16分；否则评标委员会根据以下原则进行扣分。</w:t>
            </w:r>
          </w:p>
          <w:p w14:paraId="3F9DDECC">
            <w:pPr>
              <w:spacing w:line="360" w:lineRule="auto"/>
              <w:jc w:val="left"/>
              <w:rPr>
                <w:rFonts w:hint="eastAsia" w:ascii="仿宋" w:hAnsi="仿宋" w:eastAsia="仿宋" w:cs="仿宋"/>
                <w:b w:val="0"/>
                <w:bCs w:val="0"/>
                <w:color w:val="auto"/>
                <w:kern w:val="0"/>
                <w:sz w:val="20"/>
                <w:szCs w:val="20"/>
                <w:lang w:val="en-US" w:eastAsia="zh-CN"/>
              </w:rPr>
            </w:pPr>
            <w:r>
              <w:rPr>
                <w:rFonts w:hint="eastAsia" w:ascii="仿宋" w:hAnsi="仿宋" w:eastAsia="仿宋" w:cs="仿宋"/>
                <w:b w:val="0"/>
                <w:bCs w:val="0"/>
                <w:color w:val="auto"/>
                <w:kern w:val="0"/>
                <w:sz w:val="20"/>
                <w:szCs w:val="20"/>
                <w:lang w:val="en-US" w:eastAsia="zh-CN"/>
              </w:rPr>
              <w:t>①无内容或内容表述与本项目无关或不相符的每项扣4分；</w:t>
            </w:r>
          </w:p>
          <w:p w14:paraId="15EAC416">
            <w:pPr>
              <w:spacing w:line="360" w:lineRule="auto"/>
              <w:jc w:val="left"/>
              <w:rPr>
                <w:rFonts w:hint="eastAsia" w:ascii="仿宋" w:hAnsi="仿宋" w:eastAsia="仿宋" w:cs="仿宋"/>
                <w:b w:val="0"/>
                <w:bCs w:val="0"/>
                <w:color w:val="auto"/>
                <w:kern w:val="0"/>
                <w:sz w:val="20"/>
                <w:szCs w:val="20"/>
                <w:lang w:val="en-US" w:eastAsia="zh-CN"/>
              </w:rPr>
            </w:pPr>
            <w:r>
              <w:rPr>
                <w:rFonts w:hint="eastAsia" w:ascii="仿宋" w:hAnsi="仿宋" w:eastAsia="仿宋" w:cs="仿宋"/>
                <w:b w:val="0"/>
                <w:bCs w:val="0"/>
                <w:color w:val="auto"/>
                <w:kern w:val="0"/>
                <w:sz w:val="20"/>
                <w:szCs w:val="20"/>
                <w:lang w:val="en-US" w:eastAsia="zh-CN"/>
              </w:rPr>
              <w:t>②内容缺乏完整性、合理性、可行性的每项扣2分；</w:t>
            </w:r>
          </w:p>
          <w:p w14:paraId="1B2DAE4D">
            <w:pPr>
              <w:spacing w:line="360" w:lineRule="auto"/>
              <w:jc w:val="left"/>
              <w:rPr>
                <w:rFonts w:hint="eastAsia" w:ascii="仿宋" w:hAnsi="仿宋" w:eastAsia="仿宋" w:cs="仿宋"/>
                <w:b/>
                <w:bCs/>
                <w:color w:val="auto"/>
                <w:kern w:val="0"/>
                <w:sz w:val="20"/>
                <w:szCs w:val="20"/>
              </w:rPr>
            </w:pPr>
            <w:r>
              <w:rPr>
                <w:rFonts w:hint="eastAsia" w:ascii="仿宋" w:hAnsi="仿宋" w:eastAsia="仿宋" w:cs="仿宋"/>
                <w:b w:val="0"/>
                <w:bCs w:val="0"/>
                <w:color w:val="auto"/>
                <w:kern w:val="0"/>
                <w:sz w:val="20"/>
                <w:szCs w:val="20"/>
                <w:lang w:val="en-US" w:eastAsia="zh-CN"/>
              </w:rPr>
              <w:t>③内容合理、有针对性，但存在缺陷（缺陷指内容前后矛盾或不一致、前后逻辑错误、涉及的规范及标准错误、地点区域错误、部分内容缺失等）的每项扣1分。</w:t>
            </w:r>
          </w:p>
        </w:tc>
      </w:tr>
      <w:tr w14:paraId="4A09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42" w:hRule="atLeast"/>
        </w:trPr>
        <w:tc>
          <w:tcPr>
            <w:tcW w:w="1077" w:type="dxa"/>
            <w:vMerge w:val="continue"/>
            <w:vAlign w:val="center"/>
          </w:tcPr>
          <w:p w14:paraId="3EA60F8D">
            <w:pPr>
              <w:spacing w:line="360" w:lineRule="auto"/>
              <w:jc w:val="center"/>
              <w:rPr>
                <w:rFonts w:hint="eastAsia" w:ascii="仿宋" w:hAnsi="仿宋" w:eastAsia="仿宋" w:cs="仿宋"/>
                <w:color w:val="auto"/>
                <w:sz w:val="20"/>
                <w:szCs w:val="20"/>
              </w:rPr>
            </w:pPr>
          </w:p>
        </w:tc>
        <w:tc>
          <w:tcPr>
            <w:tcW w:w="8676" w:type="dxa"/>
            <w:gridSpan w:val="2"/>
            <w:vAlign w:val="center"/>
          </w:tcPr>
          <w:p w14:paraId="635C9A9C">
            <w:pPr>
              <w:spacing w:line="360" w:lineRule="auto"/>
              <w:ind w:left="5" w:hanging="5"/>
              <w:rPr>
                <w:rFonts w:hint="eastAsia" w:ascii="仿宋" w:hAnsi="仿宋" w:eastAsia="仿宋" w:cs="仿宋"/>
                <w:color w:val="auto"/>
                <w:kern w:val="0"/>
                <w:sz w:val="20"/>
                <w:szCs w:val="20"/>
              </w:rPr>
            </w:pPr>
            <w:r>
              <w:rPr>
                <w:rFonts w:hint="eastAsia" w:ascii="仿宋" w:hAnsi="仿宋" w:eastAsia="仿宋" w:cs="仿宋"/>
                <w:color w:val="auto"/>
                <w:kern w:val="0"/>
                <w:sz w:val="20"/>
                <w:szCs w:val="20"/>
              </w:rPr>
              <w:t>备注：对各投标人的投标文件的商务文件独立进行打分。</w:t>
            </w:r>
          </w:p>
        </w:tc>
      </w:tr>
    </w:tbl>
    <w:p w14:paraId="37856852">
      <w:pPr>
        <w:pStyle w:val="10"/>
        <w:spacing w:line="360" w:lineRule="auto"/>
        <w:ind w:left="0" w:firstLine="482" w:firstLineChars="200"/>
        <w:rPr>
          <w:rFonts w:hint="eastAsia" w:ascii="仿宋" w:hAnsi="仿宋" w:eastAsia="仿宋" w:cs="仿宋"/>
          <w:b/>
          <w:bCs/>
          <w:color w:val="auto"/>
          <w:szCs w:val="24"/>
        </w:rPr>
      </w:pPr>
      <w:r>
        <w:rPr>
          <w:rFonts w:hint="eastAsia" w:ascii="仿宋" w:hAnsi="仿宋" w:eastAsia="仿宋" w:cs="仿宋"/>
          <w:b/>
          <w:bCs/>
          <w:color w:val="auto"/>
          <w:szCs w:val="24"/>
        </w:rPr>
        <w:t>（四）得分汇总</w:t>
      </w:r>
    </w:p>
    <w:p w14:paraId="1FC66629">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1.评委应首先对各投标人投标文件进行评审，写出书面意见并按招标文件规定分值评分，各分档评分中间不得用插入法评分。</w:t>
      </w:r>
    </w:p>
    <w:p w14:paraId="46A26B4F">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2.除投标价格得分（F</w:t>
      </w:r>
      <w:r>
        <w:rPr>
          <w:rFonts w:hint="eastAsia" w:ascii="仿宋" w:hAnsi="仿宋" w:eastAsia="仿宋" w:cs="仿宋"/>
          <w:color w:val="auto"/>
          <w:szCs w:val="24"/>
          <w:vertAlign w:val="subscript"/>
        </w:rPr>
        <w:t>1</w:t>
      </w:r>
      <w:r>
        <w:rPr>
          <w:rFonts w:hint="eastAsia" w:ascii="仿宋" w:hAnsi="仿宋" w:eastAsia="仿宋" w:cs="仿宋"/>
          <w:color w:val="auto"/>
          <w:szCs w:val="24"/>
        </w:rPr>
        <w:t>）外，其余部分由各评委自主评分并签字确认。</w:t>
      </w:r>
    </w:p>
    <w:p w14:paraId="540C9306">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3.统分原则：计算评委打分的算术平均值为投标人的该项评分因素的得分，投标报价得分除外（保留小数点后两位）。</w:t>
      </w:r>
    </w:p>
    <w:p w14:paraId="480A536C">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4.得分汇总：各项评分因素得分的总和即为投标人最后得分。</w:t>
      </w:r>
    </w:p>
    <w:p w14:paraId="22078E00">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5.经评标委员会认定评分畸高、畸低的，评标委员会应当当场修改评标结果，并在评标报告中记载。</w:t>
      </w:r>
    </w:p>
    <w:p w14:paraId="019D1427">
      <w:pPr>
        <w:spacing w:line="360" w:lineRule="auto"/>
        <w:ind w:firstLine="482" w:firstLineChars="200"/>
        <w:outlineLvl w:val="1"/>
        <w:rPr>
          <w:rFonts w:hint="eastAsia" w:ascii="仿宋" w:hAnsi="仿宋" w:eastAsia="仿宋" w:cs="仿宋"/>
          <w:b/>
          <w:bCs/>
          <w:color w:val="auto"/>
          <w:sz w:val="24"/>
          <w:szCs w:val="24"/>
        </w:rPr>
      </w:pPr>
      <w:bookmarkStart w:id="411" w:name="_Toc5699"/>
      <w:bookmarkStart w:id="412" w:name="_Toc13451"/>
      <w:r>
        <w:rPr>
          <w:rFonts w:hint="eastAsia" w:ascii="仿宋" w:hAnsi="仿宋" w:eastAsia="仿宋" w:cs="仿宋"/>
          <w:b/>
          <w:bCs/>
          <w:color w:val="auto"/>
          <w:sz w:val="24"/>
          <w:szCs w:val="24"/>
        </w:rPr>
        <w:t>七、推荐原则</w:t>
      </w:r>
      <w:bookmarkEnd w:id="411"/>
      <w:bookmarkEnd w:id="412"/>
    </w:p>
    <w:p w14:paraId="654BA398">
      <w:pPr>
        <w:pStyle w:val="23"/>
        <w:rPr>
          <w:rFonts w:hint="eastAsia" w:ascii="仿宋" w:hAnsi="仿宋" w:eastAsia="仿宋" w:cs="仿宋"/>
          <w:color w:val="auto"/>
        </w:rPr>
      </w:pPr>
      <w:r>
        <w:rPr>
          <w:rFonts w:hint="eastAsia" w:ascii="仿宋" w:hAnsi="仿宋" w:eastAsia="仿宋" w:cs="仿宋"/>
          <w:color w:val="auto"/>
          <w:sz w:val="24"/>
          <w:highlight w:val="none"/>
        </w:rPr>
        <w:t>评标委员会按各评分因素得分汇总计算出各投标人的总得分，评标结果按评审后总得分由高到低顺序排列。总得分相同的，按照投标总报价（1-下浮率）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节能产品不进行计算），认证证书数量相同的，按照技术部分评审得分由高到低的顺序排列，若最终排名仍一致时，由评标委员会不记名投票决定中标候选投标人排序。</w:t>
      </w:r>
    </w:p>
    <w:p w14:paraId="7405466B">
      <w:pPr>
        <w:spacing w:line="360" w:lineRule="auto"/>
        <w:ind w:firstLine="482" w:firstLineChars="200"/>
        <w:outlineLvl w:val="1"/>
        <w:rPr>
          <w:rFonts w:hint="eastAsia" w:ascii="仿宋" w:hAnsi="仿宋" w:eastAsia="仿宋" w:cs="仿宋"/>
          <w:b/>
          <w:bCs/>
          <w:color w:val="auto"/>
          <w:sz w:val="24"/>
          <w:szCs w:val="24"/>
        </w:rPr>
      </w:pPr>
      <w:bookmarkStart w:id="413" w:name="_Toc26289"/>
      <w:bookmarkStart w:id="414" w:name="_Toc10870"/>
      <w:bookmarkStart w:id="415" w:name="_Toc2097"/>
      <w:bookmarkStart w:id="416" w:name="_Toc12494"/>
      <w:bookmarkStart w:id="417" w:name="_Toc21740"/>
      <w:r>
        <w:rPr>
          <w:rFonts w:hint="eastAsia" w:ascii="仿宋" w:hAnsi="仿宋" w:eastAsia="仿宋" w:cs="仿宋"/>
          <w:b/>
          <w:bCs/>
          <w:color w:val="auto"/>
          <w:sz w:val="24"/>
          <w:szCs w:val="24"/>
        </w:rPr>
        <w:t>八、评标报告编写</w:t>
      </w:r>
      <w:bookmarkEnd w:id="413"/>
      <w:bookmarkEnd w:id="414"/>
      <w:bookmarkEnd w:id="415"/>
      <w:bookmarkEnd w:id="416"/>
      <w:bookmarkEnd w:id="417"/>
    </w:p>
    <w:p w14:paraId="725A8211">
      <w:pPr>
        <w:pStyle w:val="10"/>
        <w:spacing w:line="360" w:lineRule="auto"/>
        <w:ind w:left="0" w:firstLine="480" w:firstLineChars="200"/>
        <w:rPr>
          <w:rFonts w:hint="eastAsia" w:ascii="仿宋" w:hAnsi="仿宋" w:eastAsia="仿宋" w:cs="仿宋"/>
          <w:color w:val="auto"/>
          <w:szCs w:val="24"/>
        </w:rPr>
      </w:pPr>
      <w:r>
        <w:rPr>
          <w:rFonts w:hint="eastAsia" w:ascii="仿宋" w:hAnsi="仿宋" w:eastAsia="仿宋" w:cs="仿宋"/>
          <w:color w:val="auto"/>
          <w:szCs w:val="24"/>
        </w:rPr>
        <w:t>评标委员会根据全体评标成员签字的评标记录和评标结果编写评标报告。</w:t>
      </w:r>
    </w:p>
    <w:p w14:paraId="2C825EA9">
      <w:pPr>
        <w:spacing w:line="360" w:lineRule="auto"/>
        <w:ind w:firstLine="482" w:firstLineChars="200"/>
        <w:outlineLvl w:val="1"/>
        <w:rPr>
          <w:rFonts w:hint="eastAsia" w:ascii="仿宋" w:hAnsi="仿宋" w:eastAsia="仿宋" w:cs="仿宋"/>
          <w:b/>
          <w:bCs/>
          <w:color w:val="auto"/>
          <w:sz w:val="24"/>
          <w:szCs w:val="24"/>
        </w:rPr>
      </w:pPr>
      <w:bookmarkStart w:id="418" w:name="_Toc25832"/>
      <w:bookmarkStart w:id="419" w:name="_Toc20971"/>
      <w:bookmarkStart w:id="420" w:name="_Toc8466"/>
      <w:bookmarkStart w:id="421" w:name="_Toc6330"/>
      <w:bookmarkStart w:id="422" w:name="_Toc19558"/>
      <w:r>
        <w:rPr>
          <w:rFonts w:hint="eastAsia" w:ascii="仿宋" w:hAnsi="仿宋" w:eastAsia="仿宋" w:cs="仿宋"/>
          <w:b/>
          <w:bCs/>
          <w:color w:val="auto"/>
          <w:sz w:val="24"/>
          <w:szCs w:val="24"/>
        </w:rPr>
        <w:t>九、评标结果</w:t>
      </w:r>
      <w:bookmarkEnd w:id="418"/>
      <w:bookmarkEnd w:id="419"/>
      <w:bookmarkEnd w:id="420"/>
      <w:bookmarkEnd w:id="421"/>
      <w:bookmarkEnd w:id="422"/>
    </w:p>
    <w:p w14:paraId="7A6B0AC2">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1.评标委员会按得分由高到低顺序推荐中标候选人，并提出书面评标报告。</w:t>
      </w:r>
    </w:p>
    <w:p w14:paraId="0080BF54">
      <w:pPr>
        <w:spacing w:line="360" w:lineRule="auto"/>
        <w:ind w:firstLine="480" w:firstLineChars="200"/>
        <w:jc w:val="left"/>
        <w:rPr>
          <w:rFonts w:hint="eastAsia" w:ascii="仿宋" w:hAnsi="仿宋" w:eastAsia="仿宋" w:cs="仿宋"/>
          <w:color w:val="auto"/>
          <w:spacing w:val="-11"/>
          <w:sz w:val="24"/>
          <w:szCs w:val="24"/>
        </w:rPr>
      </w:pPr>
      <w:r>
        <w:rPr>
          <w:rFonts w:hint="eastAsia" w:ascii="仿宋" w:hAnsi="仿宋" w:eastAsia="仿宋" w:cs="仿宋"/>
          <w:color w:val="auto"/>
          <w:sz w:val="24"/>
          <w:szCs w:val="24"/>
        </w:rPr>
        <w:t>2.</w:t>
      </w:r>
      <w:r>
        <w:rPr>
          <w:rFonts w:hint="eastAsia" w:ascii="仿宋" w:hAnsi="仿宋" w:eastAsia="仿宋" w:cs="仿宋"/>
          <w:color w:val="auto"/>
          <w:spacing w:val="-11"/>
          <w:sz w:val="24"/>
          <w:szCs w:val="24"/>
        </w:rPr>
        <w:t>采购人根据评标委员会提出的书面评标报告和推荐的中标候选人名单，按顺序确定中标人。</w:t>
      </w:r>
    </w:p>
    <w:p w14:paraId="123CE889">
      <w:pPr>
        <w:spacing w:line="360" w:lineRule="auto"/>
        <w:rPr>
          <w:rFonts w:hint="eastAsia" w:ascii="仿宋" w:hAnsi="仿宋" w:eastAsia="仿宋" w:cs="仿宋"/>
          <w:color w:val="auto"/>
          <w:sz w:val="44"/>
          <w:szCs w:val="44"/>
        </w:rPr>
      </w:pPr>
      <w:r>
        <w:rPr>
          <w:rFonts w:hint="eastAsia" w:ascii="仿宋" w:hAnsi="仿宋" w:eastAsia="仿宋" w:cs="仿宋"/>
          <w:color w:val="auto"/>
          <w:sz w:val="44"/>
          <w:szCs w:val="44"/>
        </w:rPr>
        <w:br w:type="page"/>
      </w:r>
    </w:p>
    <w:p w14:paraId="260D9EC8">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解释权</w:t>
      </w:r>
      <w:bookmarkEnd w:id="375"/>
      <w:bookmarkEnd w:id="376"/>
      <w:bookmarkEnd w:id="377"/>
      <w:bookmarkEnd w:id="378"/>
      <w:bookmarkEnd w:id="379"/>
      <w:bookmarkEnd w:id="380"/>
    </w:p>
    <w:p w14:paraId="2C2A85E3">
      <w:pPr>
        <w:spacing w:line="360" w:lineRule="auto"/>
        <w:ind w:firstLine="436" w:firstLineChars="200"/>
        <w:jc w:val="left"/>
        <w:rPr>
          <w:rFonts w:hint="eastAsia" w:ascii="仿宋" w:hAnsi="仿宋" w:eastAsia="仿宋" w:cs="仿宋"/>
          <w:color w:val="auto"/>
          <w:spacing w:val="-11"/>
          <w:sz w:val="24"/>
          <w:szCs w:val="24"/>
        </w:rPr>
      </w:pPr>
      <w:r>
        <w:rPr>
          <w:rFonts w:hint="eastAsia" w:ascii="仿宋" w:hAnsi="仿宋" w:eastAsia="仿宋" w:cs="仿宋"/>
          <w:color w:val="auto"/>
          <w:spacing w:val="-11"/>
          <w:sz w:val="24"/>
          <w:szCs w:val="24"/>
        </w:rPr>
        <w:t>本招标文件是根据《中华人民共和国政府采购法》及相关法律法规编制，解释权属采购代理机构。</w:t>
      </w:r>
    </w:p>
    <w:p w14:paraId="2BE15920">
      <w:pPr>
        <w:pStyle w:val="4"/>
        <w:numPr>
          <w:ilvl w:val="0"/>
          <w:numId w:val="3"/>
        </w:numPr>
        <w:tabs>
          <w:tab w:val="left" w:pos="900"/>
          <w:tab w:val="left" w:pos="1097"/>
          <w:tab w:val="clear" w:pos="1200"/>
        </w:tabs>
        <w:spacing w:before="0" w:after="0" w:line="360" w:lineRule="auto"/>
        <w:rPr>
          <w:rFonts w:hint="eastAsia" w:ascii="仿宋" w:hAnsi="仿宋" w:eastAsia="仿宋" w:cs="仿宋"/>
          <w:color w:val="auto"/>
          <w:sz w:val="24"/>
          <w:szCs w:val="24"/>
        </w:rPr>
      </w:pPr>
      <w:bookmarkStart w:id="423" w:name="_Toc14650"/>
      <w:bookmarkStart w:id="424" w:name="_Toc19257"/>
      <w:bookmarkStart w:id="425" w:name="_Toc26997"/>
      <w:bookmarkStart w:id="426" w:name="_Toc25247"/>
      <w:bookmarkStart w:id="427" w:name="_Toc62031165"/>
      <w:bookmarkStart w:id="428" w:name="_Toc13312"/>
      <w:bookmarkStart w:id="429" w:name="_Toc24075"/>
      <w:bookmarkStart w:id="430" w:name="_Toc2094"/>
      <w:bookmarkStart w:id="431" w:name="_Toc13755"/>
      <w:r>
        <w:rPr>
          <w:rFonts w:hint="eastAsia" w:ascii="仿宋" w:hAnsi="仿宋" w:eastAsia="仿宋" w:cs="仿宋"/>
          <w:color w:val="auto"/>
          <w:sz w:val="24"/>
          <w:szCs w:val="24"/>
        </w:rPr>
        <w:t>需要补充的其他内容</w:t>
      </w:r>
      <w:bookmarkEnd w:id="423"/>
    </w:p>
    <w:p w14:paraId="3D7CF3A0">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31.1 需要补充的其他内容：见“</w:t>
      </w:r>
      <w:r>
        <w:rPr>
          <w:rFonts w:hint="eastAsia" w:ascii="仿宋" w:hAnsi="仿宋" w:eastAsia="仿宋" w:cs="仿宋"/>
          <w:b/>
          <w:color w:val="auto"/>
          <w:sz w:val="24"/>
          <w:szCs w:val="24"/>
        </w:rPr>
        <w:t>投标人须知前附表</w:t>
      </w:r>
      <w:r>
        <w:rPr>
          <w:rFonts w:hint="eastAsia" w:ascii="仿宋" w:hAnsi="仿宋" w:eastAsia="仿宋" w:cs="仿宋"/>
          <w:color w:val="auto"/>
          <w:sz w:val="24"/>
          <w:szCs w:val="24"/>
        </w:rPr>
        <w:t>”。</w:t>
      </w:r>
    </w:p>
    <w:p w14:paraId="20831382">
      <w:pPr>
        <w:spacing w:line="360" w:lineRule="auto"/>
        <w:rPr>
          <w:rFonts w:hint="eastAsia" w:ascii="仿宋" w:hAnsi="仿宋" w:eastAsia="仿宋" w:cs="仿宋"/>
          <w:b/>
          <w:bCs/>
          <w:iCs/>
          <w:color w:val="auto"/>
          <w:sz w:val="44"/>
          <w:szCs w:val="44"/>
        </w:rPr>
      </w:pPr>
      <w:r>
        <w:rPr>
          <w:rFonts w:hint="eastAsia" w:ascii="仿宋" w:hAnsi="仿宋" w:eastAsia="仿宋" w:cs="仿宋"/>
          <w:b/>
          <w:bCs/>
          <w:iCs/>
          <w:color w:val="auto"/>
          <w:sz w:val="44"/>
          <w:szCs w:val="44"/>
        </w:rPr>
        <w:br w:type="page"/>
      </w:r>
    </w:p>
    <w:p w14:paraId="2B4D14AC">
      <w:pPr>
        <w:pStyle w:val="2"/>
        <w:numPr>
          <w:ilvl w:val="0"/>
          <w:numId w:val="0"/>
        </w:numPr>
        <w:snapToGrid w:val="0"/>
        <w:spacing w:line="360" w:lineRule="auto"/>
        <w:ind w:left="720" w:hanging="720"/>
        <w:jc w:val="center"/>
        <w:rPr>
          <w:rFonts w:hint="eastAsia" w:ascii="仿宋" w:hAnsi="仿宋" w:eastAsia="仿宋" w:cs="仿宋"/>
          <w:iCs/>
          <w:color w:val="auto"/>
          <w:sz w:val="44"/>
          <w:szCs w:val="44"/>
        </w:rPr>
      </w:pPr>
      <w:bookmarkStart w:id="432" w:name="_Toc27255"/>
      <w:r>
        <w:rPr>
          <w:rFonts w:hint="eastAsia" w:ascii="仿宋" w:hAnsi="仿宋" w:eastAsia="仿宋" w:cs="仿宋"/>
          <w:iCs/>
          <w:color w:val="auto"/>
          <w:sz w:val="44"/>
          <w:szCs w:val="44"/>
        </w:rPr>
        <w:t xml:space="preserve">第三章 </w:t>
      </w:r>
      <w:bookmarkStart w:id="433" w:name="_Toc22331"/>
      <w:r>
        <w:rPr>
          <w:rFonts w:hint="eastAsia" w:ascii="仿宋" w:hAnsi="仿宋" w:eastAsia="仿宋" w:cs="仿宋"/>
          <w:iCs/>
          <w:color w:val="auto"/>
          <w:sz w:val="44"/>
          <w:szCs w:val="44"/>
        </w:rPr>
        <w:t>资格审查</w:t>
      </w:r>
      <w:bookmarkEnd w:id="424"/>
      <w:bookmarkEnd w:id="425"/>
      <w:bookmarkEnd w:id="426"/>
      <w:bookmarkEnd w:id="432"/>
      <w:bookmarkEnd w:id="433"/>
    </w:p>
    <w:p w14:paraId="3D6373F6">
      <w:pPr>
        <w:pStyle w:val="19"/>
        <w:spacing w:before="0" w:beforeAutospacing="0" w:after="0" w:afterAutospacing="0" w:line="360" w:lineRule="auto"/>
        <w:ind w:firstLine="480" w:firstLineChars="200"/>
        <w:jc w:val="both"/>
        <w:rPr>
          <w:rFonts w:hint="eastAsia" w:ascii="仿宋" w:hAnsi="仿宋" w:eastAsia="仿宋" w:cs="仿宋"/>
          <w:color w:val="auto"/>
        </w:rPr>
      </w:pPr>
      <w:r>
        <w:rPr>
          <w:rFonts w:hint="eastAsia" w:ascii="仿宋" w:hAnsi="仿宋" w:eastAsia="仿宋" w:cs="仿宋"/>
          <w:color w:val="auto"/>
        </w:rPr>
        <w:t>公开招标采购项目开标结束后，采购人（和/或）采购代理机构依法对投标人的资格进行审查。合格投标人不足3家的，不得评标。</w:t>
      </w:r>
    </w:p>
    <w:p w14:paraId="79D90C20">
      <w:pPr>
        <w:pStyle w:val="10"/>
        <w:spacing w:line="360" w:lineRule="auto"/>
        <w:ind w:left="0" w:firstLine="480" w:firstLineChars="200"/>
        <w:jc w:val="left"/>
        <w:rPr>
          <w:rFonts w:hint="eastAsia" w:ascii="仿宋" w:hAnsi="仿宋" w:eastAsia="仿宋" w:cs="仿宋"/>
          <w:color w:val="auto"/>
          <w:kern w:val="0"/>
          <w:szCs w:val="24"/>
        </w:rPr>
      </w:pPr>
      <w:r>
        <w:rPr>
          <w:rFonts w:hint="eastAsia" w:ascii="仿宋" w:hAnsi="仿宋" w:eastAsia="仿宋" w:cs="仿宋"/>
          <w:color w:val="auto"/>
          <w:kern w:val="0"/>
          <w:szCs w:val="24"/>
        </w:rPr>
        <w:t>不符合下列情形之一的投标文件不能通过资格审查：</w:t>
      </w:r>
    </w:p>
    <w:p w14:paraId="6614F9EC">
      <w:pPr>
        <w:pStyle w:val="8"/>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一、投标人应符合《中华人民共和国政府采购法》第二十二条及《中华人民共和国政府采购法实施条例》第十七条的要求：</w:t>
      </w:r>
    </w:p>
    <w:p w14:paraId="171DFD1C">
      <w:pPr>
        <w:pStyle w:val="8"/>
        <w:spacing w:line="360" w:lineRule="auto"/>
        <w:ind w:firstLine="480"/>
        <w:rPr>
          <w:rFonts w:hint="eastAsia" w:ascii="仿宋" w:hAnsi="仿宋" w:eastAsia="仿宋" w:cs="仿宋"/>
          <w:b w:val="0"/>
          <w:color w:val="auto"/>
          <w:spacing w:val="-4"/>
          <w:sz w:val="24"/>
          <w:szCs w:val="24"/>
        </w:rPr>
      </w:pPr>
      <w:r>
        <w:rPr>
          <w:rFonts w:hint="eastAsia" w:ascii="仿宋" w:hAnsi="仿宋" w:eastAsia="仿宋" w:cs="仿宋"/>
          <w:color w:val="auto"/>
          <w:sz w:val="24"/>
        </w:rPr>
        <w:t>1.具有独立承担民事责任的能力：</w:t>
      </w:r>
      <w:r>
        <w:rPr>
          <w:rFonts w:hint="eastAsia" w:ascii="仿宋" w:hAnsi="仿宋" w:eastAsia="仿宋" w:cs="仿宋"/>
          <w:b w:val="0"/>
          <w:color w:val="auto"/>
          <w:spacing w:val="-4"/>
          <w:sz w:val="24"/>
          <w:szCs w:val="24"/>
          <w:lang w:eastAsia="zh-CN"/>
        </w:rPr>
        <w:t>投标人为法人、其他组织或者自然人，提供有效的营业执照或事业单位法人证书或民办非企业登记证书或执业许可证或社会团体登记证或自然人身份证明</w:t>
      </w:r>
      <w:r>
        <w:rPr>
          <w:rFonts w:hint="eastAsia" w:ascii="仿宋" w:hAnsi="仿宋" w:eastAsia="仿宋" w:cs="仿宋"/>
          <w:b w:val="0"/>
          <w:color w:val="auto"/>
          <w:spacing w:val="-4"/>
          <w:sz w:val="24"/>
          <w:szCs w:val="24"/>
        </w:rPr>
        <w:t>。</w:t>
      </w:r>
    </w:p>
    <w:p w14:paraId="43CA8AAA">
      <w:pPr>
        <w:pStyle w:val="8"/>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2.具有良好的商业信誉和健全的财务会计制度：</w:t>
      </w:r>
    </w:p>
    <w:p w14:paraId="2244CA73">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①在国家企业信用信息公示系统（www.gsxt.gov.cn）中未出现列入严重违法失信企业名单（黑名单），参与本项目的投标人信用查询截止时点：投标文件递交截止当天查询（查询结果以采购人或采购代理机构查询结果为准，并将查询记录留存，投标人无需再提供）；</w:t>
      </w:r>
    </w:p>
    <w:p w14:paraId="19E98D0E">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②具有健全的财务会计制度：</w:t>
      </w:r>
      <w:r>
        <w:rPr>
          <w:rFonts w:hint="eastAsia" w:ascii="仿宋" w:hAnsi="仿宋" w:eastAsia="仿宋" w:cs="仿宋"/>
          <w:b w:val="0"/>
          <w:color w:val="auto"/>
          <w:sz w:val="24"/>
          <w:lang w:eastAsia="zh-CN"/>
        </w:rPr>
        <w:t>提供经第三方审计机构审计的2023至2025年任一年度的财务状况审计报告（</w:t>
      </w:r>
      <w:r>
        <w:rPr>
          <w:rFonts w:hint="eastAsia" w:ascii="仿宋" w:hAnsi="仿宋" w:eastAsia="仿宋" w:cs="仿宋"/>
          <w:b w:val="0"/>
          <w:color w:val="auto"/>
          <w:sz w:val="24"/>
          <w:lang w:val="en-US" w:eastAsia="zh-CN"/>
        </w:rPr>
        <w:t>报表至少包括资产负债表、利润表、现金流量表，审计报告须附注册会计师行业统一监管平台验证码</w:t>
      </w:r>
      <w:r>
        <w:rPr>
          <w:rFonts w:hint="eastAsia" w:ascii="仿宋" w:hAnsi="仿宋" w:eastAsia="仿宋" w:cs="仿宋"/>
          <w:b w:val="0"/>
          <w:color w:val="auto"/>
          <w:sz w:val="24"/>
          <w:lang w:eastAsia="zh-CN"/>
        </w:rPr>
        <w:t>）或基本开户银行出具的资信证明（成立不满1年的，提供基本开户银行出具的资信证明）</w:t>
      </w:r>
      <w:r>
        <w:rPr>
          <w:rFonts w:hint="eastAsia" w:ascii="仿宋" w:hAnsi="仿宋" w:eastAsia="仿宋" w:cs="仿宋"/>
          <w:b w:val="0"/>
          <w:color w:val="auto"/>
          <w:sz w:val="24"/>
        </w:rPr>
        <w:t>。</w:t>
      </w:r>
    </w:p>
    <w:p w14:paraId="0EF83947">
      <w:pPr>
        <w:pStyle w:val="8"/>
        <w:spacing w:line="360" w:lineRule="auto"/>
        <w:ind w:firstLine="480"/>
        <w:rPr>
          <w:rFonts w:hint="eastAsia" w:ascii="仿宋" w:hAnsi="仿宋" w:eastAsia="仿宋" w:cs="仿宋"/>
          <w:b w:val="0"/>
          <w:color w:val="auto"/>
          <w:sz w:val="24"/>
        </w:rPr>
      </w:pPr>
      <w:r>
        <w:rPr>
          <w:rFonts w:hint="eastAsia" w:ascii="仿宋" w:hAnsi="仿宋" w:eastAsia="仿宋" w:cs="仿宋"/>
          <w:color w:val="auto"/>
          <w:sz w:val="24"/>
        </w:rPr>
        <w:t>3.具有依法缴纳税收和社会保障资金的良好记录：</w:t>
      </w:r>
      <w:r>
        <w:rPr>
          <w:rFonts w:hint="eastAsia" w:ascii="仿宋" w:hAnsi="仿宋" w:eastAsia="仿宋" w:cs="仿宋"/>
          <w:b w:val="0"/>
          <w:color w:val="auto"/>
          <w:spacing w:val="0"/>
          <w:sz w:val="24"/>
        </w:rPr>
        <w:t>提供</w:t>
      </w:r>
      <w:r>
        <w:rPr>
          <w:rFonts w:hint="eastAsia" w:ascii="仿宋" w:hAnsi="仿宋" w:eastAsia="仿宋" w:cs="仿宋"/>
          <w:b w:val="0"/>
          <w:color w:val="auto"/>
          <w:spacing w:val="0"/>
          <w:sz w:val="24"/>
          <w:lang w:eastAsia="zh-CN"/>
        </w:rPr>
        <w:t>2025年01月</w:t>
      </w:r>
      <w:r>
        <w:rPr>
          <w:rFonts w:hint="eastAsia" w:ascii="仿宋" w:hAnsi="仿宋" w:eastAsia="仿宋" w:cs="仿宋"/>
          <w:b w:val="0"/>
          <w:color w:val="auto"/>
          <w:spacing w:val="0"/>
          <w:sz w:val="24"/>
        </w:rPr>
        <w:t>至今任意2个月依法缴纳税收和缴纳社会保障资金的证明（成立未满2个月的提供成立以来的税收和社会保障资金缴纳凭证或相关情况说明；依法免税或不需要缴纳社会保障资金的，应提供相应文件证明其依法免税或不需要缴纳社会保障资金）。</w:t>
      </w:r>
    </w:p>
    <w:p w14:paraId="645E8995">
      <w:pPr>
        <w:pStyle w:val="8"/>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4.具有履行合同所必需的设备和专业技术能力：</w:t>
      </w:r>
      <w:r>
        <w:rPr>
          <w:rFonts w:hint="eastAsia" w:ascii="仿宋" w:hAnsi="仿宋" w:eastAsia="仿宋" w:cs="仿宋"/>
          <w:b w:val="0"/>
          <w:color w:val="auto"/>
          <w:sz w:val="24"/>
        </w:rPr>
        <w:t>提供相关证明材料或书面声明。</w:t>
      </w:r>
    </w:p>
    <w:p w14:paraId="1EC50D58">
      <w:pPr>
        <w:pStyle w:val="8"/>
        <w:spacing w:line="360" w:lineRule="auto"/>
        <w:ind w:firstLine="480"/>
        <w:rPr>
          <w:rFonts w:hint="eastAsia" w:ascii="仿宋" w:hAnsi="仿宋" w:eastAsia="仿宋" w:cs="仿宋"/>
          <w:b w:val="0"/>
          <w:color w:val="auto"/>
          <w:sz w:val="24"/>
        </w:rPr>
      </w:pPr>
      <w:r>
        <w:rPr>
          <w:rFonts w:hint="eastAsia" w:ascii="仿宋" w:hAnsi="仿宋" w:eastAsia="仿宋" w:cs="仿宋"/>
          <w:color w:val="auto"/>
          <w:sz w:val="24"/>
        </w:rPr>
        <w:t>5.参与本次政府采购活动前三年内，在经营活动中没有重大违法记录：</w:t>
      </w:r>
      <w:r>
        <w:rPr>
          <w:rFonts w:hint="eastAsia" w:ascii="仿宋" w:hAnsi="仿宋" w:eastAsia="仿宋" w:cs="仿宋"/>
          <w:b w:val="0"/>
          <w:color w:val="auto"/>
          <w:sz w:val="24"/>
        </w:rPr>
        <w:t>提供参加本次政府采购活动前三年内在经营活动中没有重大违法记录的书面声明。</w:t>
      </w:r>
    </w:p>
    <w:p w14:paraId="3B1B4598">
      <w:pPr>
        <w:pStyle w:val="8"/>
        <w:spacing w:line="360" w:lineRule="auto"/>
        <w:ind w:firstLine="480"/>
        <w:rPr>
          <w:rFonts w:hint="eastAsia" w:ascii="仿宋" w:hAnsi="仿宋" w:eastAsia="仿宋" w:cs="仿宋"/>
          <w:bCs/>
          <w:color w:val="auto"/>
          <w:sz w:val="24"/>
        </w:rPr>
      </w:pPr>
      <w:r>
        <w:rPr>
          <w:rFonts w:hint="eastAsia" w:ascii="仿宋" w:hAnsi="仿宋" w:eastAsia="仿宋" w:cs="仿宋"/>
          <w:bCs/>
          <w:color w:val="auto"/>
          <w:sz w:val="24"/>
        </w:rPr>
        <w:t>6.法律、行政法规规定的其他条件：</w:t>
      </w:r>
    </w:p>
    <w:p w14:paraId="3C905B25">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或采购代理机构查询结果为准，并将查询记录留存，投标人无需再提供）；</w:t>
      </w:r>
    </w:p>
    <w:p w14:paraId="16A7CCC3">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②本次招标不接受联合体投标：提供承诺或书面声明；</w:t>
      </w:r>
    </w:p>
    <w:p w14:paraId="21219560">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③不存在《中华人民共和国政府采购法实施条例》第十八条规定情形：即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4605D647">
      <w:pPr>
        <w:pStyle w:val="8"/>
        <w:spacing w:line="360" w:lineRule="auto"/>
        <w:ind w:firstLine="480"/>
        <w:rPr>
          <w:rFonts w:hint="eastAsia" w:ascii="仿宋" w:hAnsi="仿宋" w:eastAsia="仿宋" w:cs="仿宋"/>
          <w:b w:val="0"/>
          <w:bCs w:val="0"/>
          <w:color w:val="auto"/>
          <w:sz w:val="24"/>
        </w:rPr>
      </w:pPr>
      <w:r>
        <w:rPr>
          <w:rFonts w:hint="eastAsia" w:ascii="仿宋" w:hAnsi="仿宋" w:eastAsia="仿宋" w:cs="仿宋"/>
          <w:bCs/>
          <w:color w:val="auto"/>
          <w:sz w:val="24"/>
        </w:rPr>
        <w:t>二、本项目的特定资格要求：</w:t>
      </w:r>
      <w:r>
        <w:rPr>
          <w:rFonts w:hint="eastAsia" w:ascii="仿宋" w:hAnsi="仿宋" w:eastAsia="仿宋" w:cs="仿宋"/>
          <w:b w:val="0"/>
          <w:bCs w:val="0"/>
          <w:color w:val="auto"/>
          <w:sz w:val="24"/>
          <w:szCs w:val="24"/>
          <w:lang w:eastAsia="zh-CN"/>
        </w:rPr>
        <w:t>投标人具有有效期内的《农药经营许可证》</w:t>
      </w:r>
      <w:r>
        <w:rPr>
          <w:rFonts w:hint="eastAsia" w:ascii="仿宋" w:hAnsi="仿宋" w:eastAsia="仿宋" w:cs="仿宋"/>
          <w:b w:val="0"/>
          <w:bCs w:val="0"/>
          <w:color w:val="auto"/>
          <w:sz w:val="24"/>
        </w:rPr>
        <w:t>。</w:t>
      </w:r>
    </w:p>
    <w:bookmarkEnd w:id="427"/>
    <w:bookmarkEnd w:id="428"/>
    <w:bookmarkEnd w:id="429"/>
    <w:bookmarkEnd w:id="430"/>
    <w:bookmarkEnd w:id="431"/>
    <w:p w14:paraId="236AEEE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11FEC71B">
      <w:pPr>
        <w:pStyle w:val="2"/>
        <w:numPr>
          <w:ilvl w:val="3"/>
          <w:numId w:val="0"/>
        </w:numPr>
        <w:snapToGrid w:val="0"/>
        <w:spacing w:line="360" w:lineRule="auto"/>
        <w:jc w:val="center"/>
        <w:rPr>
          <w:rFonts w:hint="eastAsia" w:ascii="仿宋" w:hAnsi="仿宋" w:eastAsia="仿宋" w:cs="仿宋"/>
          <w:color w:val="auto"/>
          <w:sz w:val="44"/>
          <w:szCs w:val="44"/>
        </w:rPr>
      </w:pPr>
      <w:bookmarkStart w:id="434" w:name="_Toc62031167"/>
      <w:bookmarkStart w:id="435" w:name="_Toc383"/>
      <w:bookmarkStart w:id="436" w:name="_Toc11951"/>
      <w:bookmarkStart w:id="437" w:name="_Toc12522"/>
      <w:bookmarkStart w:id="438" w:name="_Toc13310"/>
      <w:r>
        <w:rPr>
          <w:rFonts w:hint="eastAsia" w:ascii="仿宋" w:hAnsi="仿宋" w:eastAsia="仿宋" w:cs="仿宋"/>
          <w:color w:val="auto"/>
          <w:sz w:val="44"/>
          <w:szCs w:val="44"/>
        </w:rPr>
        <w:t xml:space="preserve">第五章  </w:t>
      </w:r>
      <w:bookmarkEnd w:id="434"/>
      <w:r>
        <w:rPr>
          <w:rFonts w:hint="eastAsia" w:ascii="仿宋" w:hAnsi="仿宋" w:eastAsia="仿宋" w:cs="仿宋"/>
          <w:color w:val="auto"/>
          <w:sz w:val="44"/>
          <w:szCs w:val="44"/>
        </w:rPr>
        <w:t>合同书样式及主要条款</w:t>
      </w:r>
      <w:bookmarkEnd w:id="435"/>
      <w:bookmarkEnd w:id="436"/>
      <w:bookmarkEnd w:id="437"/>
      <w:bookmarkEnd w:id="438"/>
    </w:p>
    <w:p w14:paraId="0021D32D">
      <w:pPr>
        <w:autoSpaceDE w:val="0"/>
        <w:autoSpaceDN w:val="0"/>
        <w:adjustRightInd w:val="0"/>
        <w:spacing w:line="360" w:lineRule="auto"/>
        <w:rPr>
          <w:rFonts w:hint="eastAsia" w:ascii="仿宋" w:hAnsi="仿宋" w:eastAsia="仿宋" w:cs="仿宋"/>
          <w:color w:val="auto"/>
          <w:kern w:val="0"/>
          <w:sz w:val="24"/>
        </w:rPr>
      </w:pPr>
      <w:bookmarkStart w:id="439" w:name="_Toc62031168"/>
      <w:bookmarkStart w:id="440" w:name="_Toc3995"/>
      <w:bookmarkStart w:id="441" w:name="_Toc5802"/>
      <w:bookmarkStart w:id="442" w:name="_Toc25338"/>
      <w:bookmarkStart w:id="443" w:name="_Toc32243"/>
      <w:bookmarkStart w:id="444" w:name="_Toc13730"/>
      <w:r>
        <w:rPr>
          <w:rFonts w:hint="eastAsia" w:ascii="仿宋" w:hAnsi="仿宋" w:eastAsia="仿宋" w:cs="仿宋"/>
          <w:color w:val="auto"/>
          <w:kern w:val="0"/>
          <w:sz w:val="24"/>
        </w:rPr>
        <w:t>合同编号:               合同自编号：                 项目编号：</w:t>
      </w:r>
    </w:p>
    <w:p w14:paraId="2ED23248">
      <w:pPr>
        <w:autoSpaceDE w:val="0"/>
        <w:autoSpaceDN w:val="0"/>
        <w:adjustRightInd w:val="0"/>
        <w:spacing w:line="360" w:lineRule="auto"/>
        <w:rPr>
          <w:rFonts w:hint="eastAsia" w:ascii="仿宋" w:hAnsi="仿宋" w:eastAsia="仿宋" w:cs="仿宋"/>
          <w:color w:val="auto"/>
          <w:kern w:val="0"/>
          <w:sz w:val="24"/>
        </w:rPr>
      </w:pPr>
      <w:r>
        <w:rPr>
          <w:rFonts w:hint="eastAsia" w:ascii="仿宋" w:hAnsi="仿宋" w:eastAsia="仿宋" w:cs="仿宋"/>
          <w:color w:val="auto"/>
          <w:kern w:val="0"/>
          <w:sz w:val="28"/>
          <w:szCs w:val="28"/>
        </w:rPr>
        <w:t>●</w:t>
      </w:r>
      <w:r>
        <w:rPr>
          <w:rFonts w:hint="eastAsia" w:ascii="仿宋" w:hAnsi="仿宋" w:eastAsia="仿宋" w:cs="仿宋"/>
          <w:color w:val="auto"/>
          <w:kern w:val="0"/>
          <w:sz w:val="24"/>
        </w:rPr>
        <w:t>本合同须加盖甲乙双方骑缝章有效</w:t>
      </w:r>
    </w:p>
    <w:p w14:paraId="16ACCB8D">
      <w:pPr>
        <w:widowControl/>
        <w:tabs>
          <w:tab w:val="left" w:pos="1155"/>
          <w:tab w:val="left" w:pos="2865"/>
          <w:tab w:val="left" w:pos="5307"/>
          <w:tab w:val="left" w:pos="5595"/>
          <w:tab w:val="left" w:pos="6620"/>
          <w:tab w:val="left" w:pos="7940"/>
        </w:tabs>
        <w:spacing w:line="360" w:lineRule="auto"/>
        <w:jc w:val="left"/>
        <w:rPr>
          <w:rFonts w:hint="eastAsia" w:ascii="仿宋" w:hAnsi="仿宋" w:eastAsia="仿宋" w:cs="仿宋"/>
          <w:b/>
          <w:color w:val="auto"/>
          <w:kern w:val="0"/>
          <w:sz w:val="52"/>
          <w:szCs w:val="52"/>
        </w:rPr>
      </w:pPr>
      <w:r>
        <w:rPr>
          <w:rFonts w:hint="eastAsia" w:ascii="仿宋" w:hAnsi="仿宋" w:eastAsia="仿宋" w:cs="仿宋"/>
          <w:color w:val="auto"/>
          <w:kern w:val="0"/>
          <w:sz w:val="24"/>
        </w:rPr>
        <w:tab/>
      </w:r>
      <w:r>
        <w:rPr>
          <w:rFonts w:hint="eastAsia" w:ascii="仿宋" w:hAnsi="仿宋" w:eastAsia="仿宋" w:cs="仿宋"/>
          <w:color w:val="auto"/>
          <w:kern w:val="0"/>
          <w:sz w:val="24"/>
        </w:rPr>
        <w:t xml:space="preserve"> </w:t>
      </w:r>
      <w:r>
        <w:rPr>
          <w:rFonts w:hint="eastAsia" w:ascii="仿宋" w:hAnsi="仿宋" w:eastAsia="仿宋" w:cs="仿宋"/>
          <w:color w:val="auto"/>
          <w:kern w:val="0"/>
          <w:sz w:val="24"/>
        </w:rPr>
        <w:tab/>
      </w:r>
      <w:r>
        <w:rPr>
          <w:rFonts w:hint="eastAsia" w:ascii="仿宋" w:hAnsi="仿宋" w:eastAsia="仿宋" w:cs="仿宋"/>
          <w:b/>
          <w:color w:val="auto"/>
          <w:kern w:val="0"/>
          <w:sz w:val="52"/>
          <w:szCs w:val="52"/>
        </w:rPr>
        <w:t>云南省省级政府采购</w:t>
      </w:r>
    </w:p>
    <w:p w14:paraId="2C0A07A3">
      <w:pPr>
        <w:widowControl/>
        <w:spacing w:line="360" w:lineRule="auto"/>
        <w:jc w:val="center"/>
        <w:rPr>
          <w:rFonts w:hint="eastAsia" w:ascii="仿宋" w:hAnsi="仿宋" w:eastAsia="仿宋" w:cs="仿宋"/>
          <w:b/>
          <w:color w:val="auto"/>
          <w:kern w:val="0"/>
          <w:sz w:val="32"/>
          <w:szCs w:val="32"/>
        </w:rPr>
      </w:pPr>
      <w:r>
        <w:rPr>
          <w:rFonts w:hint="eastAsia" w:ascii="仿宋" w:hAnsi="仿宋" w:eastAsia="仿宋" w:cs="仿宋"/>
          <w:b/>
          <w:color w:val="auto"/>
          <w:kern w:val="0"/>
          <w:sz w:val="32"/>
          <w:szCs w:val="32"/>
        </w:rPr>
        <w:t>(委托采购)</w:t>
      </w:r>
    </w:p>
    <w:p w14:paraId="07173F0B">
      <w:pPr>
        <w:widowControl/>
        <w:spacing w:line="360" w:lineRule="auto"/>
        <w:jc w:val="center"/>
        <w:rPr>
          <w:rFonts w:hint="eastAsia" w:ascii="仿宋" w:hAnsi="仿宋" w:eastAsia="仿宋" w:cs="仿宋"/>
          <w:color w:val="auto"/>
          <w:kern w:val="0"/>
          <w:sz w:val="36"/>
          <w:szCs w:val="36"/>
        </w:rPr>
      </w:pPr>
      <w:r>
        <w:rPr>
          <w:rFonts w:hint="eastAsia" w:ascii="仿宋" w:hAnsi="仿宋" w:eastAsia="仿宋" w:cs="仿宋"/>
          <w:color w:val="auto"/>
          <w:kern w:val="0"/>
          <w:sz w:val="36"/>
          <w:szCs w:val="36"/>
        </w:rPr>
        <w:t>（此合同模板为参考，具体合同内容以双方约定为准）</w:t>
      </w:r>
    </w:p>
    <w:p w14:paraId="441A3EEC">
      <w:pPr>
        <w:widowControl/>
        <w:spacing w:line="360" w:lineRule="auto"/>
        <w:jc w:val="center"/>
        <w:rPr>
          <w:rFonts w:hint="eastAsia" w:ascii="仿宋" w:hAnsi="仿宋" w:eastAsia="仿宋" w:cs="仿宋"/>
          <w:color w:val="auto"/>
          <w:kern w:val="0"/>
          <w:sz w:val="84"/>
          <w:szCs w:val="84"/>
        </w:rPr>
      </w:pPr>
    </w:p>
    <w:p w14:paraId="017902B9">
      <w:pPr>
        <w:widowControl/>
        <w:spacing w:line="360" w:lineRule="auto"/>
        <w:jc w:val="center"/>
        <w:rPr>
          <w:rFonts w:hint="eastAsia" w:ascii="仿宋" w:hAnsi="仿宋" w:eastAsia="仿宋" w:cs="仿宋"/>
          <w:b/>
          <w:color w:val="auto"/>
          <w:kern w:val="0"/>
          <w:sz w:val="84"/>
          <w:szCs w:val="84"/>
        </w:rPr>
      </w:pPr>
      <w:r>
        <w:rPr>
          <w:rFonts w:hint="eastAsia" w:ascii="仿宋" w:hAnsi="仿宋" w:eastAsia="仿宋" w:cs="仿宋"/>
          <w:b/>
          <w:color w:val="auto"/>
          <w:kern w:val="0"/>
          <w:sz w:val="84"/>
          <w:szCs w:val="84"/>
        </w:rPr>
        <w:t>合</w:t>
      </w:r>
    </w:p>
    <w:p w14:paraId="3C6302F3">
      <w:pPr>
        <w:widowControl/>
        <w:spacing w:line="360" w:lineRule="auto"/>
        <w:jc w:val="center"/>
        <w:rPr>
          <w:rFonts w:hint="eastAsia" w:ascii="仿宋" w:hAnsi="仿宋" w:eastAsia="仿宋" w:cs="仿宋"/>
          <w:b/>
          <w:color w:val="auto"/>
          <w:kern w:val="0"/>
          <w:sz w:val="84"/>
          <w:szCs w:val="84"/>
        </w:rPr>
      </w:pPr>
    </w:p>
    <w:p w14:paraId="227672D1">
      <w:pPr>
        <w:widowControl/>
        <w:spacing w:line="360" w:lineRule="auto"/>
        <w:jc w:val="center"/>
        <w:rPr>
          <w:rFonts w:hint="eastAsia" w:ascii="仿宋" w:hAnsi="仿宋" w:eastAsia="仿宋" w:cs="仿宋"/>
          <w:b/>
          <w:color w:val="auto"/>
          <w:kern w:val="0"/>
          <w:sz w:val="84"/>
          <w:szCs w:val="84"/>
        </w:rPr>
      </w:pPr>
      <w:r>
        <w:rPr>
          <w:rFonts w:hint="eastAsia" w:ascii="仿宋" w:hAnsi="仿宋" w:eastAsia="仿宋" w:cs="仿宋"/>
          <w:b/>
          <w:color w:val="auto"/>
          <w:kern w:val="0"/>
          <w:sz w:val="84"/>
          <w:szCs w:val="84"/>
        </w:rPr>
        <w:t>同</w:t>
      </w:r>
    </w:p>
    <w:p w14:paraId="0CAF8723">
      <w:pPr>
        <w:widowControl/>
        <w:spacing w:line="360" w:lineRule="auto"/>
        <w:jc w:val="center"/>
        <w:rPr>
          <w:rFonts w:hint="eastAsia" w:ascii="仿宋" w:hAnsi="仿宋" w:eastAsia="仿宋" w:cs="仿宋"/>
          <w:b/>
          <w:color w:val="auto"/>
          <w:kern w:val="0"/>
          <w:sz w:val="84"/>
          <w:szCs w:val="84"/>
        </w:rPr>
      </w:pPr>
    </w:p>
    <w:p w14:paraId="4AB65643">
      <w:pPr>
        <w:widowControl/>
        <w:spacing w:line="360" w:lineRule="auto"/>
        <w:jc w:val="center"/>
        <w:rPr>
          <w:rFonts w:hint="eastAsia" w:ascii="仿宋" w:hAnsi="仿宋" w:eastAsia="仿宋" w:cs="仿宋"/>
          <w:b/>
          <w:color w:val="auto"/>
          <w:kern w:val="0"/>
          <w:sz w:val="72"/>
          <w:szCs w:val="72"/>
        </w:rPr>
      </w:pPr>
      <w:r>
        <w:rPr>
          <w:rFonts w:hint="eastAsia" w:ascii="仿宋" w:hAnsi="仿宋" w:eastAsia="仿宋" w:cs="仿宋"/>
          <w:b/>
          <w:color w:val="auto"/>
          <w:kern w:val="0"/>
          <w:sz w:val="84"/>
          <w:szCs w:val="84"/>
        </w:rPr>
        <w:t>书</w:t>
      </w:r>
    </w:p>
    <w:p w14:paraId="24937FA4">
      <w:pPr>
        <w:widowControl/>
        <w:spacing w:line="360" w:lineRule="auto"/>
        <w:jc w:val="center"/>
        <w:rPr>
          <w:rFonts w:hint="eastAsia" w:ascii="仿宋" w:hAnsi="仿宋" w:eastAsia="仿宋" w:cs="仿宋"/>
          <w:color w:val="auto"/>
          <w:kern w:val="0"/>
          <w:sz w:val="28"/>
          <w:szCs w:val="28"/>
        </w:rPr>
      </w:pPr>
      <w:r>
        <w:rPr>
          <w:rFonts w:hint="eastAsia" w:ascii="仿宋" w:hAnsi="仿宋" w:eastAsia="仿宋" w:cs="仿宋"/>
          <w:b/>
          <w:bCs/>
          <w:color w:val="auto"/>
          <w:kern w:val="0"/>
          <w:sz w:val="28"/>
          <w:szCs w:val="28"/>
        </w:rPr>
        <w:t>签订地点:</w:t>
      </w:r>
    </w:p>
    <w:p w14:paraId="1011FE83">
      <w:pPr>
        <w:widowControl/>
        <w:spacing w:line="360" w:lineRule="auto"/>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云南省财政厅　制</w:t>
      </w:r>
    </w:p>
    <w:p w14:paraId="7F04CE5E">
      <w:pPr>
        <w:spacing w:line="360" w:lineRule="auto"/>
        <w:jc w:val="left"/>
        <w:rPr>
          <w:rFonts w:hint="eastAsia" w:ascii="仿宋" w:hAnsi="仿宋" w:eastAsia="仿宋" w:cs="仿宋"/>
          <w:color w:val="auto"/>
          <w:sz w:val="24"/>
          <w:szCs w:val="28"/>
        </w:rPr>
      </w:pPr>
    </w:p>
    <w:p w14:paraId="2A94B305">
      <w:pPr>
        <w:spacing w:line="360" w:lineRule="auto"/>
        <w:rPr>
          <w:rFonts w:hint="eastAsia" w:ascii="仿宋" w:hAnsi="仿宋" w:eastAsia="仿宋" w:cs="仿宋"/>
          <w:color w:val="auto"/>
          <w:kern w:val="0"/>
          <w:szCs w:val="21"/>
        </w:rPr>
      </w:pPr>
      <w:r>
        <w:rPr>
          <w:rFonts w:hint="eastAsia" w:ascii="仿宋" w:hAnsi="仿宋" w:eastAsia="仿宋" w:cs="仿宋"/>
          <w:color w:val="auto"/>
          <w:kern w:val="0"/>
          <w:szCs w:val="21"/>
        </w:rPr>
        <w:br w:type="page"/>
      </w:r>
    </w:p>
    <w:p w14:paraId="553C8E3F">
      <w:pPr>
        <w:widowControl/>
        <w:spacing w:line="360" w:lineRule="auto"/>
        <w:ind w:firstLine="630" w:firstLineChars="300"/>
        <w:jc w:val="left"/>
        <w:rPr>
          <w:rFonts w:hint="eastAsia" w:ascii="仿宋" w:hAnsi="仿宋" w:eastAsia="仿宋" w:cs="仿宋"/>
          <w:color w:val="auto"/>
          <w:kern w:val="0"/>
          <w:szCs w:val="21"/>
        </w:rPr>
      </w:pPr>
      <w:r>
        <w:rPr>
          <w:rFonts w:hint="eastAsia" w:ascii="仿宋" w:hAnsi="仿宋" w:eastAsia="仿宋" w:cs="仿宋"/>
          <w:color w:val="auto"/>
          <w:kern w:val="0"/>
          <w:szCs w:val="21"/>
        </w:rPr>
        <w:t>甲方（采购人公章）名    称：</w:t>
      </w:r>
    </w:p>
    <w:p w14:paraId="1C2ED2E8">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地    址：</w:t>
      </w:r>
    </w:p>
    <w:p w14:paraId="654EF4B7">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邮    编：</w:t>
      </w:r>
    </w:p>
    <w:p w14:paraId="66BC57F7">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法定代表人或委托代理人：</w:t>
      </w:r>
    </w:p>
    <w:p w14:paraId="5311012B">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项目（技术）负责人：</w:t>
      </w:r>
    </w:p>
    <w:p w14:paraId="3377B329">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电　  话：</w:t>
      </w:r>
    </w:p>
    <w:p w14:paraId="4806A4B2">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签订日期：</w:t>
      </w:r>
    </w:p>
    <w:p w14:paraId="69360B74">
      <w:pPr>
        <w:widowControl/>
        <w:spacing w:line="360" w:lineRule="auto"/>
        <w:ind w:firstLine="420" w:firstLineChars="200"/>
        <w:jc w:val="left"/>
        <w:rPr>
          <w:rFonts w:hint="eastAsia" w:ascii="仿宋" w:hAnsi="仿宋" w:eastAsia="仿宋" w:cs="仿宋"/>
          <w:color w:val="auto"/>
          <w:kern w:val="0"/>
          <w:szCs w:val="21"/>
        </w:rPr>
      </w:pPr>
    </w:p>
    <w:p w14:paraId="0DC231FD">
      <w:pPr>
        <w:widowControl/>
        <w:spacing w:line="360" w:lineRule="auto"/>
        <w:ind w:firstLine="630" w:firstLineChars="300"/>
        <w:jc w:val="left"/>
        <w:rPr>
          <w:rFonts w:hint="eastAsia" w:ascii="仿宋" w:hAnsi="仿宋" w:eastAsia="仿宋" w:cs="仿宋"/>
          <w:color w:val="auto"/>
          <w:kern w:val="0"/>
          <w:szCs w:val="21"/>
        </w:rPr>
      </w:pPr>
      <w:r>
        <w:rPr>
          <w:rFonts w:hint="eastAsia" w:ascii="仿宋" w:hAnsi="仿宋" w:eastAsia="仿宋" w:cs="仿宋"/>
          <w:color w:val="auto"/>
          <w:kern w:val="0"/>
          <w:szCs w:val="21"/>
        </w:rPr>
        <w:t>乙方（投标人公章）名    称：</w:t>
      </w:r>
    </w:p>
    <w:p w14:paraId="02E55D78">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地    址：</w:t>
      </w:r>
    </w:p>
    <w:p w14:paraId="5E269E07">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邮    编：</w:t>
      </w:r>
    </w:p>
    <w:p w14:paraId="200B42A1">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法定代表人或委托代理人：</w:t>
      </w:r>
    </w:p>
    <w:p w14:paraId="2AA38A02">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经 办 人：</w:t>
      </w:r>
    </w:p>
    <w:p w14:paraId="45C43011">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电    话：</w:t>
      </w:r>
    </w:p>
    <w:p w14:paraId="1F340850">
      <w:pPr>
        <w:widowControl/>
        <w:spacing w:line="360" w:lineRule="auto"/>
        <w:ind w:left="2100" w:leftChars="1000" w:firstLine="420" w:firstLineChars="200"/>
        <w:jc w:val="left"/>
        <w:rPr>
          <w:rFonts w:hint="eastAsia" w:ascii="仿宋" w:hAnsi="仿宋" w:eastAsia="仿宋" w:cs="仿宋"/>
          <w:color w:val="auto"/>
          <w:kern w:val="0"/>
          <w:szCs w:val="21"/>
        </w:rPr>
      </w:pPr>
      <w:r>
        <w:rPr>
          <w:rFonts w:hint="eastAsia" w:ascii="仿宋" w:hAnsi="仿宋" w:eastAsia="仿宋" w:cs="仿宋"/>
          <w:color w:val="auto"/>
          <w:kern w:val="0"/>
          <w:szCs w:val="21"/>
        </w:rPr>
        <w:t>签订日期：</w:t>
      </w:r>
    </w:p>
    <w:p w14:paraId="26B26614">
      <w:pPr>
        <w:widowControl/>
        <w:spacing w:line="360" w:lineRule="auto"/>
        <w:ind w:firstLine="420" w:firstLineChars="200"/>
        <w:jc w:val="left"/>
        <w:rPr>
          <w:rFonts w:hint="eastAsia" w:ascii="仿宋" w:hAnsi="仿宋" w:eastAsia="仿宋" w:cs="仿宋"/>
          <w:color w:val="auto"/>
          <w:kern w:val="0"/>
          <w:szCs w:val="21"/>
        </w:rPr>
      </w:pPr>
    </w:p>
    <w:p w14:paraId="7248826D">
      <w:pPr>
        <w:pStyle w:val="8"/>
        <w:spacing w:line="360" w:lineRule="auto"/>
        <w:jc w:val="center"/>
        <w:rPr>
          <w:rFonts w:hint="eastAsia" w:ascii="仿宋" w:hAnsi="仿宋" w:eastAsia="仿宋" w:cs="仿宋"/>
          <w:bCs/>
          <w:color w:val="auto"/>
          <w:spacing w:val="-20"/>
          <w:kern w:val="44"/>
          <w:sz w:val="48"/>
          <w:szCs w:val="48"/>
        </w:rPr>
      </w:pPr>
      <w:r>
        <w:rPr>
          <w:rFonts w:hint="eastAsia" w:ascii="仿宋" w:hAnsi="仿宋" w:eastAsia="仿宋" w:cs="仿宋"/>
          <w:color w:val="auto"/>
        </w:rPr>
        <w:br w:type="page"/>
      </w:r>
    </w:p>
    <w:p w14:paraId="408F75CE">
      <w:pPr>
        <w:spacing w:line="500" w:lineRule="exact"/>
        <w:jc w:val="center"/>
        <w:rPr>
          <w:rFonts w:hint="eastAsia" w:ascii="仿宋" w:hAnsi="仿宋" w:eastAsia="仿宋" w:cs="仿宋"/>
          <w:b/>
          <w:bCs/>
          <w:kern w:val="0"/>
          <w:sz w:val="28"/>
          <w:szCs w:val="28"/>
        </w:rPr>
      </w:pPr>
      <w:r>
        <w:rPr>
          <w:rFonts w:hint="eastAsia" w:ascii="仿宋" w:hAnsi="仿宋" w:eastAsia="仿宋" w:cs="仿宋"/>
          <w:b/>
          <w:bCs/>
          <w:kern w:val="0"/>
          <w:sz w:val="28"/>
          <w:szCs w:val="28"/>
          <w:lang w:eastAsia="zh-CN"/>
        </w:rPr>
        <w:t>云南省林业和草原技术推广总站林下滇黄精栽培技术推广示范项目肥料、药品采购项目</w:t>
      </w:r>
      <w:r>
        <w:rPr>
          <w:rFonts w:hint="eastAsia" w:ascii="仿宋" w:hAnsi="仿宋" w:eastAsia="仿宋" w:cs="仿宋"/>
          <w:b/>
          <w:bCs/>
          <w:kern w:val="0"/>
          <w:sz w:val="28"/>
          <w:szCs w:val="28"/>
        </w:rPr>
        <w:t>合同</w:t>
      </w:r>
    </w:p>
    <w:p w14:paraId="23A718C3">
      <w:pPr>
        <w:spacing w:line="500" w:lineRule="exact"/>
        <w:rPr>
          <w:rFonts w:hint="eastAsia" w:ascii="仿宋" w:hAnsi="仿宋" w:eastAsia="仿宋" w:cs="仿宋"/>
          <w:sz w:val="24"/>
          <w:szCs w:val="24"/>
        </w:rPr>
      </w:pPr>
    </w:p>
    <w:p w14:paraId="00121506">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甲方（采购人）：</w:t>
      </w:r>
      <w:r>
        <w:rPr>
          <w:rFonts w:hint="eastAsia" w:ascii="仿宋" w:hAnsi="仿宋" w:eastAsia="仿宋" w:cs="仿宋"/>
          <w:sz w:val="24"/>
          <w:szCs w:val="24"/>
          <w:lang w:eastAsia="zh-CN"/>
        </w:rPr>
        <w:t>云南省林业和草原技术推广总站</w:t>
      </w:r>
    </w:p>
    <w:p w14:paraId="7C8873EB">
      <w:pPr>
        <w:spacing w:line="360" w:lineRule="auto"/>
        <w:rPr>
          <w:rFonts w:hint="eastAsia" w:ascii="仿宋" w:hAnsi="仿宋" w:eastAsia="仿宋" w:cs="仿宋"/>
          <w:sz w:val="24"/>
          <w:szCs w:val="24"/>
        </w:rPr>
      </w:pPr>
      <w:r>
        <w:rPr>
          <w:rFonts w:hint="eastAsia" w:ascii="仿宋" w:hAnsi="仿宋" w:eastAsia="仿宋" w:cs="仿宋"/>
          <w:sz w:val="24"/>
          <w:szCs w:val="24"/>
        </w:rPr>
        <w:t>乙方（中标人）：</w:t>
      </w:r>
    </w:p>
    <w:p w14:paraId="61ED545F">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合同签订时间：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日</w:t>
      </w:r>
    </w:p>
    <w:p w14:paraId="5D148026">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合同签订地点：</w:t>
      </w:r>
      <w:r>
        <w:rPr>
          <w:rFonts w:hint="eastAsia" w:ascii="仿宋" w:hAnsi="仿宋" w:eastAsia="仿宋" w:cs="仿宋"/>
          <w:sz w:val="24"/>
          <w:szCs w:val="24"/>
          <w:lang w:eastAsia="zh-CN"/>
        </w:rPr>
        <w:t>云南省林业和草原技术推广总站</w:t>
      </w:r>
    </w:p>
    <w:p w14:paraId="7CAB361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云南省林业和草原技术推广总站林下滇黄精栽培技术推广示范项目肥料、药品采购项目</w:t>
      </w:r>
      <w:r>
        <w:rPr>
          <w:rFonts w:hint="eastAsia" w:ascii="仿宋" w:hAnsi="仿宋" w:eastAsia="仿宋" w:cs="仿宋"/>
          <w:color w:val="auto"/>
          <w:sz w:val="24"/>
          <w:szCs w:val="24"/>
        </w:rPr>
        <w:t>于202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日通过公开招标，确定</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成为</w:t>
      </w:r>
      <w:r>
        <w:rPr>
          <w:rFonts w:hint="eastAsia" w:ascii="仿宋" w:hAnsi="仿宋" w:eastAsia="仿宋" w:cs="仿宋"/>
          <w:color w:val="auto"/>
          <w:sz w:val="24"/>
          <w:szCs w:val="24"/>
          <w:lang w:eastAsia="zh-CN"/>
        </w:rPr>
        <w:t>云南省林业和草原技术推广总站林下滇黄精栽培技术推广示范项目肥料、药品采购项目</w:t>
      </w:r>
      <w:r>
        <w:rPr>
          <w:rFonts w:hint="eastAsia" w:ascii="仿宋" w:hAnsi="仿宋" w:eastAsia="仿宋" w:cs="仿宋"/>
          <w:color w:val="auto"/>
          <w:sz w:val="24"/>
          <w:szCs w:val="24"/>
        </w:rPr>
        <w:t>中标人。根据《中华人民共和国政府采购法》《中华人民共和国民法典》等相关法律法规的规定，甲乙双方本着平等、自愿、公开、诚实信用、守法的原则，就供应商物资采购等相关事宜，经过双方协商一致，特订立本合同，以便双方共同遵守。</w:t>
      </w:r>
    </w:p>
    <w:p w14:paraId="4E12D899">
      <w:pPr>
        <w:numPr>
          <w:ilvl w:val="0"/>
          <w:numId w:val="0"/>
        </w:numPr>
        <w:spacing w:line="360" w:lineRule="auto"/>
        <w:ind w:firstLine="420" w:firstLineChars="0"/>
        <w:rPr>
          <w:rFonts w:hint="eastAsia" w:ascii="仿宋" w:hAnsi="仿宋" w:eastAsia="仿宋" w:cs="仿宋"/>
          <w:b/>
          <w:bCs/>
          <w:sz w:val="24"/>
          <w:szCs w:val="24"/>
          <w:lang w:eastAsia="zh-CN"/>
        </w:rPr>
      </w:pPr>
      <w:r>
        <w:rPr>
          <w:rFonts w:hint="eastAsia" w:ascii="仿宋" w:hAnsi="仿宋" w:eastAsia="仿宋" w:cs="仿宋"/>
          <w:b/>
          <w:bCs/>
          <w:snapToGrid w:val="0"/>
          <w:kern w:val="0"/>
          <w:sz w:val="24"/>
          <w:szCs w:val="24"/>
          <w:lang w:val="en-US" w:eastAsia="zh-CN" w:bidi="ar-SA"/>
        </w:rPr>
        <w:t xml:space="preserve">第一条 </w:t>
      </w:r>
      <w:r>
        <w:rPr>
          <w:rFonts w:hint="eastAsia" w:ascii="仿宋" w:hAnsi="仿宋" w:eastAsia="仿宋" w:cs="仿宋"/>
          <w:b/>
          <w:bCs/>
          <w:sz w:val="24"/>
          <w:szCs w:val="24"/>
          <w:lang w:val="en-US" w:eastAsia="zh-CN"/>
        </w:rPr>
        <w:t>合同结算</w:t>
      </w:r>
    </w:p>
    <w:p w14:paraId="0EF96238">
      <w:pPr>
        <w:spacing w:line="360" w:lineRule="auto"/>
        <w:ind w:firstLine="360" w:firstLineChars="150"/>
        <w:rPr>
          <w:rFonts w:hint="eastAsia" w:ascii="仿宋" w:hAnsi="仿宋" w:eastAsia="仿宋" w:cs="仿宋"/>
          <w:color w:val="auto"/>
          <w:sz w:val="24"/>
          <w:szCs w:val="24"/>
        </w:rPr>
      </w:pPr>
      <w:r>
        <w:rPr>
          <w:rFonts w:hint="eastAsia" w:ascii="仿宋" w:hAnsi="仿宋" w:eastAsia="仿宋" w:cs="仿宋"/>
          <w:sz w:val="24"/>
          <w:szCs w:val="24"/>
        </w:rPr>
        <w:t>1.</w:t>
      </w:r>
      <w:r>
        <w:rPr>
          <w:rFonts w:hint="eastAsia" w:ascii="仿宋" w:hAnsi="仿宋" w:eastAsia="仿宋" w:cs="仿宋"/>
          <w:b/>
          <w:bCs/>
          <w:sz w:val="24"/>
          <w:szCs w:val="24"/>
        </w:rPr>
        <w:t>本</w:t>
      </w:r>
      <w:r>
        <w:rPr>
          <w:rFonts w:hint="eastAsia" w:ascii="仿宋" w:hAnsi="仿宋" w:eastAsia="仿宋" w:cs="仿宋"/>
          <w:b/>
          <w:sz w:val="22"/>
          <w:szCs w:val="22"/>
        </w:rPr>
        <w:t>合同</w:t>
      </w:r>
      <w:r>
        <w:rPr>
          <w:rFonts w:hint="eastAsia" w:ascii="仿宋" w:hAnsi="仿宋" w:eastAsia="仿宋" w:cs="仿宋"/>
          <w:b/>
          <w:sz w:val="22"/>
          <w:szCs w:val="22"/>
          <w:lang w:val="en-US" w:eastAsia="zh-CN"/>
        </w:rPr>
        <w:t>下浮率</w:t>
      </w:r>
      <w:r>
        <w:rPr>
          <w:rFonts w:hint="eastAsia" w:ascii="仿宋" w:hAnsi="仿宋" w:eastAsia="仿宋" w:cs="仿宋"/>
          <w:b/>
          <w:sz w:val="22"/>
          <w:szCs w:val="22"/>
        </w:rPr>
        <w:t>为：小写：</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en-US" w:eastAsia="zh-CN"/>
        </w:rPr>
        <w:t xml:space="preserve">          %</w:t>
      </w:r>
      <w:r>
        <w:rPr>
          <w:rFonts w:hint="eastAsia" w:ascii="仿宋" w:hAnsi="仿宋" w:eastAsia="仿宋" w:cs="仿宋"/>
          <w:b/>
          <w:sz w:val="22"/>
          <w:szCs w:val="22"/>
          <w:u w:val="single"/>
        </w:rPr>
        <w:t>（大写：</w:t>
      </w:r>
      <w:r>
        <w:rPr>
          <w:rFonts w:hint="eastAsia" w:ascii="仿宋" w:hAnsi="仿宋" w:eastAsia="仿宋" w:cs="仿宋"/>
          <w:b/>
          <w:sz w:val="22"/>
          <w:szCs w:val="22"/>
          <w:u w:val="single"/>
          <w:lang w:val="en-US" w:eastAsia="zh-CN"/>
        </w:rPr>
        <w:t xml:space="preserve">百分之            </w:t>
      </w:r>
      <w:r>
        <w:rPr>
          <w:rFonts w:hint="eastAsia" w:ascii="仿宋" w:hAnsi="仿宋" w:eastAsia="仿宋" w:cs="仿宋"/>
          <w:b/>
          <w:sz w:val="22"/>
          <w:szCs w:val="22"/>
          <w:u w:val="single"/>
        </w:rPr>
        <w:t>）</w:t>
      </w:r>
      <w:r>
        <w:rPr>
          <w:rFonts w:hint="eastAsia" w:ascii="仿宋" w:hAnsi="仿宋" w:eastAsia="仿宋" w:cs="仿宋"/>
          <w:sz w:val="24"/>
          <w:szCs w:val="24"/>
        </w:rPr>
        <w:t>，合同附件一中的数量为计划数量，</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按甲方年度物资实际需求供货，最终结算价款以</w:t>
      </w:r>
      <w:r>
        <w:rPr>
          <w:rFonts w:hint="eastAsia" w:ascii="仿宋" w:hAnsi="仿宋" w:eastAsia="仿宋" w:cs="仿宋"/>
          <w:b/>
          <w:bCs/>
          <w:color w:val="auto"/>
          <w:sz w:val="24"/>
          <w:szCs w:val="24"/>
          <w:highlight w:val="none"/>
        </w:rPr>
        <w:t>实际供货数量</w:t>
      </w:r>
      <w:r>
        <w:rPr>
          <w:rFonts w:hint="default" w:ascii="Arial" w:hAnsi="Arial" w:eastAsia="仿宋" w:cs="Arial"/>
          <w:b/>
          <w:bCs/>
          <w:color w:val="auto"/>
          <w:sz w:val="24"/>
          <w:szCs w:val="24"/>
          <w:highlight w:val="none"/>
        </w:rPr>
        <w:t>×</w:t>
      </w:r>
      <w:r>
        <w:rPr>
          <w:rFonts w:hint="eastAsia" w:ascii="仿宋" w:hAnsi="仿宋" w:eastAsia="仿宋" w:cs="仿宋"/>
          <w:b/>
          <w:bCs/>
          <w:color w:val="auto"/>
          <w:sz w:val="24"/>
          <w:szCs w:val="24"/>
          <w:highlight w:val="none"/>
          <w:lang w:val="en-US" w:eastAsia="zh-CN"/>
        </w:rPr>
        <w:t>预算</w:t>
      </w:r>
      <w:r>
        <w:rPr>
          <w:rFonts w:hint="eastAsia" w:ascii="仿宋" w:hAnsi="仿宋" w:eastAsia="仿宋" w:cs="仿宋"/>
          <w:b/>
          <w:bCs/>
          <w:color w:val="auto"/>
          <w:sz w:val="24"/>
          <w:szCs w:val="24"/>
          <w:highlight w:val="none"/>
        </w:rPr>
        <w:t>单价</w:t>
      </w:r>
      <w:r>
        <w:rPr>
          <w:rFonts w:hint="default" w:ascii="Arial" w:hAnsi="Arial" w:eastAsia="仿宋" w:cs="Arial"/>
          <w:b/>
          <w:bCs/>
          <w:color w:val="auto"/>
          <w:sz w:val="24"/>
          <w:szCs w:val="24"/>
          <w:highlight w:val="none"/>
        </w:rPr>
        <w:t>×</w:t>
      </w:r>
      <w:r>
        <w:rPr>
          <w:rFonts w:hint="eastAsia" w:ascii="Arial" w:hAnsi="Arial" w:eastAsia="仿宋" w:cs="Arial"/>
          <w:b/>
          <w:bCs/>
          <w:color w:val="auto"/>
          <w:sz w:val="24"/>
          <w:szCs w:val="24"/>
          <w:highlight w:val="none"/>
          <w:lang w:eastAsia="zh-CN"/>
        </w:rPr>
        <w:t>（</w:t>
      </w:r>
      <w:r>
        <w:rPr>
          <w:rFonts w:hint="eastAsia" w:ascii="Arial" w:hAnsi="Arial" w:eastAsia="仿宋" w:cs="Arial"/>
          <w:b/>
          <w:bCs/>
          <w:color w:val="auto"/>
          <w:sz w:val="24"/>
          <w:szCs w:val="24"/>
          <w:highlight w:val="none"/>
          <w:lang w:val="en-US" w:eastAsia="zh-CN"/>
        </w:rPr>
        <w:t>1-下浮率</w:t>
      </w:r>
      <w:r>
        <w:rPr>
          <w:rFonts w:hint="eastAsia" w:ascii="Arial" w:hAnsi="Arial" w:eastAsia="仿宋" w:cs="Arial"/>
          <w:b/>
          <w:bCs/>
          <w:color w:val="auto"/>
          <w:sz w:val="24"/>
          <w:szCs w:val="24"/>
          <w:highlight w:val="none"/>
          <w:lang w:eastAsia="zh-CN"/>
        </w:rPr>
        <w:t>）</w:t>
      </w:r>
      <w:r>
        <w:rPr>
          <w:rFonts w:hint="eastAsia" w:ascii="仿宋" w:hAnsi="仿宋" w:eastAsia="仿宋" w:cs="仿宋"/>
          <w:color w:val="auto"/>
          <w:sz w:val="24"/>
          <w:szCs w:val="24"/>
        </w:rPr>
        <w:t>结算。</w:t>
      </w:r>
      <w:r>
        <w:rPr>
          <w:rFonts w:hint="eastAsia" w:ascii="仿宋" w:hAnsi="仿宋" w:eastAsia="仿宋" w:cs="仿宋"/>
          <w:color w:val="auto"/>
          <w:sz w:val="24"/>
          <w:szCs w:val="24"/>
          <w:lang w:val="zh-CN" w:eastAsia="zh-CN"/>
        </w:rPr>
        <w:t>甲方不保证采购金额必然达到</w:t>
      </w:r>
      <w:r>
        <w:rPr>
          <w:rFonts w:hint="eastAsia" w:ascii="仿宋" w:hAnsi="仿宋" w:eastAsia="仿宋" w:cs="仿宋"/>
          <w:color w:val="auto"/>
          <w:sz w:val="24"/>
          <w:szCs w:val="24"/>
          <w:lang w:val="en-US" w:eastAsia="zh-CN"/>
        </w:rPr>
        <w:t>合同总</w:t>
      </w:r>
      <w:r>
        <w:rPr>
          <w:rFonts w:hint="eastAsia" w:ascii="仿宋" w:hAnsi="仿宋" w:eastAsia="仿宋" w:cs="仿宋"/>
          <w:color w:val="auto"/>
          <w:sz w:val="24"/>
          <w:szCs w:val="24"/>
          <w:lang w:val="zh-CN" w:eastAsia="zh-CN"/>
        </w:rPr>
        <w:t>金额</w:t>
      </w:r>
      <w:r>
        <w:rPr>
          <w:rFonts w:hint="eastAsia" w:ascii="仿宋" w:hAnsi="仿宋" w:eastAsia="仿宋" w:cs="仿宋"/>
          <w:color w:val="auto"/>
          <w:sz w:val="24"/>
          <w:szCs w:val="24"/>
        </w:rPr>
        <w:t>。</w:t>
      </w:r>
    </w:p>
    <w:p w14:paraId="2D7BC965">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2.价格</w:t>
      </w:r>
      <w:r>
        <w:rPr>
          <w:rFonts w:hint="eastAsia" w:ascii="仿宋" w:hAnsi="仿宋" w:eastAsia="仿宋" w:cs="仿宋"/>
          <w:color w:val="auto"/>
          <w:sz w:val="24"/>
          <w:szCs w:val="24"/>
          <w:lang w:val="en-US" w:eastAsia="zh-CN"/>
        </w:rPr>
        <w:t>说明</w:t>
      </w:r>
    </w:p>
    <w:p w14:paraId="232096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本合同约定的采购项目的价格严格按照中标价执行，本合同价（中标价）为乙方按甲方指定交货地点交货的含税价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其他与</w:t>
      </w:r>
      <w:r>
        <w:rPr>
          <w:rFonts w:hint="eastAsia" w:ascii="仿宋" w:hAnsi="仿宋" w:eastAsia="仿宋" w:cs="仿宋"/>
          <w:sz w:val="24"/>
          <w:szCs w:val="24"/>
        </w:rPr>
        <w:t>货物</w:t>
      </w:r>
      <w:r>
        <w:rPr>
          <w:rFonts w:hint="eastAsia" w:ascii="仿宋" w:hAnsi="仿宋" w:eastAsia="仿宋" w:cs="仿宋"/>
          <w:sz w:val="24"/>
          <w:szCs w:val="24"/>
          <w:lang w:val="en-US" w:eastAsia="zh-CN"/>
        </w:rPr>
        <w:t>相关</w:t>
      </w:r>
      <w:r>
        <w:rPr>
          <w:rFonts w:hint="eastAsia" w:ascii="仿宋" w:hAnsi="仿宋" w:eastAsia="仿宋" w:cs="仿宋"/>
          <w:sz w:val="24"/>
          <w:szCs w:val="24"/>
        </w:rPr>
        <w:t>的运费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装卸费</w:t>
      </w:r>
      <w:r>
        <w:rPr>
          <w:rFonts w:hint="eastAsia" w:ascii="仿宋" w:hAnsi="仿宋" w:eastAsia="仿宋" w:cs="仿宋"/>
          <w:sz w:val="24"/>
          <w:szCs w:val="24"/>
        </w:rPr>
        <w:t>、保险、人工成本等费用，</w:t>
      </w:r>
      <w:r>
        <w:rPr>
          <w:rFonts w:hint="eastAsia" w:ascii="仿宋" w:hAnsi="仿宋" w:eastAsia="仿宋" w:cs="仿宋"/>
          <w:sz w:val="24"/>
          <w:szCs w:val="24"/>
          <w:lang w:val="en-US" w:eastAsia="zh-CN"/>
        </w:rPr>
        <w:t>由乙方承担</w:t>
      </w:r>
      <w:r>
        <w:rPr>
          <w:rFonts w:hint="eastAsia" w:ascii="仿宋" w:hAnsi="仿宋" w:eastAsia="仿宋" w:cs="仿宋"/>
          <w:sz w:val="24"/>
          <w:szCs w:val="24"/>
        </w:rPr>
        <w:t>，乙方不得要求甲方支付其他任何费用。</w:t>
      </w:r>
    </w:p>
    <w:p w14:paraId="4EC246C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.甲乙双方就</w:t>
      </w:r>
      <w:r>
        <w:rPr>
          <w:rFonts w:hint="eastAsia" w:ascii="仿宋" w:hAnsi="仿宋" w:eastAsia="仿宋" w:cs="仿宋"/>
          <w:color w:val="auto"/>
          <w:sz w:val="24"/>
          <w:szCs w:val="24"/>
          <w:lang w:val="en-US" w:eastAsia="zh-CN"/>
        </w:rPr>
        <w:t>货物</w:t>
      </w:r>
      <w:r>
        <w:rPr>
          <w:rFonts w:hint="eastAsia" w:ascii="仿宋" w:hAnsi="仿宋" w:eastAsia="仿宋" w:cs="仿宋"/>
          <w:color w:val="auto"/>
          <w:sz w:val="24"/>
          <w:szCs w:val="24"/>
        </w:rPr>
        <w:t>供货</w:t>
      </w:r>
      <w:r>
        <w:rPr>
          <w:rFonts w:hint="eastAsia" w:ascii="仿宋" w:hAnsi="仿宋" w:eastAsia="仿宋" w:cs="仿宋"/>
          <w:color w:val="auto"/>
          <w:sz w:val="24"/>
          <w:szCs w:val="24"/>
          <w:lang w:val="en-US" w:eastAsia="zh-CN"/>
        </w:rPr>
        <w:t>结算</w:t>
      </w:r>
      <w:r>
        <w:rPr>
          <w:rFonts w:hint="eastAsia" w:ascii="仿宋" w:hAnsi="仿宋" w:eastAsia="仿宋" w:cs="仿宋"/>
          <w:color w:val="auto"/>
          <w:sz w:val="24"/>
          <w:szCs w:val="24"/>
        </w:rPr>
        <w:t>确认后</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乙方应向甲方提供符合要求的发票，发票金额以实际供货并经甲乙双方确认的</w:t>
      </w:r>
      <w:r>
        <w:rPr>
          <w:rFonts w:hint="eastAsia" w:ascii="仿宋" w:hAnsi="仿宋" w:eastAsia="仿宋" w:cs="仿宋"/>
          <w:color w:val="auto"/>
          <w:sz w:val="24"/>
          <w:szCs w:val="24"/>
          <w:lang w:val="en-US" w:eastAsia="zh-CN"/>
        </w:rPr>
        <w:t>采购金</w:t>
      </w:r>
      <w:r>
        <w:rPr>
          <w:rFonts w:hint="eastAsia" w:ascii="仿宋" w:hAnsi="仿宋" w:eastAsia="仿宋" w:cs="仿宋"/>
          <w:color w:val="auto"/>
          <w:sz w:val="24"/>
          <w:szCs w:val="24"/>
        </w:rPr>
        <w:t>额开具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连同经甲方签字验收的配送清单办理结算手续</w:t>
      </w:r>
      <w:r>
        <w:rPr>
          <w:rFonts w:hint="eastAsia" w:ascii="仿宋" w:hAnsi="仿宋" w:eastAsia="仿宋" w:cs="仿宋"/>
          <w:color w:val="auto"/>
          <w:sz w:val="24"/>
          <w:szCs w:val="24"/>
        </w:rPr>
        <w:t>。</w:t>
      </w:r>
    </w:p>
    <w:p w14:paraId="173A2830">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.甲方收到发票，经核对无误后，以银行转账方式向乙</w:t>
      </w:r>
      <w:r>
        <w:rPr>
          <w:rFonts w:hint="eastAsia" w:ascii="仿宋" w:hAnsi="仿宋" w:eastAsia="仿宋" w:cs="仿宋"/>
          <w:sz w:val="24"/>
          <w:szCs w:val="24"/>
        </w:rPr>
        <w:t>方账户支付货款，乙方未按甲方财务要求开具发票，甲方支付</w:t>
      </w:r>
      <w:r>
        <w:rPr>
          <w:rFonts w:hint="eastAsia" w:ascii="仿宋" w:hAnsi="仿宋" w:eastAsia="仿宋" w:cs="仿宋"/>
          <w:sz w:val="24"/>
          <w:szCs w:val="24"/>
          <w:lang w:val="en-US" w:eastAsia="zh-CN"/>
        </w:rPr>
        <w:t>货物</w:t>
      </w:r>
      <w:r>
        <w:rPr>
          <w:rFonts w:hint="eastAsia" w:ascii="仿宋" w:hAnsi="仿宋" w:eastAsia="仿宋" w:cs="仿宋"/>
          <w:sz w:val="24"/>
          <w:szCs w:val="24"/>
        </w:rPr>
        <w:t>货款的时间得以顺延，且不承担逾期付款责任。</w:t>
      </w:r>
    </w:p>
    <w:p w14:paraId="6EF79B6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.乙方开户账户为：</w:t>
      </w:r>
    </w:p>
    <w:p w14:paraId="4E96DF88">
      <w:pPr>
        <w:pStyle w:val="1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开户行：</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2F7F839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户  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36649D8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账  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3DC5F15C">
      <w:pPr>
        <w:numPr>
          <w:ilvl w:val="0"/>
          <w:numId w:val="0"/>
        </w:numPr>
        <w:spacing w:line="360" w:lineRule="auto"/>
        <w:ind w:firstLine="420" w:firstLineChars="0"/>
        <w:rPr>
          <w:rFonts w:hint="eastAsia" w:ascii="仿宋" w:hAnsi="仿宋" w:eastAsia="仿宋" w:cs="仿宋"/>
          <w:b/>
          <w:bCs/>
          <w:sz w:val="24"/>
          <w:szCs w:val="24"/>
        </w:rPr>
      </w:pPr>
      <w:r>
        <w:rPr>
          <w:rFonts w:hint="eastAsia" w:ascii="仿宋" w:hAnsi="仿宋" w:eastAsia="仿宋" w:cs="仿宋"/>
          <w:b/>
          <w:bCs/>
          <w:snapToGrid w:val="0"/>
          <w:kern w:val="0"/>
          <w:sz w:val="24"/>
          <w:szCs w:val="24"/>
          <w:lang w:val="en-US" w:eastAsia="zh-CN" w:bidi="ar-SA"/>
        </w:rPr>
        <w:t xml:space="preserve">第二条 </w:t>
      </w:r>
      <w:r>
        <w:rPr>
          <w:rFonts w:hint="eastAsia" w:ascii="仿宋" w:hAnsi="仿宋" w:eastAsia="仿宋" w:cs="仿宋"/>
          <w:b/>
          <w:bCs/>
          <w:sz w:val="24"/>
          <w:szCs w:val="24"/>
          <w:lang w:val="en-US" w:eastAsia="zh-CN"/>
        </w:rPr>
        <w:t>货物</w:t>
      </w:r>
      <w:r>
        <w:rPr>
          <w:rFonts w:hint="eastAsia" w:ascii="仿宋" w:hAnsi="仿宋" w:eastAsia="仿宋" w:cs="仿宋"/>
          <w:b/>
          <w:bCs/>
          <w:sz w:val="24"/>
          <w:szCs w:val="24"/>
        </w:rPr>
        <w:t>质量</w:t>
      </w:r>
    </w:p>
    <w:p w14:paraId="21574D9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乙方所供</w:t>
      </w:r>
      <w:r>
        <w:rPr>
          <w:rFonts w:hint="eastAsia" w:ascii="仿宋" w:hAnsi="仿宋" w:eastAsia="仿宋" w:cs="仿宋"/>
          <w:b/>
          <w:bCs/>
          <w:sz w:val="24"/>
          <w:szCs w:val="24"/>
          <w:lang w:val="en-US" w:eastAsia="zh-CN"/>
        </w:rPr>
        <w:t>货物</w:t>
      </w:r>
      <w:r>
        <w:rPr>
          <w:rFonts w:hint="eastAsia" w:ascii="仿宋" w:hAnsi="仿宋" w:eastAsia="仿宋" w:cs="仿宋"/>
          <w:sz w:val="24"/>
          <w:szCs w:val="24"/>
        </w:rPr>
        <w:t>质量必须符合法定质量标准及国家、行业标准，乙方对甲方采购的</w:t>
      </w:r>
      <w:r>
        <w:rPr>
          <w:rFonts w:hint="eastAsia" w:ascii="仿宋" w:hAnsi="仿宋" w:eastAsia="仿宋" w:cs="仿宋"/>
          <w:b/>
          <w:bCs/>
          <w:sz w:val="24"/>
          <w:szCs w:val="24"/>
          <w:lang w:val="en-US" w:eastAsia="zh-CN"/>
        </w:rPr>
        <w:t>货物</w:t>
      </w:r>
      <w:r>
        <w:rPr>
          <w:rFonts w:hint="eastAsia" w:ascii="仿宋" w:hAnsi="仿宋" w:eastAsia="仿宋" w:cs="仿宋"/>
          <w:sz w:val="24"/>
          <w:szCs w:val="24"/>
        </w:rPr>
        <w:t>作如下保证：</w:t>
      </w:r>
    </w:p>
    <w:p w14:paraId="0715A16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b w:val="0"/>
          <w:bCs w:val="0"/>
          <w:sz w:val="24"/>
          <w:szCs w:val="24"/>
          <w:lang w:val="en-US" w:eastAsia="zh-CN"/>
        </w:rPr>
        <w:t>货物</w:t>
      </w:r>
      <w:r>
        <w:rPr>
          <w:rFonts w:hint="eastAsia" w:ascii="仿宋" w:hAnsi="仿宋" w:eastAsia="仿宋" w:cs="仿宋"/>
          <w:sz w:val="24"/>
          <w:szCs w:val="24"/>
        </w:rPr>
        <w:t>质量符合国家质量标准和有关质量要求。</w:t>
      </w:r>
    </w:p>
    <w:p w14:paraId="738CBF0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货物</w:t>
      </w:r>
      <w:r>
        <w:rPr>
          <w:rFonts w:hint="eastAsia" w:ascii="仿宋" w:hAnsi="仿宋" w:eastAsia="仿宋" w:cs="仿宋"/>
          <w:sz w:val="24"/>
          <w:szCs w:val="24"/>
        </w:rPr>
        <w:t>符合国家有关规定和货物储运要求。储存、运输符合相关规定和条件，若不符合特殊</w:t>
      </w:r>
      <w:r>
        <w:rPr>
          <w:rFonts w:hint="eastAsia" w:ascii="仿宋" w:hAnsi="仿宋" w:eastAsia="仿宋" w:cs="仿宋"/>
          <w:sz w:val="24"/>
          <w:szCs w:val="24"/>
          <w:lang w:val="en-US" w:eastAsia="zh-CN"/>
        </w:rPr>
        <w:t>货物</w:t>
      </w:r>
      <w:r>
        <w:rPr>
          <w:rFonts w:hint="eastAsia" w:ascii="仿宋" w:hAnsi="仿宋" w:eastAsia="仿宋" w:cs="仿宋"/>
          <w:sz w:val="24"/>
          <w:szCs w:val="24"/>
        </w:rPr>
        <w:t>的储存、运输条件，乙方无条件更换并承担由此造成的甲方损失。运输途中损毁灭失的风险由乙方承担。</w:t>
      </w:r>
    </w:p>
    <w:p w14:paraId="7CEF22B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.甲方需要的出厂检验报告书复印件及相关证明材料，乙方应及时提供。</w:t>
      </w:r>
    </w:p>
    <w:p w14:paraId="3366B49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.所用</w:t>
      </w:r>
      <w:r>
        <w:rPr>
          <w:rFonts w:hint="eastAsia" w:ascii="仿宋" w:hAnsi="仿宋" w:eastAsia="仿宋" w:cs="仿宋"/>
          <w:b w:val="0"/>
          <w:bCs w:val="0"/>
          <w:sz w:val="24"/>
          <w:szCs w:val="24"/>
          <w:lang w:val="en-US" w:eastAsia="zh-CN"/>
        </w:rPr>
        <w:t>货物</w:t>
      </w:r>
      <w:r>
        <w:rPr>
          <w:rFonts w:hint="eastAsia" w:ascii="仿宋" w:hAnsi="仿宋" w:eastAsia="仿宋" w:cs="仿宋"/>
          <w:sz w:val="24"/>
          <w:szCs w:val="24"/>
        </w:rPr>
        <w:t>均应外观完整，无破损等现象，附有相应的使用说明书，若发生任何破损，乙方无条件予以更换，并承担由此造成的甲方损失。</w:t>
      </w:r>
    </w:p>
    <w:p w14:paraId="45E285B5">
      <w:pPr>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en-US" w:eastAsia="zh-CN"/>
        </w:rPr>
        <w:t>5</w:t>
      </w:r>
      <w:r>
        <w:rPr>
          <w:rFonts w:hint="eastAsia" w:ascii="仿宋" w:hAnsi="仿宋" w:eastAsia="仿宋" w:cs="仿宋"/>
          <w:sz w:val="24"/>
          <w:szCs w:val="24"/>
        </w:rPr>
        <w:t>.如乙方所提供的</w:t>
      </w:r>
      <w:r>
        <w:rPr>
          <w:rFonts w:hint="eastAsia" w:ascii="仿宋" w:hAnsi="仿宋" w:eastAsia="仿宋" w:cs="仿宋"/>
          <w:b w:val="0"/>
          <w:bCs w:val="0"/>
          <w:sz w:val="24"/>
          <w:szCs w:val="24"/>
          <w:lang w:val="en-US" w:eastAsia="zh-CN"/>
        </w:rPr>
        <w:t>货物</w:t>
      </w:r>
      <w:r>
        <w:rPr>
          <w:rFonts w:hint="eastAsia" w:ascii="仿宋" w:hAnsi="仿宋" w:eastAsia="仿宋" w:cs="仿宋"/>
          <w:sz w:val="24"/>
          <w:szCs w:val="24"/>
        </w:rPr>
        <w:t>不符合国家相关法律法规规定、本合同约定或甲方提前出具合理书面要求的，甲方有权拒收并追究乙方违约责任，或甲方有权单方解除本合同，并不承担违约责任。造成甲方损失的，甲方有权追究乙方责任。</w:t>
      </w:r>
    </w:p>
    <w:p w14:paraId="790270D6">
      <w:pPr>
        <w:numPr>
          <w:ilvl w:val="0"/>
          <w:numId w:val="0"/>
        </w:numPr>
        <w:spacing w:line="360" w:lineRule="auto"/>
        <w:ind w:firstLine="420" w:firstLineChars="0"/>
        <w:rPr>
          <w:rFonts w:hint="eastAsia" w:ascii="仿宋" w:hAnsi="仿宋" w:eastAsia="仿宋" w:cs="仿宋"/>
          <w:b/>
          <w:bCs/>
          <w:sz w:val="24"/>
          <w:szCs w:val="24"/>
        </w:rPr>
      </w:pPr>
      <w:r>
        <w:rPr>
          <w:rFonts w:hint="eastAsia" w:ascii="仿宋" w:hAnsi="仿宋" w:eastAsia="仿宋" w:cs="仿宋"/>
          <w:b/>
          <w:bCs/>
          <w:snapToGrid w:val="0"/>
          <w:kern w:val="0"/>
          <w:sz w:val="24"/>
          <w:szCs w:val="24"/>
          <w:lang w:val="en-US" w:eastAsia="zh-CN" w:bidi="ar-SA"/>
        </w:rPr>
        <w:t xml:space="preserve">第三条 </w:t>
      </w:r>
      <w:r>
        <w:rPr>
          <w:rFonts w:hint="eastAsia" w:ascii="仿宋" w:hAnsi="仿宋" w:eastAsia="仿宋" w:cs="仿宋"/>
          <w:b/>
          <w:bCs/>
          <w:sz w:val="24"/>
          <w:szCs w:val="24"/>
          <w:lang w:val="en-US" w:eastAsia="zh-CN"/>
        </w:rPr>
        <w:t>货物</w:t>
      </w:r>
      <w:r>
        <w:rPr>
          <w:rFonts w:hint="eastAsia" w:ascii="仿宋" w:hAnsi="仿宋" w:eastAsia="仿宋" w:cs="仿宋"/>
          <w:b/>
          <w:bCs/>
          <w:sz w:val="24"/>
          <w:szCs w:val="24"/>
        </w:rPr>
        <w:t>有效期</w:t>
      </w:r>
    </w:p>
    <w:p w14:paraId="098D8BD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乙方交付</w:t>
      </w:r>
      <w:r>
        <w:rPr>
          <w:rFonts w:hint="eastAsia" w:ascii="仿宋" w:hAnsi="仿宋" w:eastAsia="仿宋" w:cs="仿宋"/>
          <w:sz w:val="24"/>
          <w:szCs w:val="24"/>
          <w:lang w:eastAsia="zh-CN"/>
        </w:rPr>
        <w:t>货物</w:t>
      </w:r>
      <w:r>
        <w:rPr>
          <w:rFonts w:hint="eastAsia" w:ascii="仿宋" w:hAnsi="仿宋" w:eastAsia="仿宋" w:cs="仿宋"/>
          <w:sz w:val="24"/>
          <w:szCs w:val="24"/>
        </w:rPr>
        <w:t>的有效期应与投标文件、</w:t>
      </w:r>
      <w:r>
        <w:rPr>
          <w:rFonts w:hint="eastAsia" w:ascii="仿宋" w:hAnsi="仿宋" w:eastAsia="仿宋" w:cs="仿宋"/>
          <w:sz w:val="24"/>
          <w:szCs w:val="24"/>
          <w:lang w:eastAsia="zh-CN"/>
        </w:rPr>
        <w:t>货物</w:t>
      </w:r>
      <w:r>
        <w:rPr>
          <w:rFonts w:hint="eastAsia" w:ascii="仿宋" w:hAnsi="仿宋" w:eastAsia="仿宋" w:cs="仿宋"/>
          <w:sz w:val="24"/>
          <w:szCs w:val="24"/>
        </w:rPr>
        <w:t>说明书中规定的有效期相一致。</w:t>
      </w:r>
    </w:p>
    <w:p w14:paraId="193FF2F0">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kern w:val="44"/>
          <w:sz w:val="24"/>
          <w:szCs w:val="24"/>
        </w:rPr>
        <w:t>第四条</w:t>
      </w:r>
      <w:r>
        <w:rPr>
          <w:rFonts w:hint="eastAsia" w:ascii="仿宋" w:hAnsi="仿宋" w:eastAsia="仿宋" w:cs="仿宋"/>
          <w:bCs/>
          <w:kern w:val="44"/>
          <w:sz w:val="24"/>
          <w:szCs w:val="24"/>
        </w:rPr>
        <w:t xml:space="preserve"> </w:t>
      </w:r>
      <w:r>
        <w:rPr>
          <w:rFonts w:hint="eastAsia" w:ascii="仿宋" w:hAnsi="仿宋" w:eastAsia="仿宋" w:cs="仿宋"/>
          <w:b/>
          <w:bCs/>
          <w:sz w:val="24"/>
          <w:szCs w:val="24"/>
        </w:rPr>
        <w:t>包装标准</w:t>
      </w:r>
    </w:p>
    <w:p w14:paraId="2E22F64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乙方提供的全部</w:t>
      </w:r>
      <w:r>
        <w:rPr>
          <w:rFonts w:hint="eastAsia" w:ascii="仿宋" w:hAnsi="仿宋" w:eastAsia="仿宋" w:cs="仿宋"/>
          <w:sz w:val="24"/>
          <w:szCs w:val="24"/>
          <w:lang w:eastAsia="zh-CN"/>
        </w:rPr>
        <w:t>货物</w:t>
      </w:r>
      <w:r>
        <w:rPr>
          <w:rFonts w:hint="eastAsia" w:ascii="仿宋" w:hAnsi="仿宋" w:eastAsia="仿宋" w:cs="仿宋"/>
          <w:sz w:val="24"/>
          <w:szCs w:val="24"/>
        </w:rPr>
        <w:t>均应按国家规定的标准保护措施进行包装。</w:t>
      </w:r>
      <w:r>
        <w:rPr>
          <w:rFonts w:hint="eastAsia" w:ascii="仿宋" w:hAnsi="仿宋" w:eastAsia="仿宋" w:cs="仿宋"/>
          <w:sz w:val="24"/>
          <w:szCs w:val="24"/>
          <w:lang w:val="en-US" w:eastAsia="zh-CN"/>
        </w:rPr>
        <w:t>如</w:t>
      </w:r>
      <w:r>
        <w:rPr>
          <w:rFonts w:hint="eastAsia" w:ascii="仿宋" w:hAnsi="仿宋" w:eastAsia="仿宋" w:cs="仿宋"/>
          <w:sz w:val="24"/>
          <w:szCs w:val="24"/>
        </w:rPr>
        <w:t>为拼装箱件，箱内应按前述要求附有各种</w:t>
      </w:r>
      <w:r>
        <w:rPr>
          <w:rFonts w:hint="eastAsia" w:ascii="仿宋" w:hAnsi="仿宋" w:eastAsia="仿宋" w:cs="仿宋"/>
          <w:sz w:val="24"/>
          <w:szCs w:val="24"/>
          <w:lang w:val="en-US" w:eastAsia="zh-CN"/>
        </w:rPr>
        <w:t>货物</w:t>
      </w:r>
      <w:r>
        <w:rPr>
          <w:rFonts w:hint="eastAsia" w:ascii="仿宋" w:hAnsi="仿宋" w:eastAsia="仿宋" w:cs="仿宋"/>
          <w:sz w:val="24"/>
          <w:szCs w:val="24"/>
        </w:rPr>
        <w:t>质量证明材料复印件，并加盖配送企业公章。</w:t>
      </w:r>
    </w:p>
    <w:p w14:paraId="568FE07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第五条 配送服务及验收</w:t>
      </w:r>
    </w:p>
    <w:p w14:paraId="38A0A144">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1.乙方按甲方要求提供配送服务，每次配送的时间、商品名称、规格、型号、生产厂家以及数量以双方签订合同要求为准，接到采购人采购计划后，</w:t>
      </w:r>
      <w:r>
        <w:rPr>
          <w:rFonts w:hint="eastAsia" w:ascii="仿宋" w:hAnsi="仿宋" w:eastAsia="仿宋" w:cs="仿宋"/>
          <w:b/>
          <w:bCs/>
          <w:color w:val="auto"/>
          <w:sz w:val="24"/>
          <w:szCs w:val="24"/>
          <w:lang w:val="en-US" w:eastAsia="zh-CN"/>
        </w:rPr>
        <w:t>48</w:t>
      </w:r>
      <w:r>
        <w:rPr>
          <w:rFonts w:hint="eastAsia" w:ascii="仿宋" w:hAnsi="仿宋" w:eastAsia="仿宋" w:cs="仿宋"/>
          <w:b/>
          <w:bCs/>
          <w:color w:val="auto"/>
          <w:sz w:val="24"/>
          <w:szCs w:val="24"/>
        </w:rPr>
        <w:t>小时</w:t>
      </w:r>
      <w:r>
        <w:rPr>
          <w:rFonts w:hint="eastAsia" w:ascii="仿宋" w:hAnsi="仿宋" w:eastAsia="仿宋" w:cs="仿宋"/>
          <w:b w:val="0"/>
          <w:bCs w:val="0"/>
          <w:color w:val="auto"/>
          <w:sz w:val="24"/>
          <w:szCs w:val="24"/>
        </w:rPr>
        <w:t>内保质保量</w:t>
      </w:r>
      <w:r>
        <w:rPr>
          <w:rFonts w:hint="eastAsia" w:ascii="仿宋" w:hAnsi="仿宋" w:eastAsia="仿宋" w:cs="仿宋"/>
          <w:b/>
          <w:bCs/>
          <w:color w:val="auto"/>
          <w:sz w:val="24"/>
          <w:szCs w:val="24"/>
          <w:lang w:val="en-US" w:eastAsia="zh-CN"/>
        </w:rPr>
        <w:t>送达</w:t>
      </w:r>
      <w:r>
        <w:rPr>
          <w:rFonts w:hint="eastAsia" w:ascii="仿宋" w:hAnsi="仿宋" w:eastAsia="仿宋" w:cs="仿宋"/>
          <w:b w:val="0"/>
          <w:bCs w:val="0"/>
          <w:color w:val="auto"/>
          <w:sz w:val="24"/>
          <w:szCs w:val="24"/>
        </w:rPr>
        <w:t>。</w:t>
      </w:r>
      <w:r>
        <w:rPr>
          <w:rFonts w:hint="eastAsia" w:ascii="仿宋" w:hAnsi="仿宋" w:eastAsia="仿宋" w:cs="仿宋"/>
          <w:b/>
          <w:bCs/>
          <w:color w:val="auto"/>
          <w:sz w:val="24"/>
          <w:szCs w:val="24"/>
          <w:lang w:val="en-US" w:eastAsia="zh-CN"/>
        </w:rPr>
        <w:t>节假日照常配送。</w:t>
      </w:r>
      <w:r>
        <w:rPr>
          <w:rFonts w:hint="eastAsia" w:ascii="仿宋" w:hAnsi="仿宋" w:eastAsia="仿宋" w:cs="仿宋"/>
          <w:b w:val="0"/>
          <w:bCs w:val="0"/>
          <w:sz w:val="24"/>
          <w:szCs w:val="24"/>
        </w:rPr>
        <w:t>全部货物到达甲方指定地点后，甲、乙双方代表应对</w:t>
      </w:r>
      <w:r>
        <w:rPr>
          <w:rFonts w:hint="eastAsia" w:ascii="仿宋" w:hAnsi="仿宋" w:eastAsia="仿宋" w:cs="仿宋"/>
          <w:b w:val="0"/>
          <w:bCs w:val="0"/>
          <w:sz w:val="24"/>
          <w:szCs w:val="24"/>
          <w:lang w:val="en-US" w:eastAsia="zh-CN"/>
        </w:rPr>
        <w:t>货物</w:t>
      </w:r>
      <w:r>
        <w:rPr>
          <w:rFonts w:hint="eastAsia" w:ascii="仿宋" w:hAnsi="仿宋" w:eastAsia="仿宋" w:cs="仿宋"/>
          <w:b w:val="0"/>
          <w:bCs w:val="0"/>
          <w:sz w:val="24"/>
          <w:szCs w:val="24"/>
        </w:rPr>
        <w:t>的数量、包装、规格、价格、生产厂家等按合同要求进行清点。清点验收合格的，双方签署《产品销售到货验收单》作为结算依据，经清点后数量、包装、规格、价格等与合同约定不一致的，视为交付不合格，甲方有权拒绝接受不合格</w:t>
      </w:r>
      <w:r>
        <w:rPr>
          <w:rFonts w:hint="eastAsia" w:ascii="仿宋" w:hAnsi="仿宋" w:eastAsia="仿宋" w:cs="仿宋"/>
          <w:b w:val="0"/>
          <w:bCs w:val="0"/>
          <w:sz w:val="24"/>
          <w:szCs w:val="24"/>
          <w:lang w:val="en-US" w:eastAsia="zh-CN"/>
        </w:rPr>
        <w:t>货物</w:t>
      </w:r>
      <w:r>
        <w:rPr>
          <w:rFonts w:hint="eastAsia" w:ascii="仿宋" w:hAnsi="仿宋" w:eastAsia="仿宋" w:cs="仿宋"/>
          <w:b w:val="0"/>
          <w:bCs w:val="0"/>
          <w:sz w:val="24"/>
          <w:szCs w:val="24"/>
        </w:rPr>
        <w:t>。甲方有权要求乙方在3日内无条件更换、补足或退货，由此产生的费用由乙方承担，因此延误交货期的，乙方承担相应的违约责任。上述甲方对</w:t>
      </w:r>
      <w:r>
        <w:rPr>
          <w:rFonts w:hint="eastAsia" w:ascii="仿宋" w:hAnsi="仿宋" w:eastAsia="仿宋" w:cs="仿宋"/>
          <w:b w:val="0"/>
          <w:bCs w:val="0"/>
          <w:sz w:val="24"/>
          <w:szCs w:val="24"/>
          <w:lang w:val="en-US" w:eastAsia="zh-CN"/>
        </w:rPr>
        <w:t>货物</w:t>
      </w:r>
      <w:r>
        <w:rPr>
          <w:rFonts w:hint="eastAsia" w:ascii="仿宋" w:hAnsi="仿宋" w:eastAsia="仿宋" w:cs="仿宋"/>
          <w:b w:val="0"/>
          <w:bCs w:val="0"/>
          <w:sz w:val="24"/>
          <w:szCs w:val="24"/>
        </w:rPr>
        <w:t>的验收不代表甲方对</w:t>
      </w:r>
      <w:r>
        <w:rPr>
          <w:rFonts w:hint="eastAsia" w:ascii="仿宋" w:hAnsi="仿宋" w:eastAsia="仿宋" w:cs="仿宋"/>
          <w:b w:val="0"/>
          <w:bCs w:val="0"/>
          <w:sz w:val="24"/>
          <w:szCs w:val="24"/>
          <w:lang w:val="en-US" w:eastAsia="zh-CN"/>
        </w:rPr>
        <w:t>货物</w:t>
      </w:r>
      <w:r>
        <w:rPr>
          <w:rFonts w:hint="eastAsia" w:ascii="仿宋" w:hAnsi="仿宋" w:eastAsia="仿宋" w:cs="仿宋"/>
          <w:b w:val="0"/>
          <w:bCs w:val="0"/>
          <w:sz w:val="24"/>
          <w:szCs w:val="24"/>
        </w:rPr>
        <w:t>质量的当然认可，仅表示对外观数量等的认定。</w:t>
      </w:r>
    </w:p>
    <w:p w14:paraId="542FD08D">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2.药品配送地点：</w:t>
      </w:r>
      <w:r>
        <w:rPr>
          <w:rFonts w:hint="eastAsia" w:ascii="仿宋" w:hAnsi="仿宋" w:eastAsia="仿宋" w:cs="仿宋"/>
          <w:b w:val="0"/>
          <w:bCs w:val="0"/>
          <w:color w:val="auto"/>
          <w:sz w:val="24"/>
          <w:szCs w:val="24"/>
          <w:lang w:val="en-US" w:eastAsia="zh-CN"/>
        </w:rPr>
        <w:t>1标段：</w:t>
      </w:r>
      <w:r>
        <w:rPr>
          <w:rFonts w:hint="eastAsia" w:ascii="仿宋" w:hAnsi="仿宋" w:eastAsia="仿宋" w:cs="仿宋"/>
          <w:color w:val="auto"/>
          <w:sz w:val="24"/>
          <w:szCs w:val="24"/>
          <w:lang w:eastAsia="zh-CN"/>
        </w:rPr>
        <w:t>云南省林业和草原技术推广总站</w:t>
      </w:r>
      <w:r>
        <w:rPr>
          <w:rFonts w:hint="eastAsia" w:ascii="仿宋" w:hAnsi="仿宋" w:eastAsia="仿宋" w:cs="仿宋"/>
          <w:color w:val="auto"/>
          <w:sz w:val="24"/>
          <w:szCs w:val="24"/>
          <w:lang w:val="en-US" w:eastAsia="zh-CN"/>
        </w:rPr>
        <w:t>易门示范点</w:t>
      </w:r>
      <w:r>
        <w:rPr>
          <w:rFonts w:hint="eastAsia" w:ascii="仿宋" w:hAnsi="仿宋" w:eastAsia="仿宋" w:cs="仿宋"/>
          <w:color w:val="auto"/>
          <w:sz w:val="24"/>
          <w:szCs w:val="24"/>
        </w:rPr>
        <w:t>；</w:t>
      </w:r>
      <w:r>
        <w:rPr>
          <w:rFonts w:hint="eastAsia" w:ascii="仿宋" w:hAnsi="仿宋" w:eastAsia="仿宋" w:cs="仿宋"/>
          <w:b w:val="0"/>
          <w:bCs w:val="0"/>
          <w:color w:val="auto"/>
          <w:sz w:val="24"/>
          <w:szCs w:val="24"/>
          <w:lang w:val="en-US" w:eastAsia="zh-CN"/>
        </w:rPr>
        <w:t>2标段：</w:t>
      </w:r>
      <w:r>
        <w:rPr>
          <w:rFonts w:hint="eastAsia" w:ascii="仿宋" w:hAnsi="仿宋" w:eastAsia="仿宋" w:cs="仿宋"/>
          <w:color w:val="auto"/>
          <w:sz w:val="24"/>
          <w:szCs w:val="24"/>
          <w:lang w:eastAsia="zh-CN"/>
        </w:rPr>
        <w:t>云南省林业和草原技术推广总站</w:t>
      </w:r>
      <w:r>
        <w:rPr>
          <w:rFonts w:hint="eastAsia" w:ascii="仿宋" w:hAnsi="仿宋" w:eastAsia="仿宋" w:cs="仿宋"/>
          <w:color w:val="auto"/>
          <w:sz w:val="24"/>
          <w:szCs w:val="24"/>
          <w:lang w:val="en-US" w:eastAsia="zh-CN"/>
        </w:rPr>
        <w:t>华宁示范点</w:t>
      </w:r>
      <w:r>
        <w:rPr>
          <w:rFonts w:hint="eastAsia" w:ascii="仿宋" w:hAnsi="仿宋" w:eastAsia="仿宋" w:cs="仿宋"/>
          <w:b w:val="0"/>
          <w:bCs w:val="0"/>
          <w:sz w:val="24"/>
          <w:szCs w:val="24"/>
        </w:rPr>
        <w:t>。</w:t>
      </w:r>
    </w:p>
    <w:p w14:paraId="01816120">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3.配送由乙方负责，甲方不接受任何快递邮寄方式，乙方必须指定专人，需送货提前2日对甲方收货人员进行报备乙方送货人员以及车辆信息。乙方配送服务包括物资现场搬运，包装、费用及运输风险负担；运输方式及包装应符合国家有关规定和运输、储存的要求，人员、费用及</w:t>
      </w:r>
      <w:r>
        <w:rPr>
          <w:rFonts w:hint="eastAsia" w:ascii="仿宋" w:hAnsi="仿宋" w:eastAsia="仿宋" w:cs="仿宋"/>
          <w:b w:val="0"/>
          <w:bCs w:val="0"/>
          <w:sz w:val="24"/>
          <w:szCs w:val="24"/>
          <w:lang w:val="en-US" w:eastAsia="zh-CN"/>
        </w:rPr>
        <w:t>货物</w:t>
      </w:r>
      <w:r>
        <w:rPr>
          <w:rFonts w:hint="eastAsia" w:ascii="仿宋" w:hAnsi="仿宋" w:eastAsia="仿宋" w:cs="仿宋"/>
          <w:b w:val="0"/>
          <w:bCs w:val="0"/>
          <w:sz w:val="24"/>
          <w:szCs w:val="24"/>
        </w:rPr>
        <w:t>在途风险由乙方负责承担。</w:t>
      </w:r>
    </w:p>
    <w:p w14:paraId="6F12819F">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4.甲方在</w:t>
      </w:r>
      <w:r>
        <w:rPr>
          <w:rFonts w:hint="eastAsia" w:ascii="仿宋" w:hAnsi="仿宋" w:eastAsia="仿宋" w:cs="仿宋"/>
          <w:b w:val="0"/>
          <w:bCs w:val="0"/>
          <w:sz w:val="24"/>
          <w:szCs w:val="24"/>
          <w:lang w:val="en-US" w:eastAsia="zh-CN"/>
        </w:rPr>
        <w:t>货物</w:t>
      </w:r>
      <w:r>
        <w:rPr>
          <w:rFonts w:hint="eastAsia" w:ascii="仿宋" w:hAnsi="仿宋" w:eastAsia="仿宋" w:cs="仿宋"/>
          <w:b w:val="0"/>
          <w:bCs w:val="0"/>
          <w:sz w:val="24"/>
          <w:szCs w:val="24"/>
        </w:rPr>
        <w:t>使用过程中发生质量技术问题或严重不良反应，乙方应提供及时有效的技术支持。</w:t>
      </w:r>
    </w:p>
    <w:p w14:paraId="390AFB21">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乙方技术支持电话:</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rPr>
        <w:t>，联系人:</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rPr>
        <w:t>，身份证号：</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微信号：</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rPr>
        <w:t>，电子邮箱：</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rPr>
        <w:t>，通讯地址：</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rPr>
        <w:t>。甲方向该号码采取短信或微信、电子邮箱向乙方发出相关通知或按照通讯地址邮寄送达相关通知事项，自发出之日起即视为已向乙方进行送达，乙方更换电话号码、通讯地址或通讯邮箱应事先以书面形式告知甲方，否则原号码、通讯地址、通讯邮箱仍然具有送达的效力。</w:t>
      </w:r>
    </w:p>
    <w:p w14:paraId="3F5EBB3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b w:val="0"/>
          <w:bCs w:val="0"/>
          <w:sz w:val="24"/>
          <w:szCs w:val="24"/>
        </w:rPr>
        <w:t>5.乙方送达甲方指定地点后的当日，双方现场严格按照合同约定进行验收，确定</w:t>
      </w:r>
      <w:r>
        <w:rPr>
          <w:rFonts w:hint="eastAsia" w:ascii="仿宋" w:hAnsi="仿宋" w:eastAsia="仿宋" w:cs="仿宋"/>
          <w:b w:val="0"/>
          <w:bCs w:val="0"/>
          <w:sz w:val="24"/>
          <w:szCs w:val="24"/>
          <w:lang w:eastAsia="zh-CN"/>
        </w:rPr>
        <w:t>货物</w:t>
      </w:r>
      <w:r>
        <w:rPr>
          <w:rFonts w:hint="eastAsia" w:ascii="仿宋" w:hAnsi="仿宋" w:eastAsia="仿宋" w:cs="仿宋"/>
          <w:b w:val="0"/>
          <w:bCs w:val="0"/>
          <w:sz w:val="24"/>
          <w:szCs w:val="24"/>
        </w:rPr>
        <w:t>的名称、生产厂家、规格、数量、批号及包装等情况，验收过程中乙方需提供国家规定的相关生产许可证和注册证或批件，未提供的甲方不予验收通过。若出现与合同约定不符或异常，甲方有权拒收。对于甲方有更换要求的，乙方应当在3日内给予更换。</w:t>
      </w:r>
    </w:p>
    <w:p w14:paraId="39374915">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w:t>
      </w: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条</w:t>
      </w:r>
      <w:r>
        <w:rPr>
          <w:rFonts w:hint="eastAsia" w:ascii="仿宋" w:hAnsi="仿宋" w:eastAsia="仿宋" w:cs="仿宋"/>
          <w:sz w:val="24"/>
          <w:szCs w:val="24"/>
        </w:rPr>
        <w:t xml:space="preserve"> </w:t>
      </w:r>
      <w:r>
        <w:rPr>
          <w:rFonts w:hint="eastAsia" w:ascii="仿宋" w:hAnsi="仿宋" w:eastAsia="仿宋" w:cs="仿宋"/>
          <w:b/>
          <w:bCs/>
          <w:sz w:val="24"/>
          <w:szCs w:val="24"/>
        </w:rPr>
        <w:t>双方权利义务</w:t>
      </w:r>
    </w:p>
    <w:p w14:paraId="1A03113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1.甲方在接受</w:t>
      </w:r>
      <w:r>
        <w:rPr>
          <w:rFonts w:hint="eastAsia" w:ascii="仿宋" w:hAnsi="仿宋" w:eastAsia="仿宋" w:cs="仿宋"/>
          <w:sz w:val="24"/>
          <w:szCs w:val="24"/>
          <w:lang w:val="en-US" w:eastAsia="zh-CN"/>
        </w:rPr>
        <w:t>货物</w:t>
      </w:r>
      <w:r>
        <w:rPr>
          <w:rFonts w:hint="eastAsia" w:ascii="仿宋" w:hAnsi="仿宋" w:eastAsia="仿宋" w:cs="仿宋"/>
          <w:sz w:val="24"/>
          <w:szCs w:val="24"/>
        </w:rPr>
        <w:t>时，</w:t>
      </w:r>
      <w:r>
        <w:rPr>
          <w:rFonts w:hint="eastAsia" w:ascii="仿宋" w:hAnsi="仿宋" w:eastAsia="仿宋" w:cs="仿宋"/>
          <w:b w:val="0"/>
          <w:bCs w:val="0"/>
          <w:color w:val="auto"/>
          <w:sz w:val="24"/>
          <w:szCs w:val="24"/>
          <w:lang w:val="en-US" w:eastAsia="zh-CN"/>
        </w:rPr>
        <w:t>须</w:t>
      </w:r>
      <w:r>
        <w:rPr>
          <w:rFonts w:hint="eastAsia" w:ascii="仿宋" w:hAnsi="仿宋" w:eastAsia="仿宋" w:cs="仿宋"/>
          <w:b w:val="0"/>
          <w:bCs w:val="0"/>
          <w:color w:val="auto"/>
          <w:sz w:val="24"/>
          <w:szCs w:val="24"/>
        </w:rPr>
        <w:t>对</w:t>
      </w:r>
      <w:r>
        <w:rPr>
          <w:rFonts w:hint="eastAsia" w:ascii="仿宋" w:hAnsi="仿宋" w:eastAsia="仿宋" w:cs="仿宋"/>
          <w:sz w:val="24"/>
          <w:szCs w:val="24"/>
          <w:lang w:val="en-US" w:eastAsia="zh-CN"/>
        </w:rPr>
        <w:t>货物</w:t>
      </w:r>
      <w:r>
        <w:rPr>
          <w:rFonts w:hint="eastAsia" w:ascii="仿宋" w:hAnsi="仿宋" w:eastAsia="仿宋" w:cs="仿宋"/>
          <w:b w:val="0"/>
          <w:bCs w:val="0"/>
          <w:color w:val="auto"/>
          <w:sz w:val="24"/>
          <w:szCs w:val="24"/>
        </w:rPr>
        <w:t>进行验收，</w:t>
      </w:r>
      <w:r>
        <w:rPr>
          <w:rFonts w:hint="eastAsia" w:ascii="仿宋" w:hAnsi="仿宋" w:eastAsia="仿宋" w:cs="仿宋"/>
          <w:sz w:val="24"/>
          <w:szCs w:val="24"/>
        </w:rPr>
        <w:t>对乙方所提供的</w:t>
      </w:r>
      <w:r>
        <w:rPr>
          <w:rFonts w:hint="eastAsia" w:ascii="仿宋" w:hAnsi="仿宋" w:eastAsia="仿宋" w:cs="仿宋"/>
          <w:sz w:val="24"/>
          <w:szCs w:val="24"/>
          <w:lang w:val="en-US" w:eastAsia="zh-CN"/>
        </w:rPr>
        <w:t>货物</w:t>
      </w:r>
      <w:r>
        <w:rPr>
          <w:rFonts w:hint="eastAsia" w:ascii="仿宋" w:hAnsi="仿宋" w:eastAsia="仿宋" w:cs="仿宋"/>
          <w:sz w:val="24"/>
          <w:szCs w:val="24"/>
        </w:rPr>
        <w:t>不符合合同约定的品种、生产厂家、数量、规格、质量要求的部分，甲方有权拒绝接收，因此造成甲方损失的，甲方有权要求乙方进行赔偿。</w:t>
      </w:r>
    </w:p>
    <w:p w14:paraId="4F57F09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2.甲方在使用乙方所供</w:t>
      </w:r>
      <w:r>
        <w:rPr>
          <w:rFonts w:hint="eastAsia" w:ascii="仿宋" w:hAnsi="仿宋" w:eastAsia="仿宋" w:cs="仿宋"/>
          <w:sz w:val="24"/>
          <w:szCs w:val="24"/>
          <w:lang w:val="en-US" w:eastAsia="zh-CN"/>
        </w:rPr>
        <w:t>货物</w:t>
      </w:r>
      <w:r>
        <w:rPr>
          <w:rFonts w:hint="eastAsia" w:ascii="仿宋" w:hAnsi="仿宋" w:eastAsia="仿宋" w:cs="仿宋"/>
          <w:sz w:val="24"/>
          <w:szCs w:val="24"/>
        </w:rPr>
        <w:t>过程中若发现质量问题或不良反应情况时应及时书面通知乙方，并由乙方全权负责，必要时，甲方可配合乙方做好调查取证和善后处理工作。</w:t>
      </w:r>
    </w:p>
    <w:p w14:paraId="6F466F9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3.甲方有证据证明乙方交付的</w:t>
      </w:r>
      <w:r>
        <w:rPr>
          <w:rFonts w:hint="eastAsia" w:ascii="仿宋" w:hAnsi="仿宋" w:eastAsia="仿宋" w:cs="仿宋"/>
          <w:sz w:val="24"/>
          <w:szCs w:val="24"/>
          <w:lang w:val="en-US" w:eastAsia="zh-CN"/>
        </w:rPr>
        <w:t>货物</w:t>
      </w:r>
      <w:r>
        <w:rPr>
          <w:rFonts w:hint="eastAsia" w:ascii="仿宋" w:hAnsi="仿宋" w:eastAsia="仿宋" w:cs="仿宋"/>
          <w:sz w:val="24"/>
          <w:szCs w:val="24"/>
        </w:rPr>
        <w:t>不符合质量标准或延期交货等不按合同约定交货时，可以书面通知乙方终止该</w:t>
      </w:r>
      <w:r>
        <w:rPr>
          <w:rFonts w:hint="eastAsia" w:ascii="仿宋" w:hAnsi="仿宋" w:eastAsia="仿宋" w:cs="仿宋"/>
          <w:sz w:val="24"/>
          <w:szCs w:val="24"/>
          <w:lang w:val="en-US" w:eastAsia="zh-CN"/>
        </w:rPr>
        <w:t>货物</w:t>
      </w:r>
      <w:r>
        <w:rPr>
          <w:rFonts w:hint="eastAsia" w:ascii="仿宋" w:hAnsi="仿宋" w:eastAsia="仿宋" w:cs="仿宋"/>
          <w:sz w:val="24"/>
          <w:szCs w:val="24"/>
        </w:rPr>
        <w:t>的供货，必要时甲方有权单方解除本合同。</w:t>
      </w:r>
    </w:p>
    <w:p w14:paraId="0265A87B">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sz w:val="24"/>
          <w:szCs w:val="24"/>
        </w:rPr>
        <w:t>4.乙方必须按照合同约定的品种</w:t>
      </w:r>
      <w:r>
        <w:rPr>
          <w:rFonts w:hint="eastAsia" w:ascii="仿宋" w:hAnsi="仿宋" w:eastAsia="仿宋" w:cs="仿宋"/>
          <w:b w:val="0"/>
          <w:bCs w:val="0"/>
          <w:sz w:val="24"/>
          <w:szCs w:val="24"/>
        </w:rPr>
        <w:t>、生产厂家、数量、规格、质量要求和期限，配送符合条件的</w:t>
      </w:r>
      <w:r>
        <w:rPr>
          <w:rFonts w:hint="eastAsia" w:ascii="仿宋" w:hAnsi="仿宋" w:eastAsia="仿宋" w:cs="仿宋"/>
          <w:b w:val="0"/>
          <w:bCs w:val="0"/>
          <w:sz w:val="24"/>
          <w:szCs w:val="24"/>
          <w:lang w:eastAsia="zh-CN"/>
        </w:rPr>
        <w:t>货物</w:t>
      </w:r>
      <w:r>
        <w:rPr>
          <w:rFonts w:hint="eastAsia" w:ascii="仿宋" w:hAnsi="仿宋" w:eastAsia="仿宋" w:cs="仿宋"/>
          <w:b w:val="0"/>
          <w:bCs w:val="0"/>
          <w:sz w:val="24"/>
          <w:szCs w:val="24"/>
        </w:rPr>
        <w:t>。乙方</w:t>
      </w:r>
      <w:r>
        <w:rPr>
          <w:rFonts w:hint="eastAsia" w:ascii="仿宋" w:hAnsi="仿宋" w:eastAsia="仿宋" w:cs="仿宋"/>
          <w:b w:val="0"/>
          <w:bCs/>
          <w:sz w:val="24"/>
          <w:szCs w:val="24"/>
        </w:rPr>
        <w:t>多次（</w:t>
      </w:r>
      <w:r>
        <w:rPr>
          <w:rFonts w:hint="eastAsia" w:ascii="仿宋" w:hAnsi="仿宋" w:eastAsia="仿宋" w:cs="仿宋"/>
          <w:b w:val="0"/>
          <w:bCs/>
          <w:sz w:val="24"/>
          <w:szCs w:val="24"/>
          <w:lang w:val="en-US" w:eastAsia="zh-CN"/>
        </w:rPr>
        <w:t>2</w:t>
      </w:r>
      <w:r>
        <w:rPr>
          <w:rFonts w:hint="eastAsia" w:ascii="仿宋" w:hAnsi="仿宋" w:eastAsia="仿宋" w:cs="仿宋"/>
          <w:b w:val="0"/>
          <w:bCs/>
          <w:sz w:val="24"/>
          <w:szCs w:val="24"/>
        </w:rPr>
        <w:t>次以上）出现不能按时、按质、按量批次供应</w:t>
      </w:r>
      <w:r>
        <w:rPr>
          <w:rFonts w:hint="eastAsia" w:ascii="仿宋" w:hAnsi="仿宋" w:eastAsia="仿宋" w:cs="仿宋"/>
          <w:b w:val="0"/>
          <w:bCs/>
          <w:sz w:val="24"/>
          <w:szCs w:val="24"/>
          <w:lang w:eastAsia="zh-CN"/>
        </w:rPr>
        <w:t>货物</w:t>
      </w:r>
      <w:r>
        <w:rPr>
          <w:rFonts w:hint="eastAsia" w:ascii="仿宋" w:hAnsi="仿宋" w:eastAsia="仿宋" w:cs="仿宋"/>
          <w:b w:val="0"/>
          <w:bCs/>
          <w:sz w:val="24"/>
          <w:szCs w:val="24"/>
        </w:rPr>
        <w:t>的，甲方有权单方面与乙方解除供应合同，且不承担违约责任。</w:t>
      </w:r>
    </w:p>
    <w:p w14:paraId="069E80E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sz w:val="24"/>
          <w:szCs w:val="24"/>
        </w:rPr>
        <w:t>5.甲方验收时检查货票是否相符，验收时如有异议应在收货之日起七个工作日内向乙方提出书面意见，乙收到甲方的书面异议后应予1日内及时处理，否则视为乙方未交付。</w:t>
      </w:r>
    </w:p>
    <w:p w14:paraId="7B87CB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.乙方指定专人负责履行本合同的</w:t>
      </w:r>
      <w:r>
        <w:rPr>
          <w:rFonts w:hint="eastAsia" w:ascii="仿宋" w:hAnsi="仿宋" w:eastAsia="仿宋" w:cs="仿宋"/>
          <w:sz w:val="24"/>
          <w:szCs w:val="24"/>
          <w:lang w:eastAsia="zh-CN"/>
        </w:rPr>
        <w:t>货物</w:t>
      </w:r>
      <w:r>
        <w:rPr>
          <w:rFonts w:hint="eastAsia" w:ascii="仿宋" w:hAnsi="仿宋" w:eastAsia="仿宋" w:cs="仿宋"/>
          <w:sz w:val="24"/>
          <w:szCs w:val="24"/>
        </w:rPr>
        <w:t>计划接收、</w:t>
      </w:r>
      <w:r>
        <w:rPr>
          <w:rFonts w:hint="eastAsia" w:ascii="仿宋" w:hAnsi="仿宋" w:eastAsia="仿宋" w:cs="仿宋"/>
          <w:sz w:val="24"/>
          <w:szCs w:val="24"/>
          <w:lang w:eastAsia="zh-CN"/>
        </w:rPr>
        <w:t>货物</w:t>
      </w:r>
      <w:r>
        <w:rPr>
          <w:rFonts w:hint="eastAsia" w:ascii="仿宋" w:hAnsi="仿宋" w:eastAsia="仿宋" w:cs="仿宋"/>
          <w:sz w:val="24"/>
          <w:szCs w:val="24"/>
        </w:rPr>
        <w:t>退换、款项结算等工作，本合同项目中，乙方指定的专人为：</w:t>
      </w:r>
    </w:p>
    <w:p w14:paraId="5C763F56">
      <w:pPr>
        <w:spacing w:line="360" w:lineRule="auto"/>
        <w:ind w:firstLine="480" w:firstLineChars="200"/>
        <w:rPr>
          <w:rFonts w:hint="eastAsia" w:ascii="仿宋" w:hAnsi="仿宋" w:eastAsia="仿宋" w:cs="仿宋"/>
          <w:b w:val="0"/>
          <w:bCs w:val="0"/>
          <w:color w:val="000000"/>
          <w:sz w:val="24"/>
          <w:szCs w:val="24"/>
          <w:u w:val="single"/>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身份证号：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联系地址：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b w:val="0"/>
          <w:bCs w:val="0"/>
          <w:sz w:val="24"/>
          <w:szCs w:val="24"/>
        </w:rPr>
        <w:t>联系电话：</w:t>
      </w:r>
      <w:r>
        <w:rPr>
          <w:rFonts w:hint="eastAsia" w:ascii="仿宋" w:hAnsi="仿宋" w:eastAsia="仿宋" w:cs="仿宋"/>
          <w:b w:val="0"/>
          <w:bCs w:val="0"/>
          <w:sz w:val="24"/>
          <w:szCs w:val="24"/>
          <w:u w:val="single"/>
        </w:rPr>
        <w:t xml:space="preserve"> </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u w:val="single"/>
        </w:rPr>
        <w:t xml:space="preserve"> </w:t>
      </w:r>
      <w:r>
        <w:rPr>
          <w:rFonts w:hint="eastAsia" w:ascii="仿宋" w:hAnsi="仿宋" w:eastAsia="仿宋" w:cs="仿宋"/>
          <w:b w:val="0"/>
          <w:bCs w:val="0"/>
          <w:sz w:val="24"/>
          <w:szCs w:val="24"/>
        </w:rPr>
        <w:t>联系邮箱：</w:t>
      </w:r>
      <w:r>
        <w:rPr>
          <w:rFonts w:hint="eastAsia" w:ascii="仿宋" w:hAnsi="仿宋" w:eastAsia="仿宋" w:cs="仿宋"/>
          <w:b w:val="0"/>
          <w:bCs w:val="0"/>
          <w:sz w:val="24"/>
          <w:szCs w:val="24"/>
          <w:u w:val="single"/>
        </w:rPr>
        <w:t xml:space="preserve"> </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color w:val="000000"/>
          <w:sz w:val="24"/>
          <w:szCs w:val="24"/>
          <w:u w:val="single"/>
        </w:rPr>
        <w:t xml:space="preserve"> </w:t>
      </w:r>
    </w:p>
    <w:p w14:paraId="6DC7519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甲方向该号码采取短信或微信、电子邮箱向乙方发出相关通知或按照通讯地址邮寄送达相关通知事项，自发出之日起即视为已向乙方进行送达，乙方更换电话号码、通讯地址或通讯邮箱应事先以书面形式告知甲方，否则原号码、通讯地址、通讯邮箱仍然具有送达的效力。</w:t>
      </w:r>
    </w:p>
    <w:p w14:paraId="1D10758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乙方提供发票必须是税务局核发的正规发票，乙方不得转让供货权利及义务或本合同项目下其他权利义务，不得代开发票，否则甲方有权拒付货款，并直接单方解除合同，</w:t>
      </w:r>
      <w:r>
        <w:rPr>
          <w:rFonts w:hint="eastAsia" w:ascii="仿宋" w:hAnsi="仿宋" w:eastAsia="仿宋" w:cs="仿宋"/>
          <w:b w:val="0"/>
          <w:bCs w:val="0"/>
          <w:color w:val="auto"/>
          <w:sz w:val="24"/>
          <w:szCs w:val="24"/>
          <w:lang w:val="en-US" w:eastAsia="zh-CN"/>
        </w:rPr>
        <w:t>且</w:t>
      </w:r>
      <w:r>
        <w:rPr>
          <w:rFonts w:hint="eastAsia" w:ascii="仿宋" w:hAnsi="仿宋" w:eastAsia="仿宋" w:cs="仿宋"/>
          <w:sz w:val="24"/>
          <w:szCs w:val="24"/>
        </w:rPr>
        <w:t>不承担违约责任。</w:t>
      </w:r>
    </w:p>
    <w:p w14:paraId="6B9E5F4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本合同所述条款属甲、乙双方商业秘密，双方必须对此严格保密。任何一方不得将对方商业秘密披露给第三方或不当使用，但经对方书面同意或按法律规定除外，否则视为一方违约。乙方对合同期间所熟悉、了解、掌握的甲方未经公开的信息、资料应当予以保密，并采取有效措施防止泄露，否则视为乙方违约。</w:t>
      </w:r>
    </w:p>
    <w:p w14:paraId="51610756">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w:t>
      </w:r>
      <w:r>
        <w:rPr>
          <w:rFonts w:hint="eastAsia" w:ascii="仿宋" w:hAnsi="仿宋" w:eastAsia="仿宋" w:cs="仿宋"/>
          <w:b/>
          <w:bCs/>
          <w:color w:val="auto"/>
          <w:sz w:val="24"/>
          <w:szCs w:val="24"/>
          <w:lang w:val="en-US" w:eastAsia="zh-CN"/>
        </w:rPr>
        <w:t>九</w:t>
      </w:r>
      <w:r>
        <w:rPr>
          <w:rFonts w:hint="eastAsia" w:ascii="仿宋" w:hAnsi="仿宋" w:eastAsia="仿宋" w:cs="仿宋"/>
          <w:b/>
          <w:bCs/>
          <w:sz w:val="24"/>
          <w:szCs w:val="24"/>
        </w:rPr>
        <w:t>条 需要双方明确的其他事项</w:t>
      </w:r>
    </w:p>
    <w:p w14:paraId="47459D7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合同甲乙双方的通信地址见合同签章处，此外，乙方按照本合同第七条第7点约定提供的专人联系方式也属于乙方提供的通信地址，合同一方通信地址的变更，须以书面形式通知对方。合同一方按本合同规定向对方发出的通知或其他信函，应以书面形式作出，并经专人、按本合同中注明的注册地址向对方发出。送达时间以下列规定为准：</w:t>
      </w:r>
    </w:p>
    <w:p w14:paraId="002CE1A8">
      <w:pPr>
        <w:numPr>
          <w:ilvl w:val="0"/>
          <w:numId w:val="0"/>
        </w:numPr>
        <w:spacing w:line="360" w:lineRule="auto"/>
        <w:ind w:left="420" w:leftChars="200" w:firstLine="0" w:firstLineChars="0"/>
        <w:rPr>
          <w:rFonts w:hint="eastAsia" w:ascii="仿宋" w:hAnsi="仿宋" w:eastAsia="仿宋" w:cs="仿宋"/>
          <w:sz w:val="24"/>
          <w:szCs w:val="24"/>
        </w:rPr>
      </w:pPr>
      <w:r>
        <w:rPr>
          <w:rFonts w:hint="eastAsia" w:ascii="仿宋" w:hAnsi="仿宋" w:eastAsia="仿宋" w:cs="仿宋"/>
          <w:snapToGrid w:val="0"/>
          <w:kern w:val="0"/>
          <w:sz w:val="24"/>
          <w:szCs w:val="24"/>
          <w:lang w:val="en-US" w:eastAsia="zh-CN" w:bidi="ar-SA"/>
        </w:rPr>
        <w:t>（1）</w:t>
      </w:r>
      <w:r>
        <w:rPr>
          <w:rFonts w:hint="eastAsia" w:ascii="仿宋" w:hAnsi="仿宋" w:eastAsia="仿宋" w:cs="仿宋"/>
          <w:sz w:val="24"/>
          <w:szCs w:val="24"/>
        </w:rPr>
        <w:t>专人交付之日视为送达之日；</w:t>
      </w:r>
    </w:p>
    <w:p w14:paraId="71E30570">
      <w:pPr>
        <w:numPr>
          <w:ilvl w:val="0"/>
          <w:numId w:val="0"/>
        </w:numPr>
        <w:spacing w:line="360" w:lineRule="auto"/>
        <w:ind w:left="420" w:leftChars="200" w:firstLine="0" w:firstLineChars="0"/>
        <w:rPr>
          <w:rFonts w:hint="eastAsia" w:ascii="仿宋" w:hAnsi="仿宋" w:eastAsia="仿宋" w:cs="仿宋"/>
          <w:b w:val="0"/>
          <w:bCs/>
          <w:sz w:val="24"/>
          <w:szCs w:val="24"/>
        </w:rPr>
      </w:pPr>
      <w:r>
        <w:rPr>
          <w:rFonts w:hint="eastAsia" w:ascii="仿宋" w:hAnsi="仿宋" w:eastAsia="仿宋" w:cs="仿宋"/>
          <w:b w:val="0"/>
          <w:bCs/>
          <w:snapToGrid w:val="0"/>
          <w:kern w:val="0"/>
          <w:sz w:val="24"/>
          <w:szCs w:val="24"/>
          <w:lang w:val="en-US" w:eastAsia="zh-CN" w:bidi="ar-SA"/>
        </w:rPr>
        <w:t>（2）</w:t>
      </w:r>
      <w:r>
        <w:rPr>
          <w:rFonts w:hint="eastAsia" w:ascii="仿宋" w:hAnsi="仿宋" w:eastAsia="仿宋" w:cs="仿宋"/>
          <w:b w:val="0"/>
          <w:bCs/>
          <w:sz w:val="24"/>
          <w:szCs w:val="24"/>
          <w:lang w:val="en-US" w:eastAsia="zh-CN"/>
        </w:rPr>
        <w:t>货物</w:t>
      </w:r>
      <w:r>
        <w:rPr>
          <w:rFonts w:hint="eastAsia" w:ascii="仿宋" w:hAnsi="仿宋" w:eastAsia="仿宋" w:cs="仿宋"/>
          <w:b w:val="0"/>
          <w:bCs/>
          <w:sz w:val="24"/>
          <w:szCs w:val="24"/>
        </w:rPr>
        <w:t>不接受任何邮递方式；</w:t>
      </w:r>
    </w:p>
    <w:p w14:paraId="7F50DD2C">
      <w:pPr>
        <w:numPr>
          <w:ilvl w:val="0"/>
          <w:numId w:val="0"/>
        </w:numPr>
        <w:spacing w:line="360" w:lineRule="auto"/>
        <w:ind w:left="420" w:leftChars="0" w:firstLine="0" w:firstLineChars="0"/>
        <w:rPr>
          <w:rFonts w:hint="eastAsia" w:ascii="仿宋" w:hAnsi="仿宋" w:eastAsia="仿宋" w:cs="仿宋"/>
          <w:b w:val="0"/>
          <w:bCs/>
          <w:sz w:val="24"/>
          <w:szCs w:val="24"/>
        </w:rPr>
      </w:pPr>
      <w:r>
        <w:rPr>
          <w:rFonts w:hint="eastAsia" w:ascii="仿宋" w:hAnsi="仿宋" w:eastAsia="仿宋" w:cs="仿宋"/>
          <w:b w:val="0"/>
          <w:bCs/>
          <w:snapToGrid w:val="0"/>
          <w:kern w:val="0"/>
          <w:sz w:val="24"/>
          <w:szCs w:val="24"/>
          <w:lang w:val="en-US" w:eastAsia="zh-CN" w:bidi="ar-SA"/>
        </w:rPr>
        <w:t>（3）</w:t>
      </w:r>
      <w:r>
        <w:rPr>
          <w:rFonts w:hint="eastAsia" w:ascii="仿宋" w:hAnsi="仿宋" w:eastAsia="仿宋" w:cs="仿宋"/>
          <w:b w:val="0"/>
          <w:bCs/>
          <w:sz w:val="24"/>
          <w:szCs w:val="24"/>
        </w:rPr>
        <w:t>发票和单据邮件方式以顺利接收第一个工作日视为送达。</w:t>
      </w:r>
    </w:p>
    <w:p w14:paraId="336BEEF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.合同期限内，如因甲方上级政策的规定要求调整变动，乙方应同意本合同无条件终止。</w:t>
      </w:r>
    </w:p>
    <w:p w14:paraId="75C75C9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.本合同的所有附件是本合同不可分割的一部分。</w:t>
      </w:r>
    </w:p>
    <w:p w14:paraId="5C301D87">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w:t>
      </w:r>
      <w:r>
        <w:rPr>
          <w:rFonts w:hint="eastAsia" w:ascii="仿宋" w:hAnsi="仿宋" w:eastAsia="仿宋" w:cs="仿宋"/>
          <w:b/>
          <w:bCs/>
          <w:sz w:val="24"/>
          <w:szCs w:val="24"/>
          <w:lang w:val="en-US" w:eastAsia="zh-CN"/>
        </w:rPr>
        <w:t>十</w:t>
      </w:r>
      <w:r>
        <w:rPr>
          <w:rFonts w:hint="eastAsia" w:ascii="仿宋" w:hAnsi="仿宋" w:eastAsia="仿宋" w:cs="仿宋"/>
          <w:b/>
          <w:bCs/>
          <w:sz w:val="24"/>
          <w:szCs w:val="24"/>
        </w:rPr>
        <w:t>条 违约责任</w:t>
      </w:r>
    </w:p>
    <w:p w14:paraId="4C0C7C6D">
      <w:pPr>
        <w:spacing w:line="360" w:lineRule="auto"/>
        <w:ind w:firstLine="480" w:firstLineChars="200"/>
        <w:rPr>
          <w:rFonts w:hint="eastAsia" w:ascii="仿宋" w:hAnsi="仿宋" w:eastAsia="仿宋" w:cs="仿宋"/>
          <w:b w:val="0"/>
          <w:bCs w:val="0"/>
          <w:sz w:val="24"/>
          <w:szCs w:val="24"/>
        </w:rPr>
      </w:pPr>
      <w:r>
        <w:rPr>
          <w:rFonts w:hint="eastAsia" w:ascii="仿宋" w:hAnsi="仿宋" w:eastAsia="仿宋" w:cs="仿宋"/>
          <w:b w:val="0"/>
          <w:bCs w:val="0"/>
          <w:sz w:val="24"/>
          <w:szCs w:val="24"/>
        </w:rPr>
        <w:t>1.乙方逾期交货，每逾期一天向甲方支付合同金额万分之五的违约金;乙方在支付违约金后，甲方要求继续履行合同义务的，乙方还应当履行应尽义务，违约金不足以弥补甲方损失的，乙方应另行赔偿损失。逾期达5天以上的，甲方有权取消当批次采购，乙方仍按前述标准支付违约金；若合同期限内累计发生逾期次数达3次以上的。甲方有权单方解除合同，且不退还履约保证金。</w:t>
      </w:r>
    </w:p>
    <w:p w14:paraId="6A18FD42">
      <w:pPr>
        <w:spacing w:line="360" w:lineRule="auto"/>
        <w:ind w:firstLine="480" w:firstLineChars="200"/>
        <w:rPr>
          <w:rFonts w:hint="eastAsia" w:ascii="仿宋" w:hAnsi="仿宋" w:eastAsia="仿宋" w:cs="仿宋"/>
          <w:sz w:val="24"/>
          <w:szCs w:val="24"/>
        </w:rPr>
      </w:pPr>
      <w:r>
        <w:rPr>
          <w:rFonts w:hint="eastAsia" w:ascii="仿宋" w:hAnsi="仿宋" w:eastAsia="仿宋" w:cs="仿宋"/>
          <w:b w:val="0"/>
          <w:bCs w:val="0"/>
          <w:sz w:val="24"/>
          <w:szCs w:val="24"/>
        </w:rPr>
        <w:t>2.</w:t>
      </w:r>
      <w:r>
        <w:rPr>
          <w:rFonts w:hint="eastAsia" w:ascii="仿宋" w:hAnsi="仿宋" w:eastAsia="仿宋" w:cs="仿宋"/>
          <w:sz w:val="24"/>
          <w:szCs w:val="24"/>
        </w:rPr>
        <w:t>乙方不履行本合同或未按合同约定的提供伴随服务，甲方可要求乙方支付违约金。乙方给应向甲方支付本合同总价款30%违约金，但乙方在支付违约金后，甲方要求继续履行合同义务的，乙方还应当履行应尽义务，违约金不足以弥补甲方损失的，乙方应另行赔偿损失。</w:t>
      </w:r>
    </w:p>
    <w:p w14:paraId="037A60A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乙方的产品不合格，包括但不限于产品的数量、包装、规格、品牌、质量等与本合同约定不符的，甲方有权拒绝接受；乙方未按时更换、重新交付的，还应当按照本条第一款的约定支付逾期违约金，逾期7日仍未更换、补足或者更换、补足后仍不符合合同约定的，甲方有权选择单方解除本合同或部分解除本合同。</w:t>
      </w:r>
    </w:p>
    <w:p w14:paraId="61E47C43">
      <w:pPr>
        <w:spacing w:line="360" w:lineRule="auto"/>
        <w:ind w:firstLine="360" w:firstLineChars="150"/>
        <w:rPr>
          <w:rFonts w:hint="eastAsia" w:ascii="仿宋" w:hAnsi="仿宋" w:eastAsia="仿宋" w:cs="仿宋"/>
          <w:color w:val="auto"/>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.乙方违约给甲</w:t>
      </w:r>
      <w:r>
        <w:rPr>
          <w:rFonts w:hint="eastAsia" w:ascii="仿宋" w:hAnsi="仿宋" w:eastAsia="仿宋" w:cs="仿宋"/>
          <w:sz w:val="24"/>
          <w:szCs w:val="24"/>
          <w:lang w:val="en-US" w:eastAsia="zh-CN"/>
        </w:rPr>
        <w:t>方</w:t>
      </w:r>
      <w:r>
        <w:rPr>
          <w:rFonts w:hint="eastAsia" w:ascii="仿宋" w:hAnsi="仿宋" w:eastAsia="仿宋" w:cs="仿宋"/>
          <w:sz w:val="24"/>
          <w:szCs w:val="24"/>
        </w:rPr>
        <w:t>造成的损失包括但不限于直接损失、以及甲方为维护自身权益而产生的诉讼费、律师</w:t>
      </w:r>
      <w:r>
        <w:rPr>
          <w:rFonts w:hint="eastAsia" w:ascii="仿宋" w:hAnsi="仿宋" w:eastAsia="仿宋" w:cs="仿宋"/>
          <w:color w:val="auto"/>
          <w:sz w:val="24"/>
          <w:szCs w:val="24"/>
        </w:rPr>
        <w:t>费、公告费、保全费、保全担保费、鉴定费等全部费用。</w:t>
      </w:r>
    </w:p>
    <w:p w14:paraId="235B7305">
      <w:pPr>
        <w:spacing w:line="360" w:lineRule="auto"/>
        <w:ind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合同期限内，如遇国家政策性因素、甲方上级相关部门的要求或其它不可抗拒性因素导致合作不能继续的，甲</w:t>
      </w:r>
      <w:r>
        <w:rPr>
          <w:rFonts w:hint="eastAsia" w:ascii="仿宋" w:hAnsi="仿宋" w:eastAsia="仿宋" w:cs="仿宋"/>
          <w:color w:val="auto"/>
          <w:sz w:val="24"/>
          <w:szCs w:val="24"/>
          <w:lang w:val="en-US" w:eastAsia="zh-CN"/>
        </w:rPr>
        <w:t>方可解除合同且无需承担违约责任</w:t>
      </w:r>
      <w:r>
        <w:rPr>
          <w:rFonts w:hint="eastAsia" w:ascii="仿宋" w:hAnsi="仿宋" w:eastAsia="仿宋" w:cs="仿宋"/>
          <w:color w:val="auto"/>
          <w:sz w:val="24"/>
          <w:szCs w:val="24"/>
        </w:rPr>
        <w:t>。合同因此解除后，甲、乙双方本着合法、公平、友好协商的原则办理货款结算等善后事宜。</w:t>
      </w:r>
    </w:p>
    <w:p w14:paraId="1D375B75">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.其他违约责任，本合同有约定的按照本合同执行，本合同没有约定的按照《民法典》相关司法解释及其他相关法律、行政法规的规定执行</w:t>
      </w:r>
    </w:p>
    <w:p w14:paraId="2AB3DC97">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第十</w:t>
      </w:r>
      <w:r>
        <w:rPr>
          <w:rFonts w:hint="eastAsia" w:ascii="仿宋" w:hAnsi="仿宋" w:eastAsia="仿宋" w:cs="仿宋"/>
          <w:b/>
          <w:sz w:val="24"/>
          <w:szCs w:val="24"/>
          <w:lang w:val="en-US" w:eastAsia="zh-CN"/>
        </w:rPr>
        <w:t>一</w:t>
      </w:r>
      <w:r>
        <w:rPr>
          <w:rFonts w:hint="eastAsia" w:ascii="仿宋" w:hAnsi="仿宋" w:eastAsia="仿宋" w:cs="仿宋"/>
          <w:b/>
          <w:sz w:val="24"/>
          <w:szCs w:val="24"/>
        </w:rPr>
        <w:t>条 争议解决</w:t>
      </w:r>
    </w:p>
    <w:p w14:paraId="1428BC7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双方在合同履行中发生争议，应本着平等互利原则协商解决。如协商不成，</w:t>
      </w:r>
      <w:r>
        <w:rPr>
          <w:rFonts w:hint="eastAsia" w:ascii="仿宋" w:hAnsi="仿宋" w:eastAsia="仿宋" w:cs="仿宋"/>
          <w:sz w:val="24"/>
          <w:szCs w:val="24"/>
          <w:lang w:val="en-US" w:eastAsia="zh-CN"/>
        </w:rPr>
        <w:t>可</w:t>
      </w:r>
      <w:r>
        <w:rPr>
          <w:rFonts w:hint="eastAsia" w:ascii="仿宋" w:hAnsi="仿宋" w:eastAsia="仿宋" w:cs="仿宋"/>
          <w:sz w:val="24"/>
          <w:szCs w:val="24"/>
        </w:rPr>
        <w:t>向甲方所在地法院提起诉讼。</w:t>
      </w:r>
    </w:p>
    <w:p w14:paraId="7E8523A9">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第十</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条 合同构成</w:t>
      </w:r>
    </w:p>
    <w:p w14:paraId="6FAD9536">
      <w:pPr>
        <w:spacing w:line="360" w:lineRule="auto"/>
        <w:ind w:left="420"/>
        <w:rPr>
          <w:rFonts w:hint="eastAsia" w:ascii="仿宋" w:hAnsi="仿宋" w:eastAsia="仿宋" w:cs="仿宋"/>
          <w:sz w:val="24"/>
          <w:szCs w:val="24"/>
        </w:rPr>
      </w:pPr>
      <w:r>
        <w:rPr>
          <w:rFonts w:hint="eastAsia" w:ascii="仿宋" w:hAnsi="仿宋" w:eastAsia="仿宋" w:cs="仿宋"/>
          <w:sz w:val="24"/>
          <w:szCs w:val="24"/>
        </w:rPr>
        <w:t>下述文件是构成合同不可分割的部分，应一并阅读和理解：</w:t>
      </w:r>
    </w:p>
    <w:p w14:paraId="6884458E">
      <w:pPr>
        <w:numPr>
          <w:ilvl w:val="0"/>
          <w:numId w:val="4"/>
        </w:numPr>
        <w:spacing w:line="360" w:lineRule="auto"/>
        <w:ind w:left="420"/>
        <w:rPr>
          <w:rFonts w:hint="eastAsia" w:ascii="仿宋" w:hAnsi="仿宋" w:eastAsia="仿宋" w:cs="仿宋"/>
          <w:sz w:val="24"/>
          <w:szCs w:val="24"/>
        </w:rPr>
      </w:pPr>
      <w:r>
        <w:rPr>
          <w:rFonts w:hint="eastAsia" w:ascii="仿宋" w:hAnsi="仿宋" w:eastAsia="仿宋" w:cs="仿宋"/>
          <w:sz w:val="24"/>
          <w:szCs w:val="24"/>
        </w:rPr>
        <w:t>本合同书及补充协议、附件；</w:t>
      </w:r>
    </w:p>
    <w:p w14:paraId="0CDDB18E">
      <w:pPr>
        <w:numPr>
          <w:ilvl w:val="0"/>
          <w:numId w:val="4"/>
        </w:numPr>
        <w:spacing w:line="360" w:lineRule="auto"/>
        <w:ind w:left="420"/>
        <w:rPr>
          <w:rFonts w:hint="eastAsia" w:ascii="仿宋" w:hAnsi="仿宋" w:eastAsia="仿宋" w:cs="仿宋"/>
          <w:sz w:val="24"/>
          <w:szCs w:val="24"/>
        </w:rPr>
      </w:pPr>
      <w:r>
        <w:rPr>
          <w:rFonts w:hint="eastAsia" w:ascii="仿宋" w:hAnsi="仿宋" w:eastAsia="仿宋" w:cs="仿宋"/>
          <w:sz w:val="24"/>
          <w:szCs w:val="24"/>
        </w:rPr>
        <w:t>中标通知书；</w:t>
      </w:r>
    </w:p>
    <w:p w14:paraId="0988B573">
      <w:pPr>
        <w:numPr>
          <w:ilvl w:val="0"/>
          <w:numId w:val="4"/>
        </w:numPr>
        <w:spacing w:line="360" w:lineRule="auto"/>
        <w:ind w:left="420"/>
        <w:rPr>
          <w:rFonts w:hint="eastAsia" w:ascii="仿宋" w:hAnsi="仿宋" w:eastAsia="仿宋" w:cs="仿宋"/>
          <w:sz w:val="24"/>
          <w:szCs w:val="24"/>
        </w:rPr>
      </w:pPr>
      <w:r>
        <w:rPr>
          <w:rFonts w:hint="eastAsia" w:ascii="仿宋" w:hAnsi="仿宋" w:eastAsia="仿宋" w:cs="仿宋"/>
          <w:sz w:val="24"/>
          <w:szCs w:val="24"/>
        </w:rPr>
        <w:t>招标文件及附件；</w:t>
      </w:r>
    </w:p>
    <w:p w14:paraId="25A61C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上述文件应视为相互补充和解释，若有不明确或不一致之处，以上面所列顺序在前者为准。</w:t>
      </w:r>
    </w:p>
    <w:p w14:paraId="21DFA916">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第十</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条</w:t>
      </w:r>
      <w:r>
        <w:rPr>
          <w:rFonts w:hint="eastAsia" w:ascii="仿宋" w:hAnsi="仿宋" w:eastAsia="仿宋" w:cs="仿宋"/>
          <w:sz w:val="24"/>
          <w:szCs w:val="24"/>
        </w:rPr>
        <w:t xml:space="preserve">  </w:t>
      </w:r>
      <w:r>
        <w:rPr>
          <w:rFonts w:hint="eastAsia" w:ascii="仿宋" w:hAnsi="仿宋" w:eastAsia="仿宋" w:cs="仿宋"/>
          <w:b/>
          <w:bCs/>
          <w:sz w:val="24"/>
          <w:szCs w:val="24"/>
        </w:rPr>
        <w:t>合同有效期及合同生效</w:t>
      </w:r>
    </w:p>
    <w:p w14:paraId="46ED4D4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本合同有效期自合同签订之日起至</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w:t>
      </w:r>
    </w:p>
    <w:p w14:paraId="5BA756F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本合同壹式陆份，甲方持肆份，乙方持壹份，采购代理机构持壹份，每份具有同等法律效力，经甲乙双方签字并盖章之日起生效。</w:t>
      </w:r>
    </w:p>
    <w:p w14:paraId="3D041B65">
      <w:pPr>
        <w:spacing w:line="360" w:lineRule="auto"/>
        <w:rPr>
          <w:rFonts w:hint="eastAsia" w:ascii="仿宋" w:hAnsi="仿宋" w:eastAsia="仿宋" w:cs="仿宋"/>
          <w:sz w:val="24"/>
          <w:szCs w:val="24"/>
        </w:rPr>
      </w:pPr>
    </w:p>
    <w:p w14:paraId="35FD5011">
      <w:pPr>
        <w:rPr>
          <w:rFonts w:hint="eastAsia" w:ascii="仿宋" w:hAnsi="仿宋" w:eastAsia="仿宋" w:cs="仿宋"/>
          <w:sz w:val="24"/>
          <w:szCs w:val="24"/>
        </w:rPr>
      </w:pPr>
      <w:r>
        <w:rPr>
          <w:rFonts w:hint="eastAsia" w:ascii="仿宋" w:hAnsi="仿宋" w:eastAsia="仿宋" w:cs="仿宋"/>
          <w:sz w:val="24"/>
          <w:szCs w:val="24"/>
        </w:rPr>
        <w:br w:type="page"/>
      </w:r>
    </w:p>
    <w:p w14:paraId="5E789D4E">
      <w:pPr>
        <w:pStyle w:val="2"/>
        <w:numPr>
          <w:ilvl w:val="3"/>
          <w:numId w:val="0"/>
        </w:numPr>
        <w:snapToGrid w:val="0"/>
        <w:spacing w:line="360" w:lineRule="auto"/>
        <w:jc w:val="center"/>
        <w:rPr>
          <w:rFonts w:hint="eastAsia" w:ascii="仿宋" w:hAnsi="仿宋" w:eastAsia="仿宋" w:cs="仿宋"/>
          <w:color w:val="auto"/>
          <w:sz w:val="44"/>
          <w:szCs w:val="44"/>
        </w:rPr>
      </w:pPr>
      <w:bookmarkStart w:id="445" w:name="_Toc21907"/>
      <w:r>
        <w:rPr>
          <w:rFonts w:hint="eastAsia" w:ascii="仿宋" w:hAnsi="仿宋" w:eastAsia="仿宋" w:cs="仿宋"/>
          <w:color w:val="auto"/>
          <w:sz w:val="44"/>
          <w:szCs w:val="44"/>
        </w:rPr>
        <w:t>第六章 采购需求</w:t>
      </w:r>
      <w:bookmarkEnd w:id="445"/>
    </w:p>
    <w:p w14:paraId="0F7F020A">
      <w:pPr>
        <w:widowControl/>
        <w:spacing w:line="360" w:lineRule="auto"/>
        <w:jc w:val="left"/>
        <w:outlineLvl w:val="1"/>
        <w:rPr>
          <w:rFonts w:hint="eastAsia" w:ascii="仿宋" w:hAnsi="仿宋" w:eastAsia="仿宋" w:cs="仿宋"/>
          <w:color w:val="auto"/>
          <w:sz w:val="22"/>
        </w:rPr>
      </w:pPr>
      <w:bookmarkStart w:id="446" w:name="_Toc4811"/>
      <w:bookmarkStart w:id="447" w:name="_Toc10530"/>
      <w:bookmarkStart w:id="448" w:name="_Toc6763"/>
      <w:bookmarkStart w:id="449" w:name="OLE_LINK2"/>
      <w:r>
        <w:rPr>
          <w:rFonts w:hint="eastAsia" w:ascii="仿宋" w:hAnsi="仿宋" w:eastAsia="仿宋" w:cs="仿宋"/>
          <w:b/>
          <w:bCs/>
          <w:color w:val="auto"/>
          <w:kern w:val="0"/>
          <w:sz w:val="24"/>
        </w:rPr>
        <w:t>一、采购标的需实现的功能或者目标，以及为落实政府采购政策需满足的要求</w:t>
      </w:r>
      <w:bookmarkEnd w:id="446"/>
      <w:bookmarkEnd w:id="447"/>
      <w:bookmarkEnd w:id="448"/>
    </w:p>
    <w:p w14:paraId="1DC9D2F1">
      <w:pPr>
        <w:pStyle w:val="19"/>
        <w:spacing w:before="0" w:beforeAutospacing="0" w:after="0" w:afterAutospacing="0" w:line="360" w:lineRule="auto"/>
        <w:ind w:firstLine="480" w:firstLineChars="200"/>
        <w:rPr>
          <w:rFonts w:hint="eastAsia" w:ascii="仿宋" w:hAnsi="仿宋" w:eastAsia="仿宋" w:cs="仿宋"/>
          <w:color w:val="auto"/>
        </w:rPr>
      </w:pPr>
      <w:r>
        <w:rPr>
          <w:rFonts w:hint="eastAsia" w:ascii="仿宋" w:hAnsi="仿宋" w:eastAsia="仿宋" w:cs="仿宋"/>
          <w:color w:val="auto"/>
        </w:rPr>
        <w:t>1．采购标的需实现的功能或者目标：</w:t>
      </w:r>
      <w:r>
        <w:rPr>
          <w:rFonts w:hint="eastAsia" w:ascii="仿宋" w:hAnsi="仿宋" w:eastAsia="仿宋" w:cs="仿宋"/>
          <w:color w:val="auto"/>
          <w:lang w:eastAsia="zh-CN"/>
        </w:rPr>
        <w:t>云南省林业和草原技术推广总站林下滇黄精栽培技术推广示范项目肥料、药品采购项目</w:t>
      </w:r>
      <w:r>
        <w:rPr>
          <w:rFonts w:hint="eastAsia" w:ascii="仿宋" w:hAnsi="仿宋" w:eastAsia="仿宋" w:cs="仿宋"/>
          <w:color w:val="auto"/>
          <w:lang w:val="en-US" w:eastAsia="zh-CN"/>
        </w:rPr>
        <w:t>，根据招标文件所提出的物资规格和服务要求，选择最优中标人</w:t>
      </w:r>
      <w:r>
        <w:rPr>
          <w:rFonts w:hint="eastAsia" w:ascii="仿宋" w:hAnsi="仿宋" w:eastAsia="仿宋" w:cs="仿宋"/>
          <w:color w:val="auto"/>
        </w:rPr>
        <w:t>。</w:t>
      </w:r>
    </w:p>
    <w:p w14:paraId="20BFF5B2">
      <w:pPr>
        <w:pStyle w:val="19"/>
        <w:spacing w:before="0" w:beforeAutospacing="0" w:after="0" w:afterAutospacing="0" w:line="360" w:lineRule="auto"/>
        <w:ind w:firstLine="480" w:firstLineChars="200"/>
        <w:rPr>
          <w:rFonts w:hint="eastAsia" w:ascii="仿宋" w:hAnsi="仿宋" w:eastAsia="仿宋" w:cs="仿宋"/>
          <w:color w:val="auto"/>
        </w:rPr>
      </w:pPr>
      <w:r>
        <w:rPr>
          <w:rFonts w:hint="eastAsia" w:ascii="仿宋" w:hAnsi="仿宋" w:eastAsia="仿宋" w:cs="仿宋"/>
          <w:color w:val="auto"/>
        </w:rPr>
        <w:t>2．落实政府采购政策需满足的要求：符合国家现行相关标准及行业标准。为落实政府采购政策及鼓励节能政策：在技术、服务等指标同等条件下，优先采购节能产品；鼓励环保政策：在性能、技术、服务等指标同等条件下，优先采购环保产品；促进中小企业发展政策、监狱企业、残疾人福利性单位扶持政策：评审时小型和微型企业产品享受10%的价格折扣。监狱企业、残疾人福利性单位视同小型、微型企业。</w:t>
      </w:r>
    </w:p>
    <w:p w14:paraId="165E3C1E">
      <w:pPr>
        <w:widowControl/>
        <w:spacing w:line="360" w:lineRule="auto"/>
        <w:jc w:val="left"/>
        <w:outlineLvl w:val="1"/>
        <w:rPr>
          <w:rFonts w:hint="eastAsia" w:ascii="仿宋" w:hAnsi="仿宋" w:eastAsia="仿宋" w:cs="仿宋"/>
          <w:b/>
          <w:bCs/>
          <w:color w:val="auto"/>
          <w:kern w:val="0"/>
          <w:sz w:val="24"/>
        </w:rPr>
      </w:pPr>
      <w:bookmarkStart w:id="450" w:name="_Toc21614"/>
      <w:bookmarkStart w:id="451" w:name="_Toc29720"/>
      <w:bookmarkStart w:id="452" w:name="_Toc4219"/>
      <w:r>
        <w:rPr>
          <w:rFonts w:hint="eastAsia" w:ascii="仿宋" w:hAnsi="仿宋" w:eastAsia="仿宋" w:cs="仿宋"/>
          <w:b/>
          <w:bCs/>
          <w:color w:val="auto"/>
          <w:kern w:val="0"/>
          <w:sz w:val="24"/>
        </w:rPr>
        <w:t>二、采购标的需执行的国家相关标准、行业标准、地方标准或者其他标准、规范</w:t>
      </w:r>
      <w:bookmarkEnd w:id="450"/>
      <w:bookmarkEnd w:id="451"/>
      <w:bookmarkEnd w:id="452"/>
    </w:p>
    <w:p w14:paraId="385DAE18">
      <w:pPr>
        <w:pStyle w:val="19"/>
        <w:spacing w:before="0" w:beforeAutospacing="0" w:after="0" w:afterAutospacing="0" w:line="360" w:lineRule="auto"/>
        <w:ind w:firstLine="480" w:firstLineChars="200"/>
        <w:rPr>
          <w:rFonts w:hint="eastAsia" w:ascii="仿宋" w:hAnsi="仿宋" w:eastAsia="仿宋" w:cs="仿宋"/>
          <w:color w:val="auto"/>
        </w:rPr>
      </w:pPr>
      <w:bookmarkStart w:id="453" w:name="_Toc13072"/>
      <w:bookmarkStart w:id="454" w:name="_Toc19298"/>
      <w:r>
        <w:rPr>
          <w:rFonts w:hint="eastAsia" w:ascii="仿宋" w:hAnsi="仿宋" w:eastAsia="仿宋" w:cs="仿宋"/>
          <w:color w:val="auto"/>
        </w:rPr>
        <w:t>符合国家、地方现行相关行业标准、规范。</w:t>
      </w:r>
    </w:p>
    <w:p w14:paraId="396A6B41">
      <w:pPr>
        <w:pStyle w:val="19"/>
        <w:spacing w:before="0" w:beforeAutospacing="0" w:after="0" w:afterAutospacing="0" w:line="360" w:lineRule="auto"/>
        <w:outlineLvl w:val="1"/>
        <w:rPr>
          <w:rFonts w:hint="eastAsia" w:ascii="仿宋" w:hAnsi="仿宋" w:eastAsia="仿宋" w:cs="仿宋"/>
          <w:b/>
          <w:bCs/>
          <w:color w:val="auto"/>
        </w:rPr>
      </w:pPr>
      <w:r>
        <w:rPr>
          <w:rFonts w:hint="eastAsia" w:ascii="仿宋" w:hAnsi="仿宋" w:eastAsia="仿宋" w:cs="仿宋"/>
          <w:b/>
          <w:bCs/>
          <w:color w:val="auto"/>
        </w:rPr>
        <w:t>三、采购标的需满足的质量、安全、技术规格、物理特性等要求</w:t>
      </w:r>
    </w:p>
    <w:bookmarkEnd w:id="453"/>
    <w:bookmarkEnd w:id="454"/>
    <w:p w14:paraId="4609869A">
      <w:pPr>
        <w:pStyle w:val="19"/>
        <w:spacing w:before="0" w:beforeAutospacing="0" w:after="0" w:afterAutospacing="0" w:line="360" w:lineRule="auto"/>
        <w:jc w:val="center"/>
        <w:rPr>
          <w:rFonts w:hint="eastAsia" w:ascii="仿宋" w:hAnsi="仿宋" w:eastAsia="仿宋" w:cs="仿宋"/>
          <w:b/>
          <w:bCs/>
          <w:color w:val="auto"/>
          <w:kern w:val="0"/>
          <w:sz w:val="24"/>
          <w:lang w:val="en-US" w:eastAsia="zh-CN"/>
        </w:rPr>
        <w:sectPr>
          <w:headerReference r:id="rId9" w:type="default"/>
          <w:footerReference r:id="rId10" w:type="default"/>
          <w:pgSz w:w="11906" w:h="16838"/>
          <w:pgMar w:top="1440" w:right="1080" w:bottom="1440" w:left="1080" w:header="851" w:footer="992" w:gutter="0"/>
          <w:pgBorders>
            <w:top w:val="none" w:sz="0" w:space="0"/>
            <w:left w:val="none" w:sz="0" w:space="0"/>
            <w:bottom w:val="none" w:sz="0" w:space="0"/>
            <w:right w:val="none" w:sz="0" w:space="0"/>
          </w:pgBorders>
          <w:cols w:space="0" w:num="1"/>
          <w:docGrid w:type="lines" w:linePitch="312" w:charSpace="0"/>
        </w:sectPr>
      </w:pPr>
      <w:bookmarkStart w:id="455" w:name="_Toc30723"/>
      <w:bookmarkStart w:id="456" w:name="_Toc30564"/>
      <w:bookmarkStart w:id="457" w:name="_Toc14270"/>
    </w:p>
    <w:p w14:paraId="507FF37C">
      <w:pPr>
        <w:pStyle w:val="19"/>
        <w:spacing w:before="0" w:beforeAutospacing="0" w:after="0" w:afterAutospacing="0" w:line="360" w:lineRule="auto"/>
        <w:jc w:val="center"/>
        <w:rPr>
          <w:rFonts w:hint="eastAsia" w:ascii="仿宋" w:hAnsi="仿宋" w:eastAsia="仿宋" w:cs="仿宋"/>
          <w:b/>
          <w:bCs/>
          <w:color w:val="auto"/>
          <w:kern w:val="0"/>
          <w:sz w:val="24"/>
          <w:lang w:val="en-US" w:eastAsia="zh-CN"/>
        </w:rPr>
      </w:pPr>
      <w:r>
        <w:rPr>
          <w:rFonts w:hint="eastAsia" w:ascii="仿宋" w:hAnsi="仿宋" w:eastAsia="仿宋" w:cs="仿宋"/>
          <w:b/>
          <w:bCs/>
          <w:color w:val="auto"/>
          <w:kern w:val="0"/>
          <w:sz w:val="24"/>
          <w:lang w:val="en-US" w:eastAsia="zh-CN"/>
        </w:rPr>
        <w:t>1标段需求清单</w:t>
      </w:r>
    </w:p>
    <w:tbl>
      <w:tblPr>
        <w:tblStyle w:val="24"/>
        <w:tblW w:w="14457"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033"/>
        <w:gridCol w:w="3871"/>
        <w:gridCol w:w="4101"/>
        <w:gridCol w:w="966"/>
        <w:gridCol w:w="1897"/>
        <w:gridCol w:w="2589"/>
      </w:tblGrid>
      <w:tr w14:paraId="2C6AE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restart"/>
            <w:tcBorders>
              <w:tl2br w:val="nil"/>
              <w:tr2bl w:val="nil"/>
            </w:tcBorders>
            <w:shd w:val="clear" w:color="auto" w:fill="auto"/>
            <w:noWrap/>
            <w:vAlign w:val="center"/>
          </w:tcPr>
          <w:p w14:paraId="6063B1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肥料</w:t>
            </w:r>
          </w:p>
        </w:tc>
        <w:tc>
          <w:tcPr>
            <w:tcW w:w="3871" w:type="dxa"/>
            <w:tcBorders>
              <w:tl2br w:val="nil"/>
              <w:tr2bl w:val="nil"/>
            </w:tcBorders>
            <w:shd w:val="clear" w:color="auto" w:fill="auto"/>
            <w:vAlign w:val="top"/>
          </w:tcPr>
          <w:p w14:paraId="2D450147">
            <w:pPr>
              <w:keepNext w:val="0"/>
              <w:keepLines w:val="0"/>
              <w:widowControl/>
              <w:suppressLineNumbers w:val="0"/>
              <w:jc w:val="center"/>
              <w:textAlignment w:val="top"/>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品名</w:t>
            </w:r>
          </w:p>
        </w:tc>
        <w:tc>
          <w:tcPr>
            <w:tcW w:w="4101" w:type="dxa"/>
            <w:tcBorders>
              <w:tl2br w:val="nil"/>
              <w:tr2bl w:val="nil"/>
            </w:tcBorders>
            <w:shd w:val="clear" w:color="auto" w:fill="auto"/>
            <w:vAlign w:val="top"/>
          </w:tcPr>
          <w:p w14:paraId="7EF90C29">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技术指标</w:t>
            </w:r>
          </w:p>
        </w:tc>
        <w:tc>
          <w:tcPr>
            <w:tcW w:w="966" w:type="dxa"/>
            <w:tcBorders>
              <w:tl2br w:val="nil"/>
              <w:tr2bl w:val="nil"/>
            </w:tcBorders>
            <w:shd w:val="clear" w:color="auto" w:fill="auto"/>
            <w:vAlign w:val="center"/>
          </w:tcPr>
          <w:p w14:paraId="4BA9233A">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897" w:type="dxa"/>
            <w:tcBorders>
              <w:tl2br w:val="nil"/>
              <w:tr2bl w:val="nil"/>
            </w:tcBorders>
            <w:shd w:val="clear" w:color="auto" w:fill="auto"/>
            <w:vAlign w:val="center"/>
          </w:tcPr>
          <w:p w14:paraId="59994CB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预计采购数量</w:t>
            </w:r>
          </w:p>
        </w:tc>
        <w:tc>
          <w:tcPr>
            <w:tcW w:w="2589" w:type="dxa"/>
            <w:tcBorders>
              <w:tl2br w:val="nil"/>
              <w:tr2bl w:val="nil"/>
            </w:tcBorders>
            <w:shd w:val="clear" w:color="auto" w:fill="auto"/>
            <w:vAlign w:val="center"/>
          </w:tcPr>
          <w:p w14:paraId="3AB309CF">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预算单价（公斤/元）</w:t>
            </w:r>
          </w:p>
        </w:tc>
      </w:tr>
      <w:tr w14:paraId="5D929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033" w:type="dxa"/>
            <w:vMerge w:val="continue"/>
            <w:tcBorders>
              <w:tl2br w:val="nil"/>
              <w:tr2bl w:val="nil"/>
            </w:tcBorders>
            <w:shd w:val="clear" w:color="auto" w:fill="auto"/>
            <w:noWrap/>
            <w:vAlign w:val="center"/>
          </w:tcPr>
          <w:p w14:paraId="11ECC423">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6458A4F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微生物菌剂</w:t>
            </w:r>
          </w:p>
        </w:tc>
        <w:tc>
          <w:tcPr>
            <w:tcW w:w="4101" w:type="dxa"/>
            <w:tcBorders>
              <w:tl2br w:val="nil"/>
              <w:tr2bl w:val="nil"/>
            </w:tcBorders>
            <w:shd w:val="clear" w:color="auto" w:fill="auto"/>
            <w:vAlign w:val="center"/>
          </w:tcPr>
          <w:p w14:paraId="30AD4BF9">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A6DA30F">
            <w:pPr>
              <w:keepNext w:val="0"/>
              <w:keepLines w:val="0"/>
              <w:widowControl/>
              <w:suppressLineNumbers w:val="0"/>
              <w:jc w:val="both"/>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2、有效活菌数大于10亿/克；</w:t>
            </w:r>
          </w:p>
          <w:p w14:paraId="551A41B6">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3、40kg/袋；</w:t>
            </w:r>
          </w:p>
        </w:tc>
        <w:tc>
          <w:tcPr>
            <w:tcW w:w="966" w:type="dxa"/>
            <w:tcBorders>
              <w:tl2br w:val="nil"/>
              <w:tr2bl w:val="nil"/>
            </w:tcBorders>
            <w:shd w:val="clear" w:color="auto" w:fill="auto"/>
            <w:vAlign w:val="center"/>
          </w:tcPr>
          <w:p w14:paraId="6DFA3A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12470EA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40000</w:t>
            </w:r>
          </w:p>
        </w:tc>
        <w:tc>
          <w:tcPr>
            <w:tcW w:w="2589" w:type="dxa"/>
            <w:tcBorders>
              <w:tl2br w:val="nil"/>
              <w:tr2bl w:val="nil"/>
            </w:tcBorders>
            <w:shd w:val="clear" w:color="auto" w:fill="auto"/>
            <w:vAlign w:val="center"/>
          </w:tcPr>
          <w:p w14:paraId="05C234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3E71D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6D4CF6C2">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274B2F5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45%复合肥</w:t>
            </w:r>
          </w:p>
        </w:tc>
        <w:tc>
          <w:tcPr>
            <w:tcW w:w="4101" w:type="dxa"/>
            <w:tcBorders>
              <w:tl2br w:val="nil"/>
              <w:tr2bl w:val="nil"/>
            </w:tcBorders>
            <w:shd w:val="clear" w:color="auto" w:fill="auto"/>
            <w:vAlign w:val="center"/>
          </w:tcPr>
          <w:p w14:paraId="340E3211">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954914B">
            <w:pPr>
              <w:keepNext w:val="0"/>
              <w:keepLines w:val="0"/>
              <w:widowControl/>
              <w:suppressLineNumbers w:val="0"/>
              <w:jc w:val="left"/>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2、N-P2O5-K2O≥45%，N-P2O5-K2O比例15:15:15；</w:t>
            </w:r>
          </w:p>
          <w:p w14:paraId="6BCDC67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3、50kg/袋；</w:t>
            </w:r>
          </w:p>
        </w:tc>
        <w:tc>
          <w:tcPr>
            <w:tcW w:w="966" w:type="dxa"/>
            <w:tcBorders>
              <w:tl2br w:val="nil"/>
              <w:tr2bl w:val="nil"/>
            </w:tcBorders>
            <w:shd w:val="clear" w:color="auto" w:fill="auto"/>
            <w:vAlign w:val="center"/>
          </w:tcPr>
          <w:p w14:paraId="7A313E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5FF5CC2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10000</w:t>
            </w:r>
          </w:p>
        </w:tc>
        <w:tc>
          <w:tcPr>
            <w:tcW w:w="2589" w:type="dxa"/>
            <w:tcBorders>
              <w:tl2br w:val="nil"/>
              <w:tr2bl w:val="nil"/>
            </w:tcBorders>
            <w:shd w:val="clear" w:color="auto" w:fill="auto"/>
            <w:vAlign w:val="center"/>
          </w:tcPr>
          <w:p w14:paraId="7731A4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r w14:paraId="73A3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322FD9C3">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48541FB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16%钙镁磷</w:t>
            </w:r>
          </w:p>
        </w:tc>
        <w:tc>
          <w:tcPr>
            <w:tcW w:w="4101" w:type="dxa"/>
            <w:tcBorders>
              <w:tl2br w:val="nil"/>
              <w:tr2bl w:val="nil"/>
            </w:tcBorders>
            <w:shd w:val="clear" w:color="auto" w:fill="auto"/>
            <w:vAlign w:val="center"/>
          </w:tcPr>
          <w:p w14:paraId="68FB22B9">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0C872F7F">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2、50kg/袋；</w:t>
            </w:r>
          </w:p>
        </w:tc>
        <w:tc>
          <w:tcPr>
            <w:tcW w:w="966" w:type="dxa"/>
            <w:tcBorders>
              <w:tl2br w:val="nil"/>
              <w:tr2bl w:val="nil"/>
            </w:tcBorders>
            <w:shd w:val="clear" w:color="auto" w:fill="auto"/>
            <w:vAlign w:val="center"/>
          </w:tcPr>
          <w:p w14:paraId="1CE732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6EF796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40000</w:t>
            </w:r>
          </w:p>
        </w:tc>
        <w:tc>
          <w:tcPr>
            <w:tcW w:w="2589" w:type="dxa"/>
            <w:tcBorders>
              <w:tl2br w:val="nil"/>
              <w:tr2bl w:val="nil"/>
            </w:tcBorders>
            <w:shd w:val="clear" w:color="auto" w:fill="auto"/>
            <w:vAlign w:val="center"/>
          </w:tcPr>
          <w:p w14:paraId="04C1C2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w:t>
            </w:r>
          </w:p>
        </w:tc>
      </w:tr>
      <w:tr w14:paraId="09467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4E03414D">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5859819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腐殖土</w:t>
            </w:r>
          </w:p>
        </w:tc>
        <w:tc>
          <w:tcPr>
            <w:tcW w:w="4101" w:type="dxa"/>
            <w:tcBorders>
              <w:tl2br w:val="nil"/>
              <w:tr2bl w:val="nil"/>
            </w:tcBorders>
            <w:shd w:val="clear" w:color="auto" w:fill="auto"/>
            <w:vAlign w:val="center"/>
          </w:tcPr>
          <w:p w14:paraId="125511AC">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02D607EB">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2、20kg/袋；</w:t>
            </w:r>
          </w:p>
        </w:tc>
        <w:tc>
          <w:tcPr>
            <w:tcW w:w="966" w:type="dxa"/>
            <w:tcBorders>
              <w:tl2br w:val="nil"/>
              <w:tr2bl w:val="nil"/>
            </w:tcBorders>
            <w:shd w:val="clear" w:color="auto" w:fill="auto"/>
            <w:vAlign w:val="center"/>
          </w:tcPr>
          <w:p w14:paraId="441EE0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530A0B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400028.58</w:t>
            </w:r>
          </w:p>
        </w:tc>
        <w:tc>
          <w:tcPr>
            <w:tcW w:w="2589" w:type="dxa"/>
            <w:tcBorders>
              <w:tl2br w:val="nil"/>
              <w:tr2bl w:val="nil"/>
            </w:tcBorders>
            <w:shd w:val="clear" w:color="auto" w:fill="auto"/>
            <w:vAlign w:val="center"/>
          </w:tcPr>
          <w:p w14:paraId="5DD524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0.175</w:t>
            </w:r>
          </w:p>
        </w:tc>
      </w:tr>
      <w:tr w14:paraId="19E0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775D705F">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5040B0A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大量元素水溶肥（200-200-200）</w:t>
            </w:r>
          </w:p>
        </w:tc>
        <w:tc>
          <w:tcPr>
            <w:tcW w:w="4101" w:type="dxa"/>
            <w:tcBorders>
              <w:tl2br w:val="nil"/>
              <w:tr2bl w:val="nil"/>
            </w:tcBorders>
            <w:shd w:val="clear" w:color="auto" w:fill="auto"/>
            <w:vAlign w:val="center"/>
          </w:tcPr>
          <w:p w14:paraId="1BB8D97D">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725D1BFD">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2、N≥200g/L、P2O5≥200g/L、K2O≥200g/L；</w:t>
            </w:r>
          </w:p>
          <w:p w14:paraId="646B2013">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3、20kg/桶；</w:t>
            </w:r>
          </w:p>
        </w:tc>
        <w:tc>
          <w:tcPr>
            <w:tcW w:w="966" w:type="dxa"/>
            <w:tcBorders>
              <w:tl2br w:val="nil"/>
              <w:tr2bl w:val="nil"/>
            </w:tcBorders>
            <w:shd w:val="clear" w:color="auto" w:fill="auto"/>
            <w:vAlign w:val="center"/>
          </w:tcPr>
          <w:p w14:paraId="20578A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1252232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13000</w:t>
            </w:r>
          </w:p>
        </w:tc>
        <w:tc>
          <w:tcPr>
            <w:tcW w:w="2589" w:type="dxa"/>
            <w:tcBorders>
              <w:tl2br w:val="nil"/>
              <w:tr2bl w:val="nil"/>
            </w:tcBorders>
            <w:shd w:val="clear" w:color="auto" w:fill="auto"/>
            <w:vAlign w:val="center"/>
          </w:tcPr>
          <w:p w14:paraId="1B8FC1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r>
      <w:tr w14:paraId="77789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4CF539FA">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09E3164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中微量元素水溶肥（钙镁硼锌铁）</w:t>
            </w:r>
          </w:p>
        </w:tc>
        <w:tc>
          <w:tcPr>
            <w:tcW w:w="4101" w:type="dxa"/>
            <w:tcBorders>
              <w:tl2br w:val="nil"/>
              <w:tr2bl w:val="nil"/>
            </w:tcBorders>
            <w:shd w:val="clear" w:color="auto" w:fill="auto"/>
            <w:vAlign w:val="center"/>
          </w:tcPr>
          <w:p w14:paraId="2FCEF1C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B75ADA1">
            <w:pPr>
              <w:keepNext w:val="0"/>
              <w:keepLines w:val="0"/>
              <w:widowControl/>
              <w:suppressLineNumbers w:val="0"/>
              <w:jc w:val="left"/>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2、主要成分包含钙镁硼锌铁</w:t>
            </w:r>
          </w:p>
          <w:p w14:paraId="4449AD3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3、20kg/袋</w:t>
            </w:r>
          </w:p>
        </w:tc>
        <w:tc>
          <w:tcPr>
            <w:tcW w:w="966" w:type="dxa"/>
            <w:tcBorders>
              <w:tl2br w:val="nil"/>
              <w:tr2bl w:val="nil"/>
            </w:tcBorders>
            <w:shd w:val="clear" w:color="auto" w:fill="auto"/>
            <w:vAlign w:val="center"/>
          </w:tcPr>
          <w:p w14:paraId="507AAE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26B2D72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8900</w:t>
            </w:r>
          </w:p>
        </w:tc>
        <w:tc>
          <w:tcPr>
            <w:tcW w:w="2589" w:type="dxa"/>
            <w:tcBorders>
              <w:tl2br w:val="nil"/>
              <w:tr2bl w:val="nil"/>
            </w:tcBorders>
            <w:shd w:val="clear" w:color="auto" w:fill="auto"/>
            <w:vAlign w:val="center"/>
          </w:tcPr>
          <w:p w14:paraId="2A5F8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587E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0E150F58">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31B1A5D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矿源黄腐酸钾原液</w:t>
            </w:r>
          </w:p>
        </w:tc>
        <w:tc>
          <w:tcPr>
            <w:tcW w:w="4101" w:type="dxa"/>
            <w:tcBorders>
              <w:tl2br w:val="nil"/>
              <w:tr2bl w:val="nil"/>
            </w:tcBorders>
            <w:shd w:val="clear" w:color="auto" w:fill="auto"/>
            <w:vAlign w:val="center"/>
          </w:tcPr>
          <w:p w14:paraId="352A2C3B">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7804FA3">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2、20kg/桶</w:t>
            </w:r>
          </w:p>
        </w:tc>
        <w:tc>
          <w:tcPr>
            <w:tcW w:w="966" w:type="dxa"/>
            <w:tcBorders>
              <w:tl2br w:val="nil"/>
              <w:tr2bl w:val="nil"/>
            </w:tcBorders>
            <w:shd w:val="clear" w:color="auto" w:fill="auto"/>
            <w:vAlign w:val="center"/>
          </w:tcPr>
          <w:p w14:paraId="5E5164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39E07EC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8900</w:t>
            </w:r>
          </w:p>
        </w:tc>
        <w:tc>
          <w:tcPr>
            <w:tcW w:w="2589" w:type="dxa"/>
            <w:tcBorders>
              <w:tl2br w:val="nil"/>
              <w:tr2bl w:val="nil"/>
            </w:tcBorders>
            <w:shd w:val="clear" w:color="auto" w:fill="auto"/>
            <w:vAlign w:val="center"/>
          </w:tcPr>
          <w:p w14:paraId="2CB42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77208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15FFA9A5">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05E3B66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大量元素水溶肥（160-60-350）</w:t>
            </w:r>
          </w:p>
        </w:tc>
        <w:tc>
          <w:tcPr>
            <w:tcW w:w="4101" w:type="dxa"/>
            <w:tcBorders>
              <w:tl2br w:val="nil"/>
              <w:tr2bl w:val="nil"/>
            </w:tcBorders>
            <w:shd w:val="clear" w:color="auto" w:fill="auto"/>
            <w:vAlign w:val="center"/>
          </w:tcPr>
          <w:p w14:paraId="62DE6781">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784CBAC3">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2、20kg/桶</w:t>
            </w:r>
          </w:p>
        </w:tc>
        <w:tc>
          <w:tcPr>
            <w:tcW w:w="966" w:type="dxa"/>
            <w:tcBorders>
              <w:tl2br w:val="nil"/>
              <w:tr2bl w:val="nil"/>
            </w:tcBorders>
            <w:shd w:val="clear" w:color="auto" w:fill="auto"/>
            <w:vAlign w:val="center"/>
          </w:tcPr>
          <w:p w14:paraId="5025B0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11C5BD0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20010</w:t>
            </w:r>
          </w:p>
        </w:tc>
        <w:tc>
          <w:tcPr>
            <w:tcW w:w="2589" w:type="dxa"/>
            <w:tcBorders>
              <w:tl2br w:val="nil"/>
              <w:tr2bl w:val="nil"/>
            </w:tcBorders>
            <w:shd w:val="clear" w:color="auto" w:fill="auto"/>
            <w:vAlign w:val="center"/>
          </w:tcPr>
          <w:p w14:paraId="164B43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r>
      <w:tr w14:paraId="2DB43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194ABF0B">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1C7B2D0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全水溶复合肥（20-10-30）</w:t>
            </w:r>
          </w:p>
        </w:tc>
        <w:tc>
          <w:tcPr>
            <w:tcW w:w="4101" w:type="dxa"/>
            <w:tcBorders>
              <w:tl2br w:val="nil"/>
              <w:tr2bl w:val="nil"/>
            </w:tcBorders>
            <w:shd w:val="clear" w:color="auto" w:fill="auto"/>
            <w:vAlign w:val="center"/>
          </w:tcPr>
          <w:p w14:paraId="0E715BB7">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40EEE678">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2、40kg/袋</w:t>
            </w:r>
          </w:p>
        </w:tc>
        <w:tc>
          <w:tcPr>
            <w:tcW w:w="966" w:type="dxa"/>
            <w:tcBorders>
              <w:tl2br w:val="nil"/>
              <w:tr2bl w:val="nil"/>
            </w:tcBorders>
            <w:shd w:val="clear" w:color="auto" w:fill="auto"/>
            <w:vAlign w:val="center"/>
          </w:tcPr>
          <w:p w14:paraId="626A75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7275B5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11500</w:t>
            </w:r>
          </w:p>
        </w:tc>
        <w:tc>
          <w:tcPr>
            <w:tcW w:w="2589" w:type="dxa"/>
            <w:tcBorders>
              <w:tl2br w:val="nil"/>
              <w:tr2bl w:val="nil"/>
            </w:tcBorders>
            <w:shd w:val="clear" w:color="auto" w:fill="auto"/>
            <w:vAlign w:val="center"/>
          </w:tcPr>
          <w:p w14:paraId="60CBA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2BD93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restart"/>
            <w:tcBorders>
              <w:tl2br w:val="nil"/>
              <w:tr2bl w:val="nil"/>
            </w:tcBorders>
            <w:shd w:val="clear" w:color="auto" w:fill="auto"/>
            <w:noWrap/>
            <w:vAlign w:val="center"/>
          </w:tcPr>
          <w:p w14:paraId="230B0D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农药</w:t>
            </w:r>
          </w:p>
        </w:tc>
        <w:tc>
          <w:tcPr>
            <w:tcW w:w="3871" w:type="dxa"/>
            <w:tcBorders>
              <w:tl2br w:val="nil"/>
              <w:tr2bl w:val="nil"/>
            </w:tcBorders>
            <w:shd w:val="clear" w:color="auto" w:fill="auto"/>
            <w:vAlign w:val="top"/>
          </w:tcPr>
          <w:p w14:paraId="61EE16D0">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品名</w:t>
            </w:r>
          </w:p>
        </w:tc>
        <w:tc>
          <w:tcPr>
            <w:tcW w:w="4101" w:type="dxa"/>
            <w:tcBorders>
              <w:tl2br w:val="nil"/>
              <w:tr2bl w:val="nil"/>
            </w:tcBorders>
            <w:shd w:val="clear" w:color="auto" w:fill="auto"/>
            <w:vAlign w:val="top"/>
          </w:tcPr>
          <w:p w14:paraId="6094D3DF">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规格</w:t>
            </w:r>
          </w:p>
        </w:tc>
        <w:tc>
          <w:tcPr>
            <w:tcW w:w="966" w:type="dxa"/>
            <w:tcBorders>
              <w:tl2br w:val="nil"/>
              <w:tr2bl w:val="nil"/>
            </w:tcBorders>
            <w:shd w:val="clear" w:color="auto" w:fill="auto"/>
            <w:vAlign w:val="center"/>
          </w:tcPr>
          <w:p w14:paraId="687A113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897" w:type="dxa"/>
            <w:tcBorders>
              <w:tl2br w:val="nil"/>
              <w:tr2bl w:val="nil"/>
            </w:tcBorders>
            <w:shd w:val="clear" w:color="auto" w:fill="auto"/>
            <w:vAlign w:val="center"/>
          </w:tcPr>
          <w:p w14:paraId="37538055">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2589" w:type="dxa"/>
            <w:tcBorders>
              <w:tl2br w:val="nil"/>
              <w:tr2bl w:val="nil"/>
            </w:tcBorders>
            <w:shd w:val="clear" w:color="auto" w:fill="auto"/>
            <w:vAlign w:val="center"/>
          </w:tcPr>
          <w:p w14:paraId="0554E4E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单价（公斤/元）</w:t>
            </w:r>
          </w:p>
        </w:tc>
      </w:tr>
      <w:tr w14:paraId="6A1B8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0B9174BB">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53A5A20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3%辛硫磷颗粒剂</w:t>
            </w:r>
          </w:p>
        </w:tc>
        <w:tc>
          <w:tcPr>
            <w:tcW w:w="4101" w:type="dxa"/>
            <w:tcBorders>
              <w:tl2br w:val="nil"/>
              <w:tr2bl w:val="nil"/>
            </w:tcBorders>
            <w:shd w:val="clear" w:color="auto" w:fill="auto"/>
            <w:vAlign w:val="center"/>
          </w:tcPr>
          <w:p w14:paraId="28AA47B5">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7F2B297">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2、1kg*20袋</w:t>
            </w:r>
          </w:p>
        </w:tc>
        <w:tc>
          <w:tcPr>
            <w:tcW w:w="966" w:type="dxa"/>
            <w:tcBorders>
              <w:tl2br w:val="nil"/>
              <w:tr2bl w:val="nil"/>
            </w:tcBorders>
            <w:shd w:val="clear" w:color="auto" w:fill="auto"/>
            <w:vAlign w:val="center"/>
          </w:tcPr>
          <w:p w14:paraId="408137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264728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1800</w:t>
            </w:r>
          </w:p>
        </w:tc>
        <w:tc>
          <w:tcPr>
            <w:tcW w:w="2589" w:type="dxa"/>
            <w:tcBorders>
              <w:tl2br w:val="nil"/>
              <w:tr2bl w:val="nil"/>
            </w:tcBorders>
            <w:shd w:val="clear" w:color="auto" w:fill="auto"/>
            <w:vAlign w:val="center"/>
          </w:tcPr>
          <w:p w14:paraId="58DAF6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7CBA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0A14178B">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757E98C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20%高效氯氟氰菊酯</w:t>
            </w:r>
          </w:p>
        </w:tc>
        <w:tc>
          <w:tcPr>
            <w:tcW w:w="4101" w:type="dxa"/>
            <w:tcBorders>
              <w:tl2br w:val="nil"/>
              <w:tr2bl w:val="nil"/>
            </w:tcBorders>
            <w:shd w:val="clear" w:color="auto" w:fill="auto"/>
            <w:vAlign w:val="center"/>
          </w:tcPr>
          <w:p w14:paraId="43C6A6FB">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3456C47C">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2、1kg*12瓶</w:t>
            </w:r>
          </w:p>
        </w:tc>
        <w:tc>
          <w:tcPr>
            <w:tcW w:w="966" w:type="dxa"/>
            <w:tcBorders>
              <w:tl2br w:val="nil"/>
              <w:tr2bl w:val="nil"/>
            </w:tcBorders>
            <w:shd w:val="clear" w:color="auto" w:fill="auto"/>
            <w:vAlign w:val="center"/>
          </w:tcPr>
          <w:p w14:paraId="7A4FF4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6ACDFD5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w:t>
            </w:r>
          </w:p>
        </w:tc>
        <w:tc>
          <w:tcPr>
            <w:tcW w:w="2589" w:type="dxa"/>
            <w:tcBorders>
              <w:tl2br w:val="nil"/>
              <w:tr2bl w:val="nil"/>
            </w:tcBorders>
            <w:shd w:val="clear" w:color="auto" w:fill="auto"/>
            <w:vAlign w:val="center"/>
          </w:tcPr>
          <w:p w14:paraId="67946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07C93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66882D51">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7DAE0C6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70%甲基硫菌灵粉剂</w:t>
            </w:r>
          </w:p>
        </w:tc>
        <w:tc>
          <w:tcPr>
            <w:tcW w:w="4101" w:type="dxa"/>
            <w:tcBorders>
              <w:tl2br w:val="nil"/>
              <w:tr2bl w:val="nil"/>
            </w:tcBorders>
            <w:shd w:val="clear" w:color="auto" w:fill="auto"/>
            <w:vAlign w:val="center"/>
          </w:tcPr>
          <w:p w14:paraId="79F93ADD">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32E500AE">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2、500g*20袋</w:t>
            </w:r>
          </w:p>
        </w:tc>
        <w:tc>
          <w:tcPr>
            <w:tcW w:w="966" w:type="dxa"/>
            <w:tcBorders>
              <w:tl2br w:val="nil"/>
              <w:tr2bl w:val="nil"/>
            </w:tcBorders>
            <w:shd w:val="clear" w:color="auto" w:fill="auto"/>
            <w:vAlign w:val="center"/>
          </w:tcPr>
          <w:p w14:paraId="607347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6D41BA3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120</w:t>
            </w:r>
          </w:p>
        </w:tc>
        <w:tc>
          <w:tcPr>
            <w:tcW w:w="2589" w:type="dxa"/>
            <w:tcBorders>
              <w:tl2br w:val="nil"/>
              <w:tr2bl w:val="nil"/>
            </w:tcBorders>
            <w:shd w:val="clear" w:color="auto" w:fill="auto"/>
            <w:vAlign w:val="center"/>
          </w:tcPr>
          <w:p w14:paraId="224A8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r>
      <w:tr w14:paraId="3CA06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4E169C68">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1979080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50%异菌脲悬浮剂</w:t>
            </w:r>
          </w:p>
        </w:tc>
        <w:tc>
          <w:tcPr>
            <w:tcW w:w="4101" w:type="dxa"/>
            <w:tcBorders>
              <w:tl2br w:val="nil"/>
              <w:tr2bl w:val="nil"/>
            </w:tcBorders>
            <w:shd w:val="clear" w:color="auto" w:fill="auto"/>
            <w:vAlign w:val="center"/>
          </w:tcPr>
          <w:p w14:paraId="63A2468E">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6C015648">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2、1kg*10瓶</w:t>
            </w:r>
          </w:p>
        </w:tc>
        <w:tc>
          <w:tcPr>
            <w:tcW w:w="966" w:type="dxa"/>
            <w:tcBorders>
              <w:tl2br w:val="nil"/>
              <w:tr2bl w:val="nil"/>
            </w:tcBorders>
            <w:shd w:val="clear" w:color="auto" w:fill="auto"/>
            <w:vAlign w:val="center"/>
          </w:tcPr>
          <w:p w14:paraId="6DF259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75B4418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180</w:t>
            </w:r>
          </w:p>
        </w:tc>
        <w:tc>
          <w:tcPr>
            <w:tcW w:w="2589" w:type="dxa"/>
            <w:tcBorders>
              <w:tl2br w:val="nil"/>
              <w:tr2bl w:val="nil"/>
            </w:tcBorders>
            <w:shd w:val="clear" w:color="auto" w:fill="auto"/>
            <w:vAlign w:val="center"/>
          </w:tcPr>
          <w:p w14:paraId="73F464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w:t>
            </w:r>
          </w:p>
        </w:tc>
      </w:tr>
      <w:tr w14:paraId="5F98F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6F660CA3">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646590A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6%春雷霉素可溶液剂</w:t>
            </w:r>
          </w:p>
        </w:tc>
        <w:tc>
          <w:tcPr>
            <w:tcW w:w="4101" w:type="dxa"/>
            <w:tcBorders>
              <w:tl2br w:val="nil"/>
              <w:tr2bl w:val="nil"/>
            </w:tcBorders>
            <w:shd w:val="clear" w:color="auto" w:fill="auto"/>
            <w:vAlign w:val="center"/>
          </w:tcPr>
          <w:p w14:paraId="3DBBF828">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54F2976">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2、1kg*12瓶</w:t>
            </w:r>
          </w:p>
        </w:tc>
        <w:tc>
          <w:tcPr>
            <w:tcW w:w="966" w:type="dxa"/>
            <w:tcBorders>
              <w:tl2br w:val="nil"/>
              <w:tr2bl w:val="nil"/>
            </w:tcBorders>
            <w:shd w:val="clear" w:color="auto" w:fill="auto"/>
            <w:vAlign w:val="center"/>
          </w:tcPr>
          <w:p w14:paraId="7BE03D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7C5B721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1000</w:t>
            </w:r>
          </w:p>
        </w:tc>
        <w:tc>
          <w:tcPr>
            <w:tcW w:w="2589" w:type="dxa"/>
            <w:tcBorders>
              <w:tl2br w:val="nil"/>
              <w:tr2bl w:val="nil"/>
            </w:tcBorders>
            <w:shd w:val="clear" w:color="auto" w:fill="auto"/>
            <w:vAlign w:val="center"/>
          </w:tcPr>
          <w:p w14:paraId="5B0672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1C6D7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2C472539">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078ACA2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75%肟菌脂戉唑醇水分散</w:t>
            </w:r>
          </w:p>
        </w:tc>
        <w:tc>
          <w:tcPr>
            <w:tcW w:w="4101" w:type="dxa"/>
            <w:tcBorders>
              <w:tl2br w:val="nil"/>
              <w:tr2bl w:val="nil"/>
            </w:tcBorders>
            <w:shd w:val="clear" w:color="auto" w:fill="auto"/>
            <w:vAlign w:val="center"/>
          </w:tcPr>
          <w:p w14:paraId="09D684F8">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59E02E09">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2、1kg*10袋</w:t>
            </w:r>
          </w:p>
        </w:tc>
        <w:tc>
          <w:tcPr>
            <w:tcW w:w="966" w:type="dxa"/>
            <w:tcBorders>
              <w:tl2br w:val="nil"/>
              <w:tr2bl w:val="nil"/>
            </w:tcBorders>
            <w:shd w:val="clear" w:color="auto" w:fill="auto"/>
            <w:vAlign w:val="center"/>
          </w:tcPr>
          <w:p w14:paraId="07B2F8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22BCF81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110</w:t>
            </w:r>
          </w:p>
        </w:tc>
        <w:tc>
          <w:tcPr>
            <w:tcW w:w="2589" w:type="dxa"/>
            <w:tcBorders>
              <w:tl2br w:val="nil"/>
              <w:tr2bl w:val="nil"/>
            </w:tcBorders>
            <w:shd w:val="clear" w:color="auto" w:fill="auto"/>
            <w:vAlign w:val="center"/>
          </w:tcPr>
          <w:p w14:paraId="14F62E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315</w:t>
            </w:r>
          </w:p>
        </w:tc>
      </w:tr>
      <w:tr w14:paraId="1DBB3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0C44347B">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4018112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20%吡唑醚菌酯悬浮剂</w:t>
            </w:r>
          </w:p>
        </w:tc>
        <w:tc>
          <w:tcPr>
            <w:tcW w:w="4101" w:type="dxa"/>
            <w:tcBorders>
              <w:tl2br w:val="nil"/>
              <w:tr2bl w:val="nil"/>
            </w:tcBorders>
            <w:shd w:val="clear" w:color="auto" w:fill="auto"/>
            <w:vAlign w:val="center"/>
          </w:tcPr>
          <w:p w14:paraId="6A57D2D7">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590CD0DD">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2、500g*20瓶</w:t>
            </w:r>
          </w:p>
        </w:tc>
        <w:tc>
          <w:tcPr>
            <w:tcW w:w="966" w:type="dxa"/>
            <w:tcBorders>
              <w:tl2br w:val="nil"/>
              <w:tr2bl w:val="nil"/>
            </w:tcBorders>
            <w:shd w:val="clear" w:color="auto" w:fill="auto"/>
            <w:vAlign w:val="center"/>
          </w:tcPr>
          <w:p w14:paraId="27FADC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43486F9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2589" w:type="dxa"/>
            <w:tcBorders>
              <w:tl2br w:val="nil"/>
              <w:tr2bl w:val="nil"/>
            </w:tcBorders>
            <w:shd w:val="clear" w:color="auto" w:fill="auto"/>
            <w:vAlign w:val="center"/>
          </w:tcPr>
          <w:p w14:paraId="0338FA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r>
      <w:tr w14:paraId="4DCA1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478B4749">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274896C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10%苯醚甲环唑悬浮剂</w:t>
            </w:r>
          </w:p>
        </w:tc>
        <w:tc>
          <w:tcPr>
            <w:tcW w:w="4101" w:type="dxa"/>
            <w:tcBorders>
              <w:tl2br w:val="nil"/>
              <w:tr2bl w:val="nil"/>
            </w:tcBorders>
            <w:shd w:val="clear" w:color="auto" w:fill="auto"/>
            <w:vAlign w:val="center"/>
          </w:tcPr>
          <w:p w14:paraId="37213E2A">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088E6D94">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2、100g*100袋</w:t>
            </w:r>
          </w:p>
        </w:tc>
        <w:tc>
          <w:tcPr>
            <w:tcW w:w="966" w:type="dxa"/>
            <w:tcBorders>
              <w:tl2br w:val="nil"/>
              <w:tr2bl w:val="nil"/>
            </w:tcBorders>
            <w:shd w:val="clear" w:color="auto" w:fill="auto"/>
            <w:vAlign w:val="center"/>
          </w:tcPr>
          <w:p w14:paraId="71E8C5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3C03784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260</w:t>
            </w:r>
          </w:p>
        </w:tc>
        <w:tc>
          <w:tcPr>
            <w:tcW w:w="2589" w:type="dxa"/>
            <w:tcBorders>
              <w:tl2br w:val="nil"/>
              <w:tr2bl w:val="nil"/>
            </w:tcBorders>
            <w:shd w:val="clear" w:color="auto" w:fill="auto"/>
            <w:vAlign w:val="center"/>
          </w:tcPr>
          <w:p w14:paraId="3BD29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641F1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340D8099">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7168E4E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24%噻呋酰胺悬浮剂</w:t>
            </w:r>
          </w:p>
        </w:tc>
        <w:tc>
          <w:tcPr>
            <w:tcW w:w="4101" w:type="dxa"/>
            <w:tcBorders>
              <w:tl2br w:val="nil"/>
              <w:tr2bl w:val="nil"/>
            </w:tcBorders>
            <w:shd w:val="clear" w:color="auto" w:fill="auto"/>
            <w:vAlign w:val="center"/>
          </w:tcPr>
          <w:p w14:paraId="413D3C7C">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3FD2E2E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2、1kg*10瓶</w:t>
            </w:r>
          </w:p>
        </w:tc>
        <w:tc>
          <w:tcPr>
            <w:tcW w:w="966" w:type="dxa"/>
            <w:tcBorders>
              <w:tl2br w:val="nil"/>
              <w:tr2bl w:val="nil"/>
            </w:tcBorders>
            <w:shd w:val="clear" w:color="auto" w:fill="auto"/>
            <w:vAlign w:val="center"/>
          </w:tcPr>
          <w:p w14:paraId="150FDE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003F91A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120</w:t>
            </w:r>
          </w:p>
        </w:tc>
        <w:tc>
          <w:tcPr>
            <w:tcW w:w="2589" w:type="dxa"/>
            <w:tcBorders>
              <w:tl2br w:val="nil"/>
              <w:tr2bl w:val="nil"/>
            </w:tcBorders>
            <w:shd w:val="clear" w:color="auto" w:fill="auto"/>
            <w:vAlign w:val="center"/>
          </w:tcPr>
          <w:p w14:paraId="0BCC6E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r>
      <w:tr w14:paraId="6282E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2C524CE3">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5049846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33.3%喹啉铜悬浮剂</w:t>
            </w:r>
          </w:p>
        </w:tc>
        <w:tc>
          <w:tcPr>
            <w:tcW w:w="4101" w:type="dxa"/>
            <w:tcBorders>
              <w:tl2br w:val="nil"/>
              <w:tr2bl w:val="nil"/>
            </w:tcBorders>
            <w:shd w:val="clear" w:color="auto" w:fill="auto"/>
            <w:vAlign w:val="center"/>
          </w:tcPr>
          <w:p w14:paraId="5A4E2B49">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664D2BD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2、1kg*12瓶</w:t>
            </w:r>
          </w:p>
        </w:tc>
        <w:tc>
          <w:tcPr>
            <w:tcW w:w="966" w:type="dxa"/>
            <w:tcBorders>
              <w:tl2br w:val="nil"/>
              <w:tr2bl w:val="nil"/>
            </w:tcBorders>
            <w:shd w:val="clear" w:color="auto" w:fill="auto"/>
            <w:vAlign w:val="center"/>
          </w:tcPr>
          <w:p w14:paraId="271686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30A3A75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w:t>
            </w:r>
          </w:p>
        </w:tc>
        <w:tc>
          <w:tcPr>
            <w:tcW w:w="2589" w:type="dxa"/>
            <w:tcBorders>
              <w:tl2br w:val="nil"/>
              <w:tr2bl w:val="nil"/>
            </w:tcBorders>
            <w:shd w:val="clear" w:color="auto" w:fill="auto"/>
            <w:vAlign w:val="center"/>
          </w:tcPr>
          <w:p w14:paraId="011477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1D427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0EB63DBB">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6F50F4E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80%烯酰吗啉水分散</w:t>
            </w:r>
          </w:p>
        </w:tc>
        <w:tc>
          <w:tcPr>
            <w:tcW w:w="4101" w:type="dxa"/>
            <w:tcBorders>
              <w:tl2br w:val="nil"/>
              <w:tr2bl w:val="nil"/>
            </w:tcBorders>
            <w:shd w:val="clear" w:color="auto" w:fill="auto"/>
            <w:vAlign w:val="center"/>
          </w:tcPr>
          <w:p w14:paraId="717729E1">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7E1A31C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2、100g*100袋</w:t>
            </w:r>
          </w:p>
        </w:tc>
        <w:tc>
          <w:tcPr>
            <w:tcW w:w="966" w:type="dxa"/>
            <w:tcBorders>
              <w:tl2br w:val="nil"/>
              <w:tr2bl w:val="nil"/>
            </w:tcBorders>
            <w:shd w:val="clear" w:color="auto" w:fill="auto"/>
            <w:vAlign w:val="center"/>
          </w:tcPr>
          <w:p w14:paraId="7F3571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52F09AD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120.25</w:t>
            </w:r>
          </w:p>
        </w:tc>
        <w:tc>
          <w:tcPr>
            <w:tcW w:w="2589" w:type="dxa"/>
            <w:tcBorders>
              <w:tl2br w:val="nil"/>
              <w:tr2bl w:val="nil"/>
            </w:tcBorders>
            <w:shd w:val="clear" w:color="auto" w:fill="auto"/>
            <w:vAlign w:val="center"/>
          </w:tcPr>
          <w:p w14:paraId="5240C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r>
      <w:tr w14:paraId="526BC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2F467E34">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1C29D8CE">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80%嘧霉胺水分散</w:t>
            </w:r>
          </w:p>
        </w:tc>
        <w:tc>
          <w:tcPr>
            <w:tcW w:w="4101" w:type="dxa"/>
            <w:tcBorders>
              <w:tl2br w:val="nil"/>
              <w:tr2bl w:val="nil"/>
            </w:tcBorders>
            <w:shd w:val="clear" w:color="auto" w:fill="auto"/>
            <w:vAlign w:val="center"/>
          </w:tcPr>
          <w:p w14:paraId="4389F0F4">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12F579E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2、100g*80袋</w:t>
            </w:r>
          </w:p>
        </w:tc>
        <w:tc>
          <w:tcPr>
            <w:tcW w:w="966" w:type="dxa"/>
            <w:tcBorders>
              <w:tl2br w:val="nil"/>
              <w:tr2bl w:val="nil"/>
            </w:tcBorders>
            <w:shd w:val="clear" w:color="auto" w:fill="auto"/>
            <w:vAlign w:val="center"/>
          </w:tcPr>
          <w:p w14:paraId="3E1276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7A118EA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150</w:t>
            </w:r>
          </w:p>
        </w:tc>
        <w:tc>
          <w:tcPr>
            <w:tcW w:w="2589" w:type="dxa"/>
            <w:tcBorders>
              <w:tl2br w:val="nil"/>
              <w:tr2bl w:val="nil"/>
            </w:tcBorders>
            <w:shd w:val="clear" w:color="auto" w:fill="auto"/>
            <w:vAlign w:val="center"/>
          </w:tcPr>
          <w:p w14:paraId="17DD10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r>
      <w:tr w14:paraId="6AB5F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68C50CC2">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4CDD8CB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50%啶酰菌胺水分散</w:t>
            </w:r>
          </w:p>
        </w:tc>
        <w:tc>
          <w:tcPr>
            <w:tcW w:w="4101" w:type="dxa"/>
            <w:tcBorders>
              <w:tl2br w:val="nil"/>
              <w:tr2bl w:val="nil"/>
            </w:tcBorders>
            <w:shd w:val="clear" w:color="auto" w:fill="auto"/>
            <w:vAlign w:val="center"/>
          </w:tcPr>
          <w:p w14:paraId="7FF91EE9">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51EFBBD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2、100g*50袋</w:t>
            </w:r>
          </w:p>
        </w:tc>
        <w:tc>
          <w:tcPr>
            <w:tcW w:w="966" w:type="dxa"/>
            <w:tcBorders>
              <w:tl2br w:val="nil"/>
              <w:tr2bl w:val="nil"/>
            </w:tcBorders>
            <w:shd w:val="clear" w:color="auto" w:fill="auto"/>
            <w:vAlign w:val="center"/>
          </w:tcPr>
          <w:p w14:paraId="5B4948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12A5CAD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200</w:t>
            </w:r>
          </w:p>
        </w:tc>
        <w:tc>
          <w:tcPr>
            <w:tcW w:w="2589" w:type="dxa"/>
            <w:tcBorders>
              <w:tl2br w:val="nil"/>
              <w:tr2bl w:val="nil"/>
            </w:tcBorders>
            <w:shd w:val="clear" w:color="auto" w:fill="auto"/>
            <w:vAlign w:val="center"/>
          </w:tcPr>
          <w:p w14:paraId="7E2699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r>
      <w:tr w14:paraId="2AB83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5722F133">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7BCEE87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25%嘧菌酯悬浮剂</w:t>
            </w:r>
          </w:p>
        </w:tc>
        <w:tc>
          <w:tcPr>
            <w:tcW w:w="4101" w:type="dxa"/>
            <w:tcBorders>
              <w:tl2br w:val="nil"/>
              <w:tr2bl w:val="nil"/>
            </w:tcBorders>
            <w:shd w:val="clear" w:color="auto" w:fill="auto"/>
            <w:vAlign w:val="center"/>
          </w:tcPr>
          <w:p w14:paraId="4C910EE4">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2CD58B2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2、500g*20瓶</w:t>
            </w:r>
          </w:p>
        </w:tc>
        <w:tc>
          <w:tcPr>
            <w:tcW w:w="966" w:type="dxa"/>
            <w:tcBorders>
              <w:tl2br w:val="nil"/>
              <w:tr2bl w:val="nil"/>
            </w:tcBorders>
            <w:shd w:val="clear" w:color="auto" w:fill="auto"/>
            <w:vAlign w:val="center"/>
          </w:tcPr>
          <w:p w14:paraId="11E863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6DE3082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w:t>
            </w:r>
          </w:p>
        </w:tc>
        <w:tc>
          <w:tcPr>
            <w:tcW w:w="2589" w:type="dxa"/>
            <w:tcBorders>
              <w:tl2br w:val="nil"/>
              <w:tr2bl w:val="nil"/>
            </w:tcBorders>
            <w:shd w:val="clear" w:color="auto" w:fill="auto"/>
            <w:vAlign w:val="center"/>
          </w:tcPr>
          <w:p w14:paraId="65492B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w:t>
            </w:r>
          </w:p>
        </w:tc>
      </w:tr>
      <w:tr w14:paraId="460BA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1D463EB2">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797CE2F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45%联苯.乙螨唑</w:t>
            </w:r>
          </w:p>
        </w:tc>
        <w:tc>
          <w:tcPr>
            <w:tcW w:w="4101" w:type="dxa"/>
            <w:tcBorders>
              <w:tl2br w:val="nil"/>
              <w:tr2bl w:val="nil"/>
            </w:tcBorders>
            <w:shd w:val="clear" w:color="auto" w:fill="auto"/>
            <w:vAlign w:val="center"/>
          </w:tcPr>
          <w:p w14:paraId="461E755E">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56715A1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2、1kg*12瓶</w:t>
            </w:r>
          </w:p>
        </w:tc>
        <w:tc>
          <w:tcPr>
            <w:tcW w:w="966" w:type="dxa"/>
            <w:tcBorders>
              <w:tl2br w:val="nil"/>
              <w:tr2bl w:val="nil"/>
            </w:tcBorders>
            <w:shd w:val="clear" w:color="auto" w:fill="auto"/>
            <w:vAlign w:val="center"/>
          </w:tcPr>
          <w:p w14:paraId="037C40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6D117A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410</w:t>
            </w:r>
          </w:p>
        </w:tc>
        <w:tc>
          <w:tcPr>
            <w:tcW w:w="2589" w:type="dxa"/>
            <w:tcBorders>
              <w:tl2br w:val="nil"/>
              <w:tr2bl w:val="nil"/>
            </w:tcBorders>
            <w:shd w:val="clear" w:color="auto" w:fill="auto"/>
            <w:vAlign w:val="center"/>
          </w:tcPr>
          <w:p w14:paraId="0EBF2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r>
      <w:tr w14:paraId="28636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2803C23B">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60063E4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6.25%精甲咯菌腈</w:t>
            </w:r>
          </w:p>
        </w:tc>
        <w:tc>
          <w:tcPr>
            <w:tcW w:w="4101" w:type="dxa"/>
            <w:tcBorders>
              <w:tl2br w:val="nil"/>
              <w:tr2bl w:val="nil"/>
            </w:tcBorders>
            <w:shd w:val="clear" w:color="auto" w:fill="auto"/>
            <w:vAlign w:val="center"/>
          </w:tcPr>
          <w:p w14:paraId="7B166773">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639E6AC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2、1kg*10瓶</w:t>
            </w:r>
          </w:p>
        </w:tc>
        <w:tc>
          <w:tcPr>
            <w:tcW w:w="966" w:type="dxa"/>
            <w:tcBorders>
              <w:tl2br w:val="nil"/>
              <w:tr2bl w:val="nil"/>
            </w:tcBorders>
            <w:shd w:val="clear" w:color="auto" w:fill="auto"/>
            <w:vAlign w:val="center"/>
          </w:tcPr>
          <w:p w14:paraId="2BEC00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22404E3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800</w:t>
            </w:r>
          </w:p>
        </w:tc>
        <w:tc>
          <w:tcPr>
            <w:tcW w:w="2589" w:type="dxa"/>
            <w:tcBorders>
              <w:tl2br w:val="nil"/>
              <w:tr2bl w:val="nil"/>
            </w:tcBorders>
            <w:shd w:val="clear" w:color="auto" w:fill="auto"/>
            <w:vAlign w:val="center"/>
          </w:tcPr>
          <w:p w14:paraId="6D0E3D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r>
      <w:tr w14:paraId="49470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2EED06B1">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0029599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5%萘乙酸水剂</w:t>
            </w:r>
          </w:p>
        </w:tc>
        <w:tc>
          <w:tcPr>
            <w:tcW w:w="4101" w:type="dxa"/>
            <w:tcBorders>
              <w:tl2br w:val="nil"/>
              <w:tr2bl w:val="nil"/>
            </w:tcBorders>
            <w:shd w:val="clear" w:color="auto" w:fill="auto"/>
            <w:vAlign w:val="center"/>
          </w:tcPr>
          <w:p w14:paraId="17E14A91">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1、符合国标标准；</w:t>
            </w:r>
          </w:p>
          <w:p w14:paraId="0D790B5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2、100g*100瓶</w:t>
            </w:r>
          </w:p>
        </w:tc>
        <w:tc>
          <w:tcPr>
            <w:tcW w:w="966" w:type="dxa"/>
            <w:tcBorders>
              <w:tl2br w:val="nil"/>
              <w:tr2bl w:val="nil"/>
            </w:tcBorders>
            <w:shd w:val="clear" w:color="auto" w:fill="auto"/>
            <w:vAlign w:val="center"/>
          </w:tcPr>
          <w:p w14:paraId="1957E5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3FDE219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360</w:t>
            </w:r>
          </w:p>
        </w:tc>
        <w:tc>
          <w:tcPr>
            <w:tcW w:w="2589" w:type="dxa"/>
            <w:tcBorders>
              <w:tl2br w:val="nil"/>
              <w:tr2bl w:val="nil"/>
            </w:tcBorders>
            <w:shd w:val="clear" w:color="auto" w:fill="auto"/>
            <w:vAlign w:val="center"/>
          </w:tcPr>
          <w:p w14:paraId="3DEF5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r>
      <w:tr w14:paraId="4F477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2453D195">
            <w:pPr>
              <w:jc w:val="center"/>
              <w:rPr>
                <w:rFonts w:hint="eastAsia" w:ascii="宋体" w:hAnsi="宋体" w:eastAsia="宋体" w:cs="宋体"/>
                <w:i w:val="0"/>
                <w:iCs w:val="0"/>
                <w:color w:val="000000"/>
                <w:sz w:val="22"/>
                <w:szCs w:val="22"/>
                <w:u w:val="none"/>
              </w:rPr>
            </w:pPr>
          </w:p>
        </w:tc>
        <w:tc>
          <w:tcPr>
            <w:tcW w:w="3871" w:type="dxa"/>
            <w:tcBorders>
              <w:tl2br w:val="nil"/>
              <w:tr2bl w:val="nil"/>
            </w:tcBorders>
            <w:shd w:val="clear" w:color="auto" w:fill="auto"/>
            <w:vAlign w:val="center"/>
          </w:tcPr>
          <w:p w14:paraId="6F664FD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98%噁霉灵粉剂</w:t>
            </w:r>
          </w:p>
        </w:tc>
        <w:tc>
          <w:tcPr>
            <w:tcW w:w="4101" w:type="dxa"/>
            <w:tcBorders>
              <w:tl2br w:val="nil"/>
              <w:tr2bl w:val="nil"/>
            </w:tcBorders>
            <w:shd w:val="clear" w:color="auto" w:fill="auto"/>
            <w:vAlign w:val="center"/>
          </w:tcPr>
          <w:p w14:paraId="08C056D5">
            <w:pPr>
              <w:keepNext w:val="0"/>
              <w:keepLines w:val="0"/>
              <w:widowControl/>
              <w:numPr>
                <w:ilvl w:val="0"/>
                <w:numId w:val="5"/>
              </w:numPr>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符合国标标准；</w:t>
            </w:r>
          </w:p>
          <w:p w14:paraId="254BBE87">
            <w:pPr>
              <w:keepNext w:val="0"/>
              <w:keepLines w:val="0"/>
              <w:widowControl/>
              <w:numPr>
                <w:ilvl w:val="0"/>
                <w:numId w:val="5"/>
              </w:numPr>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2、1kg*12瓶</w:t>
            </w:r>
          </w:p>
        </w:tc>
        <w:tc>
          <w:tcPr>
            <w:tcW w:w="966" w:type="dxa"/>
            <w:tcBorders>
              <w:tl2br w:val="nil"/>
              <w:tr2bl w:val="nil"/>
            </w:tcBorders>
            <w:shd w:val="clear" w:color="auto" w:fill="auto"/>
            <w:vAlign w:val="center"/>
          </w:tcPr>
          <w:p w14:paraId="7D659F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center"/>
          </w:tcPr>
          <w:p w14:paraId="49B4A20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300</w:t>
            </w:r>
          </w:p>
        </w:tc>
        <w:tc>
          <w:tcPr>
            <w:tcW w:w="2589" w:type="dxa"/>
            <w:tcBorders>
              <w:tl2br w:val="nil"/>
              <w:tr2bl w:val="nil"/>
            </w:tcBorders>
            <w:shd w:val="clear" w:color="auto" w:fill="auto"/>
            <w:vAlign w:val="center"/>
          </w:tcPr>
          <w:p w14:paraId="043AA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w:t>
            </w:r>
          </w:p>
        </w:tc>
      </w:tr>
    </w:tbl>
    <w:p w14:paraId="6F00AD69">
      <w:pPr>
        <w:pStyle w:val="19"/>
        <w:spacing w:before="0" w:beforeAutospacing="0" w:after="0" w:afterAutospacing="0" w:line="360" w:lineRule="auto"/>
        <w:jc w:val="center"/>
        <w:rPr>
          <w:rFonts w:hint="default" w:ascii="仿宋" w:hAnsi="仿宋" w:eastAsia="仿宋" w:cs="仿宋"/>
          <w:b/>
          <w:bCs/>
          <w:color w:val="auto"/>
          <w:kern w:val="0"/>
          <w:sz w:val="24"/>
          <w:lang w:val="en-US" w:eastAsia="zh-CN"/>
        </w:rPr>
      </w:pPr>
    </w:p>
    <w:p w14:paraId="2FC49504">
      <w:pPr>
        <w:rPr>
          <w:rFonts w:hint="eastAsia"/>
        </w:rPr>
      </w:pPr>
      <w:r>
        <w:rPr>
          <w:rFonts w:hint="eastAsia" w:ascii="仿宋" w:hAnsi="仿宋" w:eastAsia="仿宋" w:cs="仿宋"/>
          <w:b/>
          <w:bCs/>
          <w:color w:val="auto"/>
          <w:kern w:val="0"/>
          <w:sz w:val="24"/>
        </w:rPr>
        <w:br w:type="page"/>
      </w:r>
    </w:p>
    <w:p w14:paraId="41CEC088">
      <w:pPr>
        <w:pStyle w:val="19"/>
        <w:spacing w:before="0" w:beforeAutospacing="0" w:after="0" w:afterAutospacing="0" w:line="360" w:lineRule="auto"/>
        <w:jc w:val="center"/>
        <w:rPr>
          <w:rFonts w:hint="eastAsia" w:ascii="仿宋" w:hAnsi="仿宋" w:eastAsia="仿宋" w:cs="仿宋"/>
          <w:b/>
          <w:bCs/>
          <w:color w:val="auto"/>
          <w:kern w:val="0"/>
          <w:sz w:val="24"/>
          <w:lang w:val="en-US" w:eastAsia="zh-CN"/>
        </w:rPr>
      </w:pPr>
      <w:r>
        <w:rPr>
          <w:rFonts w:hint="eastAsia" w:ascii="仿宋" w:hAnsi="仿宋" w:eastAsia="仿宋" w:cs="仿宋"/>
          <w:b/>
          <w:bCs/>
          <w:color w:val="auto"/>
          <w:kern w:val="0"/>
          <w:sz w:val="24"/>
          <w:lang w:val="en-US" w:eastAsia="zh-CN"/>
        </w:rPr>
        <w:t>2标段需求清单</w:t>
      </w:r>
    </w:p>
    <w:tbl>
      <w:tblPr>
        <w:tblStyle w:val="24"/>
        <w:tblW w:w="14457"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033"/>
        <w:gridCol w:w="3250"/>
        <w:gridCol w:w="4722"/>
        <w:gridCol w:w="966"/>
        <w:gridCol w:w="1897"/>
        <w:gridCol w:w="2589"/>
      </w:tblGrid>
      <w:tr w14:paraId="57795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2" w:hRule="atLeast"/>
        </w:trPr>
        <w:tc>
          <w:tcPr>
            <w:tcW w:w="1033" w:type="dxa"/>
            <w:vMerge w:val="restart"/>
            <w:tcBorders>
              <w:tl2br w:val="nil"/>
              <w:tr2bl w:val="nil"/>
            </w:tcBorders>
            <w:shd w:val="clear" w:color="auto" w:fill="auto"/>
            <w:noWrap/>
            <w:vAlign w:val="center"/>
          </w:tcPr>
          <w:p w14:paraId="0DA14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肥料</w:t>
            </w:r>
          </w:p>
        </w:tc>
        <w:tc>
          <w:tcPr>
            <w:tcW w:w="3250" w:type="dxa"/>
            <w:tcBorders>
              <w:tl2br w:val="nil"/>
              <w:tr2bl w:val="nil"/>
            </w:tcBorders>
            <w:shd w:val="clear" w:color="auto" w:fill="auto"/>
            <w:vAlign w:val="top"/>
          </w:tcPr>
          <w:p w14:paraId="51BDA15F">
            <w:pPr>
              <w:keepNext w:val="0"/>
              <w:keepLines w:val="0"/>
              <w:widowControl/>
              <w:suppressLineNumbers w:val="0"/>
              <w:jc w:val="center"/>
              <w:textAlignment w:val="top"/>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品名</w:t>
            </w:r>
          </w:p>
        </w:tc>
        <w:tc>
          <w:tcPr>
            <w:tcW w:w="4722" w:type="dxa"/>
            <w:tcBorders>
              <w:tl2br w:val="nil"/>
              <w:tr2bl w:val="nil"/>
            </w:tcBorders>
            <w:shd w:val="clear" w:color="auto" w:fill="auto"/>
            <w:vAlign w:val="top"/>
          </w:tcPr>
          <w:p w14:paraId="3EC2D510">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技术指标</w:t>
            </w:r>
          </w:p>
        </w:tc>
        <w:tc>
          <w:tcPr>
            <w:tcW w:w="966" w:type="dxa"/>
            <w:tcBorders>
              <w:tl2br w:val="nil"/>
              <w:tr2bl w:val="nil"/>
            </w:tcBorders>
            <w:shd w:val="clear" w:color="auto" w:fill="auto"/>
            <w:vAlign w:val="center"/>
          </w:tcPr>
          <w:p w14:paraId="373A36B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897" w:type="dxa"/>
            <w:tcBorders>
              <w:tl2br w:val="nil"/>
              <w:tr2bl w:val="nil"/>
            </w:tcBorders>
            <w:shd w:val="clear" w:color="auto" w:fill="auto"/>
            <w:vAlign w:val="center"/>
          </w:tcPr>
          <w:p w14:paraId="7D06000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预计采购数量</w:t>
            </w:r>
          </w:p>
        </w:tc>
        <w:tc>
          <w:tcPr>
            <w:tcW w:w="2589" w:type="dxa"/>
            <w:tcBorders>
              <w:tl2br w:val="nil"/>
              <w:tr2bl w:val="nil"/>
            </w:tcBorders>
            <w:shd w:val="clear" w:color="auto" w:fill="auto"/>
            <w:vAlign w:val="center"/>
          </w:tcPr>
          <w:p w14:paraId="1E4BF93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预算单价（公斤/元）</w:t>
            </w:r>
          </w:p>
        </w:tc>
      </w:tr>
      <w:tr w14:paraId="49AE9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1033" w:type="dxa"/>
            <w:vMerge w:val="continue"/>
            <w:tcBorders>
              <w:tl2br w:val="nil"/>
              <w:tr2bl w:val="nil"/>
            </w:tcBorders>
            <w:shd w:val="clear" w:color="auto" w:fill="auto"/>
            <w:noWrap/>
            <w:vAlign w:val="center"/>
          </w:tcPr>
          <w:p w14:paraId="2659C4C5">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4E4593DE">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 xml:space="preserve">钙镁磷 </w:t>
            </w:r>
          </w:p>
        </w:tc>
        <w:tc>
          <w:tcPr>
            <w:tcW w:w="4722" w:type="dxa"/>
            <w:tcBorders>
              <w:tl2br w:val="nil"/>
              <w:tr2bl w:val="nil"/>
            </w:tcBorders>
            <w:shd w:val="clear" w:color="auto" w:fill="auto"/>
            <w:vAlign w:val="center"/>
          </w:tcPr>
          <w:p w14:paraId="2653684F">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3469593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6B68FF7F">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20000</w:t>
            </w:r>
          </w:p>
        </w:tc>
        <w:tc>
          <w:tcPr>
            <w:tcW w:w="2589" w:type="dxa"/>
            <w:tcBorders>
              <w:tl2br w:val="nil"/>
              <w:tr2bl w:val="nil"/>
            </w:tcBorders>
            <w:shd w:val="clear" w:color="auto" w:fill="auto"/>
            <w:vAlign w:val="center"/>
          </w:tcPr>
          <w:p w14:paraId="18B209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331F0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0D330721">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0E8BCB65">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水溶肥</w:t>
            </w:r>
          </w:p>
        </w:tc>
        <w:tc>
          <w:tcPr>
            <w:tcW w:w="4722" w:type="dxa"/>
            <w:tcBorders>
              <w:tl2br w:val="nil"/>
              <w:tr2bl w:val="nil"/>
            </w:tcBorders>
            <w:shd w:val="clear" w:color="auto" w:fill="auto"/>
            <w:vAlign w:val="center"/>
          </w:tcPr>
          <w:p w14:paraId="4FDEAC19">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612206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728583EC">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15000</w:t>
            </w:r>
          </w:p>
        </w:tc>
        <w:tc>
          <w:tcPr>
            <w:tcW w:w="2589" w:type="dxa"/>
            <w:tcBorders>
              <w:tl2br w:val="nil"/>
              <w:tr2bl w:val="nil"/>
            </w:tcBorders>
            <w:shd w:val="clear" w:color="auto" w:fill="auto"/>
            <w:vAlign w:val="center"/>
          </w:tcPr>
          <w:p w14:paraId="029AEA2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6</w:t>
            </w:r>
          </w:p>
        </w:tc>
      </w:tr>
      <w:tr w14:paraId="55E81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1D4E5916">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57459D8E">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有机肥</w:t>
            </w:r>
          </w:p>
        </w:tc>
        <w:tc>
          <w:tcPr>
            <w:tcW w:w="4722" w:type="dxa"/>
            <w:tcBorders>
              <w:tl2br w:val="nil"/>
              <w:tr2bl w:val="nil"/>
            </w:tcBorders>
            <w:shd w:val="clear" w:color="auto" w:fill="auto"/>
            <w:vAlign w:val="center"/>
          </w:tcPr>
          <w:p w14:paraId="7FE82456">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63ABE3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0EEBD80F">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28000</w:t>
            </w:r>
          </w:p>
        </w:tc>
        <w:tc>
          <w:tcPr>
            <w:tcW w:w="2589" w:type="dxa"/>
            <w:tcBorders>
              <w:tl2br w:val="nil"/>
              <w:tr2bl w:val="nil"/>
            </w:tcBorders>
            <w:shd w:val="clear" w:color="auto" w:fill="auto"/>
            <w:vAlign w:val="center"/>
          </w:tcPr>
          <w:p w14:paraId="524B65C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w:t>
            </w:r>
          </w:p>
        </w:tc>
      </w:tr>
      <w:tr w14:paraId="30EB3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649AB54C">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63EBF5E9">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复合肥</w:t>
            </w:r>
          </w:p>
        </w:tc>
        <w:tc>
          <w:tcPr>
            <w:tcW w:w="4722" w:type="dxa"/>
            <w:tcBorders>
              <w:tl2br w:val="nil"/>
              <w:tr2bl w:val="nil"/>
            </w:tcBorders>
            <w:shd w:val="clear" w:color="auto" w:fill="auto"/>
            <w:vAlign w:val="center"/>
          </w:tcPr>
          <w:p w14:paraId="2DB23DFB">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6F5638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25DA4281">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8000</w:t>
            </w:r>
          </w:p>
        </w:tc>
        <w:tc>
          <w:tcPr>
            <w:tcW w:w="2589" w:type="dxa"/>
            <w:tcBorders>
              <w:tl2br w:val="nil"/>
              <w:tr2bl w:val="nil"/>
            </w:tcBorders>
            <w:shd w:val="clear" w:color="auto" w:fill="auto"/>
            <w:vAlign w:val="center"/>
          </w:tcPr>
          <w:p w14:paraId="48B1A2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266D0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restart"/>
            <w:tcBorders>
              <w:tl2br w:val="nil"/>
              <w:tr2bl w:val="nil"/>
            </w:tcBorders>
            <w:shd w:val="clear" w:color="auto" w:fill="auto"/>
            <w:noWrap/>
            <w:vAlign w:val="center"/>
          </w:tcPr>
          <w:p w14:paraId="6B8EEB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农药</w:t>
            </w:r>
          </w:p>
        </w:tc>
        <w:tc>
          <w:tcPr>
            <w:tcW w:w="3250" w:type="dxa"/>
            <w:tcBorders>
              <w:tl2br w:val="nil"/>
              <w:tr2bl w:val="nil"/>
            </w:tcBorders>
            <w:shd w:val="clear" w:color="auto" w:fill="auto"/>
            <w:vAlign w:val="top"/>
          </w:tcPr>
          <w:p w14:paraId="3CE63E06">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品名</w:t>
            </w:r>
          </w:p>
        </w:tc>
        <w:tc>
          <w:tcPr>
            <w:tcW w:w="4722" w:type="dxa"/>
            <w:tcBorders>
              <w:tl2br w:val="nil"/>
              <w:tr2bl w:val="nil"/>
            </w:tcBorders>
            <w:shd w:val="clear" w:color="auto" w:fill="auto"/>
            <w:vAlign w:val="top"/>
          </w:tcPr>
          <w:p w14:paraId="7774500E">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规格</w:t>
            </w:r>
          </w:p>
        </w:tc>
        <w:tc>
          <w:tcPr>
            <w:tcW w:w="966" w:type="dxa"/>
            <w:tcBorders>
              <w:tl2br w:val="nil"/>
              <w:tr2bl w:val="nil"/>
            </w:tcBorders>
            <w:shd w:val="clear" w:color="auto" w:fill="auto"/>
            <w:vAlign w:val="center"/>
          </w:tcPr>
          <w:p w14:paraId="6367881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897" w:type="dxa"/>
            <w:tcBorders>
              <w:tl2br w:val="nil"/>
              <w:tr2bl w:val="nil"/>
            </w:tcBorders>
            <w:shd w:val="clear" w:color="auto" w:fill="auto"/>
            <w:vAlign w:val="center"/>
          </w:tcPr>
          <w:p w14:paraId="0815CC2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2589" w:type="dxa"/>
            <w:tcBorders>
              <w:tl2br w:val="nil"/>
              <w:tr2bl w:val="nil"/>
            </w:tcBorders>
            <w:shd w:val="clear" w:color="auto" w:fill="auto"/>
            <w:vAlign w:val="center"/>
          </w:tcPr>
          <w:p w14:paraId="21AE6CA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单价（公斤/元）</w:t>
            </w:r>
          </w:p>
        </w:tc>
      </w:tr>
      <w:tr w14:paraId="68318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615201CD">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0D80E398">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土壤杀虫剂</w:t>
            </w:r>
          </w:p>
        </w:tc>
        <w:tc>
          <w:tcPr>
            <w:tcW w:w="4722" w:type="dxa"/>
            <w:tcBorders>
              <w:tl2br w:val="nil"/>
              <w:tr2bl w:val="nil"/>
            </w:tcBorders>
            <w:shd w:val="clear" w:color="auto" w:fill="auto"/>
            <w:vAlign w:val="center"/>
          </w:tcPr>
          <w:p w14:paraId="3EDB9FA6">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6996EB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794F701C">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1000</w:t>
            </w:r>
          </w:p>
        </w:tc>
        <w:tc>
          <w:tcPr>
            <w:tcW w:w="2589" w:type="dxa"/>
            <w:tcBorders>
              <w:tl2br w:val="nil"/>
              <w:tr2bl w:val="nil"/>
            </w:tcBorders>
            <w:shd w:val="clear" w:color="auto" w:fill="auto"/>
            <w:vAlign w:val="center"/>
          </w:tcPr>
          <w:p w14:paraId="76249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39ED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1CA4C446">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37A46CAA">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灌根杀菌剂</w:t>
            </w:r>
          </w:p>
        </w:tc>
        <w:tc>
          <w:tcPr>
            <w:tcW w:w="4722" w:type="dxa"/>
            <w:tcBorders>
              <w:tl2br w:val="nil"/>
              <w:tr2bl w:val="nil"/>
            </w:tcBorders>
            <w:shd w:val="clear" w:color="auto" w:fill="auto"/>
            <w:vAlign w:val="center"/>
          </w:tcPr>
          <w:p w14:paraId="2C056E8E">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468B1C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4C02889B">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300</w:t>
            </w:r>
          </w:p>
        </w:tc>
        <w:tc>
          <w:tcPr>
            <w:tcW w:w="2589" w:type="dxa"/>
            <w:tcBorders>
              <w:tl2br w:val="nil"/>
              <w:tr2bl w:val="nil"/>
            </w:tcBorders>
            <w:shd w:val="clear" w:color="auto" w:fill="auto"/>
            <w:vAlign w:val="center"/>
          </w:tcPr>
          <w:p w14:paraId="61006C3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120</w:t>
            </w:r>
          </w:p>
        </w:tc>
      </w:tr>
      <w:tr w14:paraId="7E728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33" w:type="dxa"/>
            <w:vMerge w:val="continue"/>
            <w:tcBorders>
              <w:tl2br w:val="nil"/>
              <w:tr2bl w:val="nil"/>
            </w:tcBorders>
            <w:shd w:val="clear" w:color="auto" w:fill="auto"/>
            <w:noWrap/>
            <w:vAlign w:val="center"/>
          </w:tcPr>
          <w:p w14:paraId="374D12F7">
            <w:pPr>
              <w:jc w:val="center"/>
              <w:rPr>
                <w:rFonts w:hint="eastAsia" w:ascii="宋体" w:hAnsi="宋体" w:eastAsia="宋体" w:cs="宋体"/>
                <w:i w:val="0"/>
                <w:iCs w:val="0"/>
                <w:color w:val="000000"/>
                <w:sz w:val="22"/>
                <w:szCs w:val="22"/>
                <w:u w:val="none"/>
              </w:rPr>
            </w:pPr>
          </w:p>
        </w:tc>
        <w:tc>
          <w:tcPr>
            <w:tcW w:w="3250" w:type="dxa"/>
            <w:tcBorders>
              <w:tl2br w:val="nil"/>
              <w:tr2bl w:val="nil"/>
            </w:tcBorders>
            <w:shd w:val="clear" w:color="auto" w:fill="auto"/>
            <w:vAlign w:val="top"/>
          </w:tcPr>
          <w:p w14:paraId="6A1CCA3C">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叶面杀菌剂</w:t>
            </w:r>
          </w:p>
        </w:tc>
        <w:tc>
          <w:tcPr>
            <w:tcW w:w="4722" w:type="dxa"/>
            <w:tcBorders>
              <w:tl2br w:val="nil"/>
              <w:tr2bl w:val="nil"/>
            </w:tcBorders>
            <w:shd w:val="clear" w:color="auto" w:fill="auto"/>
            <w:vAlign w:val="center"/>
          </w:tcPr>
          <w:p w14:paraId="552EC1C2">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1、符合国标标准；</w:t>
            </w:r>
          </w:p>
        </w:tc>
        <w:tc>
          <w:tcPr>
            <w:tcW w:w="966" w:type="dxa"/>
            <w:tcBorders>
              <w:tl2br w:val="nil"/>
              <w:tr2bl w:val="nil"/>
            </w:tcBorders>
            <w:shd w:val="clear" w:color="auto" w:fill="auto"/>
            <w:vAlign w:val="center"/>
          </w:tcPr>
          <w:p w14:paraId="164A63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公斤</w:t>
            </w:r>
          </w:p>
        </w:tc>
        <w:tc>
          <w:tcPr>
            <w:tcW w:w="1897" w:type="dxa"/>
            <w:tcBorders>
              <w:tl2br w:val="nil"/>
              <w:tr2bl w:val="nil"/>
            </w:tcBorders>
            <w:shd w:val="clear" w:color="auto" w:fill="auto"/>
            <w:vAlign w:val="top"/>
          </w:tcPr>
          <w:p w14:paraId="5CFD700B">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200</w:t>
            </w:r>
          </w:p>
        </w:tc>
        <w:tc>
          <w:tcPr>
            <w:tcW w:w="2589" w:type="dxa"/>
            <w:tcBorders>
              <w:tl2br w:val="nil"/>
              <w:tr2bl w:val="nil"/>
            </w:tcBorders>
            <w:shd w:val="clear" w:color="auto" w:fill="auto"/>
            <w:vAlign w:val="center"/>
          </w:tcPr>
          <w:p w14:paraId="5301845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120</w:t>
            </w:r>
          </w:p>
        </w:tc>
      </w:tr>
    </w:tbl>
    <w:p w14:paraId="20167AF1">
      <w:pPr>
        <w:pStyle w:val="19"/>
        <w:spacing w:before="0" w:beforeAutospacing="0" w:after="0" w:afterAutospacing="0" w:line="360" w:lineRule="auto"/>
        <w:rPr>
          <w:rFonts w:hint="eastAsia" w:ascii="仿宋" w:hAnsi="仿宋" w:eastAsia="仿宋" w:cs="仿宋"/>
          <w:b/>
          <w:bCs/>
          <w:color w:val="auto"/>
          <w:kern w:val="0"/>
          <w:sz w:val="24"/>
        </w:rPr>
        <w:sectPr>
          <w:pgSz w:w="16838" w:h="11906" w:orient="landscape"/>
          <w:pgMar w:top="1080" w:right="1440" w:bottom="1080" w:left="1440" w:header="851" w:footer="992" w:gutter="0"/>
          <w:pgBorders>
            <w:top w:val="none" w:sz="0" w:space="0"/>
            <w:left w:val="none" w:sz="0" w:space="0"/>
            <w:bottom w:val="none" w:sz="0" w:space="0"/>
            <w:right w:val="none" w:sz="0" w:space="0"/>
          </w:pgBorders>
          <w:cols w:space="0" w:num="1"/>
          <w:docGrid w:type="lines" w:linePitch="312" w:charSpace="0"/>
        </w:sectPr>
      </w:pPr>
    </w:p>
    <w:p w14:paraId="26A8D7F7">
      <w:pPr>
        <w:pStyle w:val="19"/>
        <w:spacing w:before="0" w:beforeAutospacing="0" w:after="0" w:afterAutospacing="0" w:line="360" w:lineRule="auto"/>
        <w:rPr>
          <w:rFonts w:hint="eastAsia" w:ascii="仿宋" w:hAnsi="仿宋" w:eastAsia="仿宋" w:cs="仿宋"/>
          <w:b/>
          <w:bCs/>
          <w:color w:val="auto"/>
          <w:kern w:val="0"/>
          <w:sz w:val="24"/>
        </w:rPr>
      </w:pPr>
      <w:r>
        <w:rPr>
          <w:rFonts w:hint="eastAsia" w:ascii="仿宋" w:hAnsi="仿宋" w:eastAsia="仿宋" w:cs="仿宋"/>
          <w:b/>
          <w:bCs/>
          <w:color w:val="auto"/>
          <w:kern w:val="0"/>
          <w:sz w:val="24"/>
        </w:rPr>
        <w:t>四、采购标的的数量、采购项目交付或者实施的时间和地点</w:t>
      </w:r>
      <w:bookmarkEnd w:id="455"/>
      <w:bookmarkEnd w:id="456"/>
      <w:bookmarkEnd w:id="457"/>
    </w:p>
    <w:p w14:paraId="0C4268C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rPr>
        <w:t>采购数量以经采购人验收合格的实际采购数量为准。</w:t>
      </w:r>
    </w:p>
    <w:p w14:paraId="04F3AA57">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交付地点为:</w:t>
      </w:r>
      <w:r>
        <w:rPr>
          <w:rFonts w:hint="eastAsia" w:ascii="仿宋" w:hAnsi="仿宋" w:eastAsia="仿宋" w:cs="仿宋"/>
          <w:b w:val="0"/>
          <w:bCs w:val="0"/>
          <w:color w:val="auto"/>
          <w:sz w:val="24"/>
          <w:szCs w:val="24"/>
          <w:lang w:val="en-US" w:eastAsia="zh-CN"/>
        </w:rPr>
        <w:t>1标段：</w:t>
      </w:r>
      <w:r>
        <w:rPr>
          <w:rFonts w:hint="eastAsia" w:ascii="仿宋" w:hAnsi="仿宋" w:eastAsia="仿宋" w:cs="仿宋"/>
          <w:color w:val="auto"/>
          <w:sz w:val="24"/>
          <w:szCs w:val="24"/>
          <w:lang w:eastAsia="zh-CN"/>
        </w:rPr>
        <w:t>云南省林业和草原技术推广总站</w:t>
      </w:r>
      <w:r>
        <w:rPr>
          <w:rFonts w:hint="eastAsia" w:ascii="仿宋" w:hAnsi="仿宋" w:eastAsia="仿宋" w:cs="仿宋"/>
          <w:color w:val="auto"/>
          <w:sz w:val="24"/>
          <w:szCs w:val="24"/>
          <w:lang w:val="en-US" w:eastAsia="zh-CN"/>
        </w:rPr>
        <w:t>易门示范点</w:t>
      </w:r>
      <w:r>
        <w:rPr>
          <w:rFonts w:hint="eastAsia" w:ascii="仿宋" w:hAnsi="仿宋" w:eastAsia="仿宋" w:cs="仿宋"/>
          <w:color w:val="auto"/>
          <w:sz w:val="24"/>
          <w:szCs w:val="24"/>
        </w:rPr>
        <w:t>；</w:t>
      </w:r>
      <w:r>
        <w:rPr>
          <w:rFonts w:hint="eastAsia" w:ascii="仿宋" w:hAnsi="仿宋" w:eastAsia="仿宋" w:cs="仿宋"/>
          <w:b w:val="0"/>
          <w:bCs w:val="0"/>
          <w:color w:val="auto"/>
          <w:sz w:val="24"/>
          <w:szCs w:val="24"/>
          <w:lang w:val="en-US" w:eastAsia="zh-CN"/>
        </w:rPr>
        <w:t>2标段：</w:t>
      </w:r>
      <w:r>
        <w:rPr>
          <w:rFonts w:hint="eastAsia" w:ascii="仿宋" w:hAnsi="仿宋" w:eastAsia="仿宋" w:cs="仿宋"/>
          <w:color w:val="auto"/>
          <w:sz w:val="24"/>
          <w:szCs w:val="24"/>
          <w:lang w:eastAsia="zh-CN"/>
        </w:rPr>
        <w:t>云南省林业和草原技术推广总站</w:t>
      </w:r>
      <w:r>
        <w:rPr>
          <w:rFonts w:hint="eastAsia" w:ascii="仿宋" w:hAnsi="仿宋" w:eastAsia="仿宋" w:cs="仿宋"/>
          <w:color w:val="auto"/>
          <w:sz w:val="24"/>
          <w:szCs w:val="24"/>
          <w:lang w:val="en-US" w:eastAsia="zh-CN"/>
        </w:rPr>
        <w:t>华宁示范点</w:t>
      </w:r>
      <w:r>
        <w:rPr>
          <w:rFonts w:hint="eastAsia" w:ascii="仿宋" w:hAnsi="仿宋" w:eastAsia="仿宋" w:cs="仿宋"/>
          <w:color w:val="auto"/>
          <w:kern w:val="0"/>
          <w:sz w:val="24"/>
          <w:szCs w:val="24"/>
          <w:lang w:eastAsia="zh-CN"/>
        </w:rPr>
        <w:t>。</w:t>
      </w:r>
    </w:p>
    <w:p w14:paraId="7917F926">
      <w:pPr>
        <w:widowControl/>
        <w:spacing w:line="360" w:lineRule="auto"/>
        <w:jc w:val="left"/>
        <w:outlineLvl w:val="1"/>
        <w:rPr>
          <w:rFonts w:hint="eastAsia" w:ascii="仿宋" w:hAnsi="仿宋" w:eastAsia="仿宋" w:cs="仿宋"/>
          <w:b/>
          <w:bCs/>
          <w:color w:val="auto"/>
          <w:kern w:val="0"/>
          <w:sz w:val="24"/>
        </w:rPr>
      </w:pPr>
      <w:bookmarkStart w:id="458" w:name="_Toc9445"/>
      <w:bookmarkStart w:id="459" w:name="_Toc31834"/>
      <w:bookmarkStart w:id="460" w:name="_Toc26212"/>
      <w:r>
        <w:rPr>
          <w:rFonts w:hint="eastAsia" w:ascii="仿宋" w:hAnsi="仿宋" w:eastAsia="仿宋" w:cs="仿宋"/>
          <w:b/>
          <w:bCs/>
          <w:color w:val="auto"/>
          <w:kern w:val="0"/>
          <w:sz w:val="24"/>
        </w:rPr>
        <w:t>五、采购标的需满足的服务标准、期限、效率等要求</w:t>
      </w:r>
      <w:bookmarkEnd w:id="458"/>
      <w:bookmarkEnd w:id="459"/>
      <w:bookmarkEnd w:id="460"/>
    </w:p>
    <w:p w14:paraId="09453403">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bookmarkStart w:id="461" w:name="_Toc28884"/>
      <w:bookmarkStart w:id="462" w:name="_Toc11158"/>
      <w:bookmarkStart w:id="463" w:name="_Toc2320"/>
      <w:r>
        <w:rPr>
          <w:rFonts w:hint="eastAsia" w:ascii="仿宋" w:hAnsi="仿宋" w:eastAsia="仿宋" w:cs="仿宋"/>
          <w:color w:val="auto"/>
          <w:sz w:val="24"/>
          <w:szCs w:val="24"/>
          <w:lang w:val="en-US" w:eastAsia="zh-CN"/>
        </w:rPr>
        <w:t>1、中标人须根据采购人提供的货物采购清单，按时保质保量地配送到采购人指定地点，并提供相关售后服务。</w:t>
      </w:r>
    </w:p>
    <w:p w14:paraId="27438B8A">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2、必须在接到采购人采购清单后48小时内送达，节假日照常配送。</w:t>
      </w:r>
    </w:p>
    <w:p w14:paraId="6A557310">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3、中标人具有运输必须有相应的运输保护措施和设备。</w:t>
      </w:r>
    </w:p>
    <w:p w14:paraId="779DC576">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r>
        <w:rPr>
          <w:rFonts w:hint="eastAsia" w:ascii="仿宋" w:hAnsi="仿宋" w:eastAsia="仿宋" w:cs="仿宋"/>
          <w:b w:val="0"/>
          <w:bCs w:val="0"/>
          <w:color w:val="auto"/>
          <w:sz w:val="24"/>
        </w:rPr>
        <w:t>中标人</w:t>
      </w:r>
      <w:r>
        <w:rPr>
          <w:rFonts w:hint="eastAsia" w:ascii="仿宋" w:hAnsi="仿宋" w:eastAsia="仿宋" w:cs="仿宋"/>
          <w:color w:val="auto"/>
          <w:sz w:val="24"/>
          <w:szCs w:val="24"/>
          <w:lang w:val="en-US" w:eastAsia="zh-CN"/>
        </w:rPr>
        <w:t>不得擅自将中标货物采购、配送业务转让。</w:t>
      </w:r>
    </w:p>
    <w:p w14:paraId="4B03A5C0">
      <w:pPr>
        <w:widowControl/>
        <w:spacing w:line="360" w:lineRule="auto"/>
        <w:jc w:val="left"/>
        <w:outlineLvl w:val="1"/>
        <w:rPr>
          <w:rFonts w:hint="eastAsia" w:ascii="仿宋" w:hAnsi="仿宋" w:eastAsia="仿宋" w:cs="仿宋"/>
          <w:b/>
          <w:bCs/>
          <w:color w:val="auto"/>
          <w:kern w:val="0"/>
          <w:sz w:val="24"/>
        </w:rPr>
      </w:pPr>
      <w:r>
        <w:rPr>
          <w:rFonts w:hint="eastAsia" w:ascii="仿宋" w:hAnsi="仿宋" w:eastAsia="仿宋" w:cs="仿宋"/>
          <w:b/>
          <w:bCs/>
          <w:color w:val="auto"/>
          <w:kern w:val="0"/>
          <w:sz w:val="24"/>
        </w:rPr>
        <w:t>六、采购标的的验收标准</w:t>
      </w:r>
      <w:bookmarkEnd w:id="461"/>
      <w:bookmarkEnd w:id="462"/>
      <w:bookmarkEnd w:id="463"/>
    </w:p>
    <w:p w14:paraId="7EB49E60">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bookmarkStart w:id="464" w:name="_Toc6219"/>
      <w:bookmarkStart w:id="465" w:name="_Toc10024"/>
      <w:r>
        <w:rPr>
          <w:rFonts w:hint="eastAsia" w:ascii="仿宋" w:hAnsi="仿宋" w:eastAsia="仿宋" w:cs="仿宋"/>
          <w:color w:val="auto"/>
          <w:sz w:val="24"/>
          <w:szCs w:val="24"/>
          <w:lang w:val="en-US" w:eastAsia="zh-CN"/>
        </w:rPr>
        <w:t>1、每批次供货中标人需提供当批次货物检验(检测)合格证明，按实际供货数量验收结算。中标人严格按照采购需求执行，如发现数量不足、有效期不符合采购要求、质量存在问题等情况，中标人须在供货响应时间内采取补足或更换等处理措施，并承担由此发生的一切损失和费用。</w:t>
      </w:r>
    </w:p>
    <w:p w14:paraId="28D1B962">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中标人将货物送达采购人指定地点后，双方现场进行数量和外观验收，中标人必须在交货时提供所供产品必须具备的国家规定的相关生产许可证和注册证或批件。中标人所供货物凡出现注册商标与中标产品不符的，采购人一律不予验收，严禁使用仿冒产品，否则采购人有权解除合同;</w:t>
      </w:r>
    </w:p>
    <w:p w14:paraId="35A636F8">
      <w:pPr>
        <w:pStyle w:val="19"/>
        <w:spacing w:before="0" w:beforeAutospacing="0" w:after="0" w:afterAutospacing="0" w:line="360" w:lineRule="auto"/>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3、中标人无正当理由未征得采购人同意不得更换中标产品规格、型号、生产厂家，否则采购人不予验收;</w:t>
      </w:r>
    </w:p>
    <w:p w14:paraId="2179A1B7">
      <w:pPr>
        <w:widowControl/>
        <w:spacing w:line="360" w:lineRule="auto"/>
        <w:jc w:val="left"/>
        <w:outlineLvl w:val="1"/>
        <w:rPr>
          <w:rFonts w:hint="eastAsia" w:ascii="仿宋" w:hAnsi="仿宋" w:eastAsia="仿宋" w:cs="仿宋"/>
          <w:b/>
          <w:bCs/>
          <w:color w:val="auto"/>
          <w:kern w:val="0"/>
          <w:sz w:val="24"/>
        </w:rPr>
      </w:pPr>
      <w:bookmarkStart w:id="466" w:name="_Toc13088"/>
      <w:r>
        <w:rPr>
          <w:rFonts w:hint="eastAsia" w:ascii="仿宋" w:hAnsi="仿宋" w:eastAsia="仿宋" w:cs="仿宋"/>
          <w:b/>
          <w:bCs/>
          <w:color w:val="auto"/>
          <w:kern w:val="0"/>
          <w:sz w:val="24"/>
        </w:rPr>
        <w:t>七、采购标的的其他技术、服务等要求</w:t>
      </w:r>
      <w:bookmarkEnd w:id="464"/>
      <w:bookmarkEnd w:id="465"/>
      <w:bookmarkEnd w:id="466"/>
    </w:p>
    <w:p w14:paraId="25AD7024">
      <w:pPr>
        <w:pStyle w:val="19"/>
        <w:spacing w:before="0" w:beforeAutospacing="0" w:after="0" w:afterAutospacing="0"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无</w:t>
      </w:r>
      <w:r>
        <w:rPr>
          <w:rFonts w:hint="eastAsia" w:ascii="仿宋" w:hAnsi="仿宋" w:eastAsia="仿宋" w:cs="仿宋"/>
          <w:color w:val="auto"/>
          <w:sz w:val="24"/>
          <w:szCs w:val="24"/>
        </w:rPr>
        <w:t>。</w:t>
      </w:r>
    </w:p>
    <w:p w14:paraId="48635EE7">
      <w:pPr>
        <w:pStyle w:val="19"/>
        <w:spacing w:before="0" w:beforeAutospacing="0" w:after="0" w:afterAutospacing="0" w:line="360" w:lineRule="auto"/>
        <w:ind w:firstLine="420"/>
        <w:rPr>
          <w:rFonts w:hint="eastAsia" w:ascii="仿宋" w:hAnsi="仿宋" w:eastAsia="仿宋" w:cs="仿宋"/>
          <w:color w:val="auto"/>
          <w:sz w:val="22"/>
          <w:szCs w:val="22"/>
        </w:rPr>
      </w:pPr>
    </w:p>
    <w:bookmarkEnd w:id="449"/>
    <w:p w14:paraId="427C10A9">
      <w:pPr>
        <w:pStyle w:val="23"/>
        <w:spacing w:after="0" w:line="360" w:lineRule="auto"/>
        <w:rPr>
          <w:rFonts w:hint="eastAsia" w:ascii="仿宋" w:hAnsi="仿宋" w:eastAsia="仿宋" w:cs="仿宋"/>
          <w:color w:val="auto"/>
        </w:rPr>
      </w:pPr>
    </w:p>
    <w:p w14:paraId="6BE4732C">
      <w:pPr>
        <w:spacing w:line="360" w:lineRule="auto"/>
        <w:rPr>
          <w:rFonts w:hint="eastAsia" w:ascii="仿宋" w:hAnsi="仿宋" w:eastAsia="仿宋" w:cs="仿宋"/>
          <w:color w:val="auto"/>
        </w:rPr>
      </w:pPr>
    </w:p>
    <w:p w14:paraId="3BCED388">
      <w:pPr>
        <w:spacing w:line="360" w:lineRule="auto"/>
        <w:rPr>
          <w:rFonts w:hint="eastAsia" w:ascii="仿宋" w:hAnsi="仿宋" w:eastAsia="仿宋" w:cs="仿宋"/>
          <w:color w:val="auto"/>
        </w:rPr>
      </w:pPr>
    </w:p>
    <w:p w14:paraId="333E729C">
      <w:pPr>
        <w:spacing w:line="360" w:lineRule="auto"/>
        <w:rPr>
          <w:rFonts w:hint="eastAsia" w:ascii="仿宋" w:hAnsi="仿宋" w:eastAsia="仿宋" w:cs="仿宋"/>
          <w:color w:val="auto"/>
        </w:rPr>
      </w:pPr>
    </w:p>
    <w:p w14:paraId="51BD2E12">
      <w:pPr>
        <w:spacing w:line="360" w:lineRule="auto"/>
        <w:rPr>
          <w:rFonts w:hint="eastAsia" w:ascii="仿宋" w:hAnsi="仿宋" w:eastAsia="仿宋" w:cs="仿宋"/>
          <w:color w:val="auto"/>
        </w:rPr>
      </w:pPr>
    </w:p>
    <w:p w14:paraId="0989666E">
      <w:pPr>
        <w:pStyle w:val="8"/>
        <w:spacing w:line="360" w:lineRule="auto"/>
        <w:rPr>
          <w:rFonts w:hint="eastAsia" w:ascii="仿宋" w:hAnsi="仿宋" w:eastAsia="仿宋" w:cs="仿宋"/>
          <w:color w:val="auto"/>
        </w:rPr>
      </w:pPr>
    </w:p>
    <w:p w14:paraId="060B49B7">
      <w:pPr>
        <w:pStyle w:val="12"/>
        <w:spacing w:line="360" w:lineRule="auto"/>
        <w:rPr>
          <w:rFonts w:hint="eastAsia" w:ascii="仿宋" w:hAnsi="仿宋" w:eastAsia="仿宋" w:cs="仿宋"/>
          <w:color w:val="auto"/>
        </w:rPr>
      </w:pPr>
    </w:p>
    <w:p w14:paraId="21C515AC">
      <w:pPr>
        <w:spacing w:line="360" w:lineRule="auto"/>
        <w:rPr>
          <w:rFonts w:hint="eastAsia" w:ascii="仿宋" w:hAnsi="仿宋" w:eastAsia="仿宋" w:cs="仿宋"/>
          <w:color w:val="auto"/>
        </w:rPr>
      </w:pPr>
    </w:p>
    <w:p w14:paraId="6BCC1B90">
      <w:pPr>
        <w:spacing w:line="360" w:lineRule="auto"/>
        <w:rPr>
          <w:rFonts w:hint="eastAsia" w:ascii="仿宋" w:hAnsi="仿宋" w:eastAsia="仿宋" w:cs="仿宋"/>
          <w:color w:val="auto"/>
        </w:rPr>
      </w:pPr>
    </w:p>
    <w:p w14:paraId="44D92805">
      <w:pPr>
        <w:spacing w:line="360" w:lineRule="auto"/>
        <w:rPr>
          <w:rFonts w:hint="eastAsia" w:ascii="仿宋" w:hAnsi="仿宋" w:eastAsia="仿宋" w:cs="仿宋"/>
          <w:color w:val="auto"/>
        </w:rPr>
      </w:pPr>
      <w:r>
        <w:rPr>
          <w:rFonts w:hint="eastAsia" w:ascii="仿宋" w:hAnsi="仿宋" w:eastAsia="仿宋" w:cs="仿宋"/>
          <w:color w:val="auto"/>
        </w:rPr>
        <w:br w:type="textWrapping"/>
      </w:r>
      <w:r>
        <w:rPr>
          <w:rFonts w:hint="eastAsia" w:ascii="仿宋" w:hAnsi="仿宋" w:eastAsia="仿宋" w:cs="仿宋"/>
          <w:color w:val="auto"/>
        </w:rPr>
        <w:br w:type="textWrapping"/>
      </w:r>
      <w:r>
        <w:rPr>
          <w:rFonts w:hint="eastAsia" w:ascii="仿宋" w:hAnsi="仿宋" w:eastAsia="仿宋" w:cs="仿宋"/>
          <w:color w:val="auto"/>
        </w:rPr>
        <w:br w:type="textWrapping"/>
      </w:r>
    </w:p>
    <w:p w14:paraId="2B77EE27">
      <w:pPr>
        <w:pStyle w:val="2"/>
        <w:numPr>
          <w:ilvl w:val="3"/>
          <w:numId w:val="0"/>
        </w:numPr>
        <w:snapToGrid w:val="0"/>
        <w:spacing w:line="360" w:lineRule="auto"/>
        <w:jc w:val="center"/>
        <w:rPr>
          <w:rFonts w:hint="eastAsia" w:ascii="仿宋" w:hAnsi="仿宋" w:eastAsia="仿宋" w:cs="仿宋"/>
          <w:color w:val="auto"/>
          <w:sz w:val="44"/>
          <w:szCs w:val="44"/>
        </w:rPr>
      </w:pPr>
      <w:bookmarkStart w:id="467" w:name="_Toc20385"/>
      <w:r>
        <w:rPr>
          <w:rFonts w:hint="eastAsia" w:ascii="仿宋" w:hAnsi="仿宋" w:eastAsia="仿宋" w:cs="仿宋"/>
          <w:color w:val="auto"/>
          <w:sz w:val="44"/>
          <w:szCs w:val="44"/>
        </w:rPr>
        <w:t>第七章  投标文件格式</w:t>
      </w:r>
      <w:bookmarkEnd w:id="467"/>
    </w:p>
    <w:bookmarkEnd w:id="439"/>
    <w:bookmarkEnd w:id="440"/>
    <w:bookmarkEnd w:id="441"/>
    <w:bookmarkEnd w:id="442"/>
    <w:bookmarkEnd w:id="443"/>
    <w:bookmarkEnd w:id="444"/>
    <w:p w14:paraId="11034DCC">
      <w:pPr>
        <w:spacing w:line="360" w:lineRule="auto"/>
        <w:rPr>
          <w:rFonts w:hint="eastAsia" w:ascii="仿宋" w:hAnsi="仿宋" w:eastAsia="仿宋" w:cs="仿宋"/>
          <w:b/>
          <w:bCs/>
          <w:color w:val="auto"/>
          <w:sz w:val="72"/>
          <w:szCs w:val="72"/>
        </w:rPr>
      </w:pPr>
      <w:r>
        <w:rPr>
          <w:rFonts w:hint="eastAsia" w:ascii="仿宋" w:hAnsi="仿宋" w:eastAsia="仿宋" w:cs="仿宋"/>
          <w:b/>
          <w:bCs/>
          <w:color w:val="auto"/>
          <w:sz w:val="72"/>
          <w:szCs w:val="72"/>
        </w:rPr>
        <w:br w:type="page"/>
      </w:r>
    </w:p>
    <w:p w14:paraId="76C62BAB">
      <w:pPr>
        <w:autoSpaceDE w:val="0"/>
        <w:autoSpaceDN w:val="0"/>
        <w:adjustRightInd w:val="0"/>
        <w:spacing w:line="360" w:lineRule="auto"/>
        <w:ind w:right="84" w:rightChars="40"/>
        <w:jc w:val="center"/>
        <w:rPr>
          <w:rFonts w:hint="default" w:ascii="仿宋" w:hAnsi="仿宋" w:eastAsia="仿宋" w:cs="仿宋"/>
          <w:b/>
          <w:bCs/>
          <w:color w:val="auto"/>
          <w:sz w:val="72"/>
          <w:szCs w:val="72"/>
          <w:lang w:val="en-US" w:eastAsia="zh-CN"/>
        </w:rPr>
      </w:pPr>
      <w:r>
        <w:rPr>
          <w:rFonts w:hint="eastAsia" w:ascii="仿宋" w:hAnsi="仿宋" w:eastAsia="仿宋" w:cs="仿宋"/>
          <w:b/>
          <w:bCs/>
          <w:color w:val="auto"/>
          <w:sz w:val="60"/>
          <w:szCs w:val="60"/>
          <w:lang w:eastAsia="zh-CN"/>
        </w:rPr>
        <w:t>云南省林业和草原技术推广总站林下滇黄精栽培技术推广示范项目肥料、药品采购项目</w:t>
      </w:r>
      <w:r>
        <w:rPr>
          <w:rFonts w:hint="eastAsia" w:ascii="仿宋" w:hAnsi="仿宋" w:eastAsia="仿宋" w:cs="仿宋"/>
          <w:b/>
          <w:bCs/>
          <w:color w:val="auto"/>
          <w:sz w:val="60"/>
          <w:szCs w:val="60"/>
          <w:u w:val="single"/>
          <w:lang w:val="en-US" w:eastAsia="zh-CN"/>
        </w:rPr>
        <w:t xml:space="preserve">  </w:t>
      </w:r>
      <w:r>
        <w:rPr>
          <w:rFonts w:hint="eastAsia" w:ascii="仿宋" w:hAnsi="仿宋" w:eastAsia="仿宋" w:cs="仿宋"/>
          <w:b/>
          <w:bCs/>
          <w:color w:val="auto"/>
          <w:sz w:val="60"/>
          <w:szCs w:val="60"/>
          <w:lang w:val="en-US" w:eastAsia="zh-CN"/>
        </w:rPr>
        <w:t>标段</w:t>
      </w:r>
    </w:p>
    <w:p w14:paraId="3ACEBF1F">
      <w:pPr>
        <w:pStyle w:val="32"/>
        <w:spacing w:line="360" w:lineRule="auto"/>
        <w:outlineLvl w:val="9"/>
        <w:rPr>
          <w:rFonts w:hint="eastAsia" w:ascii="仿宋" w:hAnsi="仿宋" w:eastAsia="仿宋" w:cs="仿宋"/>
          <w:color w:val="auto"/>
          <w:sz w:val="56"/>
          <w:szCs w:val="56"/>
        </w:rPr>
      </w:pPr>
    </w:p>
    <w:p w14:paraId="559ACAFE">
      <w:pPr>
        <w:pStyle w:val="8"/>
        <w:spacing w:line="360" w:lineRule="auto"/>
        <w:rPr>
          <w:rFonts w:hint="eastAsia" w:ascii="仿宋" w:hAnsi="仿宋" w:eastAsia="仿宋" w:cs="仿宋"/>
          <w:color w:val="auto"/>
        </w:rPr>
      </w:pPr>
    </w:p>
    <w:p w14:paraId="4398C030">
      <w:pPr>
        <w:pStyle w:val="12"/>
        <w:spacing w:line="360" w:lineRule="auto"/>
        <w:rPr>
          <w:rFonts w:hint="eastAsia" w:ascii="仿宋" w:hAnsi="仿宋" w:eastAsia="仿宋" w:cs="仿宋"/>
          <w:color w:val="auto"/>
        </w:rPr>
      </w:pPr>
    </w:p>
    <w:p w14:paraId="2317CEC3">
      <w:pPr>
        <w:spacing w:line="360" w:lineRule="auto"/>
        <w:rPr>
          <w:rFonts w:hint="eastAsia" w:ascii="仿宋" w:hAnsi="仿宋" w:eastAsia="仿宋" w:cs="仿宋"/>
          <w:color w:val="auto"/>
        </w:rPr>
      </w:pPr>
    </w:p>
    <w:p w14:paraId="7827D0FB">
      <w:pPr>
        <w:pStyle w:val="5"/>
        <w:spacing w:beforeLines="0" w:line="360" w:lineRule="auto"/>
        <w:ind w:firstLine="420"/>
        <w:rPr>
          <w:rFonts w:hint="eastAsia" w:ascii="仿宋" w:hAnsi="仿宋" w:eastAsia="仿宋" w:cs="仿宋"/>
          <w:color w:val="auto"/>
        </w:rPr>
      </w:pPr>
    </w:p>
    <w:p w14:paraId="2FD10B90">
      <w:pPr>
        <w:autoSpaceDE w:val="0"/>
        <w:autoSpaceDN w:val="0"/>
        <w:adjustRightInd w:val="0"/>
        <w:spacing w:line="360" w:lineRule="auto"/>
        <w:rPr>
          <w:rFonts w:hint="eastAsia" w:ascii="仿宋" w:hAnsi="仿宋" w:eastAsia="仿宋" w:cs="仿宋"/>
          <w:color w:val="auto"/>
          <w:kern w:val="0"/>
          <w:sz w:val="28"/>
          <w:szCs w:val="24"/>
        </w:rPr>
      </w:pPr>
    </w:p>
    <w:p w14:paraId="7A391A28">
      <w:pPr>
        <w:spacing w:line="360" w:lineRule="auto"/>
        <w:jc w:val="center"/>
        <w:rPr>
          <w:rFonts w:hint="eastAsia" w:ascii="仿宋" w:hAnsi="仿宋" w:eastAsia="仿宋" w:cs="仿宋"/>
          <w:b/>
          <w:bCs/>
          <w:color w:val="auto"/>
          <w:sz w:val="96"/>
          <w:szCs w:val="96"/>
        </w:rPr>
      </w:pPr>
      <w:r>
        <w:rPr>
          <w:rFonts w:hint="eastAsia" w:ascii="仿宋" w:hAnsi="仿宋" w:eastAsia="仿宋" w:cs="仿宋"/>
          <w:b/>
          <w:bCs/>
          <w:color w:val="auto"/>
          <w:sz w:val="96"/>
          <w:szCs w:val="96"/>
        </w:rPr>
        <w:t>投标文件</w:t>
      </w:r>
    </w:p>
    <w:p w14:paraId="789111C8">
      <w:pPr>
        <w:spacing w:line="360" w:lineRule="auto"/>
        <w:jc w:val="center"/>
        <w:outlineLvl w:val="1"/>
        <w:rPr>
          <w:rFonts w:hint="eastAsia" w:ascii="仿宋" w:hAnsi="仿宋" w:eastAsia="仿宋" w:cs="仿宋"/>
          <w:b/>
          <w:bCs/>
          <w:color w:val="auto"/>
          <w:sz w:val="96"/>
          <w:szCs w:val="96"/>
        </w:rPr>
      </w:pPr>
      <w:bookmarkStart w:id="468" w:name="_Toc3812"/>
      <w:r>
        <w:rPr>
          <w:rFonts w:hint="eastAsia" w:ascii="仿宋" w:hAnsi="仿宋" w:eastAsia="仿宋" w:cs="仿宋"/>
          <w:b/>
          <w:color w:val="auto"/>
          <w:sz w:val="44"/>
          <w:szCs w:val="44"/>
        </w:rPr>
        <w:t>（资格审查部分）</w:t>
      </w:r>
      <w:bookmarkEnd w:id="468"/>
    </w:p>
    <w:p w14:paraId="4EE644D6">
      <w:pPr>
        <w:spacing w:line="360" w:lineRule="auto"/>
        <w:jc w:val="center"/>
        <w:rPr>
          <w:rFonts w:hint="eastAsia" w:ascii="仿宋" w:hAnsi="仿宋" w:eastAsia="仿宋" w:cs="仿宋"/>
          <w:b/>
          <w:bCs/>
          <w:color w:val="auto"/>
          <w:sz w:val="36"/>
          <w:szCs w:val="40"/>
          <w:lang w:eastAsia="zh-CN"/>
        </w:rPr>
      </w:pPr>
      <w:r>
        <w:rPr>
          <w:rFonts w:hint="eastAsia" w:ascii="仿宋" w:hAnsi="仿宋" w:eastAsia="仿宋" w:cs="仿宋"/>
          <w:b/>
          <w:bCs/>
          <w:color w:val="auto"/>
          <w:sz w:val="36"/>
          <w:szCs w:val="40"/>
        </w:rPr>
        <w:t>项目编号：</w:t>
      </w:r>
      <w:r>
        <w:rPr>
          <w:rFonts w:hint="eastAsia" w:ascii="仿宋" w:hAnsi="仿宋" w:eastAsia="仿宋" w:cs="仿宋"/>
          <w:b/>
          <w:bCs/>
          <w:color w:val="auto"/>
          <w:sz w:val="36"/>
          <w:szCs w:val="40"/>
          <w:lang w:eastAsia="zh-CN"/>
        </w:rPr>
        <w:t>YNZC2026-G1-00374-YNGH-0032</w:t>
      </w:r>
    </w:p>
    <w:p w14:paraId="3546853D">
      <w:pPr>
        <w:autoSpaceDE w:val="0"/>
        <w:autoSpaceDN w:val="0"/>
        <w:adjustRightInd w:val="0"/>
        <w:spacing w:line="360" w:lineRule="auto"/>
        <w:jc w:val="left"/>
        <w:rPr>
          <w:rFonts w:hint="eastAsia" w:ascii="仿宋" w:hAnsi="仿宋" w:eastAsia="仿宋" w:cs="仿宋"/>
          <w:color w:val="auto"/>
          <w:kern w:val="0"/>
          <w:sz w:val="28"/>
          <w:szCs w:val="24"/>
        </w:rPr>
      </w:pPr>
    </w:p>
    <w:p w14:paraId="10D589B1">
      <w:pPr>
        <w:autoSpaceDE w:val="0"/>
        <w:autoSpaceDN w:val="0"/>
        <w:adjustRightInd w:val="0"/>
        <w:spacing w:line="360" w:lineRule="auto"/>
        <w:jc w:val="left"/>
        <w:rPr>
          <w:rFonts w:hint="eastAsia" w:ascii="仿宋" w:hAnsi="仿宋" w:eastAsia="仿宋" w:cs="仿宋"/>
          <w:color w:val="auto"/>
          <w:kern w:val="0"/>
          <w:sz w:val="28"/>
          <w:szCs w:val="24"/>
        </w:rPr>
      </w:pPr>
    </w:p>
    <w:p w14:paraId="0D25BF7C">
      <w:pPr>
        <w:spacing w:line="360" w:lineRule="auto"/>
        <w:rPr>
          <w:rFonts w:hint="eastAsia" w:ascii="仿宋" w:hAnsi="仿宋" w:eastAsia="仿宋" w:cs="仿宋"/>
          <w:color w:val="auto"/>
        </w:rPr>
      </w:pPr>
    </w:p>
    <w:p w14:paraId="7F16DF21">
      <w:pPr>
        <w:pStyle w:val="5"/>
        <w:spacing w:beforeLines="0" w:line="360" w:lineRule="auto"/>
        <w:ind w:firstLine="0" w:firstLineChars="0"/>
        <w:rPr>
          <w:rFonts w:hint="eastAsia" w:ascii="仿宋" w:hAnsi="仿宋" w:eastAsia="仿宋" w:cs="仿宋"/>
          <w:color w:val="auto"/>
        </w:rPr>
      </w:pPr>
    </w:p>
    <w:p w14:paraId="2D2FBB26">
      <w:pPr>
        <w:autoSpaceDE w:val="0"/>
        <w:autoSpaceDN w:val="0"/>
        <w:adjustRightInd w:val="0"/>
        <w:spacing w:line="360" w:lineRule="auto"/>
        <w:ind w:firstLine="904" w:firstLineChars="250"/>
        <w:jc w:val="left"/>
        <w:rPr>
          <w:rFonts w:hint="eastAsia" w:ascii="仿宋" w:hAnsi="仿宋" w:eastAsia="仿宋" w:cs="仿宋"/>
          <w:b/>
          <w:color w:val="auto"/>
          <w:sz w:val="36"/>
          <w:szCs w:val="36"/>
        </w:rPr>
      </w:pPr>
    </w:p>
    <w:p w14:paraId="29BA83F2">
      <w:pPr>
        <w:autoSpaceDE w:val="0"/>
        <w:autoSpaceDN w:val="0"/>
        <w:adjustRightInd w:val="0"/>
        <w:spacing w:line="360" w:lineRule="auto"/>
        <w:ind w:firstLine="803" w:firstLineChars="250"/>
        <w:jc w:val="center"/>
        <w:rPr>
          <w:rFonts w:hint="eastAsia" w:ascii="仿宋" w:hAnsi="仿宋" w:eastAsia="仿宋" w:cs="仿宋"/>
          <w:color w:val="auto"/>
          <w:kern w:val="0"/>
          <w:sz w:val="32"/>
          <w:szCs w:val="32"/>
        </w:rPr>
      </w:pPr>
      <w:r>
        <w:rPr>
          <w:rFonts w:hint="eastAsia" w:ascii="仿宋" w:hAnsi="仿宋" w:eastAsia="仿宋" w:cs="仿宋"/>
          <w:b/>
          <w:color w:val="auto"/>
          <w:sz w:val="32"/>
          <w:szCs w:val="32"/>
        </w:rPr>
        <w:t>投标人：</w:t>
      </w:r>
      <w:r>
        <w:rPr>
          <w:rFonts w:hint="eastAsia" w:ascii="仿宋" w:hAnsi="仿宋" w:eastAsia="仿宋" w:cs="仿宋"/>
          <w:b/>
          <w:color w:val="auto"/>
          <w:sz w:val="32"/>
          <w:szCs w:val="32"/>
          <w:u w:val="single"/>
        </w:rPr>
        <w:t xml:space="preserve">                        （电子签章）</w:t>
      </w:r>
    </w:p>
    <w:p w14:paraId="760689DB">
      <w:pPr>
        <w:autoSpaceDE w:val="0"/>
        <w:autoSpaceDN w:val="0"/>
        <w:adjustRightInd w:val="0"/>
        <w:spacing w:line="360" w:lineRule="auto"/>
        <w:ind w:firstLine="803" w:firstLineChars="250"/>
        <w:jc w:val="center"/>
        <w:rPr>
          <w:rFonts w:hint="eastAsia" w:ascii="仿宋" w:hAnsi="仿宋" w:eastAsia="仿宋" w:cs="仿宋"/>
          <w:b/>
          <w:color w:val="auto"/>
          <w:sz w:val="32"/>
          <w:szCs w:val="32"/>
          <w:u w:val="single"/>
        </w:rPr>
      </w:pPr>
      <w:r>
        <w:rPr>
          <w:rFonts w:hint="eastAsia" w:ascii="仿宋" w:hAnsi="仿宋" w:eastAsia="仿宋" w:cs="仿宋"/>
          <w:b/>
          <w:color w:val="auto"/>
          <w:sz w:val="32"/>
          <w:szCs w:val="32"/>
        </w:rPr>
        <w:t>法定代表人或其委托代理人：</w:t>
      </w:r>
      <w:r>
        <w:rPr>
          <w:rFonts w:hint="eastAsia" w:ascii="仿宋" w:hAnsi="仿宋" w:eastAsia="仿宋" w:cs="仿宋"/>
          <w:b/>
          <w:color w:val="auto"/>
          <w:sz w:val="32"/>
          <w:szCs w:val="32"/>
          <w:u w:val="single"/>
        </w:rPr>
        <w:t xml:space="preserve">       （电子签章）</w:t>
      </w:r>
    </w:p>
    <w:p w14:paraId="381BD49B">
      <w:pPr>
        <w:spacing w:line="360" w:lineRule="auto"/>
        <w:ind w:right="960" w:firstLine="803" w:firstLineChars="250"/>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日  期：</w:t>
      </w:r>
      <w:r>
        <w:rPr>
          <w:rFonts w:hint="eastAsia" w:ascii="仿宋" w:hAnsi="仿宋" w:eastAsia="仿宋" w:cs="仿宋"/>
          <w:b/>
          <w:color w:val="auto"/>
          <w:sz w:val="32"/>
          <w:szCs w:val="32"/>
          <w:u w:val="single"/>
        </w:rPr>
        <w:t xml:space="preserve">      </w:t>
      </w:r>
      <w:r>
        <w:rPr>
          <w:rFonts w:hint="eastAsia" w:ascii="仿宋" w:hAnsi="仿宋" w:eastAsia="仿宋" w:cs="仿宋"/>
          <w:b/>
          <w:color w:val="auto"/>
          <w:sz w:val="32"/>
          <w:szCs w:val="32"/>
        </w:rPr>
        <w:t>年</w:t>
      </w:r>
      <w:r>
        <w:rPr>
          <w:rFonts w:hint="eastAsia" w:ascii="仿宋" w:hAnsi="仿宋" w:eastAsia="仿宋" w:cs="仿宋"/>
          <w:b/>
          <w:color w:val="auto"/>
          <w:sz w:val="32"/>
          <w:szCs w:val="32"/>
          <w:u w:val="single"/>
        </w:rPr>
        <w:t xml:space="preserve">    </w:t>
      </w:r>
      <w:r>
        <w:rPr>
          <w:rFonts w:hint="eastAsia" w:ascii="仿宋" w:hAnsi="仿宋" w:eastAsia="仿宋" w:cs="仿宋"/>
          <w:b/>
          <w:color w:val="auto"/>
          <w:sz w:val="32"/>
          <w:szCs w:val="32"/>
        </w:rPr>
        <w:t>月</w:t>
      </w:r>
      <w:r>
        <w:rPr>
          <w:rFonts w:hint="eastAsia" w:ascii="仿宋" w:hAnsi="仿宋" w:eastAsia="仿宋" w:cs="仿宋"/>
          <w:b/>
          <w:color w:val="auto"/>
          <w:sz w:val="32"/>
          <w:szCs w:val="32"/>
          <w:u w:val="single"/>
        </w:rPr>
        <w:t xml:space="preserve">    </w:t>
      </w:r>
      <w:r>
        <w:rPr>
          <w:rFonts w:hint="eastAsia" w:ascii="仿宋" w:hAnsi="仿宋" w:eastAsia="仿宋" w:cs="仿宋"/>
          <w:b/>
          <w:color w:val="auto"/>
          <w:sz w:val="32"/>
          <w:szCs w:val="32"/>
        </w:rPr>
        <w:t>日</w:t>
      </w:r>
    </w:p>
    <w:p w14:paraId="1B3E26B2">
      <w:pPr>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63985CEE">
      <w:pPr>
        <w:tabs>
          <w:tab w:val="left" w:pos="1021"/>
        </w:tabs>
        <w:spacing w:line="360" w:lineRule="auto"/>
        <w:jc w:val="center"/>
        <w:rPr>
          <w:rFonts w:hint="eastAsia" w:ascii="仿宋" w:hAnsi="仿宋" w:eastAsia="仿宋" w:cs="仿宋"/>
          <w:color w:val="auto"/>
          <w:sz w:val="32"/>
          <w:szCs w:val="32"/>
        </w:rPr>
      </w:pPr>
      <w:r>
        <w:rPr>
          <w:rFonts w:hint="eastAsia" w:ascii="仿宋" w:hAnsi="仿宋" w:eastAsia="仿宋" w:cs="仿宋"/>
          <w:color w:val="auto"/>
          <w:sz w:val="32"/>
          <w:szCs w:val="32"/>
        </w:rPr>
        <w:t>目录</w:t>
      </w:r>
    </w:p>
    <w:p w14:paraId="26B03E87">
      <w:pPr>
        <w:spacing w:line="360" w:lineRule="auto"/>
        <w:ind w:right="86"/>
        <w:jc w:val="center"/>
        <w:rPr>
          <w:rFonts w:hint="eastAsia" w:ascii="仿宋" w:hAnsi="仿宋" w:eastAsia="仿宋" w:cs="仿宋"/>
          <w:b/>
          <w:color w:val="auto"/>
          <w:sz w:val="32"/>
          <w:szCs w:val="32"/>
        </w:rPr>
      </w:pPr>
      <w:r>
        <w:rPr>
          <w:rFonts w:hint="eastAsia" w:ascii="仿宋" w:hAnsi="仿宋" w:eastAsia="仿宋" w:cs="仿宋"/>
          <w:b/>
          <w:color w:val="auto"/>
          <w:szCs w:val="21"/>
        </w:rPr>
        <w:t>（格式自拟）</w:t>
      </w:r>
    </w:p>
    <w:p w14:paraId="59B383BC">
      <w:pPr>
        <w:spacing w:line="360" w:lineRule="auto"/>
        <w:rPr>
          <w:rFonts w:hint="eastAsia" w:ascii="仿宋" w:hAnsi="仿宋" w:eastAsia="仿宋" w:cs="仿宋"/>
          <w:b/>
          <w:bCs/>
          <w:color w:val="auto"/>
          <w:sz w:val="32"/>
          <w:szCs w:val="32"/>
        </w:rPr>
      </w:pPr>
      <w:bookmarkStart w:id="469" w:name="_Toc62031169"/>
      <w:r>
        <w:rPr>
          <w:rFonts w:hint="eastAsia" w:ascii="仿宋" w:hAnsi="仿宋" w:eastAsia="仿宋" w:cs="仿宋"/>
          <w:b/>
          <w:bCs/>
          <w:color w:val="auto"/>
          <w:sz w:val="32"/>
          <w:szCs w:val="32"/>
        </w:rPr>
        <w:br w:type="page"/>
      </w:r>
    </w:p>
    <w:p w14:paraId="6D1EBB3A">
      <w:pPr>
        <w:pStyle w:val="8"/>
        <w:spacing w:line="360" w:lineRule="auto"/>
        <w:ind w:firstLine="480"/>
        <w:rPr>
          <w:rFonts w:hint="eastAsia" w:ascii="仿宋" w:hAnsi="仿宋" w:eastAsia="仿宋" w:cs="仿宋"/>
          <w:b w:val="0"/>
          <w:bCs/>
          <w:color w:val="auto"/>
          <w:spacing w:val="0"/>
          <w:sz w:val="21"/>
          <w:szCs w:val="21"/>
        </w:rPr>
      </w:pPr>
      <w:r>
        <w:rPr>
          <w:rFonts w:hint="eastAsia" w:ascii="仿宋" w:hAnsi="仿宋" w:eastAsia="仿宋" w:cs="仿宋"/>
          <w:b w:val="0"/>
          <w:bCs/>
          <w:color w:val="auto"/>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26C4C0E2">
      <w:pPr>
        <w:pStyle w:val="8"/>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一、投标人应符合《中华人民共和国政府采购法》第二十二条及《中华人民共和国政府采购法实施条例》第十七条的要求：</w:t>
      </w:r>
    </w:p>
    <w:p w14:paraId="51EAB602">
      <w:pPr>
        <w:pStyle w:val="8"/>
        <w:spacing w:line="360" w:lineRule="auto"/>
        <w:ind w:firstLine="480"/>
        <w:rPr>
          <w:rFonts w:hint="eastAsia" w:ascii="仿宋" w:hAnsi="仿宋" w:eastAsia="仿宋" w:cs="仿宋"/>
          <w:b w:val="0"/>
          <w:color w:val="auto"/>
          <w:spacing w:val="-4"/>
          <w:sz w:val="24"/>
          <w:szCs w:val="24"/>
        </w:rPr>
      </w:pPr>
      <w:r>
        <w:rPr>
          <w:rFonts w:hint="eastAsia" w:ascii="仿宋" w:hAnsi="仿宋" w:eastAsia="仿宋" w:cs="仿宋"/>
          <w:color w:val="auto"/>
          <w:sz w:val="24"/>
        </w:rPr>
        <w:t>1.具有独立承担民事责任的能力：</w:t>
      </w:r>
      <w:r>
        <w:rPr>
          <w:rFonts w:hint="eastAsia" w:ascii="仿宋" w:hAnsi="仿宋" w:eastAsia="仿宋" w:cs="仿宋"/>
          <w:b w:val="0"/>
          <w:color w:val="auto"/>
          <w:spacing w:val="-4"/>
          <w:sz w:val="24"/>
          <w:szCs w:val="24"/>
          <w:lang w:eastAsia="zh-CN"/>
        </w:rPr>
        <w:t>投标人为法人、其他组织或者自然人，提供有效的营业执照或事业单位法人证书或民办非企业登记证书或执业许可证或社会团体登记证或自然人身份证明</w:t>
      </w:r>
      <w:r>
        <w:rPr>
          <w:rFonts w:hint="eastAsia" w:ascii="仿宋" w:hAnsi="仿宋" w:eastAsia="仿宋" w:cs="仿宋"/>
          <w:b w:val="0"/>
          <w:color w:val="auto"/>
          <w:spacing w:val="-4"/>
          <w:sz w:val="24"/>
          <w:szCs w:val="24"/>
        </w:rPr>
        <w:t>。</w:t>
      </w:r>
    </w:p>
    <w:p w14:paraId="5C8F1639">
      <w:pPr>
        <w:pStyle w:val="8"/>
        <w:spacing w:line="360" w:lineRule="auto"/>
        <w:ind w:firstLine="480"/>
        <w:rPr>
          <w:rFonts w:hint="eastAsia" w:ascii="仿宋" w:hAnsi="仿宋" w:eastAsia="仿宋" w:cs="仿宋"/>
          <w:b w:val="0"/>
          <w:color w:val="auto"/>
          <w:sz w:val="24"/>
        </w:rPr>
      </w:pPr>
      <w:r>
        <w:rPr>
          <w:rFonts w:hint="eastAsia" w:ascii="仿宋" w:hAnsi="仿宋" w:eastAsia="仿宋" w:cs="仿宋"/>
          <w:color w:val="auto"/>
          <w:sz w:val="24"/>
        </w:rPr>
        <w:t>2.具有良好的商业信誉和健全的财务会计制度：</w:t>
      </w:r>
      <w:r>
        <w:rPr>
          <w:rFonts w:hint="eastAsia" w:ascii="仿宋" w:hAnsi="仿宋" w:eastAsia="仿宋" w:cs="仿宋"/>
          <w:b w:val="0"/>
          <w:color w:val="auto"/>
          <w:sz w:val="24"/>
        </w:rPr>
        <w:t>①在国家企业信用信息公示系统（www.gsxt.gov.cn）中未出现列入严重违法失信企业名单（黑名单），参与本项目的投标人信用查询截止时点：投标文件递交截止当天查询（查询结果以采购人或采购代理机构查询结果为准，并将查询记录留存，投标人无需再提供）；②具有健全的财务会计制度：</w:t>
      </w:r>
      <w:r>
        <w:rPr>
          <w:rFonts w:hint="eastAsia" w:ascii="仿宋" w:hAnsi="仿宋" w:eastAsia="仿宋" w:cs="仿宋"/>
          <w:b w:val="0"/>
          <w:color w:val="auto"/>
          <w:sz w:val="24"/>
          <w:lang w:eastAsia="zh-CN"/>
        </w:rPr>
        <w:t>提供经第三方审计机构审计的2023至2025年任一年度的财务状况审计报告（</w:t>
      </w:r>
      <w:r>
        <w:rPr>
          <w:rFonts w:hint="eastAsia" w:ascii="仿宋" w:hAnsi="仿宋" w:eastAsia="仿宋" w:cs="仿宋"/>
          <w:b w:val="0"/>
          <w:color w:val="auto"/>
          <w:sz w:val="24"/>
          <w:lang w:val="en-US" w:eastAsia="zh-CN"/>
        </w:rPr>
        <w:t>报表至少包括资产负债表、利润表、现金流量表，审计报告须附注册会计师行业统一监管平台验证码</w:t>
      </w:r>
      <w:r>
        <w:rPr>
          <w:rFonts w:hint="eastAsia" w:ascii="仿宋" w:hAnsi="仿宋" w:eastAsia="仿宋" w:cs="仿宋"/>
          <w:b w:val="0"/>
          <w:color w:val="auto"/>
          <w:sz w:val="24"/>
          <w:lang w:eastAsia="zh-CN"/>
        </w:rPr>
        <w:t>）或基本开户银行出具的资信证明（成立不满1年的，提供基本开户银行出具的资信证明）</w:t>
      </w:r>
      <w:r>
        <w:rPr>
          <w:rFonts w:hint="eastAsia" w:ascii="仿宋" w:hAnsi="仿宋" w:eastAsia="仿宋" w:cs="仿宋"/>
          <w:b w:val="0"/>
          <w:color w:val="auto"/>
          <w:sz w:val="24"/>
        </w:rPr>
        <w:t>。</w:t>
      </w:r>
    </w:p>
    <w:p w14:paraId="76431848">
      <w:pPr>
        <w:pStyle w:val="8"/>
        <w:spacing w:line="360" w:lineRule="auto"/>
        <w:ind w:firstLine="480"/>
        <w:rPr>
          <w:rFonts w:hint="eastAsia" w:ascii="仿宋" w:hAnsi="仿宋" w:eastAsia="仿宋" w:cs="仿宋"/>
          <w:b w:val="0"/>
          <w:color w:val="auto"/>
          <w:sz w:val="24"/>
        </w:rPr>
      </w:pPr>
      <w:r>
        <w:rPr>
          <w:rFonts w:hint="eastAsia" w:ascii="仿宋" w:hAnsi="仿宋" w:eastAsia="仿宋" w:cs="仿宋"/>
          <w:color w:val="auto"/>
          <w:sz w:val="24"/>
        </w:rPr>
        <w:t>3.具有依法缴纳税收和社会保障资金的良好记录：</w:t>
      </w:r>
      <w:r>
        <w:rPr>
          <w:rFonts w:hint="eastAsia" w:ascii="仿宋" w:hAnsi="仿宋" w:eastAsia="仿宋" w:cs="仿宋"/>
          <w:b w:val="0"/>
          <w:color w:val="auto"/>
          <w:spacing w:val="0"/>
          <w:sz w:val="24"/>
        </w:rPr>
        <w:t>提供</w:t>
      </w:r>
      <w:r>
        <w:rPr>
          <w:rFonts w:hint="eastAsia" w:ascii="仿宋" w:hAnsi="仿宋" w:eastAsia="仿宋" w:cs="仿宋"/>
          <w:b w:val="0"/>
          <w:color w:val="auto"/>
          <w:spacing w:val="0"/>
          <w:sz w:val="24"/>
          <w:lang w:eastAsia="zh-CN"/>
        </w:rPr>
        <w:t>2025年01月</w:t>
      </w:r>
      <w:r>
        <w:rPr>
          <w:rFonts w:hint="eastAsia" w:ascii="仿宋" w:hAnsi="仿宋" w:eastAsia="仿宋" w:cs="仿宋"/>
          <w:b w:val="0"/>
          <w:color w:val="auto"/>
          <w:spacing w:val="0"/>
          <w:sz w:val="24"/>
        </w:rPr>
        <w:t>至今任意2个月依法缴纳税收和缴纳社会保障资金的证明（成立未满2个月的提供成立以来的税收和社会保障资金缴纳凭证或相关情况说明；依法免税或不需要缴纳社会保障资金的，应提供相应文件证明其依法免税或不需要缴纳社会保障资金）。</w:t>
      </w:r>
    </w:p>
    <w:p w14:paraId="599D92AF">
      <w:pPr>
        <w:pStyle w:val="8"/>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4.具有履行合同所必需的设备和专业技术能力：</w:t>
      </w:r>
      <w:r>
        <w:rPr>
          <w:rFonts w:hint="eastAsia" w:ascii="仿宋" w:hAnsi="仿宋" w:eastAsia="仿宋" w:cs="仿宋"/>
          <w:b w:val="0"/>
          <w:color w:val="auto"/>
          <w:sz w:val="24"/>
        </w:rPr>
        <w:t>提供相关证明材料或书面声明。</w:t>
      </w:r>
    </w:p>
    <w:p w14:paraId="67C70F6D">
      <w:pPr>
        <w:pStyle w:val="8"/>
        <w:spacing w:line="360" w:lineRule="auto"/>
        <w:ind w:firstLine="480"/>
        <w:rPr>
          <w:rFonts w:hint="eastAsia" w:ascii="仿宋" w:hAnsi="仿宋" w:eastAsia="仿宋" w:cs="仿宋"/>
          <w:b w:val="0"/>
          <w:color w:val="auto"/>
          <w:sz w:val="24"/>
        </w:rPr>
      </w:pPr>
      <w:r>
        <w:rPr>
          <w:rFonts w:hint="eastAsia" w:ascii="仿宋" w:hAnsi="仿宋" w:eastAsia="仿宋" w:cs="仿宋"/>
          <w:color w:val="auto"/>
          <w:sz w:val="24"/>
        </w:rPr>
        <w:t>5.参与本次政府采购活动前三年内，在经营活动中没有重大违法记录：</w:t>
      </w:r>
      <w:r>
        <w:rPr>
          <w:rFonts w:hint="eastAsia" w:ascii="仿宋" w:hAnsi="仿宋" w:eastAsia="仿宋" w:cs="仿宋"/>
          <w:b w:val="0"/>
          <w:color w:val="auto"/>
          <w:sz w:val="24"/>
        </w:rPr>
        <w:t>提供参加本次政府采购活动前三年内在经营活动中没有重大违法记录的书面声明。</w:t>
      </w:r>
    </w:p>
    <w:p w14:paraId="499EE83B">
      <w:pPr>
        <w:pStyle w:val="8"/>
        <w:spacing w:line="360" w:lineRule="auto"/>
        <w:ind w:firstLine="480"/>
        <w:rPr>
          <w:rFonts w:hint="eastAsia" w:ascii="仿宋" w:hAnsi="仿宋" w:eastAsia="仿宋" w:cs="仿宋"/>
          <w:bCs/>
          <w:color w:val="auto"/>
          <w:sz w:val="24"/>
        </w:rPr>
      </w:pPr>
      <w:r>
        <w:rPr>
          <w:rFonts w:hint="eastAsia" w:ascii="仿宋" w:hAnsi="仿宋" w:eastAsia="仿宋" w:cs="仿宋"/>
          <w:bCs/>
          <w:color w:val="auto"/>
          <w:sz w:val="24"/>
        </w:rPr>
        <w:t>6.法律、行政法规规定的其他条件：</w:t>
      </w:r>
    </w:p>
    <w:p w14:paraId="0A49E064">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或采购代理机构查询结果为准，并将查询记录留存，投标人无需再提供）；</w:t>
      </w:r>
    </w:p>
    <w:p w14:paraId="03BE99B2">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②本次招标不接受联合体投标：提供承诺或书面声明；</w:t>
      </w:r>
    </w:p>
    <w:p w14:paraId="312D028A">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 w:val="0"/>
          <w:color w:val="auto"/>
          <w:sz w:val="24"/>
        </w:rPr>
        <w:t>③不存在《中华人民共和国政府采购法实施条例》第十八条规定情形：即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20C035F1">
      <w:pPr>
        <w:pStyle w:val="8"/>
        <w:spacing w:line="360" w:lineRule="auto"/>
        <w:ind w:firstLine="480"/>
        <w:rPr>
          <w:rFonts w:hint="eastAsia" w:ascii="仿宋" w:hAnsi="仿宋" w:eastAsia="仿宋" w:cs="仿宋"/>
          <w:b w:val="0"/>
          <w:color w:val="auto"/>
          <w:sz w:val="24"/>
        </w:rPr>
      </w:pPr>
      <w:r>
        <w:rPr>
          <w:rFonts w:hint="eastAsia" w:ascii="仿宋" w:hAnsi="仿宋" w:eastAsia="仿宋" w:cs="仿宋"/>
          <w:bCs/>
          <w:color w:val="auto"/>
          <w:sz w:val="24"/>
        </w:rPr>
        <w:t>二、本项目的特定资格要求：</w:t>
      </w:r>
      <w:r>
        <w:rPr>
          <w:rFonts w:hint="eastAsia" w:ascii="仿宋" w:hAnsi="仿宋" w:eastAsia="仿宋" w:cs="仿宋"/>
          <w:b w:val="0"/>
          <w:bCs w:val="0"/>
          <w:color w:val="auto"/>
          <w:sz w:val="24"/>
          <w:szCs w:val="24"/>
          <w:lang w:eastAsia="zh-CN"/>
        </w:rPr>
        <w:t>投标人具有有效期内的《农药经营许可证》</w:t>
      </w:r>
      <w:r>
        <w:rPr>
          <w:rFonts w:hint="eastAsia" w:ascii="仿宋" w:hAnsi="仿宋" w:eastAsia="仿宋" w:cs="仿宋"/>
          <w:b w:val="0"/>
          <w:color w:val="auto"/>
          <w:sz w:val="24"/>
        </w:rPr>
        <w:t>。</w:t>
      </w:r>
    </w:p>
    <w:p w14:paraId="6F336434">
      <w:pPr>
        <w:rPr>
          <w:rFonts w:hint="eastAsia" w:ascii="仿宋" w:hAnsi="仿宋" w:eastAsia="仿宋" w:cs="仿宋"/>
          <w:b w:val="0"/>
          <w:color w:val="auto"/>
          <w:sz w:val="24"/>
        </w:rPr>
      </w:pPr>
      <w:r>
        <w:rPr>
          <w:rFonts w:hint="eastAsia" w:ascii="仿宋" w:hAnsi="仿宋" w:eastAsia="仿宋" w:cs="仿宋"/>
          <w:b w:val="0"/>
          <w:color w:val="auto"/>
          <w:sz w:val="24"/>
        </w:rPr>
        <w:br w:type="page"/>
      </w:r>
    </w:p>
    <w:p w14:paraId="3896D257">
      <w:pPr>
        <w:pStyle w:val="8"/>
        <w:spacing w:line="360" w:lineRule="auto"/>
        <w:ind w:firstLine="480"/>
        <w:rPr>
          <w:rFonts w:hint="default" w:ascii="仿宋" w:hAnsi="仿宋" w:eastAsia="仿宋" w:cs="仿宋"/>
          <w:b/>
          <w:color w:val="auto"/>
          <w:sz w:val="28"/>
          <w:szCs w:val="28"/>
          <w:lang w:val="en-US" w:eastAsia="zh-CN"/>
        </w:rPr>
      </w:pPr>
      <w:bookmarkStart w:id="470" w:name="_Toc18700"/>
      <w:r>
        <w:rPr>
          <w:rFonts w:hint="eastAsia" w:ascii="仿宋" w:hAnsi="仿宋" w:eastAsia="仿宋" w:cs="仿宋"/>
          <w:color w:val="auto"/>
          <w:sz w:val="24"/>
          <w:lang w:val="en-US" w:eastAsia="zh-CN"/>
        </w:rPr>
        <w:t>二</w:t>
      </w:r>
      <w:r>
        <w:rPr>
          <w:rFonts w:hint="eastAsia" w:ascii="仿宋" w:hAnsi="仿宋" w:eastAsia="仿宋" w:cs="仿宋"/>
          <w:color w:val="auto"/>
          <w:sz w:val="24"/>
        </w:rPr>
        <w:t>、</w:t>
      </w:r>
      <w:bookmarkEnd w:id="470"/>
      <w:r>
        <w:rPr>
          <w:rFonts w:hint="eastAsia" w:ascii="仿宋" w:hAnsi="仿宋" w:eastAsia="仿宋" w:cs="仿宋"/>
          <w:color w:val="auto"/>
          <w:sz w:val="24"/>
          <w:lang w:val="en-US" w:eastAsia="zh-CN"/>
        </w:rPr>
        <w:t>本项目为专门面向中小企业采购项目，提供《中小企业声明函》、《监狱企业证明文件》、《残疾人福利性单位声明函》</w:t>
      </w:r>
    </w:p>
    <w:p w14:paraId="799C11B6">
      <w:pPr>
        <w:wordWrap w:val="0"/>
        <w:spacing w:line="360" w:lineRule="auto"/>
        <w:rPr>
          <w:rFonts w:hint="eastAsia" w:ascii="仿宋" w:hAnsi="仿宋" w:eastAsia="仿宋" w:cs="仿宋"/>
          <w:color w:val="auto"/>
          <w:szCs w:val="21"/>
        </w:rPr>
      </w:pPr>
      <w:bookmarkStart w:id="471" w:name="_Toc31691"/>
      <w:bookmarkStart w:id="472" w:name="_Toc29496"/>
      <w:bookmarkStart w:id="473" w:name="_Toc441"/>
      <w:bookmarkStart w:id="474" w:name="_Toc15924"/>
      <w:bookmarkStart w:id="475" w:name="_Toc936"/>
      <w:bookmarkStart w:id="476" w:name="_Toc28806"/>
      <w:bookmarkStart w:id="477" w:name="_Toc28546"/>
      <w:bookmarkStart w:id="478" w:name="_Toc846"/>
      <w:bookmarkStart w:id="479" w:name="_Toc3444"/>
      <w:r>
        <w:rPr>
          <w:rFonts w:hint="eastAsia" w:ascii="仿宋" w:hAnsi="仿宋" w:eastAsia="仿宋" w:cs="仿宋"/>
          <w:b/>
          <w:color w:val="auto"/>
          <w:kern w:val="0"/>
          <w:sz w:val="28"/>
          <w:szCs w:val="21"/>
        </w:rPr>
        <w:t>附件1：中小企业声明函（若是）</w:t>
      </w:r>
      <w:bookmarkEnd w:id="471"/>
      <w:bookmarkEnd w:id="472"/>
      <w:bookmarkEnd w:id="473"/>
      <w:bookmarkEnd w:id="474"/>
      <w:bookmarkEnd w:id="475"/>
      <w:bookmarkEnd w:id="476"/>
      <w:bookmarkEnd w:id="477"/>
      <w:bookmarkEnd w:id="478"/>
      <w:bookmarkEnd w:id="479"/>
    </w:p>
    <w:p w14:paraId="7170E09A">
      <w:pPr>
        <w:wordWrap w:val="0"/>
        <w:spacing w:line="360" w:lineRule="auto"/>
        <w:ind w:left="380"/>
        <w:jc w:val="center"/>
        <w:rPr>
          <w:rFonts w:hint="eastAsia" w:ascii="仿宋" w:hAnsi="仿宋" w:eastAsia="仿宋" w:cs="仿宋"/>
          <w:b/>
          <w:bCs/>
          <w:color w:val="auto"/>
          <w:sz w:val="24"/>
        </w:rPr>
      </w:pPr>
      <w:r>
        <w:rPr>
          <w:rFonts w:hint="eastAsia" w:ascii="仿宋" w:hAnsi="仿宋" w:eastAsia="仿宋" w:cs="仿宋"/>
          <w:b/>
          <w:bCs/>
          <w:color w:val="auto"/>
          <w:sz w:val="24"/>
        </w:rPr>
        <w:t>中小企业声明函</w:t>
      </w:r>
    </w:p>
    <w:p w14:paraId="008FF3F7">
      <w:pPr>
        <w:wordWrap w:val="0"/>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本公司</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郑重声明，根据《政府采购促进中小企业发展管理办法》（财库﹝2020﹞46 号）的规定，本公司参加</w:t>
      </w:r>
      <w:r>
        <w:rPr>
          <w:rFonts w:hint="eastAsia" w:ascii="仿宋" w:hAnsi="仿宋" w:eastAsia="仿宋" w:cs="仿宋"/>
          <w:color w:val="auto"/>
          <w:szCs w:val="21"/>
          <w:u w:val="single"/>
        </w:rPr>
        <w:t>（采购单位名称）</w:t>
      </w:r>
      <w:r>
        <w:rPr>
          <w:rFonts w:hint="eastAsia" w:ascii="仿宋" w:hAnsi="仿宋" w:eastAsia="仿宋" w:cs="仿宋"/>
          <w:color w:val="auto"/>
          <w:szCs w:val="21"/>
        </w:rPr>
        <w:t>的</w:t>
      </w:r>
      <w:r>
        <w:rPr>
          <w:rFonts w:hint="eastAsia" w:ascii="仿宋" w:hAnsi="仿宋" w:eastAsia="仿宋" w:cs="仿宋"/>
          <w:color w:val="auto"/>
          <w:szCs w:val="21"/>
          <w:u w:val="single"/>
          <w:lang w:eastAsia="zh-CN"/>
        </w:rPr>
        <w:t>云南省林业和草原技术推广总站林下滇黄精栽培技术推广示范项目肥料、药品采购项目</w:t>
      </w:r>
      <w:r>
        <w:rPr>
          <w:rFonts w:hint="eastAsia" w:ascii="仿宋" w:hAnsi="仿宋" w:eastAsia="仿宋" w:cs="仿宋"/>
          <w:color w:val="auto"/>
          <w:szCs w:val="21"/>
        </w:rPr>
        <w:t>采购活动，提供的货物全部由符合政策要求的中小企业制造。相关企业（含联合体中的中小企业、签订分包意向协议的中小企业）的具体情况如下：</w:t>
      </w:r>
    </w:p>
    <w:p w14:paraId="693AC5A0">
      <w:pPr>
        <w:wordWrap w:val="0"/>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1.</w:t>
      </w:r>
      <w:r>
        <w:rPr>
          <w:rFonts w:hint="eastAsia" w:ascii="仿宋" w:hAnsi="仿宋" w:eastAsia="仿宋" w:cs="仿宋"/>
          <w:color w:val="auto"/>
          <w:szCs w:val="21"/>
          <w:u w:val="single"/>
        </w:rPr>
        <w:t>（标的名称）</w:t>
      </w:r>
      <w:r>
        <w:rPr>
          <w:rFonts w:hint="eastAsia" w:ascii="仿宋" w:hAnsi="仿宋" w:eastAsia="仿宋" w:cs="仿宋"/>
          <w:color w:val="auto"/>
          <w:szCs w:val="21"/>
        </w:rPr>
        <w:t>，属于</w:t>
      </w:r>
      <w:r>
        <w:rPr>
          <w:rFonts w:hint="eastAsia" w:ascii="仿宋" w:hAnsi="仿宋" w:eastAsia="仿宋" w:cs="仿宋"/>
          <w:color w:val="auto"/>
          <w:szCs w:val="21"/>
          <w:u w:val="single"/>
        </w:rPr>
        <w:t>（采购文件中明确的所属行业）</w:t>
      </w:r>
      <w:r>
        <w:rPr>
          <w:rFonts w:hint="eastAsia" w:ascii="仿宋" w:hAnsi="仿宋" w:eastAsia="仿宋" w:cs="仿宋"/>
          <w:color w:val="auto"/>
          <w:szCs w:val="21"/>
        </w:rPr>
        <w:t>行业；制造商为</w:t>
      </w:r>
      <w:r>
        <w:rPr>
          <w:rFonts w:hint="eastAsia" w:ascii="仿宋" w:hAnsi="仿宋" w:eastAsia="仿宋" w:cs="仿宋"/>
          <w:color w:val="auto"/>
          <w:szCs w:val="21"/>
          <w:u w:val="single"/>
        </w:rPr>
        <w:t>（企业名称）</w:t>
      </w:r>
      <w:r>
        <w:rPr>
          <w:rFonts w:hint="eastAsia" w:ascii="仿宋" w:hAnsi="仿宋" w:eastAsia="仿宋" w:cs="仿宋"/>
          <w:color w:val="auto"/>
          <w:szCs w:val="21"/>
        </w:rPr>
        <w:t>，从业人员</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人，营业收入为</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万元，资产总额为</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万元，属于</w:t>
      </w:r>
      <w:r>
        <w:rPr>
          <w:rFonts w:hint="eastAsia" w:ascii="仿宋" w:hAnsi="仿宋" w:eastAsia="仿宋" w:cs="仿宋"/>
          <w:color w:val="auto"/>
          <w:szCs w:val="21"/>
          <w:u w:val="single"/>
        </w:rPr>
        <w:t>（中型企业、小型企业、微型企业）</w:t>
      </w:r>
      <w:r>
        <w:rPr>
          <w:rFonts w:hint="eastAsia" w:ascii="仿宋" w:hAnsi="仿宋" w:eastAsia="仿宋" w:cs="仿宋"/>
          <w:color w:val="auto"/>
          <w:szCs w:val="21"/>
        </w:rPr>
        <w:t>；</w:t>
      </w:r>
    </w:p>
    <w:p w14:paraId="4FCF98DD">
      <w:pPr>
        <w:wordWrap w:val="0"/>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2.</w:t>
      </w:r>
      <w:r>
        <w:rPr>
          <w:rFonts w:hint="eastAsia" w:ascii="仿宋" w:hAnsi="仿宋" w:eastAsia="仿宋" w:cs="仿宋"/>
          <w:color w:val="auto"/>
          <w:szCs w:val="21"/>
          <w:u w:val="single"/>
        </w:rPr>
        <w:t>（标的名称）</w:t>
      </w:r>
      <w:r>
        <w:rPr>
          <w:rFonts w:hint="eastAsia" w:ascii="仿宋" w:hAnsi="仿宋" w:eastAsia="仿宋" w:cs="仿宋"/>
          <w:color w:val="auto"/>
          <w:szCs w:val="21"/>
        </w:rPr>
        <w:t>，属于</w:t>
      </w:r>
      <w:r>
        <w:rPr>
          <w:rFonts w:hint="eastAsia" w:ascii="仿宋" w:hAnsi="仿宋" w:eastAsia="仿宋" w:cs="仿宋"/>
          <w:color w:val="auto"/>
          <w:szCs w:val="21"/>
          <w:u w:val="single"/>
        </w:rPr>
        <w:t>（采购文件中明确的所属行业）</w:t>
      </w:r>
      <w:r>
        <w:rPr>
          <w:rFonts w:hint="eastAsia" w:ascii="仿宋" w:hAnsi="仿宋" w:eastAsia="仿宋" w:cs="仿宋"/>
          <w:color w:val="auto"/>
          <w:szCs w:val="21"/>
        </w:rPr>
        <w:t>行业；制造商为</w:t>
      </w:r>
      <w:r>
        <w:rPr>
          <w:rFonts w:hint="eastAsia" w:ascii="仿宋" w:hAnsi="仿宋" w:eastAsia="仿宋" w:cs="仿宋"/>
          <w:color w:val="auto"/>
          <w:szCs w:val="21"/>
          <w:u w:val="single"/>
        </w:rPr>
        <w:t>（企业名称）</w:t>
      </w:r>
      <w:r>
        <w:rPr>
          <w:rFonts w:hint="eastAsia" w:ascii="仿宋" w:hAnsi="仿宋" w:eastAsia="仿宋" w:cs="仿宋"/>
          <w:color w:val="auto"/>
          <w:szCs w:val="21"/>
        </w:rPr>
        <w:t>，从业人员</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人，营业收入为</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万元，资产总额为</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万元，属于</w:t>
      </w:r>
      <w:r>
        <w:rPr>
          <w:rFonts w:hint="eastAsia" w:ascii="仿宋" w:hAnsi="仿宋" w:eastAsia="仿宋" w:cs="仿宋"/>
          <w:color w:val="auto"/>
          <w:szCs w:val="21"/>
          <w:u w:val="single"/>
        </w:rPr>
        <w:t>（中型企业、小型企业、微型企业）</w:t>
      </w:r>
      <w:r>
        <w:rPr>
          <w:rFonts w:hint="eastAsia" w:ascii="仿宋" w:hAnsi="仿宋" w:eastAsia="仿宋" w:cs="仿宋"/>
          <w:color w:val="auto"/>
          <w:szCs w:val="21"/>
        </w:rPr>
        <w:t xml:space="preserve">； </w:t>
      </w:r>
    </w:p>
    <w:p w14:paraId="0928C7FC">
      <w:pPr>
        <w:wordWrap w:val="0"/>
        <w:adjustRightInd w:val="0"/>
        <w:spacing w:line="360" w:lineRule="auto"/>
        <w:ind w:firstLine="420" w:firstLineChars="200"/>
        <w:rPr>
          <w:rFonts w:hint="eastAsia" w:ascii="仿宋" w:hAnsi="仿宋" w:eastAsia="仿宋" w:cs="仿宋"/>
          <w:color w:val="auto"/>
          <w:szCs w:val="21"/>
        </w:rPr>
      </w:pPr>
      <w:bookmarkStart w:id="480" w:name="_Toc24949"/>
      <w:bookmarkStart w:id="481" w:name="_Toc9749"/>
      <w:bookmarkStart w:id="482" w:name="_Toc25646"/>
      <w:bookmarkStart w:id="483" w:name="_Toc27129"/>
      <w:bookmarkStart w:id="484" w:name="_Toc13756"/>
      <w:bookmarkStart w:id="485" w:name="_Toc28351"/>
      <w:bookmarkStart w:id="486" w:name="_Toc11764"/>
      <w:bookmarkStart w:id="487" w:name="_Toc12939"/>
      <w:bookmarkStart w:id="488" w:name="_Toc8590"/>
      <w:r>
        <w:rPr>
          <w:rFonts w:hint="eastAsia" w:ascii="仿宋" w:hAnsi="仿宋" w:eastAsia="仿宋" w:cs="仿宋"/>
          <w:color w:val="auto"/>
          <w:szCs w:val="21"/>
        </w:rPr>
        <w:t>...</w:t>
      </w:r>
      <w:bookmarkEnd w:id="480"/>
      <w:bookmarkEnd w:id="481"/>
      <w:bookmarkEnd w:id="482"/>
      <w:bookmarkEnd w:id="483"/>
      <w:bookmarkEnd w:id="484"/>
      <w:bookmarkEnd w:id="485"/>
      <w:bookmarkEnd w:id="486"/>
      <w:bookmarkEnd w:id="487"/>
      <w:bookmarkEnd w:id="488"/>
    </w:p>
    <w:p w14:paraId="57F91B64">
      <w:pPr>
        <w:wordWrap w:val="0"/>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以上企业，不属于大企业的分支机构，不存在控股股东为大企业的情形，也不存在与大企业的负责人为同一人的情形。</w:t>
      </w:r>
    </w:p>
    <w:p w14:paraId="11FD4828">
      <w:pPr>
        <w:wordWrap w:val="0"/>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 xml:space="preserve">本企业对上述声明内容的真实性负责。如有虚假，将依法承担相应责任。 </w:t>
      </w:r>
    </w:p>
    <w:p w14:paraId="2289631F">
      <w:pPr>
        <w:wordWrap w:val="0"/>
        <w:adjustRightInd w:val="0"/>
        <w:spacing w:line="360" w:lineRule="auto"/>
        <w:ind w:firstLine="420" w:firstLineChars="200"/>
        <w:rPr>
          <w:rFonts w:hint="eastAsia" w:ascii="仿宋" w:hAnsi="仿宋" w:eastAsia="仿宋" w:cs="仿宋"/>
          <w:color w:val="auto"/>
          <w:szCs w:val="21"/>
        </w:rPr>
      </w:pPr>
    </w:p>
    <w:p w14:paraId="08B14242">
      <w:pPr>
        <w:wordWrap w:val="0"/>
        <w:autoSpaceDE w:val="0"/>
        <w:autoSpaceDN w:val="0"/>
        <w:adjustRightInd w:val="0"/>
        <w:spacing w:line="360" w:lineRule="auto"/>
        <w:ind w:firstLine="420" w:firstLineChars="200"/>
        <w:jc w:val="left"/>
        <w:rPr>
          <w:rFonts w:hint="eastAsia" w:ascii="仿宋" w:hAnsi="仿宋" w:eastAsia="仿宋" w:cs="仿宋"/>
          <w:bCs/>
          <w:color w:val="auto"/>
          <w:kern w:val="0"/>
          <w:szCs w:val="21"/>
        </w:rPr>
      </w:pPr>
      <w:r>
        <w:rPr>
          <w:rFonts w:hint="eastAsia" w:ascii="仿宋" w:hAnsi="仿宋" w:eastAsia="仿宋" w:cs="仿宋"/>
          <w:bCs/>
          <w:color w:val="auto"/>
          <w:szCs w:val="21"/>
        </w:rPr>
        <w:t>投标人：</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（电子签章）</w:t>
      </w:r>
    </w:p>
    <w:p w14:paraId="3723DEB3">
      <w:pPr>
        <w:wordWrap w:val="0"/>
        <w:autoSpaceDE w:val="0"/>
        <w:autoSpaceDN w:val="0"/>
        <w:adjustRightInd w:val="0"/>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bCs/>
          <w:color w:val="auto"/>
          <w:szCs w:val="21"/>
        </w:rPr>
        <w:t>法定代表人或其委托代理人：</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w:t>
      </w:r>
      <w:r>
        <w:rPr>
          <w:rFonts w:hint="eastAsia" w:ascii="仿宋" w:hAnsi="仿宋" w:eastAsia="仿宋" w:cs="仿宋"/>
          <w:color w:val="auto"/>
          <w:szCs w:val="21"/>
        </w:rPr>
        <w:t>电子签章</w:t>
      </w:r>
      <w:r>
        <w:rPr>
          <w:rFonts w:hint="eastAsia" w:ascii="仿宋" w:hAnsi="仿宋" w:eastAsia="仿宋" w:cs="仿宋"/>
          <w:bCs/>
          <w:color w:val="auto"/>
          <w:szCs w:val="21"/>
        </w:rPr>
        <w:t>）</w:t>
      </w:r>
    </w:p>
    <w:p w14:paraId="191A9EFC">
      <w:pPr>
        <w:wordWrap w:val="0"/>
        <w:spacing w:line="360" w:lineRule="auto"/>
        <w:ind w:firstLine="420" w:firstLineChars="200"/>
        <w:rPr>
          <w:rFonts w:hint="eastAsia" w:ascii="仿宋" w:hAnsi="仿宋" w:eastAsia="仿宋" w:cs="仿宋"/>
          <w:color w:val="auto"/>
          <w:sz w:val="22"/>
        </w:rPr>
      </w:pP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年</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月</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日</w:t>
      </w:r>
    </w:p>
    <w:p w14:paraId="4366B8A6">
      <w:pPr>
        <w:spacing w:line="360" w:lineRule="auto"/>
        <w:ind w:firstLine="464" w:firstLineChars="200"/>
        <w:rPr>
          <w:rFonts w:hint="eastAsia" w:ascii="仿宋" w:hAnsi="仿宋" w:eastAsia="仿宋" w:cs="仿宋"/>
          <w:color w:val="auto"/>
          <w:spacing w:val="6"/>
          <w:sz w:val="22"/>
        </w:rPr>
      </w:pPr>
      <w:r>
        <w:rPr>
          <w:rFonts w:hint="eastAsia" w:ascii="仿宋" w:hAnsi="仿宋" w:eastAsia="仿宋" w:cs="仿宋"/>
          <w:color w:val="auto"/>
          <w:spacing w:val="6"/>
          <w:sz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hint="eastAsia" w:ascii="仿宋" w:hAnsi="仿宋" w:eastAsia="仿宋" w:cs="仿宋"/>
          <w:b/>
          <w:bCs/>
          <w:color w:val="auto"/>
          <w:spacing w:val="6"/>
          <w:sz w:val="22"/>
          <w:lang w:val="en-US" w:eastAsia="zh-CN"/>
        </w:rPr>
        <w:t>工业</w:t>
      </w:r>
      <w:r>
        <w:rPr>
          <w:rFonts w:hint="eastAsia" w:ascii="仿宋" w:hAnsi="仿宋" w:eastAsia="仿宋" w:cs="仿宋"/>
          <w:color w:val="auto"/>
          <w:spacing w:val="6"/>
          <w:sz w:val="22"/>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25256F07">
      <w:pPr>
        <w:spacing w:line="360" w:lineRule="auto"/>
        <w:rPr>
          <w:rFonts w:hint="eastAsia" w:ascii="仿宋" w:hAnsi="仿宋" w:eastAsia="仿宋" w:cs="仿宋"/>
          <w:color w:val="auto"/>
          <w:spacing w:val="6"/>
          <w:sz w:val="22"/>
        </w:rPr>
      </w:pPr>
      <w:r>
        <w:rPr>
          <w:rFonts w:hint="eastAsia" w:ascii="仿宋" w:hAnsi="仿宋" w:eastAsia="仿宋" w:cs="仿宋"/>
          <w:color w:val="auto"/>
          <w:spacing w:val="6"/>
          <w:sz w:val="22"/>
        </w:rPr>
        <w:br w:type="page"/>
      </w:r>
    </w:p>
    <w:p w14:paraId="2770010E">
      <w:pPr>
        <w:spacing w:line="360" w:lineRule="auto"/>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附表</w:t>
      </w:r>
    </w:p>
    <w:p w14:paraId="3E1B6531">
      <w:pPr>
        <w:widowControl/>
        <w:spacing w:line="360" w:lineRule="auto"/>
        <w:jc w:val="center"/>
        <w:rPr>
          <w:rFonts w:hint="eastAsia" w:ascii="仿宋" w:hAnsi="仿宋" w:eastAsia="仿宋" w:cs="仿宋"/>
          <w:color w:val="auto"/>
          <w:kern w:val="0"/>
          <w:sz w:val="36"/>
          <w:szCs w:val="32"/>
        </w:rPr>
      </w:pPr>
      <w:r>
        <w:rPr>
          <w:rFonts w:hint="eastAsia" w:ascii="仿宋" w:hAnsi="仿宋" w:eastAsia="仿宋" w:cs="仿宋"/>
          <w:color w:val="auto"/>
          <w:kern w:val="0"/>
          <w:sz w:val="36"/>
          <w:szCs w:val="32"/>
        </w:rPr>
        <w:t>统计上大中小微型企业划分标准</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FCF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4005A01E">
            <w:pPr>
              <w:widowControl/>
              <w:spacing w:line="360" w:lineRule="auto"/>
              <w:jc w:val="center"/>
              <w:rPr>
                <w:rFonts w:hint="eastAsia" w:ascii="仿宋" w:hAnsi="仿宋" w:eastAsia="仿宋" w:cs="仿宋"/>
                <w:b/>
                <w:bCs/>
                <w:color w:val="auto"/>
                <w:kern w:val="0"/>
                <w:sz w:val="18"/>
                <w:szCs w:val="21"/>
              </w:rPr>
            </w:pPr>
            <w:r>
              <w:rPr>
                <w:rFonts w:hint="eastAsia" w:ascii="仿宋" w:hAnsi="仿宋" w:eastAsia="仿宋" w:cs="仿宋"/>
                <w:b/>
                <w:bCs/>
                <w:color w:val="auto"/>
                <w:kern w:val="0"/>
                <w:sz w:val="18"/>
                <w:szCs w:val="21"/>
              </w:rPr>
              <w:t>行业名称</w:t>
            </w:r>
          </w:p>
        </w:tc>
        <w:tc>
          <w:tcPr>
            <w:tcW w:w="1369" w:type="dxa"/>
            <w:shd w:val="clear" w:color="auto" w:fill="auto"/>
            <w:vAlign w:val="center"/>
          </w:tcPr>
          <w:p w14:paraId="518C5B1E">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指标名称</w:t>
            </w:r>
          </w:p>
        </w:tc>
        <w:tc>
          <w:tcPr>
            <w:tcW w:w="709" w:type="dxa"/>
            <w:shd w:val="clear" w:color="auto" w:fill="auto"/>
            <w:vAlign w:val="center"/>
          </w:tcPr>
          <w:p w14:paraId="4530EA97">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计量</w:t>
            </w:r>
          </w:p>
          <w:p w14:paraId="422709FC">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单位</w:t>
            </w:r>
          </w:p>
        </w:tc>
        <w:tc>
          <w:tcPr>
            <w:tcW w:w="1125" w:type="dxa"/>
            <w:shd w:val="clear" w:color="auto" w:fill="auto"/>
            <w:vAlign w:val="center"/>
          </w:tcPr>
          <w:p w14:paraId="3309D8C9">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大型</w:t>
            </w:r>
          </w:p>
        </w:tc>
        <w:tc>
          <w:tcPr>
            <w:tcW w:w="1701" w:type="dxa"/>
            <w:shd w:val="clear" w:color="auto" w:fill="auto"/>
            <w:vAlign w:val="center"/>
          </w:tcPr>
          <w:p w14:paraId="4C5B6462">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中型</w:t>
            </w:r>
          </w:p>
        </w:tc>
        <w:tc>
          <w:tcPr>
            <w:tcW w:w="1426" w:type="dxa"/>
            <w:shd w:val="clear" w:color="auto" w:fill="auto"/>
            <w:vAlign w:val="center"/>
          </w:tcPr>
          <w:p w14:paraId="58E87643">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小型</w:t>
            </w:r>
          </w:p>
        </w:tc>
        <w:tc>
          <w:tcPr>
            <w:tcW w:w="992" w:type="dxa"/>
            <w:shd w:val="clear" w:color="auto" w:fill="auto"/>
            <w:vAlign w:val="center"/>
          </w:tcPr>
          <w:p w14:paraId="69F779B9">
            <w:pPr>
              <w:widowControl/>
              <w:spacing w:line="360" w:lineRule="auto"/>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微型</w:t>
            </w:r>
          </w:p>
        </w:tc>
      </w:tr>
      <w:tr w14:paraId="5B31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4E6FFA35">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农、林、牧、渔业</w:t>
            </w:r>
          </w:p>
        </w:tc>
        <w:tc>
          <w:tcPr>
            <w:tcW w:w="1369" w:type="dxa"/>
            <w:shd w:val="clear" w:color="auto" w:fill="auto"/>
            <w:vAlign w:val="center"/>
          </w:tcPr>
          <w:p w14:paraId="5332043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654FF3B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2549067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Y≥20000</w:t>
            </w:r>
          </w:p>
        </w:tc>
        <w:tc>
          <w:tcPr>
            <w:tcW w:w="1701" w:type="dxa"/>
            <w:shd w:val="clear" w:color="auto" w:fill="auto"/>
            <w:vAlign w:val="center"/>
          </w:tcPr>
          <w:p w14:paraId="0B67F11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500≤Y＜20000</w:t>
            </w:r>
          </w:p>
        </w:tc>
        <w:tc>
          <w:tcPr>
            <w:tcW w:w="1426" w:type="dxa"/>
            <w:shd w:val="clear" w:color="auto" w:fill="auto"/>
            <w:vAlign w:val="center"/>
          </w:tcPr>
          <w:p w14:paraId="2E214BB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50≤Y＜500</w:t>
            </w:r>
          </w:p>
        </w:tc>
        <w:tc>
          <w:tcPr>
            <w:tcW w:w="992" w:type="dxa"/>
            <w:shd w:val="clear" w:color="auto" w:fill="auto"/>
            <w:vAlign w:val="center"/>
          </w:tcPr>
          <w:p w14:paraId="0E55F20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w:t>
            </w:r>
          </w:p>
        </w:tc>
      </w:tr>
      <w:tr w14:paraId="38A6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8E05A73">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工业 *</w:t>
            </w:r>
          </w:p>
        </w:tc>
        <w:tc>
          <w:tcPr>
            <w:tcW w:w="1369" w:type="dxa"/>
            <w:shd w:val="clear" w:color="auto" w:fill="auto"/>
            <w:vAlign w:val="center"/>
          </w:tcPr>
          <w:p w14:paraId="685E9D1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6C15B6D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7A1F586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shd w:val="clear" w:color="auto" w:fill="auto"/>
            <w:vAlign w:val="center"/>
          </w:tcPr>
          <w:p w14:paraId="5EB5378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shd w:val="clear" w:color="auto" w:fill="auto"/>
            <w:vAlign w:val="center"/>
          </w:tcPr>
          <w:p w14:paraId="0C78412A">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20≤X＜300</w:t>
            </w:r>
          </w:p>
        </w:tc>
        <w:tc>
          <w:tcPr>
            <w:tcW w:w="992" w:type="dxa"/>
            <w:shd w:val="clear" w:color="auto" w:fill="auto"/>
            <w:vAlign w:val="center"/>
          </w:tcPr>
          <w:p w14:paraId="47840DA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5B45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0DFDD95">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442F0F8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2E5659B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10FE3A7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Y≥40000</w:t>
            </w:r>
          </w:p>
        </w:tc>
        <w:tc>
          <w:tcPr>
            <w:tcW w:w="1701" w:type="dxa"/>
            <w:shd w:val="clear" w:color="auto" w:fill="auto"/>
            <w:vAlign w:val="center"/>
          </w:tcPr>
          <w:p w14:paraId="49062ED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2000≤Y＜40000</w:t>
            </w:r>
          </w:p>
        </w:tc>
        <w:tc>
          <w:tcPr>
            <w:tcW w:w="1426" w:type="dxa"/>
            <w:shd w:val="clear" w:color="auto" w:fill="auto"/>
            <w:vAlign w:val="center"/>
          </w:tcPr>
          <w:p w14:paraId="4AE8E736">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300≤Y＜2000</w:t>
            </w:r>
          </w:p>
        </w:tc>
        <w:tc>
          <w:tcPr>
            <w:tcW w:w="992" w:type="dxa"/>
            <w:shd w:val="clear" w:color="auto" w:fill="auto"/>
            <w:vAlign w:val="center"/>
          </w:tcPr>
          <w:p w14:paraId="2DEB5A4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w:t>
            </w:r>
          </w:p>
        </w:tc>
      </w:tr>
      <w:tr w14:paraId="10A5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856082D">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建筑业</w:t>
            </w:r>
          </w:p>
        </w:tc>
        <w:tc>
          <w:tcPr>
            <w:tcW w:w="1369" w:type="dxa"/>
            <w:shd w:val="clear" w:color="auto" w:fill="auto"/>
            <w:vAlign w:val="center"/>
          </w:tcPr>
          <w:p w14:paraId="0F9641C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671CF75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64DEFEB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Y≥80000</w:t>
            </w:r>
          </w:p>
        </w:tc>
        <w:tc>
          <w:tcPr>
            <w:tcW w:w="1701" w:type="dxa"/>
            <w:shd w:val="clear" w:color="auto" w:fill="auto"/>
            <w:vAlign w:val="center"/>
          </w:tcPr>
          <w:p w14:paraId="663A8D1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6000≤Y＜80000</w:t>
            </w:r>
          </w:p>
        </w:tc>
        <w:tc>
          <w:tcPr>
            <w:tcW w:w="1426" w:type="dxa"/>
            <w:shd w:val="clear" w:color="auto" w:fill="auto"/>
            <w:vAlign w:val="center"/>
          </w:tcPr>
          <w:p w14:paraId="1AB1C37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300≤Y＜6000</w:t>
            </w:r>
          </w:p>
        </w:tc>
        <w:tc>
          <w:tcPr>
            <w:tcW w:w="992" w:type="dxa"/>
            <w:shd w:val="clear" w:color="auto" w:fill="auto"/>
            <w:vAlign w:val="center"/>
          </w:tcPr>
          <w:p w14:paraId="4BC9D08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w:t>
            </w:r>
          </w:p>
        </w:tc>
      </w:tr>
      <w:tr w14:paraId="2BD7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25313D0">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738CB27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资产总额(Z)</w:t>
            </w:r>
          </w:p>
        </w:tc>
        <w:tc>
          <w:tcPr>
            <w:tcW w:w="709" w:type="dxa"/>
            <w:shd w:val="clear" w:color="auto" w:fill="auto"/>
            <w:vAlign w:val="center"/>
          </w:tcPr>
          <w:p w14:paraId="290B4F0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46B1796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Z≥80000</w:t>
            </w:r>
          </w:p>
        </w:tc>
        <w:tc>
          <w:tcPr>
            <w:tcW w:w="1701" w:type="dxa"/>
            <w:shd w:val="clear" w:color="auto" w:fill="auto"/>
            <w:vAlign w:val="center"/>
          </w:tcPr>
          <w:p w14:paraId="474EEDE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5000≤Z＜80000</w:t>
            </w:r>
          </w:p>
        </w:tc>
        <w:tc>
          <w:tcPr>
            <w:tcW w:w="1426" w:type="dxa"/>
            <w:shd w:val="clear" w:color="auto" w:fill="auto"/>
            <w:vAlign w:val="center"/>
          </w:tcPr>
          <w:p w14:paraId="2B7BB88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300≤Z＜5000</w:t>
            </w:r>
          </w:p>
        </w:tc>
        <w:tc>
          <w:tcPr>
            <w:tcW w:w="992" w:type="dxa"/>
            <w:shd w:val="clear" w:color="auto" w:fill="auto"/>
            <w:vAlign w:val="center"/>
          </w:tcPr>
          <w:p w14:paraId="02E5BAC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Z＜300</w:t>
            </w:r>
          </w:p>
        </w:tc>
      </w:tr>
      <w:tr w14:paraId="5E7A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EB40A68">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批发业</w:t>
            </w:r>
          </w:p>
        </w:tc>
        <w:tc>
          <w:tcPr>
            <w:tcW w:w="1369" w:type="dxa"/>
            <w:shd w:val="clear" w:color="auto" w:fill="auto"/>
            <w:vAlign w:val="center"/>
          </w:tcPr>
          <w:p w14:paraId="3307DA5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2A6D3AF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281EF68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X≥200</w:t>
            </w:r>
          </w:p>
        </w:tc>
        <w:tc>
          <w:tcPr>
            <w:tcW w:w="1701" w:type="dxa"/>
            <w:shd w:val="clear" w:color="auto" w:fill="auto"/>
            <w:vAlign w:val="center"/>
          </w:tcPr>
          <w:p w14:paraId="7295451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20≤X＜200</w:t>
            </w:r>
          </w:p>
        </w:tc>
        <w:tc>
          <w:tcPr>
            <w:tcW w:w="1426" w:type="dxa"/>
            <w:shd w:val="clear" w:color="auto" w:fill="auto"/>
            <w:vAlign w:val="center"/>
          </w:tcPr>
          <w:p w14:paraId="6847731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5≤X＜20</w:t>
            </w:r>
          </w:p>
        </w:tc>
        <w:tc>
          <w:tcPr>
            <w:tcW w:w="992" w:type="dxa"/>
            <w:shd w:val="clear" w:color="auto" w:fill="auto"/>
            <w:vAlign w:val="center"/>
          </w:tcPr>
          <w:p w14:paraId="0CE94F5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X＜5</w:t>
            </w:r>
          </w:p>
        </w:tc>
      </w:tr>
      <w:tr w14:paraId="6D364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08F0501">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6C82E3E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79AC6C4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616F37F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Y≥40000</w:t>
            </w:r>
          </w:p>
        </w:tc>
        <w:tc>
          <w:tcPr>
            <w:tcW w:w="1701" w:type="dxa"/>
            <w:shd w:val="clear" w:color="auto" w:fill="auto"/>
            <w:vAlign w:val="center"/>
          </w:tcPr>
          <w:p w14:paraId="1C6D992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5000≤Y＜40000</w:t>
            </w:r>
          </w:p>
        </w:tc>
        <w:tc>
          <w:tcPr>
            <w:tcW w:w="1426" w:type="dxa"/>
            <w:shd w:val="clear" w:color="auto" w:fill="auto"/>
            <w:vAlign w:val="center"/>
          </w:tcPr>
          <w:p w14:paraId="2AA7D3BC">
            <w:pPr>
              <w:widowControl/>
              <w:spacing w:line="360" w:lineRule="auto"/>
              <w:ind w:left="-1" w:leftChars="-1" w:hanging="1"/>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1000≤Y＜5000</w:t>
            </w:r>
          </w:p>
        </w:tc>
        <w:tc>
          <w:tcPr>
            <w:tcW w:w="992" w:type="dxa"/>
            <w:shd w:val="clear" w:color="auto" w:fill="auto"/>
            <w:vAlign w:val="center"/>
          </w:tcPr>
          <w:p w14:paraId="28D78C0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w:t>
            </w:r>
          </w:p>
        </w:tc>
      </w:tr>
      <w:tr w14:paraId="37361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854F1E9">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零售业</w:t>
            </w:r>
          </w:p>
        </w:tc>
        <w:tc>
          <w:tcPr>
            <w:tcW w:w="1369" w:type="dxa"/>
            <w:shd w:val="clear" w:color="auto" w:fill="auto"/>
            <w:vAlign w:val="center"/>
          </w:tcPr>
          <w:p w14:paraId="5F3154E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2EBC7EE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0C56536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shd w:val="clear" w:color="auto" w:fill="auto"/>
            <w:vAlign w:val="center"/>
          </w:tcPr>
          <w:p w14:paraId="68DB1BA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50≤X＜300</w:t>
            </w:r>
          </w:p>
        </w:tc>
        <w:tc>
          <w:tcPr>
            <w:tcW w:w="1426" w:type="dxa"/>
            <w:shd w:val="clear" w:color="auto" w:fill="auto"/>
            <w:vAlign w:val="center"/>
          </w:tcPr>
          <w:p w14:paraId="728D3207">
            <w:pPr>
              <w:widowControl/>
              <w:spacing w:line="360" w:lineRule="auto"/>
              <w:ind w:left="-1" w:leftChars="-1" w:hanging="1"/>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10≤X＜50 </w:t>
            </w:r>
          </w:p>
        </w:tc>
        <w:tc>
          <w:tcPr>
            <w:tcW w:w="992" w:type="dxa"/>
            <w:shd w:val="clear" w:color="auto" w:fill="auto"/>
            <w:vAlign w:val="center"/>
          </w:tcPr>
          <w:p w14:paraId="36A47FB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3E3E2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FA73676">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6290849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1F92050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23A5527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Y≥20000</w:t>
            </w:r>
          </w:p>
        </w:tc>
        <w:tc>
          <w:tcPr>
            <w:tcW w:w="1701" w:type="dxa"/>
            <w:shd w:val="clear" w:color="auto" w:fill="auto"/>
            <w:vAlign w:val="center"/>
          </w:tcPr>
          <w:p w14:paraId="3EC3207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500≤Y＜20000</w:t>
            </w:r>
          </w:p>
        </w:tc>
        <w:tc>
          <w:tcPr>
            <w:tcW w:w="1426" w:type="dxa"/>
            <w:shd w:val="clear" w:color="auto" w:fill="auto"/>
            <w:vAlign w:val="center"/>
          </w:tcPr>
          <w:p w14:paraId="656BEA36">
            <w:pPr>
              <w:widowControl/>
              <w:spacing w:line="360" w:lineRule="auto"/>
              <w:ind w:left="-1" w:leftChars="-1" w:hanging="1"/>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100≤Y＜500 </w:t>
            </w:r>
          </w:p>
        </w:tc>
        <w:tc>
          <w:tcPr>
            <w:tcW w:w="992" w:type="dxa"/>
            <w:shd w:val="clear" w:color="auto" w:fill="auto"/>
            <w:vAlign w:val="center"/>
          </w:tcPr>
          <w:p w14:paraId="4566F19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3CB0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97401A4">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交通运输业 *</w:t>
            </w:r>
          </w:p>
        </w:tc>
        <w:tc>
          <w:tcPr>
            <w:tcW w:w="1369" w:type="dxa"/>
            <w:shd w:val="clear" w:color="auto" w:fill="auto"/>
            <w:vAlign w:val="center"/>
          </w:tcPr>
          <w:p w14:paraId="0FE740C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4C927ED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6B16B25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shd w:val="clear" w:color="auto" w:fill="auto"/>
            <w:vAlign w:val="center"/>
          </w:tcPr>
          <w:p w14:paraId="2D749C4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shd w:val="clear" w:color="auto" w:fill="auto"/>
            <w:vAlign w:val="center"/>
          </w:tcPr>
          <w:p w14:paraId="1382A51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20≤X＜300</w:t>
            </w:r>
          </w:p>
        </w:tc>
        <w:tc>
          <w:tcPr>
            <w:tcW w:w="992" w:type="dxa"/>
            <w:shd w:val="clear" w:color="auto" w:fill="auto"/>
            <w:vAlign w:val="center"/>
          </w:tcPr>
          <w:p w14:paraId="2500925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1427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F494174">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1DB87EC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3B97B7A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7506964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Y≥30000</w:t>
            </w:r>
          </w:p>
        </w:tc>
        <w:tc>
          <w:tcPr>
            <w:tcW w:w="1701" w:type="dxa"/>
            <w:shd w:val="clear" w:color="auto" w:fill="auto"/>
            <w:vAlign w:val="center"/>
          </w:tcPr>
          <w:p w14:paraId="35E1108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3000≤Y＜30000</w:t>
            </w:r>
          </w:p>
        </w:tc>
        <w:tc>
          <w:tcPr>
            <w:tcW w:w="1426" w:type="dxa"/>
            <w:shd w:val="clear" w:color="auto" w:fill="auto"/>
            <w:vAlign w:val="center"/>
          </w:tcPr>
          <w:p w14:paraId="4231401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200≤Y＜3000</w:t>
            </w:r>
          </w:p>
        </w:tc>
        <w:tc>
          <w:tcPr>
            <w:tcW w:w="992" w:type="dxa"/>
            <w:shd w:val="clear" w:color="auto" w:fill="auto"/>
            <w:vAlign w:val="center"/>
          </w:tcPr>
          <w:p w14:paraId="10C9498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w:t>
            </w:r>
          </w:p>
        </w:tc>
      </w:tr>
      <w:tr w14:paraId="533C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989B26D">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仓储业*</w:t>
            </w:r>
          </w:p>
        </w:tc>
        <w:tc>
          <w:tcPr>
            <w:tcW w:w="1369" w:type="dxa"/>
            <w:shd w:val="clear" w:color="auto" w:fill="auto"/>
            <w:vAlign w:val="center"/>
          </w:tcPr>
          <w:p w14:paraId="2E1EB83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41EAF2F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31625A4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X≥200</w:t>
            </w:r>
          </w:p>
        </w:tc>
        <w:tc>
          <w:tcPr>
            <w:tcW w:w="1701" w:type="dxa"/>
            <w:shd w:val="clear" w:color="auto" w:fill="auto"/>
            <w:vAlign w:val="center"/>
          </w:tcPr>
          <w:p w14:paraId="3BF03F27">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100≤X＜200</w:t>
            </w:r>
          </w:p>
        </w:tc>
        <w:tc>
          <w:tcPr>
            <w:tcW w:w="1426" w:type="dxa"/>
            <w:shd w:val="clear" w:color="auto" w:fill="auto"/>
            <w:vAlign w:val="center"/>
          </w:tcPr>
          <w:p w14:paraId="7B4CA81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20≤X＜100</w:t>
            </w:r>
          </w:p>
        </w:tc>
        <w:tc>
          <w:tcPr>
            <w:tcW w:w="992" w:type="dxa"/>
            <w:shd w:val="clear" w:color="auto" w:fill="auto"/>
            <w:vAlign w:val="center"/>
          </w:tcPr>
          <w:p w14:paraId="5B5AC9E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6A3DB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90C99E6">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44CE25F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0C1003E6">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5425F0D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Y≥30000</w:t>
            </w:r>
          </w:p>
        </w:tc>
        <w:tc>
          <w:tcPr>
            <w:tcW w:w="1701" w:type="dxa"/>
            <w:shd w:val="clear" w:color="auto" w:fill="auto"/>
            <w:vAlign w:val="center"/>
          </w:tcPr>
          <w:p w14:paraId="49DBAAE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1000≤Y＜30000</w:t>
            </w:r>
          </w:p>
        </w:tc>
        <w:tc>
          <w:tcPr>
            <w:tcW w:w="1426" w:type="dxa"/>
            <w:shd w:val="clear" w:color="auto" w:fill="auto"/>
            <w:vAlign w:val="center"/>
          </w:tcPr>
          <w:p w14:paraId="30087AD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100≤Y＜1000</w:t>
            </w:r>
          </w:p>
        </w:tc>
        <w:tc>
          <w:tcPr>
            <w:tcW w:w="992" w:type="dxa"/>
            <w:shd w:val="clear" w:color="auto" w:fill="auto"/>
            <w:vAlign w:val="center"/>
          </w:tcPr>
          <w:p w14:paraId="7F1BA0E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18BF1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4423712">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邮政业</w:t>
            </w:r>
          </w:p>
        </w:tc>
        <w:tc>
          <w:tcPr>
            <w:tcW w:w="1369" w:type="dxa"/>
            <w:shd w:val="clear" w:color="auto" w:fill="auto"/>
            <w:vAlign w:val="center"/>
          </w:tcPr>
          <w:p w14:paraId="718C9CB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6E39AF8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74FFEE7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shd w:val="clear" w:color="auto" w:fill="auto"/>
            <w:vAlign w:val="center"/>
          </w:tcPr>
          <w:p w14:paraId="7DFCC08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shd w:val="clear" w:color="auto" w:fill="auto"/>
            <w:vAlign w:val="center"/>
          </w:tcPr>
          <w:p w14:paraId="23ED783A">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20≤X＜300</w:t>
            </w:r>
          </w:p>
        </w:tc>
        <w:tc>
          <w:tcPr>
            <w:tcW w:w="992" w:type="dxa"/>
            <w:shd w:val="clear" w:color="auto" w:fill="auto"/>
            <w:vAlign w:val="center"/>
          </w:tcPr>
          <w:p w14:paraId="0BE5367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18E6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8C306F4">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5B931EA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4C2AF196">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7C78633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Y≥30000</w:t>
            </w:r>
          </w:p>
        </w:tc>
        <w:tc>
          <w:tcPr>
            <w:tcW w:w="1701" w:type="dxa"/>
            <w:shd w:val="clear" w:color="auto" w:fill="auto"/>
            <w:vAlign w:val="center"/>
          </w:tcPr>
          <w:p w14:paraId="62821B3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2000≤Y＜30000</w:t>
            </w:r>
          </w:p>
        </w:tc>
        <w:tc>
          <w:tcPr>
            <w:tcW w:w="1426" w:type="dxa"/>
            <w:shd w:val="clear" w:color="auto" w:fill="auto"/>
            <w:vAlign w:val="center"/>
          </w:tcPr>
          <w:p w14:paraId="7E582706">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100≤Y＜2000</w:t>
            </w:r>
          </w:p>
        </w:tc>
        <w:tc>
          <w:tcPr>
            <w:tcW w:w="992" w:type="dxa"/>
            <w:shd w:val="clear" w:color="auto" w:fill="auto"/>
            <w:vAlign w:val="center"/>
          </w:tcPr>
          <w:p w14:paraId="19BA346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4079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DBCE6A6">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住宿业</w:t>
            </w:r>
          </w:p>
        </w:tc>
        <w:tc>
          <w:tcPr>
            <w:tcW w:w="1369" w:type="dxa"/>
            <w:shd w:val="clear" w:color="auto" w:fill="auto"/>
            <w:vAlign w:val="center"/>
          </w:tcPr>
          <w:p w14:paraId="07B8A93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7FD74DD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5202DEF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shd w:val="clear" w:color="auto" w:fill="auto"/>
            <w:vAlign w:val="center"/>
          </w:tcPr>
          <w:p w14:paraId="62685558">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shd w:val="clear" w:color="auto" w:fill="auto"/>
            <w:vAlign w:val="center"/>
          </w:tcPr>
          <w:p w14:paraId="7793E74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shd w:val="clear" w:color="auto" w:fill="auto"/>
            <w:vAlign w:val="center"/>
          </w:tcPr>
          <w:p w14:paraId="4A18CA1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1BB0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C25F1A7">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79D86B5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185B77DA">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6A14CF8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w:t>
            </w:r>
          </w:p>
        </w:tc>
        <w:tc>
          <w:tcPr>
            <w:tcW w:w="1701" w:type="dxa"/>
            <w:shd w:val="clear" w:color="auto" w:fill="auto"/>
            <w:vAlign w:val="center"/>
          </w:tcPr>
          <w:p w14:paraId="4B92E5F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2000≤Y＜10000</w:t>
            </w:r>
          </w:p>
        </w:tc>
        <w:tc>
          <w:tcPr>
            <w:tcW w:w="1426" w:type="dxa"/>
            <w:shd w:val="clear" w:color="auto" w:fill="auto"/>
            <w:vAlign w:val="center"/>
          </w:tcPr>
          <w:p w14:paraId="4582887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100≤Y＜2000</w:t>
            </w:r>
          </w:p>
        </w:tc>
        <w:tc>
          <w:tcPr>
            <w:tcW w:w="992" w:type="dxa"/>
            <w:shd w:val="clear" w:color="auto" w:fill="auto"/>
            <w:vAlign w:val="center"/>
          </w:tcPr>
          <w:p w14:paraId="6B74155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77E0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0234A33">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餐饮业</w:t>
            </w:r>
          </w:p>
        </w:tc>
        <w:tc>
          <w:tcPr>
            <w:tcW w:w="1369" w:type="dxa"/>
            <w:shd w:val="clear" w:color="auto" w:fill="auto"/>
            <w:vAlign w:val="center"/>
          </w:tcPr>
          <w:p w14:paraId="2EF841C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38186E9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1A198B0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shd w:val="clear" w:color="auto" w:fill="auto"/>
            <w:vAlign w:val="center"/>
          </w:tcPr>
          <w:p w14:paraId="2E13B006">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shd w:val="clear" w:color="auto" w:fill="auto"/>
            <w:vAlign w:val="center"/>
          </w:tcPr>
          <w:p w14:paraId="502403F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shd w:val="clear" w:color="auto" w:fill="auto"/>
            <w:vAlign w:val="center"/>
          </w:tcPr>
          <w:p w14:paraId="0CA89D0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34CC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75962B2">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7B42EE9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37D28F9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0C4D57A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w:t>
            </w:r>
          </w:p>
        </w:tc>
        <w:tc>
          <w:tcPr>
            <w:tcW w:w="1701" w:type="dxa"/>
            <w:shd w:val="clear" w:color="auto" w:fill="auto"/>
            <w:vAlign w:val="center"/>
          </w:tcPr>
          <w:p w14:paraId="3304B8B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2000≤Y＜10000</w:t>
            </w:r>
          </w:p>
        </w:tc>
        <w:tc>
          <w:tcPr>
            <w:tcW w:w="1426" w:type="dxa"/>
            <w:shd w:val="clear" w:color="auto" w:fill="auto"/>
            <w:vAlign w:val="center"/>
          </w:tcPr>
          <w:p w14:paraId="5210B08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100≤Y＜2000</w:t>
            </w:r>
          </w:p>
        </w:tc>
        <w:tc>
          <w:tcPr>
            <w:tcW w:w="992" w:type="dxa"/>
            <w:shd w:val="clear" w:color="auto" w:fill="auto"/>
            <w:vAlign w:val="center"/>
          </w:tcPr>
          <w:p w14:paraId="59231C0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31BA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8E43B85">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信息传输业 *</w:t>
            </w:r>
          </w:p>
        </w:tc>
        <w:tc>
          <w:tcPr>
            <w:tcW w:w="1369" w:type="dxa"/>
            <w:shd w:val="clear" w:color="auto" w:fill="auto"/>
            <w:vAlign w:val="center"/>
          </w:tcPr>
          <w:p w14:paraId="0D0B08DA">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1C9B7A2A">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7C53A26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X≥2000</w:t>
            </w:r>
          </w:p>
        </w:tc>
        <w:tc>
          <w:tcPr>
            <w:tcW w:w="1701" w:type="dxa"/>
            <w:shd w:val="clear" w:color="auto" w:fill="auto"/>
            <w:vAlign w:val="center"/>
          </w:tcPr>
          <w:p w14:paraId="0EA56A6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100≤X＜2000</w:t>
            </w:r>
          </w:p>
        </w:tc>
        <w:tc>
          <w:tcPr>
            <w:tcW w:w="1426" w:type="dxa"/>
            <w:shd w:val="clear" w:color="auto" w:fill="auto"/>
            <w:vAlign w:val="center"/>
          </w:tcPr>
          <w:p w14:paraId="2E4618E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shd w:val="clear" w:color="auto" w:fill="auto"/>
            <w:vAlign w:val="center"/>
          </w:tcPr>
          <w:p w14:paraId="4E012EE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6C41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DDC47A1">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58C2F11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223EB2B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5DDD7C3A">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Y≥100000</w:t>
            </w:r>
          </w:p>
        </w:tc>
        <w:tc>
          <w:tcPr>
            <w:tcW w:w="1701" w:type="dxa"/>
            <w:shd w:val="clear" w:color="auto" w:fill="auto"/>
            <w:vAlign w:val="center"/>
          </w:tcPr>
          <w:p w14:paraId="75BBAFD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1000≤Y＜100000</w:t>
            </w:r>
          </w:p>
        </w:tc>
        <w:tc>
          <w:tcPr>
            <w:tcW w:w="1426" w:type="dxa"/>
            <w:shd w:val="clear" w:color="auto" w:fill="auto"/>
            <w:vAlign w:val="center"/>
          </w:tcPr>
          <w:p w14:paraId="3C00DF1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100≤Y＜1000</w:t>
            </w:r>
          </w:p>
        </w:tc>
        <w:tc>
          <w:tcPr>
            <w:tcW w:w="992" w:type="dxa"/>
            <w:shd w:val="clear" w:color="auto" w:fill="auto"/>
            <w:vAlign w:val="center"/>
          </w:tcPr>
          <w:p w14:paraId="37E8E76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03D1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A964CEC">
            <w:pPr>
              <w:widowControl/>
              <w:spacing w:line="360" w:lineRule="auto"/>
              <w:jc w:val="left"/>
              <w:rPr>
                <w:rFonts w:hint="eastAsia" w:ascii="仿宋" w:hAnsi="仿宋" w:eastAsia="仿宋" w:cs="仿宋"/>
                <w:color w:val="auto"/>
                <w:spacing w:val="-12"/>
                <w:kern w:val="0"/>
                <w:sz w:val="18"/>
                <w:szCs w:val="18"/>
              </w:rPr>
            </w:pPr>
            <w:r>
              <w:rPr>
                <w:rFonts w:hint="eastAsia" w:ascii="仿宋" w:hAnsi="仿宋" w:eastAsia="仿宋" w:cs="仿宋"/>
                <w:color w:val="auto"/>
                <w:spacing w:val="-12"/>
                <w:kern w:val="0"/>
                <w:sz w:val="18"/>
                <w:szCs w:val="18"/>
              </w:rPr>
              <w:t>软件和信息技术服</w:t>
            </w:r>
            <w:r>
              <w:rPr>
                <w:rFonts w:hint="eastAsia" w:ascii="仿宋" w:hAnsi="仿宋" w:eastAsia="仿宋" w:cs="仿宋"/>
                <w:color w:val="auto"/>
                <w:kern w:val="0"/>
                <w:sz w:val="18"/>
                <w:szCs w:val="18"/>
              </w:rPr>
              <w:t>务业</w:t>
            </w:r>
          </w:p>
        </w:tc>
        <w:tc>
          <w:tcPr>
            <w:tcW w:w="1369" w:type="dxa"/>
            <w:shd w:val="clear" w:color="auto" w:fill="auto"/>
            <w:vAlign w:val="center"/>
          </w:tcPr>
          <w:p w14:paraId="01576CF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2B416D9F">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54E45FD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shd w:val="clear" w:color="auto" w:fill="auto"/>
            <w:vAlign w:val="center"/>
          </w:tcPr>
          <w:p w14:paraId="4BED008F">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shd w:val="clear" w:color="auto" w:fill="auto"/>
            <w:vAlign w:val="center"/>
          </w:tcPr>
          <w:p w14:paraId="531E3A5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shd w:val="clear" w:color="auto" w:fill="auto"/>
            <w:vAlign w:val="center"/>
          </w:tcPr>
          <w:p w14:paraId="1F626BF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1C6B5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74DD6D97">
            <w:pPr>
              <w:widowControl/>
              <w:spacing w:line="360" w:lineRule="auto"/>
              <w:jc w:val="left"/>
              <w:rPr>
                <w:rFonts w:hint="eastAsia" w:ascii="仿宋" w:hAnsi="仿宋" w:eastAsia="仿宋" w:cs="仿宋"/>
                <w:color w:val="auto"/>
                <w:spacing w:val="-12"/>
                <w:kern w:val="0"/>
                <w:sz w:val="18"/>
                <w:szCs w:val="18"/>
              </w:rPr>
            </w:pPr>
          </w:p>
        </w:tc>
        <w:tc>
          <w:tcPr>
            <w:tcW w:w="1369" w:type="dxa"/>
            <w:shd w:val="clear" w:color="auto" w:fill="auto"/>
            <w:vAlign w:val="center"/>
          </w:tcPr>
          <w:p w14:paraId="0DAD86D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22B9BF1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60630A5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w:t>
            </w:r>
          </w:p>
        </w:tc>
        <w:tc>
          <w:tcPr>
            <w:tcW w:w="1701" w:type="dxa"/>
            <w:shd w:val="clear" w:color="auto" w:fill="auto"/>
            <w:vAlign w:val="center"/>
          </w:tcPr>
          <w:p w14:paraId="764A417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1000≤Y＜10000</w:t>
            </w:r>
          </w:p>
        </w:tc>
        <w:tc>
          <w:tcPr>
            <w:tcW w:w="1426" w:type="dxa"/>
            <w:shd w:val="clear" w:color="auto" w:fill="auto"/>
            <w:vAlign w:val="center"/>
          </w:tcPr>
          <w:p w14:paraId="29874483">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50≤Y＜1000</w:t>
            </w:r>
          </w:p>
        </w:tc>
        <w:tc>
          <w:tcPr>
            <w:tcW w:w="992" w:type="dxa"/>
            <w:shd w:val="clear" w:color="auto" w:fill="auto"/>
            <w:vAlign w:val="center"/>
          </w:tcPr>
          <w:p w14:paraId="0517FFE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w:t>
            </w:r>
          </w:p>
        </w:tc>
      </w:tr>
      <w:tr w14:paraId="77F9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0E5D57D6">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房地产开发经营</w:t>
            </w:r>
          </w:p>
        </w:tc>
        <w:tc>
          <w:tcPr>
            <w:tcW w:w="1369" w:type="dxa"/>
            <w:shd w:val="clear" w:color="auto" w:fill="auto"/>
            <w:vAlign w:val="center"/>
          </w:tcPr>
          <w:p w14:paraId="6EA55F6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09FC922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782F4DC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Y≥200000</w:t>
            </w:r>
          </w:p>
        </w:tc>
        <w:tc>
          <w:tcPr>
            <w:tcW w:w="1701" w:type="dxa"/>
            <w:shd w:val="clear" w:color="auto" w:fill="auto"/>
            <w:vAlign w:val="center"/>
          </w:tcPr>
          <w:p w14:paraId="2EA28DA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1000≤Y＜200000</w:t>
            </w:r>
          </w:p>
        </w:tc>
        <w:tc>
          <w:tcPr>
            <w:tcW w:w="1426" w:type="dxa"/>
            <w:shd w:val="clear" w:color="auto" w:fill="auto"/>
            <w:vAlign w:val="center"/>
          </w:tcPr>
          <w:p w14:paraId="5D006365">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100≤Y＜1000</w:t>
            </w:r>
          </w:p>
        </w:tc>
        <w:tc>
          <w:tcPr>
            <w:tcW w:w="992" w:type="dxa"/>
            <w:shd w:val="clear" w:color="auto" w:fill="auto"/>
            <w:vAlign w:val="center"/>
          </w:tcPr>
          <w:p w14:paraId="3F19CE3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5E61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4AB730B">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081850A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资产总额(Z)</w:t>
            </w:r>
          </w:p>
        </w:tc>
        <w:tc>
          <w:tcPr>
            <w:tcW w:w="709" w:type="dxa"/>
            <w:shd w:val="clear" w:color="auto" w:fill="auto"/>
            <w:vAlign w:val="center"/>
          </w:tcPr>
          <w:p w14:paraId="4F1DF8F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5C5F747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Z≥10000</w:t>
            </w:r>
          </w:p>
        </w:tc>
        <w:tc>
          <w:tcPr>
            <w:tcW w:w="1701" w:type="dxa"/>
            <w:shd w:val="clear" w:color="auto" w:fill="auto"/>
            <w:vAlign w:val="center"/>
          </w:tcPr>
          <w:p w14:paraId="54BF078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5000≤Z＜10000</w:t>
            </w:r>
          </w:p>
        </w:tc>
        <w:tc>
          <w:tcPr>
            <w:tcW w:w="1426" w:type="dxa"/>
            <w:shd w:val="clear" w:color="auto" w:fill="auto"/>
            <w:vAlign w:val="center"/>
          </w:tcPr>
          <w:p w14:paraId="07CA6D9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2000≤Z＜5000   </w:t>
            </w:r>
          </w:p>
        </w:tc>
        <w:tc>
          <w:tcPr>
            <w:tcW w:w="992" w:type="dxa"/>
            <w:shd w:val="clear" w:color="auto" w:fill="auto"/>
            <w:vAlign w:val="center"/>
          </w:tcPr>
          <w:p w14:paraId="025FA54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Z＜2000</w:t>
            </w:r>
          </w:p>
        </w:tc>
      </w:tr>
      <w:tr w14:paraId="5E88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081FB1D6">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物业管理</w:t>
            </w:r>
          </w:p>
        </w:tc>
        <w:tc>
          <w:tcPr>
            <w:tcW w:w="1369" w:type="dxa"/>
            <w:shd w:val="clear" w:color="auto" w:fill="auto"/>
            <w:vAlign w:val="center"/>
          </w:tcPr>
          <w:p w14:paraId="708E40F8">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4CD03A7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53B6DFE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shd w:val="clear" w:color="auto" w:fill="auto"/>
            <w:vAlign w:val="center"/>
          </w:tcPr>
          <w:p w14:paraId="09207804">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shd w:val="clear" w:color="auto" w:fill="auto"/>
            <w:vAlign w:val="center"/>
          </w:tcPr>
          <w:p w14:paraId="3141783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992" w:type="dxa"/>
            <w:shd w:val="clear" w:color="auto" w:fill="auto"/>
            <w:vAlign w:val="center"/>
          </w:tcPr>
          <w:p w14:paraId="0E3233E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w:t>
            </w:r>
          </w:p>
        </w:tc>
      </w:tr>
      <w:tr w14:paraId="3CF27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11742037">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09BA6D5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shd w:val="clear" w:color="auto" w:fill="auto"/>
            <w:vAlign w:val="center"/>
          </w:tcPr>
          <w:p w14:paraId="487B0ED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793F9A0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Y≥5000</w:t>
            </w:r>
          </w:p>
        </w:tc>
        <w:tc>
          <w:tcPr>
            <w:tcW w:w="1701" w:type="dxa"/>
            <w:shd w:val="clear" w:color="auto" w:fill="auto"/>
            <w:vAlign w:val="center"/>
          </w:tcPr>
          <w:p w14:paraId="0CB33258">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1000≤Y＜5000 </w:t>
            </w:r>
          </w:p>
        </w:tc>
        <w:tc>
          <w:tcPr>
            <w:tcW w:w="1426" w:type="dxa"/>
            <w:shd w:val="clear" w:color="auto" w:fill="auto"/>
            <w:vAlign w:val="center"/>
          </w:tcPr>
          <w:p w14:paraId="0365018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500≤Y＜1000</w:t>
            </w:r>
          </w:p>
        </w:tc>
        <w:tc>
          <w:tcPr>
            <w:tcW w:w="992" w:type="dxa"/>
            <w:shd w:val="clear" w:color="auto" w:fill="auto"/>
            <w:vAlign w:val="center"/>
          </w:tcPr>
          <w:p w14:paraId="08158BE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Y＜500</w:t>
            </w:r>
          </w:p>
        </w:tc>
      </w:tr>
      <w:tr w14:paraId="598C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4FD4B42E">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租赁和商务服务业</w:t>
            </w:r>
          </w:p>
        </w:tc>
        <w:tc>
          <w:tcPr>
            <w:tcW w:w="1369" w:type="dxa"/>
            <w:shd w:val="clear" w:color="auto" w:fill="auto"/>
            <w:vAlign w:val="center"/>
          </w:tcPr>
          <w:p w14:paraId="57BBF83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47A8921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17A3064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shd w:val="clear" w:color="auto" w:fill="auto"/>
            <w:vAlign w:val="center"/>
          </w:tcPr>
          <w:p w14:paraId="3244894D">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shd w:val="clear" w:color="auto" w:fill="auto"/>
            <w:vAlign w:val="center"/>
          </w:tcPr>
          <w:p w14:paraId="0E32FAAB">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shd w:val="clear" w:color="auto" w:fill="auto"/>
            <w:vAlign w:val="center"/>
          </w:tcPr>
          <w:p w14:paraId="52031F2C">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3F5B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B308DC9">
            <w:pPr>
              <w:widowControl/>
              <w:spacing w:line="360" w:lineRule="auto"/>
              <w:jc w:val="left"/>
              <w:rPr>
                <w:rFonts w:hint="eastAsia" w:ascii="仿宋" w:hAnsi="仿宋" w:eastAsia="仿宋" w:cs="仿宋"/>
                <w:color w:val="auto"/>
                <w:kern w:val="0"/>
                <w:sz w:val="18"/>
                <w:szCs w:val="18"/>
              </w:rPr>
            </w:pPr>
          </w:p>
        </w:tc>
        <w:tc>
          <w:tcPr>
            <w:tcW w:w="1369" w:type="dxa"/>
            <w:shd w:val="clear" w:color="auto" w:fill="auto"/>
            <w:vAlign w:val="center"/>
          </w:tcPr>
          <w:p w14:paraId="4FAB4031">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资产总额(Z)</w:t>
            </w:r>
          </w:p>
        </w:tc>
        <w:tc>
          <w:tcPr>
            <w:tcW w:w="709" w:type="dxa"/>
            <w:shd w:val="clear" w:color="auto" w:fill="auto"/>
            <w:vAlign w:val="center"/>
          </w:tcPr>
          <w:p w14:paraId="7C0652E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shd w:val="clear" w:color="auto" w:fill="auto"/>
            <w:vAlign w:val="center"/>
          </w:tcPr>
          <w:p w14:paraId="4514C3F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Z≥120000</w:t>
            </w:r>
          </w:p>
        </w:tc>
        <w:tc>
          <w:tcPr>
            <w:tcW w:w="1701" w:type="dxa"/>
            <w:shd w:val="clear" w:color="auto" w:fill="auto"/>
            <w:vAlign w:val="center"/>
          </w:tcPr>
          <w:p w14:paraId="4B57540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8000≤Z＜120000</w:t>
            </w:r>
          </w:p>
        </w:tc>
        <w:tc>
          <w:tcPr>
            <w:tcW w:w="1426" w:type="dxa"/>
            <w:shd w:val="clear" w:color="auto" w:fill="auto"/>
            <w:vAlign w:val="center"/>
          </w:tcPr>
          <w:p w14:paraId="4C89BE1D">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100≤Z＜8000</w:t>
            </w:r>
          </w:p>
        </w:tc>
        <w:tc>
          <w:tcPr>
            <w:tcW w:w="992" w:type="dxa"/>
            <w:shd w:val="clear" w:color="auto" w:fill="auto"/>
            <w:vAlign w:val="center"/>
          </w:tcPr>
          <w:p w14:paraId="770F4A9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Z＜100</w:t>
            </w:r>
          </w:p>
        </w:tc>
      </w:tr>
      <w:tr w14:paraId="01D0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50240E65">
            <w:pPr>
              <w:widowControl/>
              <w:spacing w:line="360" w:lineRule="auto"/>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其他未列明行业 *</w:t>
            </w:r>
          </w:p>
        </w:tc>
        <w:tc>
          <w:tcPr>
            <w:tcW w:w="1369" w:type="dxa"/>
            <w:shd w:val="clear" w:color="auto" w:fill="auto"/>
            <w:vAlign w:val="center"/>
          </w:tcPr>
          <w:p w14:paraId="637FD8AE">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shd w:val="clear" w:color="auto" w:fill="auto"/>
            <w:vAlign w:val="center"/>
          </w:tcPr>
          <w:p w14:paraId="6C4B4629">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shd w:val="clear" w:color="auto" w:fill="auto"/>
            <w:vAlign w:val="center"/>
          </w:tcPr>
          <w:p w14:paraId="20927487">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shd w:val="clear" w:color="auto" w:fill="auto"/>
            <w:vAlign w:val="center"/>
          </w:tcPr>
          <w:p w14:paraId="0B44E904">
            <w:pPr>
              <w:widowControl/>
              <w:spacing w:line="360" w:lineRule="auto"/>
              <w:ind w:left="1" w:leftChars="-51" w:hanging="108" w:hangingChars="6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shd w:val="clear" w:color="auto" w:fill="auto"/>
            <w:vAlign w:val="center"/>
          </w:tcPr>
          <w:p w14:paraId="0B24F210">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shd w:val="clear" w:color="auto" w:fill="auto"/>
            <w:vAlign w:val="center"/>
          </w:tcPr>
          <w:p w14:paraId="0B60E772">
            <w:pPr>
              <w:widowControl/>
              <w:spacing w:line="360" w:lineRule="auto"/>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bl>
    <w:p w14:paraId="156A1B7A">
      <w:pPr>
        <w:widowControl/>
        <w:spacing w:line="360" w:lineRule="auto"/>
        <w:rPr>
          <w:rFonts w:hint="eastAsia" w:ascii="仿宋" w:hAnsi="仿宋" w:eastAsia="仿宋" w:cs="仿宋"/>
          <w:color w:val="auto"/>
          <w:spacing w:val="8"/>
          <w:kern w:val="0"/>
          <w:szCs w:val="21"/>
        </w:rPr>
      </w:pPr>
    </w:p>
    <w:p w14:paraId="36760FA0">
      <w:pPr>
        <w:widowControl/>
        <w:spacing w:line="360" w:lineRule="auto"/>
        <w:jc w:val="left"/>
        <w:rPr>
          <w:rFonts w:hint="eastAsia" w:ascii="仿宋" w:hAnsi="仿宋" w:eastAsia="仿宋" w:cs="仿宋"/>
          <w:color w:val="auto"/>
          <w:spacing w:val="8"/>
          <w:kern w:val="0"/>
          <w:szCs w:val="21"/>
        </w:rPr>
      </w:pPr>
      <w:r>
        <w:rPr>
          <w:rFonts w:hint="eastAsia" w:ascii="仿宋" w:hAnsi="仿宋" w:eastAsia="仿宋" w:cs="仿宋"/>
          <w:color w:val="auto"/>
          <w:spacing w:val="8"/>
          <w:kern w:val="0"/>
          <w:sz w:val="32"/>
          <w:szCs w:val="32"/>
        </w:rPr>
        <w:br w:type="page"/>
      </w:r>
    </w:p>
    <w:p w14:paraId="070104AB">
      <w:pPr>
        <w:widowControl/>
        <w:spacing w:line="360" w:lineRule="auto"/>
        <w:rPr>
          <w:rFonts w:hint="eastAsia" w:ascii="仿宋" w:hAnsi="仿宋" w:eastAsia="仿宋" w:cs="仿宋"/>
          <w:b/>
          <w:bCs/>
          <w:color w:val="auto"/>
          <w:spacing w:val="8"/>
          <w:kern w:val="0"/>
          <w:szCs w:val="21"/>
        </w:rPr>
      </w:pPr>
      <w:r>
        <w:rPr>
          <w:rFonts w:hint="eastAsia" w:ascii="仿宋" w:hAnsi="仿宋" w:eastAsia="仿宋" w:cs="仿宋"/>
          <w:b/>
          <w:bCs/>
          <w:color w:val="auto"/>
          <w:spacing w:val="8"/>
          <w:kern w:val="0"/>
          <w:szCs w:val="21"/>
        </w:rPr>
        <w:t>说明：</w:t>
      </w:r>
    </w:p>
    <w:p w14:paraId="741402C1">
      <w:pPr>
        <w:spacing w:line="360" w:lineRule="auto"/>
        <w:rPr>
          <w:rFonts w:hint="eastAsia" w:ascii="仿宋" w:hAnsi="仿宋" w:eastAsia="仿宋" w:cs="仿宋"/>
          <w:color w:val="auto"/>
          <w:spacing w:val="8"/>
          <w:kern w:val="0"/>
          <w:szCs w:val="21"/>
        </w:rPr>
      </w:pPr>
      <w:r>
        <w:rPr>
          <w:rFonts w:hint="eastAsia" w:ascii="仿宋" w:hAnsi="仿宋" w:eastAsia="仿宋" w:cs="仿宋"/>
          <w:color w:val="auto"/>
          <w:spacing w:val="8"/>
          <w:kern w:val="0"/>
          <w:szCs w:val="21"/>
        </w:rPr>
        <w:t>1.大型、中型和小型企业须同时满足所列指标的下限，否则下划一档；微型企业只须满足所列指标中的一项即可。</w:t>
      </w:r>
    </w:p>
    <w:p w14:paraId="6CB9FA51">
      <w:pPr>
        <w:spacing w:line="360" w:lineRule="auto"/>
        <w:rPr>
          <w:rFonts w:hint="eastAsia" w:ascii="仿宋" w:hAnsi="仿宋" w:eastAsia="仿宋" w:cs="仿宋"/>
          <w:color w:val="auto"/>
          <w:spacing w:val="8"/>
          <w:kern w:val="0"/>
          <w:szCs w:val="21"/>
        </w:rPr>
      </w:pPr>
      <w:r>
        <w:rPr>
          <w:rFonts w:hint="eastAsia" w:ascii="仿宋" w:hAnsi="仿宋" w:eastAsia="仿宋" w:cs="仿宋"/>
          <w:color w:val="auto"/>
          <w:spacing w:val="8"/>
          <w:kern w:val="0"/>
          <w:szCs w:val="21"/>
        </w:rPr>
        <w:t>2.附表中各行业的范围以《国民经济行业分类》（GB/T4754-2017）为准。带*的项为行业组合类别，其中，</w:t>
      </w:r>
      <w:r>
        <w:rPr>
          <w:rFonts w:hint="eastAsia" w:ascii="仿宋" w:hAnsi="仿宋" w:eastAsia="仿宋" w:cs="仿宋"/>
          <w:b w:val="0"/>
          <w:bCs w:val="0"/>
          <w:color w:val="auto"/>
          <w:spacing w:val="8"/>
          <w:kern w:val="0"/>
          <w:szCs w:val="21"/>
        </w:rPr>
        <w:t>工业包括采矿业，制造业</w:t>
      </w:r>
      <w:r>
        <w:rPr>
          <w:rFonts w:hint="eastAsia" w:ascii="仿宋" w:hAnsi="仿宋" w:eastAsia="仿宋" w:cs="仿宋"/>
          <w:color w:val="auto"/>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C760089">
      <w:pPr>
        <w:spacing w:line="360" w:lineRule="auto"/>
        <w:rPr>
          <w:rFonts w:hint="eastAsia" w:ascii="仿宋" w:hAnsi="仿宋" w:eastAsia="仿宋" w:cs="仿宋"/>
          <w:color w:val="auto"/>
          <w:spacing w:val="8"/>
          <w:kern w:val="0"/>
          <w:szCs w:val="21"/>
        </w:rPr>
      </w:pPr>
      <w:bookmarkStart w:id="489" w:name="_Toc24916"/>
      <w:bookmarkStart w:id="490" w:name="_Toc8676"/>
      <w:bookmarkStart w:id="491" w:name="_Toc2617"/>
      <w:bookmarkStart w:id="492" w:name="_Toc30463"/>
      <w:bookmarkStart w:id="493" w:name="_Toc6671"/>
      <w:bookmarkStart w:id="494" w:name="_Toc3446"/>
      <w:r>
        <w:rPr>
          <w:rFonts w:hint="eastAsia" w:ascii="仿宋" w:hAnsi="仿宋" w:eastAsia="仿宋" w:cs="仿宋"/>
          <w:color w:val="auto"/>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489"/>
      <w:bookmarkEnd w:id="490"/>
      <w:bookmarkEnd w:id="491"/>
      <w:bookmarkEnd w:id="492"/>
      <w:bookmarkEnd w:id="493"/>
      <w:bookmarkEnd w:id="494"/>
    </w:p>
    <w:p w14:paraId="529BD2C6">
      <w:pPr>
        <w:spacing w:line="360" w:lineRule="auto"/>
        <w:rPr>
          <w:rFonts w:hint="eastAsia" w:ascii="仿宋" w:hAnsi="仿宋" w:eastAsia="仿宋" w:cs="仿宋"/>
          <w:b/>
          <w:color w:val="auto"/>
          <w:kern w:val="0"/>
          <w:sz w:val="28"/>
          <w:szCs w:val="21"/>
        </w:rPr>
      </w:pPr>
      <w:bookmarkStart w:id="495" w:name="_Toc977"/>
      <w:bookmarkStart w:id="496" w:name="_Toc5089"/>
      <w:bookmarkStart w:id="497" w:name="_Toc2089"/>
      <w:bookmarkStart w:id="498" w:name="_Toc30379"/>
      <w:bookmarkStart w:id="499" w:name="_Toc23048"/>
      <w:bookmarkStart w:id="500" w:name="_Toc23242"/>
      <w:bookmarkStart w:id="501" w:name="_Toc27183"/>
      <w:bookmarkStart w:id="502" w:name="_Toc32323"/>
      <w:bookmarkStart w:id="503" w:name="_Toc18899"/>
      <w:bookmarkStart w:id="504" w:name="_Toc2213"/>
      <w:r>
        <w:rPr>
          <w:rFonts w:hint="eastAsia" w:ascii="仿宋" w:hAnsi="仿宋" w:eastAsia="仿宋" w:cs="仿宋"/>
          <w:b/>
          <w:color w:val="auto"/>
          <w:kern w:val="0"/>
          <w:sz w:val="28"/>
          <w:szCs w:val="21"/>
        </w:rPr>
        <w:br w:type="page"/>
      </w:r>
    </w:p>
    <w:p w14:paraId="492BA8E9">
      <w:pPr>
        <w:wordWrap w:val="0"/>
        <w:spacing w:line="360" w:lineRule="auto"/>
        <w:rPr>
          <w:rFonts w:hint="eastAsia" w:ascii="仿宋" w:hAnsi="仿宋" w:eastAsia="仿宋" w:cs="仿宋"/>
          <w:b/>
          <w:color w:val="auto"/>
          <w:kern w:val="0"/>
          <w:sz w:val="28"/>
          <w:szCs w:val="21"/>
        </w:rPr>
      </w:pPr>
      <w:r>
        <w:rPr>
          <w:rFonts w:hint="eastAsia" w:ascii="仿宋" w:hAnsi="仿宋" w:eastAsia="仿宋" w:cs="仿宋"/>
          <w:b/>
          <w:color w:val="auto"/>
          <w:kern w:val="0"/>
          <w:sz w:val="28"/>
          <w:szCs w:val="21"/>
        </w:rPr>
        <w:t>附件2：残疾人福利性单位声明函（若是）</w:t>
      </w:r>
    </w:p>
    <w:p w14:paraId="0209299B">
      <w:pPr>
        <w:wordWrap w:val="0"/>
        <w:spacing w:line="360" w:lineRule="auto"/>
        <w:ind w:left="3320"/>
        <w:rPr>
          <w:rFonts w:hint="eastAsia" w:ascii="仿宋" w:hAnsi="仿宋" w:eastAsia="仿宋" w:cs="仿宋"/>
          <w:color w:val="auto"/>
          <w:szCs w:val="21"/>
        </w:rPr>
      </w:pPr>
    </w:p>
    <w:p w14:paraId="30DB2AE3">
      <w:pPr>
        <w:wordWrap w:val="0"/>
        <w:spacing w:line="360" w:lineRule="auto"/>
        <w:ind w:left="380"/>
        <w:jc w:val="center"/>
        <w:rPr>
          <w:rFonts w:hint="eastAsia" w:ascii="仿宋" w:hAnsi="仿宋" w:eastAsia="仿宋" w:cs="仿宋"/>
          <w:b/>
          <w:bCs/>
          <w:color w:val="auto"/>
          <w:sz w:val="24"/>
        </w:rPr>
      </w:pPr>
      <w:r>
        <w:rPr>
          <w:rFonts w:hint="eastAsia" w:ascii="仿宋" w:hAnsi="仿宋" w:eastAsia="仿宋" w:cs="仿宋"/>
          <w:b/>
          <w:bCs/>
          <w:color w:val="auto"/>
          <w:sz w:val="24"/>
        </w:rPr>
        <w:t>残疾人福利性单位声明函</w:t>
      </w:r>
    </w:p>
    <w:p w14:paraId="72C51638">
      <w:pPr>
        <w:wordWrap w:val="0"/>
        <w:spacing w:line="360" w:lineRule="auto"/>
        <w:rPr>
          <w:rFonts w:hint="eastAsia" w:ascii="仿宋" w:hAnsi="仿宋" w:eastAsia="仿宋" w:cs="仿宋"/>
          <w:color w:val="auto"/>
          <w:szCs w:val="21"/>
        </w:rPr>
      </w:pPr>
    </w:p>
    <w:p w14:paraId="4A87EABA">
      <w:pPr>
        <w:wordWrap w:val="0"/>
        <w:spacing w:line="360" w:lineRule="auto"/>
        <w:ind w:firstLine="480"/>
        <w:rPr>
          <w:rFonts w:hint="eastAsia" w:ascii="仿宋" w:hAnsi="仿宋" w:eastAsia="仿宋" w:cs="仿宋"/>
          <w:color w:val="auto"/>
          <w:szCs w:val="21"/>
        </w:rPr>
      </w:pPr>
      <w:r>
        <w:rPr>
          <w:rFonts w:hint="eastAsia" w:ascii="仿宋" w:hAnsi="仿宋" w:eastAsia="仿宋" w:cs="仿宋"/>
          <w:color w:val="auto"/>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Cs w:val="21"/>
          <w:u w:val="single"/>
          <w:lang w:eastAsia="zh-CN"/>
        </w:rPr>
        <w:t>云南省林业和草原技术推广总站林下滇黄精栽培技术推广示范项目肥料、药品采购项目</w:t>
      </w:r>
      <w:r>
        <w:rPr>
          <w:rFonts w:hint="eastAsia" w:ascii="仿宋" w:hAnsi="仿宋" w:eastAsia="仿宋" w:cs="仿宋"/>
          <w:color w:val="auto"/>
          <w:szCs w:val="21"/>
        </w:rPr>
        <w:t>采购活动提供本单位制造的货物（由本单位承担工程/提供服务），或者提供其他残疾人福利性单位制造的货物（不包括使用非残 疾人福利性单位注册商标的货物）。</w:t>
      </w:r>
    </w:p>
    <w:p w14:paraId="1E884456">
      <w:pPr>
        <w:wordWrap w:val="0"/>
        <w:spacing w:line="360" w:lineRule="auto"/>
        <w:rPr>
          <w:rFonts w:hint="eastAsia" w:ascii="仿宋" w:hAnsi="仿宋" w:eastAsia="仿宋" w:cs="仿宋"/>
          <w:color w:val="auto"/>
          <w:szCs w:val="21"/>
        </w:rPr>
      </w:pPr>
    </w:p>
    <w:p w14:paraId="2D84EF5E">
      <w:pPr>
        <w:wordWrap w:val="0"/>
        <w:spacing w:line="360" w:lineRule="auto"/>
        <w:ind w:left="480"/>
        <w:rPr>
          <w:rFonts w:hint="eastAsia" w:ascii="仿宋" w:hAnsi="仿宋" w:eastAsia="仿宋" w:cs="仿宋"/>
          <w:color w:val="auto"/>
          <w:szCs w:val="21"/>
        </w:rPr>
      </w:pPr>
      <w:r>
        <w:rPr>
          <w:rFonts w:hint="eastAsia" w:ascii="仿宋" w:hAnsi="仿宋" w:eastAsia="仿宋" w:cs="仿宋"/>
          <w:color w:val="auto"/>
          <w:szCs w:val="21"/>
        </w:rPr>
        <w:t>本单位对上述声明的真实性负责。如有虚假，将依法承担相应责任。</w:t>
      </w:r>
    </w:p>
    <w:p w14:paraId="6D570927">
      <w:pPr>
        <w:wordWrap w:val="0"/>
        <w:autoSpaceDE w:val="0"/>
        <w:autoSpaceDN w:val="0"/>
        <w:adjustRightInd w:val="0"/>
        <w:spacing w:line="360" w:lineRule="auto"/>
        <w:ind w:firstLine="420" w:firstLineChars="200"/>
        <w:jc w:val="left"/>
        <w:rPr>
          <w:rFonts w:hint="eastAsia" w:ascii="仿宋" w:hAnsi="仿宋" w:eastAsia="仿宋" w:cs="仿宋"/>
          <w:bCs/>
          <w:color w:val="auto"/>
          <w:szCs w:val="21"/>
        </w:rPr>
      </w:pPr>
    </w:p>
    <w:p w14:paraId="18937E67">
      <w:pPr>
        <w:wordWrap w:val="0"/>
        <w:autoSpaceDE w:val="0"/>
        <w:autoSpaceDN w:val="0"/>
        <w:adjustRightInd w:val="0"/>
        <w:spacing w:line="360" w:lineRule="auto"/>
        <w:ind w:firstLine="420" w:firstLineChars="200"/>
        <w:jc w:val="left"/>
        <w:rPr>
          <w:rFonts w:hint="eastAsia" w:ascii="仿宋" w:hAnsi="仿宋" w:eastAsia="仿宋" w:cs="仿宋"/>
          <w:bCs/>
          <w:color w:val="auto"/>
          <w:kern w:val="0"/>
          <w:szCs w:val="21"/>
        </w:rPr>
      </w:pPr>
      <w:r>
        <w:rPr>
          <w:rFonts w:hint="eastAsia" w:ascii="仿宋" w:hAnsi="仿宋" w:eastAsia="仿宋" w:cs="仿宋"/>
          <w:bCs/>
          <w:color w:val="auto"/>
          <w:szCs w:val="21"/>
        </w:rPr>
        <w:t>投标人：</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（电子签章）</w:t>
      </w:r>
    </w:p>
    <w:p w14:paraId="6E4FCC30">
      <w:pPr>
        <w:wordWrap w:val="0"/>
        <w:autoSpaceDE w:val="0"/>
        <w:autoSpaceDN w:val="0"/>
        <w:adjustRightInd w:val="0"/>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bCs/>
          <w:color w:val="auto"/>
          <w:szCs w:val="21"/>
        </w:rPr>
        <w:t>法定代表人或其委托代理人：</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w:t>
      </w:r>
      <w:r>
        <w:rPr>
          <w:rFonts w:hint="eastAsia" w:ascii="仿宋" w:hAnsi="仿宋" w:eastAsia="仿宋" w:cs="仿宋"/>
          <w:color w:val="auto"/>
          <w:szCs w:val="21"/>
        </w:rPr>
        <w:t>电子签章</w:t>
      </w:r>
      <w:r>
        <w:rPr>
          <w:rFonts w:hint="eastAsia" w:ascii="仿宋" w:hAnsi="仿宋" w:eastAsia="仿宋" w:cs="仿宋"/>
          <w:bCs/>
          <w:color w:val="auto"/>
          <w:szCs w:val="21"/>
        </w:rPr>
        <w:t>）</w:t>
      </w:r>
    </w:p>
    <w:p w14:paraId="14C9B1A8">
      <w:pPr>
        <w:pStyle w:val="8"/>
        <w:wordWrap w:val="0"/>
        <w:spacing w:line="360" w:lineRule="auto"/>
        <w:ind w:firstLine="420" w:firstLineChars="200"/>
        <w:rPr>
          <w:rFonts w:hint="eastAsia" w:ascii="仿宋" w:hAnsi="仿宋" w:eastAsia="仿宋" w:cs="仿宋"/>
          <w:b w:val="0"/>
          <w:bCs/>
          <w:color w:val="auto"/>
          <w:spacing w:val="0"/>
          <w:sz w:val="21"/>
          <w:szCs w:val="21"/>
        </w:rPr>
      </w:pPr>
      <w:r>
        <w:rPr>
          <w:rFonts w:hint="eastAsia" w:ascii="仿宋" w:hAnsi="仿宋" w:eastAsia="仿宋" w:cs="仿宋"/>
          <w:b w:val="0"/>
          <w:bCs/>
          <w:color w:val="auto"/>
          <w:spacing w:val="0"/>
          <w:sz w:val="21"/>
          <w:szCs w:val="21"/>
          <w:u w:val="single"/>
        </w:rPr>
        <w:t xml:space="preserve">      </w:t>
      </w:r>
      <w:r>
        <w:rPr>
          <w:rFonts w:hint="eastAsia" w:ascii="仿宋" w:hAnsi="仿宋" w:eastAsia="仿宋" w:cs="仿宋"/>
          <w:b w:val="0"/>
          <w:bCs/>
          <w:color w:val="auto"/>
          <w:spacing w:val="0"/>
          <w:sz w:val="21"/>
          <w:szCs w:val="21"/>
        </w:rPr>
        <w:t>年</w:t>
      </w:r>
      <w:r>
        <w:rPr>
          <w:rFonts w:hint="eastAsia" w:ascii="仿宋" w:hAnsi="仿宋" w:eastAsia="仿宋" w:cs="仿宋"/>
          <w:b w:val="0"/>
          <w:bCs/>
          <w:color w:val="auto"/>
          <w:spacing w:val="0"/>
          <w:sz w:val="21"/>
          <w:szCs w:val="21"/>
          <w:u w:val="single"/>
        </w:rPr>
        <w:t xml:space="preserve">    </w:t>
      </w:r>
      <w:r>
        <w:rPr>
          <w:rFonts w:hint="eastAsia" w:ascii="仿宋" w:hAnsi="仿宋" w:eastAsia="仿宋" w:cs="仿宋"/>
          <w:b w:val="0"/>
          <w:bCs/>
          <w:color w:val="auto"/>
          <w:spacing w:val="0"/>
          <w:sz w:val="21"/>
          <w:szCs w:val="21"/>
        </w:rPr>
        <w:t>月</w:t>
      </w:r>
      <w:r>
        <w:rPr>
          <w:rFonts w:hint="eastAsia" w:ascii="仿宋" w:hAnsi="仿宋" w:eastAsia="仿宋" w:cs="仿宋"/>
          <w:b w:val="0"/>
          <w:bCs/>
          <w:color w:val="auto"/>
          <w:spacing w:val="0"/>
          <w:sz w:val="21"/>
          <w:szCs w:val="21"/>
          <w:u w:val="single"/>
        </w:rPr>
        <w:t xml:space="preserve">    </w:t>
      </w:r>
      <w:r>
        <w:rPr>
          <w:rFonts w:hint="eastAsia" w:ascii="仿宋" w:hAnsi="仿宋" w:eastAsia="仿宋" w:cs="仿宋"/>
          <w:b w:val="0"/>
          <w:bCs/>
          <w:color w:val="auto"/>
          <w:spacing w:val="0"/>
          <w:sz w:val="21"/>
          <w:szCs w:val="21"/>
        </w:rPr>
        <w:t>日</w:t>
      </w:r>
    </w:p>
    <w:p w14:paraId="717C3034">
      <w:pPr>
        <w:wordWrap w:val="0"/>
        <w:spacing w:line="360" w:lineRule="auto"/>
        <w:rPr>
          <w:rFonts w:hint="eastAsia" w:ascii="仿宋" w:hAnsi="仿宋" w:eastAsia="仿宋" w:cs="仿宋"/>
          <w:color w:val="auto"/>
          <w:szCs w:val="21"/>
        </w:rPr>
      </w:pPr>
      <w:r>
        <w:rPr>
          <w:rFonts w:hint="eastAsia" w:ascii="仿宋" w:hAnsi="仿宋" w:eastAsia="仿宋" w:cs="仿宋"/>
          <w:color w:val="auto"/>
          <w:szCs w:val="21"/>
        </w:rPr>
        <w:br w:type="page"/>
      </w:r>
    </w:p>
    <w:p w14:paraId="4B119D4E">
      <w:pPr>
        <w:wordWrap w:val="0"/>
        <w:spacing w:line="360" w:lineRule="auto"/>
        <w:rPr>
          <w:rFonts w:hint="eastAsia" w:ascii="仿宋" w:hAnsi="仿宋" w:eastAsia="仿宋" w:cs="仿宋"/>
          <w:b/>
          <w:color w:val="auto"/>
          <w:kern w:val="0"/>
          <w:sz w:val="28"/>
          <w:szCs w:val="21"/>
        </w:rPr>
      </w:pPr>
      <w:r>
        <w:rPr>
          <w:rFonts w:hint="eastAsia" w:ascii="仿宋" w:hAnsi="仿宋" w:eastAsia="仿宋" w:cs="仿宋"/>
          <w:b/>
          <w:color w:val="auto"/>
          <w:kern w:val="0"/>
          <w:sz w:val="28"/>
          <w:szCs w:val="21"/>
        </w:rPr>
        <w:t>附件3：监狱企业证明文件（若是）</w:t>
      </w:r>
    </w:p>
    <w:p w14:paraId="7B8F7DB0">
      <w:pPr>
        <w:wordWrap w:val="0"/>
        <w:spacing w:line="360" w:lineRule="auto"/>
        <w:ind w:left="380"/>
        <w:jc w:val="center"/>
        <w:rPr>
          <w:rFonts w:hint="eastAsia" w:ascii="仿宋" w:hAnsi="仿宋" w:eastAsia="仿宋" w:cs="仿宋"/>
          <w:b/>
          <w:bCs/>
          <w:color w:val="auto"/>
          <w:sz w:val="24"/>
        </w:rPr>
      </w:pPr>
      <w:r>
        <w:rPr>
          <w:rFonts w:hint="eastAsia" w:ascii="仿宋" w:hAnsi="仿宋" w:eastAsia="仿宋" w:cs="仿宋"/>
          <w:b/>
          <w:bCs/>
          <w:color w:val="auto"/>
          <w:sz w:val="24"/>
        </w:rPr>
        <w:t>监狱企业证明文件</w:t>
      </w:r>
    </w:p>
    <w:p w14:paraId="613468F4">
      <w:pPr>
        <w:pStyle w:val="8"/>
        <w:wordWrap w:val="0"/>
        <w:spacing w:line="360" w:lineRule="auto"/>
        <w:ind w:firstLine="420" w:firstLineChars="200"/>
        <w:rPr>
          <w:rFonts w:hint="eastAsia" w:ascii="仿宋" w:hAnsi="仿宋" w:eastAsia="仿宋" w:cs="仿宋"/>
          <w:b w:val="0"/>
          <w:color w:val="auto"/>
          <w:spacing w:val="0"/>
          <w:sz w:val="21"/>
          <w:szCs w:val="21"/>
        </w:rPr>
      </w:pPr>
      <w:r>
        <w:rPr>
          <w:rFonts w:hint="eastAsia" w:ascii="仿宋" w:hAnsi="仿宋" w:eastAsia="仿宋" w:cs="仿宋"/>
          <w:b w:val="0"/>
          <w:color w:val="auto"/>
          <w:spacing w:val="0"/>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42BE37">
      <w:pPr>
        <w:pStyle w:val="8"/>
        <w:wordWrap w:val="0"/>
        <w:spacing w:line="360" w:lineRule="auto"/>
        <w:ind w:firstLine="420" w:firstLineChars="200"/>
        <w:rPr>
          <w:rFonts w:hint="eastAsia" w:ascii="仿宋" w:hAnsi="仿宋" w:eastAsia="仿宋" w:cs="仿宋"/>
          <w:b w:val="0"/>
          <w:color w:val="auto"/>
          <w:spacing w:val="0"/>
          <w:sz w:val="21"/>
          <w:szCs w:val="21"/>
        </w:rPr>
      </w:pPr>
      <w:r>
        <w:rPr>
          <w:rFonts w:hint="eastAsia" w:ascii="仿宋" w:hAnsi="仿宋" w:eastAsia="仿宋" w:cs="仿宋"/>
          <w:b w:val="0"/>
          <w:color w:val="auto"/>
          <w:spacing w:val="0"/>
          <w:sz w:val="21"/>
          <w:szCs w:val="21"/>
        </w:rPr>
        <w:t>监狱企业参加招标投标活动时，应当提供由省级以上监狱管理局、戒毒管理局（含新疆生产建设兵团）出具的属于监狱企业的证明文件。</w:t>
      </w:r>
    </w:p>
    <w:p w14:paraId="7B65C919">
      <w:pPr>
        <w:pStyle w:val="8"/>
        <w:wordWrap w:val="0"/>
        <w:spacing w:line="360" w:lineRule="auto"/>
        <w:ind w:firstLine="420" w:firstLineChars="200"/>
        <w:rPr>
          <w:rFonts w:hint="eastAsia" w:ascii="仿宋" w:hAnsi="仿宋" w:eastAsia="仿宋" w:cs="仿宋"/>
          <w:b w:val="0"/>
          <w:color w:val="auto"/>
          <w:spacing w:val="0"/>
          <w:sz w:val="21"/>
          <w:szCs w:val="21"/>
        </w:rPr>
      </w:pPr>
      <w:r>
        <w:rPr>
          <w:rFonts w:hint="eastAsia" w:ascii="仿宋" w:hAnsi="仿宋" w:eastAsia="仿宋" w:cs="仿宋"/>
          <w:b w:val="0"/>
          <w:color w:val="auto"/>
          <w:spacing w:val="0"/>
          <w:sz w:val="21"/>
          <w:szCs w:val="21"/>
        </w:rPr>
        <w:t>注：符合条件的监狱企业在参加招标投标活动时，应当按《财政部 司法部关于政府采购支持监狱企</w:t>
      </w:r>
      <w:r>
        <w:rPr>
          <w:rFonts w:hint="eastAsia" w:ascii="仿宋" w:hAnsi="仿宋" w:eastAsia="仿宋" w:cs="仿宋"/>
          <w:b w:val="0"/>
          <w:color w:val="auto"/>
          <w:spacing w:val="-6"/>
          <w:sz w:val="21"/>
          <w:szCs w:val="21"/>
        </w:rPr>
        <w:t>业发展有关问题的通知》（财库〔2014〕68号）提供规定的《监狱企业证明文件》，并对声明的真实性负责。</w:t>
      </w:r>
    </w:p>
    <w:p w14:paraId="6A257113">
      <w:pPr>
        <w:wordWrap w:val="0"/>
        <w:spacing w:line="360" w:lineRule="auto"/>
        <w:ind w:right="960"/>
        <w:jc w:val="left"/>
        <w:rPr>
          <w:rFonts w:hint="eastAsia" w:ascii="仿宋" w:hAnsi="仿宋" w:eastAsia="仿宋" w:cs="仿宋"/>
          <w:color w:val="auto"/>
          <w:sz w:val="24"/>
        </w:rPr>
      </w:pPr>
    </w:p>
    <w:p w14:paraId="4C2827E9">
      <w:pPr>
        <w:wordWrap w:val="0"/>
        <w:autoSpaceDE w:val="0"/>
        <w:autoSpaceDN w:val="0"/>
        <w:adjustRightInd w:val="0"/>
        <w:spacing w:line="360" w:lineRule="auto"/>
        <w:ind w:firstLine="420" w:firstLineChars="200"/>
        <w:jc w:val="left"/>
        <w:rPr>
          <w:rFonts w:hint="eastAsia" w:ascii="仿宋" w:hAnsi="仿宋" w:eastAsia="仿宋" w:cs="仿宋"/>
          <w:bCs/>
          <w:color w:val="auto"/>
          <w:kern w:val="0"/>
          <w:szCs w:val="21"/>
        </w:rPr>
      </w:pPr>
      <w:r>
        <w:rPr>
          <w:rFonts w:hint="eastAsia" w:ascii="仿宋" w:hAnsi="仿宋" w:eastAsia="仿宋" w:cs="仿宋"/>
          <w:bCs/>
          <w:color w:val="auto"/>
          <w:szCs w:val="21"/>
        </w:rPr>
        <w:t>投标人：</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（电子签章）</w:t>
      </w:r>
    </w:p>
    <w:p w14:paraId="2FF09A19">
      <w:pPr>
        <w:wordWrap w:val="0"/>
        <w:autoSpaceDE w:val="0"/>
        <w:autoSpaceDN w:val="0"/>
        <w:adjustRightInd w:val="0"/>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bCs/>
          <w:color w:val="auto"/>
          <w:szCs w:val="21"/>
        </w:rPr>
        <w:t>法定代表人或其委托代理人：</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w:t>
      </w:r>
      <w:r>
        <w:rPr>
          <w:rFonts w:hint="eastAsia" w:ascii="仿宋" w:hAnsi="仿宋" w:eastAsia="仿宋" w:cs="仿宋"/>
          <w:color w:val="auto"/>
          <w:szCs w:val="21"/>
        </w:rPr>
        <w:t>电子签章</w:t>
      </w:r>
      <w:r>
        <w:rPr>
          <w:rFonts w:hint="eastAsia" w:ascii="仿宋" w:hAnsi="仿宋" w:eastAsia="仿宋" w:cs="仿宋"/>
          <w:bCs/>
          <w:color w:val="auto"/>
          <w:szCs w:val="21"/>
        </w:rPr>
        <w:t>）</w:t>
      </w:r>
    </w:p>
    <w:p w14:paraId="4EC8AB90">
      <w:pPr>
        <w:wordWrap w:val="0"/>
        <w:spacing w:line="360" w:lineRule="auto"/>
        <w:ind w:firstLine="420" w:firstLineChars="200"/>
        <w:rPr>
          <w:rFonts w:hint="eastAsia" w:ascii="仿宋" w:hAnsi="仿宋" w:eastAsia="仿宋" w:cs="仿宋"/>
          <w:bCs/>
          <w:color w:val="auto"/>
          <w:sz w:val="28"/>
          <w:szCs w:val="28"/>
        </w:rPr>
      </w:pP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年</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月</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rPr>
        <w:t>日</w:t>
      </w:r>
    </w:p>
    <w:p w14:paraId="26BCAD56">
      <w:pPr>
        <w:spacing w:line="360" w:lineRule="auto"/>
        <w:ind w:firstLine="480" w:firstLineChars="200"/>
        <w:rPr>
          <w:rFonts w:hint="eastAsia" w:ascii="仿宋" w:hAnsi="仿宋" w:eastAsia="仿宋" w:cs="仿宋"/>
          <w:color w:val="auto"/>
          <w:sz w:val="24"/>
          <w:szCs w:val="24"/>
        </w:rPr>
      </w:pPr>
    </w:p>
    <w:bookmarkEnd w:id="495"/>
    <w:bookmarkEnd w:id="496"/>
    <w:bookmarkEnd w:id="497"/>
    <w:bookmarkEnd w:id="498"/>
    <w:bookmarkEnd w:id="499"/>
    <w:bookmarkEnd w:id="500"/>
    <w:bookmarkEnd w:id="501"/>
    <w:bookmarkEnd w:id="502"/>
    <w:bookmarkEnd w:id="503"/>
    <w:bookmarkEnd w:id="504"/>
    <w:p w14:paraId="7087DE3D">
      <w:pPr>
        <w:spacing w:line="360" w:lineRule="auto"/>
        <w:rPr>
          <w:rFonts w:hint="eastAsia" w:ascii="仿宋" w:hAnsi="仿宋" w:eastAsia="仿宋" w:cs="仿宋"/>
          <w:color w:val="auto"/>
        </w:rPr>
      </w:pPr>
    </w:p>
    <w:p w14:paraId="5E35E037">
      <w:pPr>
        <w:pStyle w:val="30"/>
        <w:spacing w:line="360" w:lineRule="auto"/>
        <w:rPr>
          <w:rFonts w:hint="eastAsia" w:ascii="仿宋" w:hAnsi="仿宋" w:eastAsia="仿宋" w:cs="仿宋"/>
          <w:color w:val="auto"/>
        </w:rPr>
      </w:pPr>
    </w:p>
    <w:p w14:paraId="1B9447CC">
      <w:pPr>
        <w:pStyle w:val="9"/>
        <w:rPr>
          <w:rFonts w:hint="eastAsia"/>
        </w:rPr>
      </w:pPr>
      <w:r>
        <w:rPr>
          <w:rFonts w:hint="eastAsia" w:ascii="仿宋" w:hAnsi="仿宋" w:eastAsia="仿宋" w:cs="仿宋"/>
          <w:color w:val="auto"/>
          <w:sz w:val="24"/>
        </w:rPr>
        <w:br w:type="page"/>
      </w:r>
    </w:p>
    <w:p w14:paraId="48C1EC0A">
      <w:pPr>
        <w:spacing w:line="360" w:lineRule="auto"/>
        <w:rPr>
          <w:rFonts w:hint="eastAsia" w:ascii="仿宋" w:hAnsi="仿宋" w:eastAsia="仿宋" w:cs="仿宋"/>
          <w:color w:val="auto"/>
          <w:sz w:val="24"/>
        </w:rPr>
      </w:pPr>
      <w:r>
        <w:rPr>
          <w:rFonts w:hint="eastAsia" w:ascii="仿宋" w:hAnsi="仿宋" w:eastAsia="仿宋" w:cs="仿宋"/>
          <w:color w:val="auto"/>
          <w:sz w:val="24"/>
        </w:rPr>
        <w:br w:type="page"/>
      </w:r>
    </w:p>
    <w:p w14:paraId="46212294">
      <w:pPr>
        <w:spacing w:line="360" w:lineRule="auto"/>
        <w:jc w:val="center"/>
        <w:rPr>
          <w:rFonts w:hint="default" w:ascii="仿宋" w:hAnsi="仿宋" w:eastAsia="仿宋" w:cs="仿宋"/>
          <w:color w:val="auto"/>
          <w:sz w:val="72"/>
          <w:szCs w:val="72"/>
          <w:lang w:val="en-US" w:eastAsia="zh-CN"/>
        </w:rPr>
      </w:pPr>
      <w:r>
        <w:rPr>
          <w:rFonts w:hint="eastAsia" w:ascii="仿宋" w:hAnsi="仿宋" w:eastAsia="仿宋" w:cs="仿宋"/>
          <w:b/>
          <w:bCs/>
          <w:color w:val="auto"/>
          <w:sz w:val="60"/>
          <w:szCs w:val="60"/>
          <w:lang w:eastAsia="zh-CN"/>
        </w:rPr>
        <w:t>云南省林业和草原技术推广总站林下滇黄精栽培技术推广示范项目肥料、药品采购项目</w:t>
      </w:r>
      <w:r>
        <w:rPr>
          <w:rFonts w:hint="eastAsia" w:ascii="仿宋" w:hAnsi="仿宋" w:eastAsia="仿宋" w:cs="仿宋"/>
          <w:b/>
          <w:bCs/>
          <w:color w:val="auto"/>
          <w:sz w:val="60"/>
          <w:szCs w:val="60"/>
          <w:u w:val="single"/>
          <w:lang w:val="en-US" w:eastAsia="zh-CN"/>
        </w:rPr>
        <w:t xml:space="preserve">  </w:t>
      </w:r>
      <w:r>
        <w:rPr>
          <w:rFonts w:hint="eastAsia" w:ascii="仿宋" w:hAnsi="仿宋" w:eastAsia="仿宋" w:cs="仿宋"/>
          <w:b/>
          <w:bCs/>
          <w:color w:val="auto"/>
          <w:sz w:val="60"/>
          <w:szCs w:val="60"/>
          <w:lang w:val="en-US" w:eastAsia="zh-CN"/>
        </w:rPr>
        <w:t>标段</w:t>
      </w:r>
    </w:p>
    <w:p w14:paraId="3427FFC5">
      <w:pPr>
        <w:spacing w:line="360" w:lineRule="auto"/>
        <w:jc w:val="center"/>
        <w:rPr>
          <w:rFonts w:hint="eastAsia" w:ascii="仿宋" w:hAnsi="仿宋" w:eastAsia="仿宋" w:cs="仿宋"/>
          <w:color w:val="auto"/>
          <w:sz w:val="24"/>
        </w:rPr>
      </w:pPr>
    </w:p>
    <w:p w14:paraId="4E75B1B3">
      <w:pPr>
        <w:spacing w:line="360" w:lineRule="auto"/>
        <w:jc w:val="center"/>
        <w:rPr>
          <w:rFonts w:hint="eastAsia" w:ascii="仿宋" w:hAnsi="仿宋" w:eastAsia="仿宋" w:cs="仿宋"/>
          <w:color w:val="auto"/>
          <w:sz w:val="24"/>
        </w:rPr>
      </w:pPr>
    </w:p>
    <w:p w14:paraId="650FC4F5">
      <w:pPr>
        <w:spacing w:line="360" w:lineRule="auto"/>
        <w:rPr>
          <w:rFonts w:hint="eastAsia" w:ascii="仿宋" w:hAnsi="仿宋" w:eastAsia="仿宋" w:cs="仿宋"/>
          <w:color w:val="auto"/>
        </w:rPr>
      </w:pPr>
    </w:p>
    <w:p w14:paraId="79768A7B">
      <w:pPr>
        <w:pStyle w:val="23"/>
        <w:spacing w:after="0" w:line="360" w:lineRule="auto"/>
        <w:rPr>
          <w:rFonts w:hint="eastAsia" w:ascii="仿宋" w:hAnsi="仿宋" w:eastAsia="仿宋" w:cs="仿宋"/>
          <w:color w:val="auto"/>
        </w:rPr>
      </w:pPr>
    </w:p>
    <w:p w14:paraId="349F1A3E">
      <w:pPr>
        <w:pStyle w:val="14"/>
        <w:spacing w:line="360" w:lineRule="auto"/>
        <w:rPr>
          <w:rFonts w:hint="eastAsia" w:ascii="仿宋" w:hAnsi="仿宋" w:eastAsia="仿宋" w:cs="仿宋"/>
          <w:b/>
          <w:color w:val="auto"/>
          <w:sz w:val="36"/>
          <w:szCs w:val="36"/>
        </w:rPr>
      </w:pPr>
    </w:p>
    <w:p w14:paraId="65B339A0">
      <w:pPr>
        <w:pStyle w:val="14"/>
        <w:spacing w:line="360" w:lineRule="auto"/>
        <w:jc w:val="center"/>
        <w:rPr>
          <w:rFonts w:hint="eastAsia" w:ascii="仿宋" w:hAnsi="仿宋" w:eastAsia="仿宋" w:cs="仿宋"/>
          <w:b/>
          <w:color w:val="auto"/>
          <w:sz w:val="96"/>
          <w:szCs w:val="96"/>
        </w:rPr>
      </w:pPr>
      <w:r>
        <w:rPr>
          <w:rFonts w:hint="eastAsia" w:ascii="仿宋" w:hAnsi="仿宋" w:eastAsia="仿宋" w:cs="仿宋"/>
          <w:b/>
          <w:color w:val="auto"/>
          <w:sz w:val="96"/>
          <w:szCs w:val="96"/>
        </w:rPr>
        <w:t>投标文件</w:t>
      </w:r>
    </w:p>
    <w:p w14:paraId="2E2A34F7">
      <w:pPr>
        <w:pStyle w:val="14"/>
        <w:spacing w:line="360" w:lineRule="auto"/>
        <w:jc w:val="center"/>
        <w:outlineLvl w:val="1"/>
        <w:rPr>
          <w:rFonts w:hint="eastAsia" w:ascii="仿宋" w:hAnsi="仿宋" w:eastAsia="仿宋" w:cs="仿宋"/>
          <w:b/>
          <w:color w:val="auto"/>
          <w:sz w:val="96"/>
          <w:szCs w:val="96"/>
        </w:rPr>
      </w:pPr>
      <w:bookmarkStart w:id="505" w:name="_Toc5623"/>
      <w:r>
        <w:rPr>
          <w:rFonts w:hint="eastAsia" w:ascii="仿宋" w:hAnsi="仿宋" w:eastAsia="仿宋" w:cs="仿宋"/>
          <w:b/>
          <w:color w:val="auto"/>
          <w:sz w:val="44"/>
          <w:szCs w:val="44"/>
        </w:rPr>
        <w:t>（投标报价部分）</w:t>
      </w:r>
      <w:bookmarkEnd w:id="505"/>
    </w:p>
    <w:p w14:paraId="53ADA4B9">
      <w:pPr>
        <w:pStyle w:val="14"/>
        <w:spacing w:line="360" w:lineRule="auto"/>
        <w:jc w:val="center"/>
        <w:rPr>
          <w:rFonts w:hint="eastAsia" w:ascii="仿宋" w:hAnsi="仿宋" w:eastAsia="仿宋" w:cs="仿宋"/>
          <w:color w:val="auto"/>
          <w:sz w:val="24"/>
          <w:lang w:eastAsia="zh-CN"/>
        </w:rPr>
      </w:pPr>
      <w:r>
        <w:rPr>
          <w:rFonts w:hint="eastAsia" w:ascii="仿宋" w:hAnsi="仿宋" w:eastAsia="仿宋" w:cs="仿宋"/>
          <w:b/>
          <w:color w:val="auto"/>
          <w:sz w:val="36"/>
          <w:szCs w:val="36"/>
        </w:rPr>
        <w:t>项目编号：</w:t>
      </w:r>
      <w:r>
        <w:rPr>
          <w:rFonts w:hint="eastAsia" w:ascii="仿宋" w:hAnsi="仿宋" w:eastAsia="仿宋" w:cs="仿宋"/>
          <w:b/>
          <w:color w:val="auto"/>
          <w:sz w:val="36"/>
          <w:szCs w:val="36"/>
          <w:lang w:eastAsia="zh-CN"/>
        </w:rPr>
        <w:t>YNZC2026-G1-00374-YNGH-0032</w:t>
      </w:r>
    </w:p>
    <w:p w14:paraId="0CAFD40E">
      <w:pPr>
        <w:spacing w:line="360" w:lineRule="auto"/>
        <w:jc w:val="center"/>
        <w:rPr>
          <w:rFonts w:hint="eastAsia" w:ascii="仿宋" w:hAnsi="仿宋" w:eastAsia="仿宋" w:cs="仿宋"/>
          <w:color w:val="auto"/>
          <w:sz w:val="24"/>
        </w:rPr>
      </w:pPr>
    </w:p>
    <w:p w14:paraId="32DE2DAB">
      <w:pPr>
        <w:pStyle w:val="8"/>
        <w:spacing w:line="360" w:lineRule="auto"/>
        <w:rPr>
          <w:rFonts w:hint="eastAsia" w:ascii="仿宋" w:hAnsi="仿宋" w:eastAsia="仿宋" w:cs="仿宋"/>
          <w:color w:val="auto"/>
          <w:spacing w:val="0"/>
          <w:sz w:val="24"/>
        </w:rPr>
      </w:pPr>
    </w:p>
    <w:p w14:paraId="30E155EF">
      <w:pPr>
        <w:spacing w:line="360" w:lineRule="auto"/>
        <w:rPr>
          <w:rFonts w:hint="eastAsia" w:ascii="仿宋" w:hAnsi="仿宋" w:eastAsia="仿宋" w:cs="仿宋"/>
          <w:color w:val="auto"/>
          <w:sz w:val="24"/>
        </w:rPr>
      </w:pPr>
    </w:p>
    <w:p w14:paraId="4658E253">
      <w:pPr>
        <w:spacing w:line="360" w:lineRule="auto"/>
        <w:rPr>
          <w:rFonts w:hint="eastAsia" w:ascii="仿宋" w:hAnsi="仿宋" w:eastAsia="仿宋" w:cs="仿宋"/>
          <w:color w:val="auto"/>
        </w:rPr>
      </w:pPr>
    </w:p>
    <w:p w14:paraId="1B368F72">
      <w:pPr>
        <w:spacing w:line="360" w:lineRule="auto"/>
        <w:rPr>
          <w:rFonts w:hint="eastAsia" w:ascii="仿宋" w:hAnsi="仿宋" w:eastAsia="仿宋" w:cs="仿宋"/>
          <w:color w:val="auto"/>
          <w:sz w:val="24"/>
        </w:rPr>
      </w:pPr>
    </w:p>
    <w:p w14:paraId="1CC918F3">
      <w:pPr>
        <w:spacing w:line="360" w:lineRule="auto"/>
        <w:ind w:firstLine="1980" w:firstLineChars="825"/>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078572E9">
      <w:pPr>
        <w:spacing w:line="360" w:lineRule="auto"/>
        <w:ind w:firstLine="1980" w:firstLineChars="825"/>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3884CAED">
      <w:pPr>
        <w:spacing w:line="360" w:lineRule="auto"/>
        <w:ind w:firstLine="2940" w:firstLineChars="1225"/>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7699B4C9">
      <w:pPr>
        <w:tabs>
          <w:tab w:val="left" w:pos="1021"/>
        </w:tabs>
        <w:spacing w:line="360" w:lineRule="auto"/>
        <w:rPr>
          <w:rFonts w:hint="eastAsia" w:ascii="仿宋" w:hAnsi="仿宋" w:eastAsia="仿宋" w:cs="仿宋"/>
          <w:color w:val="auto"/>
          <w:sz w:val="24"/>
        </w:rPr>
      </w:pPr>
    </w:p>
    <w:p w14:paraId="549BB058">
      <w:pPr>
        <w:tabs>
          <w:tab w:val="left" w:pos="1021"/>
        </w:tabs>
        <w:spacing w:line="360" w:lineRule="auto"/>
        <w:jc w:val="center"/>
        <w:rPr>
          <w:rFonts w:hint="eastAsia" w:ascii="仿宋" w:hAnsi="仿宋" w:eastAsia="仿宋" w:cs="仿宋"/>
          <w:color w:val="auto"/>
          <w:sz w:val="32"/>
          <w:szCs w:val="32"/>
        </w:rPr>
      </w:pPr>
      <w:r>
        <w:rPr>
          <w:rFonts w:hint="eastAsia" w:ascii="仿宋" w:hAnsi="仿宋" w:eastAsia="仿宋" w:cs="仿宋"/>
          <w:color w:val="auto"/>
        </w:rPr>
        <w:br w:type="page"/>
      </w:r>
      <w:r>
        <w:rPr>
          <w:rFonts w:hint="eastAsia" w:ascii="仿宋" w:hAnsi="仿宋" w:eastAsia="仿宋" w:cs="仿宋"/>
          <w:color w:val="auto"/>
          <w:sz w:val="32"/>
          <w:szCs w:val="32"/>
        </w:rPr>
        <w:t>目录</w:t>
      </w:r>
    </w:p>
    <w:p w14:paraId="27300B7C">
      <w:pPr>
        <w:spacing w:line="360" w:lineRule="auto"/>
        <w:jc w:val="center"/>
        <w:rPr>
          <w:rFonts w:hint="eastAsia" w:ascii="仿宋" w:hAnsi="仿宋" w:eastAsia="仿宋" w:cs="仿宋"/>
          <w:color w:val="auto"/>
          <w:sz w:val="24"/>
        </w:rPr>
      </w:pPr>
      <w:r>
        <w:rPr>
          <w:rFonts w:hint="eastAsia" w:ascii="仿宋" w:hAnsi="仿宋" w:eastAsia="仿宋" w:cs="仿宋"/>
          <w:b/>
          <w:color w:val="auto"/>
          <w:szCs w:val="21"/>
        </w:rPr>
        <w:t>（格式自拟）</w:t>
      </w:r>
    </w:p>
    <w:p w14:paraId="648EA029">
      <w:pPr>
        <w:spacing w:line="360" w:lineRule="auto"/>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749641D2">
      <w:pPr>
        <w:spacing w:line="360" w:lineRule="auto"/>
        <w:jc w:val="center"/>
        <w:outlineLvl w:val="2"/>
        <w:rPr>
          <w:rFonts w:hint="eastAsia" w:ascii="仿宋" w:hAnsi="仿宋" w:eastAsia="仿宋" w:cs="仿宋"/>
          <w:b/>
          <w:bCs/>
          <w:color w:val="auto"/>
          <w:sz w:val="32"/>
          <w:szCs w:val="32"/>
        </w:rPr>
      </w:pPr>
      <w:bookmarkStart w:id="506" w:name="_Toc26780"/>
      <w:r>
        <w:rPr>
          <w:rFonts w:hint="eastAsia" w:ascii="仿宋" w:hAnsi="仿宋" w:eastAsia="仿宋" w:cs="仿宋"/>
          <w:b/>
          <w:bCs/>
          <w:color w:val="auto"/>
          <w:sz w:val="32"/>
          <w:szCs w:val="32"/>
        </w:rPr>
        <w:t>一、开标一览表</w:t>
      </w:r>
      <w:bookmarkEnd w:id="506"/>
    </w:p>
    <w:p w14:paraId="4AF8450B">
      <w:pPr>
        <w:spacing w:line="360" w:lineRule="auto"/>
        <w:jc w:val="left"/>
        <w:rPr>
          <w:rFonts w:hint="eastAsia" w:ascii="仿宋" w:hAnsi="仿宋" w:eastAsia="仿宋" w:cs="仿宋"/>
          <w:b/>
          <w:bCs/>
          <w:color w:val="auto"/>
          <w:sz w:val="22"/>
          <w:lang w:eastAsia="zh-CN"/>
        </w:rPr>
      </w:pPr>
      <w:r>
        <w:rPr>
          <w:rFonts w:hint="eastAsia" w:ascii="仿宋" w:hAnsi="仿宋" w:eastAsia="仿宋" w:cs="仿宋"/>
          <w:b/>
          <w:bCs/>
          <w:color w:val="auto"/>
          <w:sz w:val="22"/>
        </w:rPr>
        <w:t>项目名称：</w:t>
      </w:r>
      <w:r>
        <w:rPr>
          <w:rFonts w:hint="eastAsia" w:ascii="仿宋" w:hAnsi="仿宋" w:eastAsia="仿宋" w:cs="仿宋"/>
          <w:b/>
          <w:bCs/>
          <w:color w:val="auto"/>
          <w:sz w:val="22"/>
          <w:lang w:eastAsia="zh-CN"/>
        </w:rPr>
        <w:t>云南省林业和草原技术推广总站林下滇黄精栽培技术推广示范项目肥料、药品采购项目</w:t>
      </w:r>
      <w:r>
        <w:rPr>
          <w:rFonts w:hint="eastAsia" w:ascii="仿宋" w:hAnsi="仿宋" w:eastAsia="仿宋" w:cs="仿宋"/>
          <w:b/>
          <w:bCs/>
          <w:color w:val="auto"/>
          <w:sz w:val="22"/>
          <w:u w:val="single"/>
          <w:lang w:val="en-US" w:eastAsia="zh-CN"/>
        </w:rPr>
        <w:t xml:space="preserve">  </w:t>
      </w:r>
      <w:r>
        <w:rPr>
          <w:rFonts w:hint="eastAsia" w:ascii="仿宋" w:hAnsi="仿宋" w:eastAsia="仿宋" w:cs="仿宋"/>
          <w:b/>
          <w:bCs/>
          <w:color w:val="auto"/>
          <w:sz w:val="22"/>
          <w:lang w:val="en-US" w:eastAsia="zh-CN"/>
        </w:rPr>
        <w:t>标段</w:t>
      </w:r>
    </w:p>
    <w:p w14:paraId="07D1177E">
      <w:pPr>
        <w:spacing w:line="360" w:lineRule="auto"/>
        <w:jc w:val="left"/>
        <w:rPr>
          <w:rFonts w:hint="eastAsia" w:ascii="仿宋" w:hAnsi="仿宋" w:eastAsia="仿宋" w:cs="仿宋"/>
          <w:b/>
          <w:bCs/>
          <w:color w:val="auto"/>
          <w:sz w:val="22"/>
          <w:lang w:eastAsia="zh-CN"/>
        </w:rPr>
      </w:pPr>
      <w:r>
        <w:rPr>
          <w:rFonts w:hint="eastAsia" w:ascii="仿宋" w:hAnsi="仿宋" w:eastAsia="仿宋" w:cs="仿宋"/>
          <w:b/>
          <w:bCs/>
          <w:color w:val="auto"/>
          <w:sz w:val="22"/>
        </w:rPr>
        <w:t>项目编号：</w:t>
      </w:r>
      <w:r>
        <w:rPr>
          <w:rFonts w:hint="eastAsia" w:ascii="仿宋" w:hAnsi="仿宋" w:eastAsia="仿宋" w:cs="仿宋"/>
          <w:b/>
          <w:bCs/>
          <w:color w:val="auto"/>
          <w:sz w:val="22"/>
          <w:lang w:eastAsia="zh-CN"/>
        </w:rPr>
        <w:t>YNZC2026-G1-00374-YNGH-0032</w:t>
      </w:r>
    </w:p>
    <w:tbl>
      <w:tblPr>
        <w:tblStyle w:val="24"/>
        <w:tblW w:w="9797" w:type="dxa"/>
        <w:tblInd w:w="0" w:type="dxa"/>
        <w:tblLayout w:type="fixed"/>
        <w:tblCellMar>
          <w:top w:w="0" w:type="dxa"/>
          <w:left w:w="108" w:type="dxa"/>
          <w:bottom w:w="0" w:type="dxa"/>
          <w:right w:w="108" w:type="dxa"/>
        </w:tblCellMar>
      </w:tblPr>
      <w:tblGrid>
        <w:gridCol w:w="1833"/>
        <w:gridCol w:w="1771"/>
        <w:gridCol w:w="1681"/>
        <w:gridCol w:w="3159"/>
        <w:gridCol w:w="1353"/>
      </w:tblGrid>
      <w:tr w14:paraId="4560D947">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1D81C41B">
            <w:pPr>
              <w:widowControl/>
              <w:spacing w:line="360" w:lineRule="auto"/>
              <w:jc w:val="center"/>
              <w:rPr>
                <w:rFonts w:hint="eastAsia" w:ascii="仿宋" w:hAnsi="仿宋" w:eastAsia="仿宋" w:cs="仿宋"/>
                <w:b/>
                <w:bCs/>
                <w:color w:val="auto"/>
                <w:kern w:val="0"/>
                <w:sz w:val="22"/>
              </w:rPr>
            </w:pPr>
            <w:r>
              <w:rPr>
                <w:rFonts w:hint="eastAsia" w:ascii="仿宋" w:hAnsi="仿宋" w:eastAsia="仿宋" w:cs="仿宋"/>
                <w:b/>
                <w:bCs/>
                <w:color w:val="auto"/>
                <w:kern w:val="0"/>
                <w:sz w:val="22"/>
              </w:rPr>
              <w:t>投标报价</w:t>
            </w:r>
          </w:p>
        </w:tc>
        <w:tc>
          <w:tcPr>
            <w:tcW w:w="1771" w:type="dxa"/>
            <w:tcBorders>
              <w:top w:val="single" w:color="auto" w:sz="4" w:space="0"/>
              <w:left w:val="nil"/>
              <w:bottom w:val="single" w:color="auto" w:sz="4" w:space="0"/>
              <w:right w:val="single" w:color="auto" w:sz="4" w:space="0"/>
            </w:tcBorders>
            <w:shd w:val="clear" w:color="auto" w:fill="auto"/>
            <w:vAlign w:val="center"/>
          </w:tcPr>
          <w:p w14:paraId="077FF1FE">
            <w:pPr>
              <w:widowControl/>
              <w:spacing w:line="360" w:lineRule="auto"/>
              <w:jc w:val="center"/>
              <w:rPr>
                <w:rFonts w:hint="eastAsia" w:ascii="仿宋" w:hAnsi="仿宋" w:eastAsia="仿宋" w:cs="仿宋"/>
                <w:b/>
                <w:bCs/>
                <w:color w:val="auto"/>
                <w:kern w:val="0"/>
                <w:sz w:val="22"/>
              </w:rPr>
            </w:pPr>
            <w:r>
              <w:rPr>
                <w:rFonts w:hint="eastAsia" w:ascii="仿宋" w:hAnsi="仿宋" w:eastAsia="仿宋" w:cs="仿宋"/>
                <w:b/>
                <w:bCs/>
                <w:color w:val="auto"/>
                <w:kern w:val="0"/>
                <w:sz w:val="22"/>
              </w:rPr>
              <w:t>合同履行期限</w:t>
            </w:r>
          </w:p>
        </w:tc>
        <w:tc>
          <w:tcPr>
            <w:tcW w:w="1681" w:type="dxa"/>
            <w:tcBorders>
              <w:top w:val="single" w:color="auto" w:sz="4" w:space="0"/>
              <w:left w:val="nil"/>
              <w:bottom w:val="single" w:color="auto" w:sz="4" w:space="0"/>
              <w:right w:val="single" w:color="auto" w:sz="4" w:space="0"/>
            </w:tcBorders>
            <w:shd w:val="clear" w:color="auto" w:fill="auto"/>
            <w:vAlign w:val="center"/>
          </w:tcPr>
          <w:p w14:paraId="555A0DD1">
            <w:pPr>
              <w:widowControl/>
              <w:spacing w:line="360" w:lineRule="auto"/>
              <w:jc w:val="center"/>
              <w:rPr>
                <w:rFonts w:hint="eastAsia" w:ascii="仿宋" w:hAnsi="仿宋" w:eastAsia="仿宋" w:cs="仿宋"/>
                <w:b/>
                <w:bCs/>
                <w:color w:val="auto"/>
                <w:kern w:val="0"/>
                <w:sz w:val="22"/>
              </w:rPr>
            </w:pPr>
            <w:r>
              <w:rPr>
                <w:rFonts w:hint="eastAsia" w:ascii="仿宋" w:hAnsi="仿宋" w:eastAsia="仿宋" w:cs="仿宋"/>
                <w:b/>
                <w:bCs/>
                <w:color w:val="auto"/>
                <w:kern w:val="0"/>
                <w:sz w:val="22"/>
              </w:rPr>
              <w:t>交付地点</w:t>
            </w:r>
          </w:p>
        </w:tc>
        <w:tc>
          <w:tcPr>
            <w:tcW w:w="3159" w:type="dxa"/>
            <w:tcBorders>
              <w:top w:val="single" w:color="auto" w:sz="4" w:space="0"/>
              <w:left w:val="nil"/>
              <w:bottom w:val="single" w:color="auto" w:sz="4" w:space="0"/>
              <w:right w:val="single" w:color="auto" w:sz="4" w:space="0"/>
            </w:tcBorders>
            <w:shd w:val="clear" w:color="auto" w:fill="auto"/>
            <w:vAlign w:val="center"/>
          </w:tcPr>
          <w:p w14:paraId="1F8F5B8E">
            <w:pPr>
              <w:widowControl/>
              <w:spacing w:line="360" w:lineRule="auto"/>
              <w:jc w:val="center"/>
              <w:rPr>
                <w:rFonts w:hint="eastAsia" w:ascii="仿宋" w:hAnsi="仿宋" w:eastAsia="仿宋" w:cs="仿宋"/>
                <w:b/>
                <w:bCs/>
                <w:color w:val="auto"/>
                <w:kern w:val="0"/>
                <w:sz w:val="22"/>
              </w:rPr>
            </w:pPr>
            <w:r>
              <w:rPr>
                <w:rFonts w:hint="eastAsia" w:ascii="仿宋" w:hAnsi="仿宋" w:eastAsia="仿宋" w:cs="仿宋"/>
                <w:b/>
                <w:bCs/>
                <w:color w:val="auto"/>
                <w:kern w:val="0"/>
                <w:sz w:val="22"/>
              </w:rPr>
              <w:t>质量承诺</w:t>
            </w:r>
          </w:p>
        </w:tc>
        <w:tc>
          <w:tcPr>
            <w:tcW w:w="1353" w:type="dxa"/>
            <w:tcBorders>
              <w:top w:val="single" w:color="auto" w:sz="4" w:space="0"/>
              <w:left w:val="nil"/>
              <w:bottom w:val="single" w:color="auto" w:sz="4" w:space="0"/>
              <w:right w:val="single" w:color="auto" w:sz="4" w:space="0"/>
            </w:tcBorders>
            <w:shd w:val="clear" w:color="auto" w:fill="auto"/>
            <w:vAlign w:val="center"/>
          </w:tcPr>
          <w:p w14:paraId="2E5851D1">
            <w:pPr>
              <w:widowControl/>
              <w:spacing w:line="360" w:lineRule="auto"/>
              <w:jc w:val="center"/>
              <w:rPr>
                <w:rFonts w:hint="eastAsia" w:ascii="仿宋" w:hAnsi="仿宋" w:eastAsia="仿宋" w:cs="仿宋"/>
                <w:b/>
                <w:bCs/>
                <w:color w:val="auto"/>
                <w:kern w:val="0"/>
                <w:sz w:val="22"/>
              </w:rPr>
            </w:pPr>
            <w:r>
              <w:rPr>
                <w:rFonts w:hint="eastAsia" w:ascii="仿宋" w:hAnsi="仿宋" w:eastAsia="仿宋" w:cs="仿宋"/>
                <w:b/>
                <w:bCs/>
                <w:color w:val="auto"/>
                <w:kern w:val="0"/>
                <w:sz w:val="22"/>
              </w:rPr>
              <w:t>备注</w:t>
            </w:r>
          </w:p>
        </w:tc>
      </w:tr>
      <w:tr w14:paraId="0A5DCD6C">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shd w:val="clear" w:color="auto" w:fill="auto"/>
            <w:vAlign w:val="center"/>
          </w:tcPr>
          <w:p w14:paraId="487D0270">
            <w:pPr>
              <w:widowControl/>
              <w:spacing w:line="360" w:lineRule="auto"/>
              <w:jc w:val="left"/>
              <w:rPr>
                <w:rFonts w:hint="eastAsia" w:ascii="仿宋" w:hAnsi="仿宋" w:eastAsia="仿宋" w:cs="仿宋"/>
                <w:color w:val="auto"/>
                <w:kern w:val="0"/>
                <w:sz w:val="22"/>
              </w:rPr>
            </w:pPr>
            <w:r>
              <w:rPr>
                <w:rFonts w:hint="eastAsia" w:ascii="仿宋" w:hAnsi="仿宋" w:eastAsia="仿宋" w:cs="仿宋"/>
                <w:color w:val="auto"/>
                <w:sz w:val="24"/>
                <w:highlight w:val="none"/>
              </w:rPr>
              <w:t>下浮率为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c>
        <w:tc>
          <w:tcPr>
            <w:tcW w:w="1771" w:type="dxa"/>
            <w:tcBorders>
              <w:top w:val="nil"/>
              <w:left w:val="nil"/>
              <w:right w:val="single" w:color="auto" w:sz="4" w:space="0"/>
            </w:tcBorders>
            <w:shd w:val="clear" w:color="auto" w:fill="auto"/>
            <w:vAlign w:val="center"/>
          </w:tcPr>
          <w:p w14:paraId="26A2BEBC">
            <w:pPr>
              <w:widowControl/>
              <w:spacing w:line="360" w:lineRule="auto"/>
              <w:jc w:val="left"/>
              <w:rPr>
                <w:rFonts w:hint="eastAsia" w:ascii="仿宋" w:hAnsi="仿宋" w:eastAsia="仿宋" w:cs="仿宋"/>
                <w:color w:val="auto"/>
                <w:kern w:val="0"/>
                <w:sz w:val="22"/>
              </w:rPr>
            </w:pPr>
          </w:p>
        </w:tc>
        <w:tc>
          <w:tcPr>
            <w:tcW w:w="1681" w:type="dxa"/>
            <w:tcBorders>
              <w:top w:val="nil"/>
              <w:left w:val="nil"/>
              <w:right w:val="single" w:color="auto" w:sz="4" w:space="0"/>
            </w:tcBorders>
            <w:shd w:val="clear" w:color="auto" w:fill="auto"/>
            <w:vAlign w:val="center"/>
          </w:tcPr>
          <w:p w14:paraId="0DC350F5">
            <w:pPr>
              <w:widowControl/>
              <w:spacing w:line="360" w:lineRule="auto"/>
              <w:jc w:val="center"/>
              <w:rPr>
                <w:rFonts w:hint="eastAsia" w:ascii="仿宋" w:hAnsi="仿宋" w:eastAsia="仿宋" w:cs="仿宋"/>
                <w:color w:val="auto"/>
                <w:kern w:val="0"/>
                <w:sz w:val="22"/>
              </w:rPr>
            </w:pPr>
          </w:p>
        </w:tc>
        <w:tc>
          <w:tcPr>
            <w:tcW w:w="3159" w:type="dxa"/>
            <w:tcBorders>
              <w:top w:val="single" w:color="auto" w:sz="4" w:space="0"/>
              <w:left w:val="nil"/>
              <w:right w:val="single" w:color="auto" w:sz="4" w:space="0"/>
            </w:tcBorders>
            <w:shd w:val="clear" w:color="auto" w:fill="auto"/>
            <w:vAlign w:val="center"/>
          </w:tcPr>
          <w:p w14:paraId="58B2A707">
            <w:pPr>
              <w:widowControl/>
              <w:spacing w:line="360" w:lineRule="auto"/>
              <w:jc w:val="center"/>
              <w:rPr>
                <w:rFonts w:hint="eastAsia" w:ascii="仿宋" w:hAnsi="仿宋" w:eastAsia="仿宋" w:cs="仿宋"/>
                <w:color w:val="auto"/>
                <w:kern w:val="0"/>
                <w:sz w:val="22"/>
              </w:rPr>
            </w:pPr>
          </w:p>
        </w:tc>
        <w:tc>
          <w:tcPr>
            <w:tcW w:w="1353" w:type="dxa"/>
            <w:tcBorders>
              <w:top w:val="nil"/>
              <w:left w:val="nil"/>
              <w:right w:val="single" w:color="auto" w:sz="4" w:space="0"/>
            </w:tcBorders>
            <w:shd w:val="clear" w:color="auto" w:fill="auto"/>
            <w:vAlign w:val="center"/>
          </w:tcPr>
          <w:p w14:paraId="744318CD">
            <w:pPr>
              <w:widowControl/>
              <w:spacing w:line="360" w:lineRule="auto"/>
              <w:jc w:val="center"/>
              <w:rPr>
                <w:rFonts w:hint="eastAsia" w:ascii="仿宋" w:hAnsi="仿宋" w:eastAsia="仿宋" w:cs="仿宋"/>
                <w:color w:val="auto"/>
                <w:kern w:val="0"/>
                <w:sz w:val="22"/>
              </w:rPr>
            </w:pPr>
          </w:p>
        </w:tc>
      </w:tr>
      <w:tr w14:paraId="6514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shd w:val="clear" w:color="auto" w:fill="auto"/>
          </w:tcPr>
          <w:p w14:paraId="4C8AA2BD">
            <w:pPr>
              <w:spacing w:line="360" w:lineRule="auto"/>
              <w:rPr>
                <w:rFonts w:hint="eastAsia" w:ascii="仿宋" w:hAnsi="仿宋" w:eastAsia="仿宋" w:cs="仿宋"/>
                <w:color w:val="auto"/>
                <w:sz w:val="22"/>
              </w:rPr>
            </w:pPr>
          </w:p>
          <w:p w14:paraId="4A5F0CBA">
            <w:pPr>
              <w:spacing w:line="360" w:lineRule="auto"/>
              <w:rPr>
                <w:rFonts w:hint="eastAsia" w:ascii="仿宋" w:hAnsi="仿宋" w:eastAsia="仿宋" w:cs="仿宋"/>
                <w:color w:val="auto"/>
                <w:sz w:val="22"/>
              </w:rPr>
            </w:pPr>
            <w:r>
              <w:rPr>
                <w:rFonts w:hint="eastAsia" w:ascii="仿宋" w:hAnsi="仿宋" w:eastAsia="仿宋" w:cs="仿宋"/>
                <w:color w:val="auto"/>
                <w:sz w:val="22"/>
              </w:rPr>
              <w:t>投标人（电子签章）：</w:t>
            </w:r>
          </w:p>
          <w:p w14:paraId="0D249A30">
            <w:pPr>
              <w:spacing w:line="360" w:lineRule="auto"/>
              <w:rPr>
                <w:rFonts w:hint="eastAsia" w:ascii="仿宋" w:hAnsi="仿宋" w:eastAsia="仿宋" w:cs="仿宋"/>
                <w:color w:val="auto"/>
                <w:sz w:val="22"/>
              </w:rPr>
            </w:pPr>
          </w:p>
          <w:p w14:paraId="2A0D7F9C">
            <w:pPr>
              <w:spacing w:line="360" w:lineRule="auto"/>
              <w:rPr>
                <w:rFonts w:hint="eastAsia" w:ascii="仿宋" w:hAnsi="仿宋" w:eastAsia="仿宋" w:cs="仿宋"/>
                <w:color w:val="auto"/>
                <w:sz w:val="22"/>
              </w:rPr>
            </w:pPr>
            <w:r>
              <w:rPr>
                <w:rFonts w:hint="eastAsia" w:ascii="仿宋" w:hAnsi="仿宋" w:eastAsia="仿宋" w:cs="仿宋"/>
                <w:color w:val="auto"/>
                <w:sz w:val="22"/>
              </w:rPr>
              <w:t>法定代表人或委托代理人（电子签章）：</w:t>
            </w:r>
          </w:p>
          <w:p w14:paraId="06D5C420">
            <w:pPr>
              <w:spacing w:line="360" w:lineRule="auto"/>
              <w:rPr>
                <w:rFonts w:hint="eastAsia" w:ascii="仿宋" w:hAnsi="仿宋" w:eastAsia="仿宋" w:cs="仿宋"/>
                <w:color w:val="auto"/>
                <w:sz w:val="22"/>
              </w:rPr>
            </w:pPr>
          </w:p>
          <w:p w14:paraId="3D1D6A98">
            <w:pPr>
              <w:spacing w:line="360" w:lineRule="auto"/>
              <w:rPr>
                <w:rFonts w:hint="eastAsia" w:ascii="仿宋" w:hAnsi="仿宋" w:eastAsia="仿宋" w:cs="仿宋"/>
                <w:color w:val="auto"/>
                <w:sz w:val="22"/>
              </w:rPr>
            </w:pPr>
            <w:r>
              <w:rPr>
                <w:rFonts w:hint="eastAsia" w:ascii="仿宋" w:hAnsi="仿宋" w:eastAsia="仿宋" w:cs="仿宋"/>
                <w:color w:val="auto"/>
                <w:sz w:val="22"/>
              </w:rPr>
              <w:t>日    期：    年   月   日</w:t>
            </w:r>
          </w:p>
        </w:tc>
      </w:tr>
      <w:tr w14:paraId="58D6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shd w:val="clear" w:color="auto" w:fill="auto"/>
            <w:vAlign w:val="center"/>
          </w:tcPr>
          <w:p w14:paraId="5EB4C0F2">
            <w:pPr>
              <w:spacing w:line="360" w:lineRule="auto"/>
              <w:rPr>
                <w:rFonts w:hint="eastAsia" w:ascii="仿宋" w:hAnsi="仿宋" w:eastAsia="仿宋" w:cs="仿宋"/>
                <w:color w:val="auto"/>
                <w:sz w:val="22"/>
                <w:szCs w:val="24"/>
              </w:rPr>
            </w:pPr>
            <w:r>
              <w:rPr>
                <w:rFonts w:hint="eastAsia" w:ascii="仿宋" w:hAnsi="仿宋" w:eastAsia="仿宋" w:cs="仿宋"/>
                <w:color w:val="auto"/>
                <w:sz w:val="22"/>
                <w:szCs w:val="24"/>
              </w:rPr>
              <w:t>注：1.表中“投标报价”应与“投标函”中“投标报价”一致。</w:t>
            </w:r>
          </w:p>
        </w:tc>
      </w:tr>
    </w:tbl>
    <w:p w14:paraId="1D3C249E">
      <w:pPr>
        <w:spacing w:line="360" w:lineRule="auto"/>
        <w:rPr>
          <w:rFonts w:hint="eastAsia" w:ascii="仿宋" w:hAnsi="仿宋" w:eastAsia="仿宋" w:cs="仿宋"/>
          <w:color w:val="auto"/>
          <w:sz w:val="22"/>
          <w:szCs w:val="24"/>
        </w:rPr>
      </w:pPr>
    </w:p>
    <w:p w14:paraId="30E35897">
      <w:pPr>
        <w:rPr>
          <w:rFonts w:hint="eastAsia" w:ascii="仿宋" w:hAnsi="仿宋" w:eastAsia="仿宋" w:cs="仿宋"/>
          <w:color w:val="auto"/>
        </w:rPr>
      </w:pPr>
      <w:bookmarkStart w:id="507" w:name="_Toc19552"/>
      <w:bookmarkStart w:id="508" w:name="_Toc4985"/>
      <w:bookmarkStart w:id="509" w:name="_Toc26513"/>
      <w:bookmarkStart w:id="510" w:name="_Toc20101"/>
      <w:bookmarkStart w:id="511" w:name="_Toc5389"/>
      <w:bookmarkStart w:id="512" w:name="_Toc20863"/>
      <w:bookmarkStart w:id="513" w:name="_Toc19644"/>
      <w:r>
        <w:rPr>
          <w:rFonts w:hint="eastAsia" w:ascii="仿宋" w:hAnsi="仿宋" w:eastAsia="仿宋" w:cs="仿宋"/>
          <w:color w:val="auto"/>
          <w:sz w:val="36"/>
          <w:szCs w:val="32"/>
        </w:rPr>
        <w:br w:type="page"/>
      </w:r>
    </w:p>
    <w:p w14:paraId="759DAF89">
      <w:pPr>
        <w:spacing w:line="360" w:lineRule="auto"/>
        <w:rPr>
          <w:rFonts w:hint="eastAsia" w:ascii="仿宋" w:hAnsi="仿宋" w:eastAsia="仿宋" w:cs="仿宋"/>
          <w:color w:val="auto"/>
          <w:sz w:val="24"/>
        </w:rPr>
      </w:pPr>
    </w:p>
    <w:p w14:paraId="1E59BF7C">
      <w:pPr>
        <w:spacing w:line="360" w:lineRule="auto"/>
        <w:jc w:val="center"/>
        <w:rPr>
          <w:rFonts w:hint="default" w:ascii="仿宋" w:hAnsi="仿宋" w:eastAsia="仿宋" w:cs="仿宋"/>
          <w:color w:val="auto"/>
          <w:sz w:val="28"/>
          <w:szCs w:val="24"/>
          <w:lang w:val="en-US" w:eastAsia="zh-CN"/>
        </w:rPr>
      </w:pPr>
      <w:r>
        <w:rPr>
          <w:rFonts w:hint="eastAsia" w:ascii="仿宋" w:hAnsi="仿宋" w:eastAsia="仿宋" w:cs="仿宋"/>
          <w:b/>
          <w:bCs/>
          <w:color w:val="auto"/>
          <w:sz w:val="60"/>
          <w:szCs w:val="60"/>
          <w:lang w:eastAsia="zh-CN"/>
        </w:rPr>
        <w:t>云南省林业和草原技术推广总站林下滇黄精栽培技术推广示范项目肥料、药品采购项目</w:t>
      </w:r>
      <w:r>
        <w:rPr>
          <w:rFonts w:hint="eastAsia" w:ascii="仿宋" w:hAnsi="仿宋" w:eastAsia="仿宋" w:cs="仿宋"/>
          <w:b/>
          <w:bCs/>
          <w:color w:val="auto"/>
          <w:sz w:val="60"/>
          <w:szCs w:val="60"/>
          <w:u w:val="single"/>
          <w:lang w:val="en-US" w:eastAsia="zh-CN"/>
        </w:rPr>
        <w:t xml:space="preserve">  </w:t>
      </w:r>
      <w:r>
        <w:rPr>
          <w:rFonts w:hint="eastAsia" w:ascii="仿宋" w:hAnsi="仿宋" w:eastAsia="仿宋" w:cs="仿宋"/>
          <w:b/>
          <w:bCs/>
          <w:color w:val="auto"/>
          <w:sz w:val="60"/>
          <w:szCs w:val="60"/>
          <w:lang w:val="en-US" w:eastAsia="zh-CN"/>
        </w:rPr>
        <w:t>标段</w:t>
      </w:r>
    </w:p>
    <w:p w14:paraId="20942F68">
      <w:pPr>
        <w:spacing w:line="360" w:lineRule="auto"/>
        <w:jc w:val="center"/>
        <w:rPr>
          <w:rFonts w:hint="eastAsia" w:ascii="仿宋" w:hAnsi="仿宋" w:eastAsia="仿宋" w:cs="仿宋"/>
          <w:color w:val="auto"/>
          <w:sz w:val="24"/>
        </w:rPr>
      </w:pPr>
    </w:p>
    <w:p w14:paraId="3346F04C">
      <w:pPr>
        <w:spacing w:line="360" w:lineRule="auto"/>
        <w:rPr>
          <w:rFonts w:hint="eastAsia" w:ascii="仿宋" w:hAnsi="仿宋" w:eastAsia="仿宋" w:cs="仿宋"/>
          <w:color w:val="auto"/>
        </w:rPr>
      </w:pPr>
    </w:p>
    <w:p w14:paraId="28302319">
      <w:pPr>
        <w:pStyle w:val="14"/>
        <w:spacing w:line="360" w:lineRule="auto"/>
        <w:jc w:val="center"/>
        <w:rPr>
          <w:rFonts w:hint="eastAsia" w:ascii="仿宋" w:hAnsi="仿宋" w:eastAsia="仿宋" w:cs="仿宋"/>
          <w:b/>
          <w:color w:val="auto"/>
          <w:sz w:val="96"/>
          <w:szCs w:val="96"/>
        </w:rPr>
      </w:pPr>
    </w:p>
    <w:p w14:paraId="162B6780">
      <w:pPr>
        <w:pStyle w:val="14"/>
        <w:spacing w:line="360" w:lineRule="auto"/>
        <w:jc w:val="center"/>
        <w:rPr>
          <w:rFonts w:hint="eastAsia" w:ascii="仿宋" w:hAnsi="仿宋" w:eastAsia="仿宋" w:cs="仿宋"/>
          <w:b/>
          <w:color w:val="auto"/>
          <w:sz w:val="24"/>
          <w:szCs w:val="24"/>
        </w:rPr>
      </w:pPr>
    </w:p>
    <w:p w14:paraId="1A3000C9">
      <w:pPr>
        <w:pStyle w:val="14"/>
        <w:spacing w:line="360" w:lineRule="auto"/>
        <w:jc w:val="center"/>
        <w:rPr>
          <w:rFonts w:hint="eastAsia" w:ascii="仿宋" w:hAnsi="仿宋" w:eastAsia="仿宋" w:cs="仿宋"/>
          <w:b/>
          <w:color w:val="auto"/>
          <w:sz w:val="96"/>
          <w:szCs w:val="96"/>
        </w:rPr>
      </w:pPr>
      <w:r>
        <w:rPr>
          <w:rFonts w:hint="eastAsia" w:ascii="仿宋" w:hAnsi="仿宋" w:eastAsia="仿宋" w:cs="仿宋"/>
          <w:b/>
          <w:color w:val="auto"/>
          <w:sz w:val="96"/>
          <w:szCs w:val="96"/>
        </w:rPr>
        <w:t>投标文件</w:t>
      </w:r>
    </w:p>
    <w:p w14:paraId="760DF58E">
      <w:pPr>
        <w:pStyle w:val="14"/>
        <w:spacing w:line="360" w:lineRule="auto"/>
        <w:jc w:val="center"/>
        <w:outlineLvl w:val="1"/>
        <w:rPr>
          <w:rFonts w:hint="eastAsia" w:ascii="仿宋" w:hAnsi="仿宋" w:eastAsia="仿宋" w:cs="仿宋"/>
          <w:b/>
          <w:color w:val="auto"/>
          <w:sz w:val="96"/>
          <w:szCs w:val="96"/>
        </w:rPr>
      </w:pPr>
      <w:bookmarkStart w:id="514" w:name="_Toc16680"/>
      <w:r>
        <w:rPr>
          <w:rFonts w:hint="eastAsia" w:ascii="仿宋" w:hAnsi="仿宋" w:eastAsia="仿宋" w:cs="仿宋"/>
          <w:b/>
          <w:color w:val="auto"/>
          <w:sz w:val="44"/>
          <w:szCs w:val="44"/>
        </w:rPr>
        <w:t>（商务技术部分）</w:t>
      </w:r>
      <w:bookmarkEnd w:id="514"/>
    </w:p>
    <w:p w14:paraId="42D9BE4C">
      <w:pPr>
        <w:pStyle w:val="14"/>
        <w:spacing w:line="360" w:lineRule="auto"/>
        <w:jc w:val="center"/>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项目编号：</w:t>
      </w:r>
      <w:r>
        <w:rPr>
          <w:rFonts w:hint="eastAsia" w:ascii="仿宋" w:hAnsi="仿宋" w:eastAsia="仿宋" w:cs="仿宋"/>
          <w:b/>
          <w:color w:val="auto"/>
          <w:sz w:val="36"/>
          <w:szCs w:val="36"/>
          <w:lang w:eastAsia="zh-CN"/>
        </w:rPr>
        <w:t>YNZC2026-G1-00374-YNGH-0032</w:t>
      </w:r>
    </w:p>
    <w:p w14:paraId="534A9C5E">
      <w:pPr>
        <w:spacing w:line="360" w:lineRule="auto"/>
        <w:jc w:val="center"/>
        <w:rPr>
          <w:rFonts w:hint="eastAsia" w:ascii="仿宋" w:hAnsi="仿宋" w:eastAsia="仿宋" w:cs="仿宋"/>
          <w:color w:val="auto"/>
          <w:sz w:val="24"/>
        </w:rPr>
      </w:pPr>
    </w:p>
    <w:p w14:paraId="14D10CAA">
      <w:pPr>
        <w:spacing w:line="360" w:lineRule="auto"/>
        <w:jc w:val="center"/>
        <w:rPr>
          <w:rFonts w:hint="eastAsia" w:ascii="仿宋" w:hAnsi="仿宋" w:eastAsia="仿宋" w:cs="仿宋"/>
          <w:color w:val="auto"/>
          <w:sz w:val="24"/>
        </w:rPr>
      </w:pPr>
    </w:p>
    <w:p w14:paraId="3349E4B2">
      <w:pPr>
        <w:pStyle w:val="8"/>
        <w:spacing w:line="360" w:lineRule="auto"/>
        <w:rPr>
          <w:rFonts w:hint="eastAsia" w:ascii="仿宋" w:hAnsi="仿宋" w:eastAsia="仿宋" w:cs="仿宋"/>
          <w:color w:val="auto"/>
          <w:spacing w:val="0"/>
          <w:sz w:val="24"/>
        </w:rPr>
      </w:pPr>
    </w:p>
    <w:p w14:paraId="17C04B56">
      <w:pPr>
        <w:spacing w:line="360" w:lineRule="auto"/>
        <w:rPr>
          <w:rFonts w:hint="eastAsia" w:ascii="仿宋" w:hAnsi="仿宋" w:eastAsia="仿宋" w:cs="仿宋"/>
          <w:color w:val="auto"/>
          <w:sz w:val="24"/>
        </w:rPr>
      </w:pPr>
    </w:p>
    <w:p w14:paraId="71718163">
      <w:pPr>
        <w:spacing w:line="360" w:lineRule="auto"/>
        <w:rPr>
          <w:rFonts w:hint="eastAsia" w:ascii="仿宋" w:hAnsi="仿宋" w:eastAsia="仿宋" w:cs="仿宋"/>
          <w:color w:val="auto"/>
        </w:rPr>
      </w:pPr>
    </w:p>
    <w:p w14:paraId="1B421A1E">
      <w:pPr>
        <w:spacing w:line="360" w:lineRule="auto"/>
        <w:rPr>
          <w:rFonts w:hint="eastAsia" w:ascii="仿宋" w:hAnsi="仿宋" w:eastAsia="仿宋" w:cs="仿宋"/>
          <w:color w:val="auto"/>
          <w:sz w:val="24"/>
        </w:rPr>
      </w:pPr>
    </w:p>
    <w:p w14:paraId="79137247">
      <w:pPr>
        <w:spacing w:line="360" w:lineRule="auto"/>
        <w:ind w:firstLine="1980" w:firstLineChars="825"/>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1FC59873">
      <w:pPr>
        <w:spacing w:line="360" w:lineRule="auto"/>
        <w:ind w:firstLine="1980" w:firstLineChars="825"/>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0A737707">
      <w:pPr>
        <w:spacing w:line="360" w:lineRule="auto"/>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年    月    日</w:t>
      </w:r>
    </w:p>
    <w:p w14:paraId="4F2A4DF5">
      <w:pPr>
        <w:tabs>
          <w:tab w:val="left" w:pos="1021"/>
        </w:tabs>
        <w:spacing w:line="360" w:lineRule="auto"/>
        <w:jc w:val="center"/>
        <w:rPr>
          <w:rFonts w:hint="eastAsia" w:ascii="仿宋" w:hAnsi="仿宋" w:eastAsia="仿宋" w:cs="仿宋"/>
          <w:color w:val="auto"/>
          <w:sz w:val="32"/>
          <w:szCs w:val="32"/>
        </w:rPr>
      </w:pPr>
      <w:r>
        <w:rPr>
          <w:rFonts w:hint="eastAsia" w:ascii="仿宋" w:hAnsi="仿宋" w:eastAsia="仿宋" w:cs="仿宋"/>
          <w:color w:val="auto"/>
          <w:szCs w:val="21"/>
        </w:rPr>
        <w:br w:type="page"/>
      </w:r>
      <w:r>
        <w:rPr>
          <w:rFonts w:hint="eastAsia" w:ascii="仿宋" w:hAnsi="仿宋" w:eastAsia="仿宋" w:cs="仿宋"/>
          <w:color w:val="auto"/>
          <w:sz w:val="32"/>
          <w:szCs w:val="32"/>
        </w:rPr>
        <w:t>目录</w:t>
      </w:r>
    </w:p>
    <w:p w14:paraId="3E57C5CC">
      <w:pPr>
        <w:spacing w:line="360" w:lineRule="auto"/>
        <w:jc w:val="center"/>
        <w:rPr>
          <w:rFonts w:hint="eastAsia" w:ascii="仿宋" w:hAnsi="仿宋" w:eastAsia="仿宋" w:cs="仿宋"/>
          <w:color w:val="auto"/>
          <w:szCs w:val="20"/>
        </w:rPr>
      </w:pPr>
      <w:r>
        <w:rPr>
          <w:rFonts w:hint="eastAsia" w:ascii="仿宋" w:hAnsi="仿宋" w:eastAsia="仿宋" w:cs="仿宋"/>
          <w:b/>
          <w:color w:val="auto"/>
          <w:szCs w:val="21"/>
        </w:rPr>
        <w:t>（格式自拟）</w:t>
      </w:r>
    </w:p>
    <w:p w14:paraId="66C87695">
      <w:pPr>
        <w:spacing w:line="360" w:lineRule="auto"/>
        <w:ind w:firstLine="2" w:firstLineChars="1"/>
        <w:rPr>
          <w:rFonts w:hint="eastAsia" w:ascii="仿宋" w:hAnsi="仿宋" w:eastAsia="仿宋" w:cs="仿宋"/>
          <w:color w:val="auto"/>
        </w:rPr>
      </w:pPr>
      <w:r>
        <w:rPr>
          <w:rFonts w:hint="eastAsia" w:ascii="仿宋" w:hAnsi="仿宋" w:eastAsia="仿宋" w:cs="仿宋"/>
          <w:color w:val="auto"/>
          <w:szCs w:val="21"/>
        </w:rPr>
        <w:br w:type="page"/>
      </w:r>
    </w:p>
    <w:bookmarkEnd w:id="469"/>
    <w:bookmarkEnd w:id="507"/>
    <w:bookmarkEnd w:id="508"/>
    <w:bookmarkEnd w:id="509"/>
    <w:bookmarkEnd w:id="510"/>
    <w:bookmarkEnd w:id="511"/>
    <w:bookmarkEnd w:id="512"/>
    <w:bookmarkEnd w:id="513"/>
    <w:p w14:paraId="78C0B249">
      <w:pPr>
        <w:pStyle w:val="4"/>
        <w:numPr>
          <w:ilvl w:val="1"/>
          <w:numId w:val="0"/>
        </w:numPr>
        <w:tabs>
          <w:tab w:val="clear" w:pos="1200"/>
        </w:tabs>
        <w:snapToGrid w:val="0"/>
        <w:spacing w:before="0" w:after="0" w:line="360" w:lineRule="auto"/>
        <w:jc w:val="center"/>
        <w:rPr>
          <w:rFonts w:hint="eastAsia" w:ascii="仿宋" w:hAnsi="仿宋" w:eastAsia="仿宋" w:cs="仿宋"/>
          <w:color w:val="auto"/>
          <w:szCs w:val="32"/>
        </w:rPr>
      </w:pPr>
      <w:bookmarkStart w:id="515" w:name="_Toc32646"/>
      <w:bookmarkStart w:id="516" w:name="_Toc28742"/>
      <w:bookmarkStart w:id="517" w:name="_Toc62031171"/>
      <w:bookmarkStart w:id="518" w:name="_Toc16697"/>
      <w:bookmarkStart w:id="519" w:name="_Toc7238"/>
      <w:r>
        <w:rPr>
          <w:rFonts w:hint="eastAsia" w:ascii="仿宋" w:hAnsi="仿宋" w:eastAsia="仿宋" w:cs="仿宋"/>
          <w:color w:val="auto"/>
          <w:szCs w:val="32"/>
        </w:rPr>
        <w:t>一、投标函</w:t>
      </w:r>
      <w:bookmarkEnd w:id="515"/>
      <w:bookmarkEnd w:id="516"/>
      <w:bookmarkEnd w:id="517"/>
      <w:bookmarkEnd w:id="518"/>
      <w:bookmarkEnd w:id="519"/>
    </w:p>
    <w:p w14:paraId="53756085">
      <w:pPr>
        <w:spacing w:line="360" w:lineRule="auto"/>
        <w:rPr>
          <w:rFonts w:hint="eastAsia" w:ascii="仿宋" w:hAnsi="仿宋" w:eastAsia="仿宋" w:cs="仿宋"/>
          <w:color w:val="auto"/>
          <w:sz w:val="22"/>
        </w:rPr>
      </w:pPr>
      <w:r>
        <w:rPr>
          <w:rFonts w:hint="eastAsia" w:ascii="仿宋" w:hAnsi="仿宋" w:eastAsia="仿宋" w:cs="仿宋"/>
          <w:color w:val="auto"/>
          <w:sz w:val="22"/>
        </w:rPr>
        <w:t>致：</w:t>
      </w:r>
      <w:r>
        <w:rPr>
          <w:rFonts w:hint="eastAsia" w:ascii="仿宋" w:hAnsi="仿宋" w:eastAsia="仿宋" w:cs="仿宋"/>
          <w:color w:val="auto"/>
          <w:sz w:val="22"/>
          <w:u w:val="single"/>
        </w:rPr>
        <w:t xml:space="preserve">               (采购人)</w:t>
      </w:r>
    </w:p>
    <w:p w14:paraId="36F0BBAE">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根据贵方为</w:t>
      </w:r>
      <w:r>
        <w:rPr>
          <w:rFonts w:hint="eastAsia" w:ascii="仿宋" w:hAnsi="仿宋" w:eastAsia="仿宋" w:cs="仿宋"/>
          <w:color w:val="auto"/>
          <w:sz w:val="22"/>
          <w:u w:val="single"/>
        </w:rPr>
        <w:t xml:space="preserve">          （项目名称）</w:t>
      </w:r>
      <w:r>
        <w:rPr>
          <w:rFonts w:hint="eastAsia" w:ascii="仿宋" w:hAnsi="仿宋" w:eastAsia="仿宋" w:cs="仿宋"/>
          <w:color w:val="auto"/>
          <w:sz w:val="22"/>
          <w:u w:val="single"/>
          <w:lang w:val="en-US" w:eastAsia="zh-CN"/>
        </w:rPr>
        <w:t xml:space="preserve">  标段</w:t>
      </w:r>
      <w:r>
        <w:rPr>
          <w:rFonts w:hint="eastAsia" w:ascii="仿宋" w:hAnsi="仿宋" w:eastAsia="仿宋" w:cs="仿宋"/>
          <w:color w:val="auto"/>
          <w:sz w:val="22"/>
        </w:rPr>
        <w:t>（项目编号：</w:t>
      </w:r>
      <w:r>
        <w:rPr>
          <w:rFonts w:hint="eastAsia" w:ascii="仿宋" w:hAnsi="仿宋" w:eastAsia="仿宋" w:cs="仿宋"/>
          <w:color w:val="auto"/>
          <w:sz w:val="22"/>
          <w:u w:val="single"/>
        </w:rPr>
        <w:t xml:space="preserve">    </w:t>
      </w:r>
      <w:r>
        <w:rPr>
          <w:rFonts w:hint="eastAsia" w:ascii="仿宋" w:hAnsi="仿宋" w:eastAsia="仿宋" w:cs="仿宋"/>
          <w:color w:val="auto"/>
          <w:sz w:val="22"/>
        </w:rPr>
        <w:t>）项目的投标邀请，正式授权</w:t>
      </w:r>
      <w:r>
        <w:rPr>
          <w:rFonts w:hint="eastAsia" w:ascii="仿宋" w:hAnsi="仿宋" w:eastAsia="仿宋" w:cs="仿宋"/>
          <w:color w:val="auto"/>
          <w:sz w:val="22"/>
          <w:u w:val="single"/>
        </w:rPr>
        <w:t xml:space="preserve">   （姓名和职务）     </w:t>
      </w:r>
      <w:r>
        <w:rPr>
          <w:rFonts w:hint="eastAsia" w:ascii="仿宋" w:hAnsi="仿宋" w:eastAsia="仿宋" w:cs="仿宋"/>
          <w:color w:val="auto"/>
          <w:sz w:val="22"/>
        </w:rPr>
        <w:t>全权代表</w:t>
      </w:r>
      <w:r>
        <w:rPr>
          <w:rFonts w:hint="eastAsia" w:ascii="仿宋" w:hAnsi="仿宋" w:eastAsia="仿宋" w:cs="仿宋"/>
          <w:color w:val="auto"/>
          <w:sz w:val="22"/>
          <w:u w:val="single"/>
        </w:rPr>
        <w:t xml:space="preserve">  （投标人全称）   </w:t>
      </w:r>
      <w:r>
        <w:rPr>
          <w:rFonts w:hint="eastAsia" w:ascii="仿宋" w:hAnsi="仿宋" w:eastAsia="仿宋" w:cs="仿宋"/>
          <w:color w:val="auto"/>
          <w:sz w:val="22"/>
        </w:rPr>
        <w:t>参加投标。</w:t>
      </w:r>
    </w:p>
    <w:p w14:paraId="21DECD6C">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据此函，我单位宣布同意如下：</w:t>
      </w:r>
    </w:p>
    <w:p w14:paraId="4024F68D">
      <w:pPr>
        <w:spacing w:line="360" w:lineRule="auto"/>
        <w:ind w:left="420"/>
        <w:jc w:val="left"/>
        <w:rPr>
          <w:rFonts w:hint="eastAsia" w:ascii="仿宋" w:hAnsi="仿宋" w:eastAsia="仿宋" w:cs="仿宋"/>
          <w:color w:val="auto"/>
          <w:sz w:val="22"/>
        </w:rPr>
      </w:pPr>
      <w:r>
        <w:rPr>
          <w:rFonts w:hint="eastAsia" w:ascii="仿宋" w:hAnsi="仿宋" w:eastAsia="仿宋" w:cs="仿宋"/>
          <w:color w:val="auto"/>
          <w:sz w:val="22"/>
        </w:rPr>
        <w:t>1.按招标文件采购需求和投标报价表，投标报价为</w:t>
      </w:r>
      <w:r>
        <w:rPr>
          <w:rFonts w:hint="eastAsia" w:ascii="仿宋" w:hAnsi="仿宋" w:eastAsia="仿宋" w:cs="仿宋"/>
          <w:color w:val="auto"/>
          <w:sz w:val="22"/>
          <w:u w:val="none"/>
          <w:lang w:val="en-US" w:eastAsia="zh-CN"/>
        </w:rPr>
        <w:t>下浮率</w:t>
      </w:r>
      <w:r>
        <w:rPr>
          <w:rFonts w:hint="eastAsia" w:ascii="仿宋" w:hAnsi="仿宋" w:eastAsia="仿宋" w:cs="仿宋"/>
          <w:color w:val="auto"/>
          <w:sz w:val="22"/>
          <w:u w:val="single"/>
        </w:rPr>
        <w:t xml:space="preserve">     </w:t>
      </w:r>
      <w:r>
        <w:rPr>
          <w:rFonts w:hint="eastAsia" w:ascii="仿宋" w:hAnsi="仿宋" w:eastAsia="仿宋" w:cs="仿宋"/>
          <w:color w:val="auto"/>
          <w:sz w:val="22"/>
          <w:lang w:val="en-US" w:eastAsia="zh-CN"/>
        </w:rPr>
        <w:t>%</w:t>
      </w:r>
      <w:r>
        <w:rPr>
          <w:rFonts w:hint="eastAsia" w:ascii="仿宋" w:hAnsi="仿宋" w:eastAsia="仿宋" w:cs="仿宋"/>
          <w:color w:val="auto"/>
          <w:sz w:val="22"/>
        </w:rPr>
        <w:t>（</w:t>
      </w:r>
      <w:r>
        <w:rPr>
          <w:rFonts w:hint="eastAsia" w:ascii="仿宋" w:hAnsi="仿宋" w:eastAsia="仿宋" w:cs="仿宋"/>
          <w:color w:val="auto"/>
          <w:sz w:val="22"/>
          <w:lang w:val="en-US" w:eastAsia="zh-CN"/>
        </w:rPr>
        <w:t>百分之</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w:t>
      </w:r>
    </w:p>
    <w:p w14:paraId="10C97D99">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2.我方同意在投标人须知规定的开标日期起遵循本投标文件，并在投标人须知第16.1条规定的投标有效期满之前均具有约束力。如果我方投标被接受，则至合同履行完毕、服务期满为止，本投标函保持有效。</w:t>
      </w:r>
    </w:p>
    <w:p w14:paraId="6E24E5C6">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3.我方承诺已经具备《中华人民共和国政府采购法》中规定的参加政府采购活动的投标人应当具备的条件。</w:t>
      </w:r>
    </w:p>
    <w:p w14:paraId="4847D707">
      <w:pPr>
        <w:spacing w:line="360" w:lineRule="auto"/>
        <w:ind w:firstLine="416" w:firstLineChars="200"/>
        <w:jc w:val="left"/>
        <w:rPr>
          <w:rFonts w:hint="eastAsia" w:ascii="仿宋" w:hAnsi="仿宋" w:eastAsia="仿宋" w:cs="仿宋"/>
          <w:color w:val="auto"/>
          <w:spacing w:val="-6"/>
          <w:sz w:val="22"/>
        </w:rPr>
      </w:pPr>
      <w:r>
        <w:rPr>
          <w:rFonts w:hint="eastAsia" w:ascii="仿宋" w:hAnsi="仿宋" w:eastAsia="仿宋" w:cs="仿宋"/>
          <w:color w:val="auto"/>
          <w:spacing w:val="-6"/>
          <w:sz w:val="22"/>
        </w:rPr>
        <w:t>4.我方承诺严格遵守招标文件中的各项要求及合同条款，并在服务期限内承担合同规定的责任义务。</w:t>
      </w:r>
    </w:p>
    <w:p w14:paraId="689FC9CB">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5.我方已详细审核招标文件，我方对招标文件各项条款和评标办法无异议，知道必须放弃提出含糊不清或误解问题的权利。</w:t>
      </w:r>
    </w:p>
    <w:p w14:paraId="3CD328E6">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6.同意应贵方要求提供与本投标有关的任何数据和资料，并保证数据和资料的完整性和真实性，若有违反，我方愿意承担一切后果。</w:t>
      </w:r>
    </w:p>
    <w:p w14:paraId="692088F5">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7.我方完全理解贵方不一定要接受最低报价的投标人为中标人的行为。</w:t>
      </w:r>
    </w:p>
    <w:p w14:paraId="4B6911D7">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8.若贵方需要，我方愿意提供我方作出的一切承诺的证明材料。</w:t>
      </w:r>
    </w:p>
    <w:p w14:paraId="20DAAEAA">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与本投标有关的正式通讯地址为：</w:t>
      </w:r>
    </w:p>
    <w:p w14:paraId="57BC2BA6">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地    址：</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邮政编码：</w:t>
      </w:r>
      <w:r>
        <w:rPr>
          <w:rFonts w:hint="eastAsia" w:ascii="仿宋" w:hAnsi="仿宋" w:eastAsia="仿宋" w:cs="仿宋"/>
          <w:color w:val="auto"/>
          <w:sz w:val="22"/>
          <w:u w:val="single"/>
        </w:rPr>
        <w:t>　　　　　　　　</w:t>
      </w:r>
      <w:r>
        <w:rPr>
          <w:rFonts w:hint="eastAsia" w:ascii="仿宋" w:hAnsi="仿宋" w:eastAsia="仿宋" w:cs="仿宋"/>
          <w:color w:val="auto"/>
          <w:sz w:val="22"/>
          <w:u w:val="single"/>
        </w:rPr>
        <w:tab/>
      </w:r>
    </w:p>
    <w:p w14:paraId="360F2A9F">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电    话：</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传    真：</w:t>
      </w:r>
      <w:r>
        <w:rPr>
          <w:rFonts w:hint="eastAsia" w:ascii="仿宋" w:hAnsi="仿宋" w:eastAsia="仿宋" w:cs="仿宋"/>
          <w:color w:val="auto"/>
          <w:sz w:val="22"/>
          <w:u w:val="single"/>
        </w:rPr>
        <w:t>　　　　　　　　</w:t>
      </w:r>
      <w:r>
        <w:rPr>
          <w:rFonts w:hint="eastAsia" w:ascii="仿宋" w:hAnsi="仿宋" w:eastAsia="仿宋" w:cs="仿宋"/>
          <w:color w:val="auto"/>
          <w:sz w:val="22"/>
          <w:u w:val="single"/>
        </w:rPr>
        <w:tab/>
      </w:r>
    </w:p>
    <w:p w14:paraId="537C0BA5">
      <w:pPr>
        <w:spacing w:line="360" w:lineRule="auto"/>
        <w:ind w:firstLine="440" w:firstLineChars="200"/>
        <w:jc w:val="left"/>
        <w:rPr>
          <w:rFonts w:hint="eastAsia" w:ascii="仿宋" w:hAnsi="仿宋" w:eastAsia="仿宋" w:cs="仿宋"/>
          <w:color w:val="auto"/>
          <w:sz w:val="22"/>
          <w:u w:val="single"/>
        </w:rPr>
      </w:pPr>
      <w:r>
        <w:rPr>
          <w:rFonts w:hint="eastAsia" w:ascii="仿宋" w:hAnsi="仿宋" w:eastAsia="仿宋" w:cs="仿宋"/>
          <w:color w:val="auto"/>
          <w:sz w:val="22"/>
        </w:rPr>
        <w:t>开户名称：</w:t>
      </w:r>
      <w:r>
        <w:rPr>
          <w:rFonts w:hint="eastAsia" w:ascii="仿宋" w:hAnsi="仿宋" w:eastAsia="仿宋" w:cs="仿宋"/>
          <w:color w:val="auto"/>
          <w:sz w:val="22"/>
          <w:u w:val="single"/>
        </w:rPr>
        <w:t xml:space="preserve"> 　　　　　　　　　　　　　　　　　　　</w:t>
      </w:r>
      <w:r>
        <w:rPr>
          <w:rFonts w:hint="eastAsia" w:ascii="仿宋" w:hAnsi="仿宋" w:eastAsia="仿宋" w:cs="仿宋"/>
          <w:color w:val="auto"/>
          <w:sz w:val="22"/>
          <w:u w:val="single"/>
        </w:rPr>
        <w:tab/>
      </w:r>
    </w:p>
    <w:p w14:paraId="4CD1983A">
      <w:pPr>
        <w:spacing w:line="360" w:lineRule="auto"/>
        <w:ind w:firstLine="440" w:firstLineChars="200"/>
        <w:jc w:val="left"/>
        <w:rPr>
          <w:rFonts w:hint="eastAsia" w:ascii="仿宋" w:hAnsi="仿宋" w:eastAsia="仿宋" w:cs="仿宋"/>
          <w:color w:val="auto"/>
          <w:sz w:val="22"/>
          <w:u w:val="single"/>
        </w:rPr>
      </w:pPr>
      <w:r>
        <w:rPr>
          <w:rFonts w:hint="eastAsia" w:ascii="仿宋" w:hAnsi="仿宋" w:eastAsia="仿宋" w:cs="仿宋"/>
          <w:color w:val="auto"/>
          <w:sz w:val="22"/>
        </w:rPr>
        <w:t>开户银行：</w:t>
      </w:r>
      <w:r>
        <w:rPr>
          <w:rFonts w:hint="eastAsia" w:ascii="仿宋" w:hAnsi="仿宋" w:eastAsia="仿宋" w:cs="仿宋"/>
          <w:color w:val="auto"/>
          <w:sz w:val="22"/>
          <w:u w:val="single"/>
        </w:rPr>
        <w:t>　　　　　　　　　　　　　　　　　　　</w:t>
      </w:r>
      <w:r>
        <w:rPr>
          <w:rFonts w:hint="eastAsia" w:ascii="仿宋" w:hAnsi="仿宋" w:eastAsia="仿宋" w:cs="仿宋"/>
          <w:color w:val="auto"/>
          <w:sz w:val="22"/>
          <w:u w:val="single"/>
        </w:rPr>
        <w:tab/>
      </w:r>
    </w:p>
    <w:p w14:paraId="372CF5D9">
      <w:pPr>
        <w:spacing w:line="360" w:lineRule="auto"/>
        <w:ind w:firstLine="440" w:firstLineChars="200"/>
        <w:jc w:val="left"/>
        <w:rPr>
          <w:rFonts w:hint="eastAsia" w:ascii="仿宋" w:hAnsi="仿宋" w:eastAsia="仿宋" w:cs="仿宋"/>
          <w:color w:val="auto"/>
          <w:sz w:val="22"/>
          <w:u w:val="single"/>
        </w:rPr>
      </w:pPr>
      <w:r>
        <w:rPr>
          <w:rFonts w:hint="eastAsia" w:ascii="仿宋" w:hAnsi="仿宋" w:eastAsia="仿宋" w:cs="仿宋"/>
          <w:color w:val="auto"/>
          <w:sz w:val="22"/>
        </w:rPr>
        <w:t>帐    号：</w:t>
      </w:r>
      <w:r>
        <w:rPr>
          <w:rFonts w:hint="eastAsia" w:ascii="仿宋" w:hAnsi="仿宋" w:eastAsia="仿宋" w:cs="仿宋"/>
          <w:color w:val="auto"/>
          <w:sz w:val="22"/>
          <w:u w:val="single"/>
        </w:rPr>
        <w:t xml:space="preserve"> 　　　　　　　　　　　　　　　　　　</w:t>
      </w:r>
      <w:r>
        <w:rPr>
          <w:rFonts w:hint="eastAsia" w:ascii="仿宋" w:hAnsi="仿宋" w:eastAsia="仿宋" w:cs="仿宋"/>
          <w:color w:val="auto"/>
          <w:sz w:val="22"/>
          <w:u w:val="single"/>
        </w:rPr>
        <w:tab/>
      </w:r>
    </w:p>
    <w:p w14:paraId="2F98705B">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投 标 人：</w:t>
      </w:r>
      <w:r>
        <w:rPr>
          <w:rFonts w:hint="eastAsia" w:ascii="仿宋" w:hAnsi="仿宋" w:eastAsia="仿宋" w:cs="仿宋"/>
          <w:color w:val="auto"/>
          <w:sz w:val="22"/>
          <w:u w:val="single"/>
        </w:rPr>
        <w:t xml:space="preserve">                                        （电子签章）</w:t>
      </w:r>
    </w:p>
    <w:p w14:paraId="28D03AE1">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法定代表人或其委托代理人：</w:t>
      </w:r>
      <w:r>
        <w:rPr>
          <w:rFonts w:hint="eastAsia" w:ascii="仿宋" w:hAnsi="仿宋" w:eastAsia="仿宋" w:cs="仿宋"/>
          <w:color w:val="auto"/>
          <w:sz w:val="22"/>
          <w:u w:val="single"/>
        </w:rPr>
        <w:t xml:space="preserve">                        （电子签章）</w:t>
      </w:r>
    </w:p>
    <w:p w14:paraId="02D1B359">
      <w:pPr>
        <w:spacing w:line="360" w:lineRule="auto"/>
        <w:ind w:firstLine="440" w:firstLineChars="200"/>
        <w:jc w:val="left"/>
        <w:rPr>
          <w:rFonts w:hint="eastAsia" w:ascii="仿宋" w:hAnsi="仿宋" w:eastAsia="仿宋" w:cs="仿宋"/>
          <w:color w:val="auto"/>
          <w:sz w:val="22"/>
        </w:rPr>
      </w:pPr>
      <w:r>
        <w:rPr>
          <w:rFonts w:hint="eastAsia" w:ascii="仿宋" w:hAnsi="仿宋" w:eastAsia="仿宋" w:cs="仿宋"/>
          <w:color w:val="auto"/>
          <w:sz w:val="22"/>
        </w:rPr>
        <w:t>日期：</w:t>
      </w:r>
      <w:r>
        <w:rPr>
          <w:rFonts w:hint="eastAsia" w:ascii="仿宋" w:hAnsi="仿宋" w:eastAsia="仿宋" w:cs="仿宋"/>
          <w:color w:val="auto"/>
          <w:sz w:val="22"/>
          <w:u w:val="single"/>
        </w:rPr>
        <w:t xml:space="preserve">          </w:t>
      </w:r>
      <w:r>
        <w:rPr>
          <w:rFonts w:hint="eastAsia" w:ascii="仿宋" w:hAnsi="仿宋" w:eastAsia="仿宋" w:cs="仿宋"/>
          <w:color w:val="auto"/>
          <w:sz w:val="22"/>
        </w:rPr>
        <w:t>年</w:t>
      </w:r>
      <w:r>
        <w:rPr>
          <w:rFonts w:hint="eastAsia" w:ascii="仿宋" w:hAnsi="仿宋" w:eastAsia="仿宋" w:cs="仿宋"/>
          <w:color w:val="auto"/>
          <w:sz w:val="22"/>
          <w:u w:val="single"/>
        </w:rPr>
        <w:t xml:space="preserve">          </w:t>
      </w:r>
      <w:r>
        <w:rPr>
          <w:rFonts w:hint="eastAsia" w:ascii="仿宋" w:hAnsi="仿宋" w:eastAsia="仿宋" w:cs="仿宋"/>
          <w:color w:val="auto"/>
          <w:sz w:val="22"/>
        </w:rPr>
        <w:t>月</w:t>
      </w:r>
      <w:r>
        <w:rPr>
          <w:rFonts w:hint="eastAsia" w:ascii="仿宋" w:hAnsi="仿宋" w:eastAsia="仿宋" w:cs="仿宋"/>
          <w:color w:val="auto"/>
          <w:sz w:val="22"/>
          <w:u w:val="single"/>
        </w:rPr>
        <w:t xml:space="preserve">          </w:t>
      </w:r>
      <w:r>
        <w:rPr>
          <w:rFonts w:hint="eastAsia" w:ascii="仿宋" w:hAnsi="仿宋" w:eastAsia="仿宋" w:cs="仿宋"/>
          <w:color w:val="auto"/>
          <w:sz w:val="22"/>
        </w:rPr>
        <w:t>日</w:t>
      </w:r>
      <w:bookmarkStart w:id="520" w:name="_Toc62031176"/>
      <w:bookmarkStart w:id="521" w:name="_Toc29969"/>
      <w:bookmarkStart w:id="522" w:name="_Toc29317"/>
      <w:bookmarkStart w:id="523" w:name="_Toc19607"/>
      <w:bookmarkStart w:id="524" w:name="_Toc62031172"/>
    </w:p>
    <w:p w14:paraId="0599A8D6">
      <w:pPr>
        <w:spacing w:line="360" w:lineRule="auto"/>
        <w:rPr>
          <w:rFonts w:hint="eastAsia" w:ascii="仿宋" w:hAnsi="仿宋" w:eastAsia="仿宋" w:cs="仿宋"/>
          <w:color w:val="auto"/>
          <w:sz w:val="22"/>
        </w:rPr>
      </w:pPr>
      <w:r>
        <w:rPr>
          <w:rFonts w:hint="eastAsia" w:ascii="仿宋" w:hAnsi="仿宋" w:eastAsia="仿宋" w:cs="仿宋"/>
          <w:color w:val="auto"/>
          <w:sz w:val="22"/>
        </w:rPr>
        <w:br w:type="page"/>
      </w:r>
    </w:p>
    <w:p w14:paraId="4D72FDD4">
      <w:pPr>
        <w:pStyle w:val="4"/>
        <w:numPr>
          <w:ilvl w:val="1"/>
          <w:numId w:val="0"/>
        </w:numPr>
        <w:tabs>
          <w:tab w:val="clear" w:pos="1200"/>
        </w:tabs>
        <w:snapToGrid w:val="0"/>
        <w:spacing w:before="0" w:after="0" w:line="360" w:lineRule="auto"/>
        <w:jc w:val="center"/>
        <w:rPr>
          <w:rFonts w:hint="eastAsia" w:ascii="仿宋" w:hAnsi="仿宋" w:eastAsia="仿宋" w:cs="仿宋"/>
          <w:color w:val="auto"/>
          <w:szCs w:val="32"/>
        </w:rPr>
      </w:pPr>
      <w:bookmarkStart w:id="525" w:name="_Toc21578"/>
      <w:r>
        <w:rPr>
          <w:rFonts w:hint="eastAsia" w:ascii="仿宋" w:hAnsi="仿宋" w:eastAsia="仿宋" w:cs="仿宋"/>
          <w:color w:val="auto"/>
          <w:szCs w:val="32"/>
        </w:rPr>
        <w:t>二、法定代表人身份证明书</w:t>
      </w:r>
      <w:bookmarkEnd w:id="520"/>
      <w:r>
        <w:rPr>
          <w:rFonts w:hint="eastAsia" w:ascii="仿宋" w:hAnsi="仿宋" w:eastAsia="仿宋" w:cs="仿宋"/>
          <w:color w:val="auto"/>
          <w:szCs w:val="32"/>
        </w:rPr>
        <w:t>及授权委托书</w:t>
      </w:r>
      <w:bookmarkEnd w:id="521"/>
      <w:bookmarkEnd w:id="522"/>
      <w:bookmarkEnd w:id="523"/>
      <w:bookmarkEnd w:id="525"/>
    </w:p>
    <w:p w14:paraId="21C19C61">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（一）法定代表人身份证明书</w:t>
      </w:r>
    </w:p>
    <w:p w14:paraId="51ABBBEA">
      <w:pPr>
        <w:spacing w:line="360" w:lineRule="auto"/>
        <w:ind w:firstLine="612"/>
        <w:rPr>
          <w:rFonts w:hint="eastAsia" w:ascii="仿宋" w:hAnsi="仿宋" w:eastAsia="仿宋" w:cs="仿宋"/>
          <w:color w:val="auto"/>
          <w:sz w:val="28"/>
          <w:szCs w:val="24"/>
        </w:rPr>
      </w:pPr>
    </w:p>
    <w:p w14:paraId="73FADCF8">
      <w:pPr>
        <w:spacing w:line="360" w:lineRule="auto"/>
        <w:ind w:firstLine="612"/>
        <w:rPr>
          <w:rFonts w:hint="eastAsia" w:ascii="仿宋" w:hAnsi="仿宋" w:eastAsia="仿宋" w:cs="仿宋"/>
          <w:color w:val="auto"/>
          <w:sz w:val="22"/>
        </w:rPr>
      </w:pPr>
      <w:r>
        <w:rPr>
          <w:rFonts w:hint="eastAsia" w:ascii="仿宋" w:hAnsi="仿宋" w:eastAsia="仿宋" w:cs="仿宋"/>
          <w:color w:val="auto"/>
          <w:sz w:val="22"/>
        </w:rPr>
        <w:t>单位名称：</w:t>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p>
    <w:p w14:paraId="1F214048">
      <w:pPr>
        <w:spacing w:line="360" w:lineRule="auto"/>
        <w:ind w:firstLine="610"/>
        <w:rPr>
          <w:rFonts w:hint="eastAsia" w:ascii="仿宋" w:hAnsi="仿宋" w:eastAsia="仿宋" w:cs="仿宋"/>
          <w:color w:val="auto"/>
          <w:sz w:val="22"/>
        </w:rPr>
      </w:pPr>
    </w:p>
    <w:p w14:paraId="68A35EB0">
      <w:pPr>
        <w:spacing w:line="360" w:lineRule="auto"/>
        <w:ind w:firstLine="610"/>
        <w:rPr>
          <w:rFonts w:hint="eastAsia" w:ascii="仿宋" w:hAnsi="仿宋" w:eastAsia="仿宋" w:cs="仿宋"/>
          <w:color w:val="auto"/>
          <w:sz w:val="22"/>
          <w:u w:val="single"/>
        </w:rPr>
      </w:pPr>
      <w:r>
        <w:rPr>
          <w:rFonts w:hint="eastAsia" w:ascii="仿宋" w:hAnsi="仿宋" w:eastAsia="仿宋" w:cs="仿宋"/>
          <w:color w:val="auto"/>
          <w:sz w:val="22"/>
        </w:rPr>
        <w:t>地    址：</w:t>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 xml:space="preserve">  </w:t>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 xml:space="preserve">         </w:t>
      </w:r>
      <w:r>
        <w:rPr>
          <w:rFonts w:hint="eastAsia" w:ascii="仿宋" w:hAnsi="仿宋" w:eastAsia="仿宋" w:cs="仿宋"/>
          <w:color w:val="auto"/>
          <w:sz w:val="22"/>
          <w:u w:val="single"/>
        </w:rPr>
        <w:tab/>
      </w:r>
    </w:p>
    <w:p w14:paraId="6407E248">
      <w:pPr>
        <w:spacing w:line="360" w:lineRule="auto"/>
        <w:ind w:firstLine="610"/>
        <w:rPr>
          <w:rFonts w:hint="eastAsia" w:ascii="仿宋" w:hAnsi="仿宋" w:eastAsia="仿宋" w:cs="仿宋"/>
          <w:color w:val="auto"/>
          <w:sz w:val="22"/>
        </w:rPr>
      </w:pPr>
    </w:p>
    <w:p w14:paraId="0F0059ED">
      <w:pPr>
        <w:spacing w:line="360" w:lineRule="auto"/>
        <w:ind w:firstLine="610"/>
        <w:rPr>
          <w:rFonts w:hint="eastAsia" w:ascii="仿宋" w:hAnsi="仿宋" w:eastAsia="仿宋" w:cs="仿宋"/>
          <w:color w:val="auto"/>
          <w:sz w:val="22"/>
          <w:u w:val="single"/>
        </w:rPr>
      </w:pPr>
      <w:r>
        <w:rPr>
          <w:rFonts w:hint="eastAsia" w:ascii="仿宋" w:hAnsi="仿宋" w:eastAsia="仿宋" w:cs="仿宋"/>
          <w:color w:val="auto"/>
          <w:sz w:val="22"/>
        </w:rPr>
        <w:t>姓    名：</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性别：</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年龄：</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职务：</w:t>
      </w:r>
      <w:r>
        <w:rPr>
          <w:rFonts w:hint="eastAsia" w:ascii="仿宋" w:hAnsi="仿宋" w:eastAsia="仿宋" w:cs="仿宋"/>
          <w:color w:val="auto"/>
          <w:sz w:val="22"/>
          <w:u w:val="single"/>
        </w:rPr>
        <w:tab/>
      </w:r>
      <w:r>
        <w:rPr>
          <w:rFonts w:hint="eastAsia" w:ascii="仿宋" w:hAnsi="仿宋" w:eastAsia="仿宋" w:cs="仿宋"/>
          <w:color w:val="auto"/>
          <w:sz w:val="22"/>
          <w:u w:val="single"/>
        </w:rPr>
        <w:tab/>
      </w:r>
      <w:r>
        <w:rPr>
          <w:rFonts w:hint="eastAsia" w:ascii="仿宋" w:hAnsi="仿宋" w:eastAsia="仿宋" w:cs="仿宋"/>
          <w:color w:val="auto"/>
          <w:sz w:val="22"/>
          <w:u w:val="single"/>
        </w:rPr>
        <w:t xml:space="preserve">   </w:t>
      </w:r>
    </w:p>
    <w:p w14:paraId="5FF3F970">
      <w:pPr>
        <w:spacing w:line="360" w:lineRule="auto"/>
        <w:ind w:left="661" w:leftChars="315" w:firstLine="220" w:firstLineChars="100"/>
        <w:rPr>
          <w:rFonts w:hint="eastAsia" w:ascii="仿宋" w:hAnsi="仿宋" w:eastAsia="仿宋" w:cs="仿宋"/>
          <w:color w:val="auto"/>
          <w:sz w:val="22"/>
        </w:rPr>
      </w:pPr>
    </w:p>
    <w:p w14:paraId="428A33D2">
      <w:pPr>
        <w:spacing w:line="360" w:lineRule="auto"/>
        <w:ind w:firstLine="880" w:firstLineChars="400"/>
        <w:rPr>
          <w:rFonts w:hint="eastAsia" w:ascii="仿宋" w:hAnsi="仿宋" w:eastAsia="仿宋" w:cs="仿宋"/>
          <w:color w:val="auto"/>
          <w:sz w:val="22"/>
        </w:rPr>
      </w:pPr>
      <w:r>
        <w:rPr>
          <w:rFonts w:hint="eastAsia" w:ascii="仿宋" w:hAnsi="仿宋" w:eastAsia="仿宋" w:cs="仿宋"/>
          <w:color w:val="auto"/>
          <w:sz w:val="22"/>
        </w:rPr>
        <w:t>系</w:t>
      </w:r>
      <w:r>
        <w:rPr>
          <w:rFonts w:hint="eastAsia" w:ascii="仿宋" w:hAnsi="仿宋" w:eastAsia="仿宋" w:cs="仿宋"/>
          <w:color w:val="auto"/>
          <w:sz w:val="22"/>
          <w:u w:val="single"/>
        </w:rPr>
        <w:t xml:space="preserve">           (投标人名称)  </w:t>
      </w:r>
      <w:r>
        <w:rPr>
          <w:rFonts w:hint="eastAsia" w:ascii="仿宋" w:hAnsi="仿宋" w:eastAsia="仿宋" w:cs="仿宋"/>
          <w:color w:val="auto"/>
          <w:sz w:val="22"/>
        </w:rPr>
        <w:t>的法定代表人。为</w:t>
      </w:r>
      <w:r>
        <w:rPr>
          <w:rFonts w:hint="eastAsia" w:ascii="仿宋" w:hAnsi="仿宋" w:eastAsia="仿宋" w:cs="仿宋"/>
          <w:color w:val="auto"/>
          <w:sz w:val="22"/>
          <w:u w:val="single"/>
        </w:rPr>
        <w:t xml:space="preserve">    （项目名称） </w:t>
      </w:r>
      <w:r>
        <w:rPr>
          <w:rFonts w:hint="eastAsia" w:ascii="仿宋" w:hAnsi="仿宋" w:eastAsia="仿宋" w:cs="仿宋"/>
          <w:color w:val="auto"/>
          <w:sz w:val="22"/>
        </w:rPr>
        <w:t>签署上述投标文件、进行合同谈判、签署合同和处理与之有关的一切事物。</w:t>
      </w:r>
    </w:p>
    <w:p w14:paraId="0167FCC8">
      <w:pPr>
        <w:spacing w:line="360" w:lineRule="auto"/>
        <w:ind w:firstLine="610"/>
        <w:rPr>
          <w:rFonts w:hint="eastAsia" w:ascii="仿宋" w:hAnsi="仿宋" w:eastAsia="仿宋" w:cs="仿宋"/>
          <w:color w:val="auto"/>
          <w:sz w:val="22"/>
        </w:rPr>
      </w:pPr>
    </w:p>
    <w:p w14:paraId="42F9A8B5">
      <w:pPr>
        <w:spacing w:line="360" w:lineRule="auto"/>
        <w:ind w:firstLine="610"/>
        <w:rPr>
          <w:rFonts w:hint="eastAsia" w:ascii="仿宋" w:hAnsi="仿宋" w:eastAsia="仿宋" w:cs="仿宋"/>
          <w:color w:val="auto"/>
          <w:sz w:val="22"/>
        </w:rPr>
      </w:pPr>
      <w:r>
        <w:rPr>
          <w:rFonts w:hint="eastAsia" w:ascii="仿宋" w:hAnsi="仿宋" w:eastAsia="仿宋" w:cs="仿宋"/>
          <w:color w:val="auto"/>
          <w:sz w:val="22"/>
        </w:rPr>
        <w:t>特此证明。</w:t>
      </w:r>
    </w:p>
    <w:p w14:paraId="105B7203">
      <w:pPr>
        <w:tabs>
          <w:tab w:val="left" w:pos="720"/>
          <w:tab w:val="left" w:pos="900"/>
        </w:tabs>
        <w:spacing w:line="360" w:lineRule="auto"/>
        <w:ind w:firstLine="440" w:firstLineChars="200"/>
        <w:rPr>
          <w:rFonts w:hint="eastAsia" w:ascii="仿宋" w:hAnsi="仿宋" w:eastAsia="仿宋" w:cs="仿宋"/>
          <w:color w:val="auto"/>
          <w:sz w:val="22"/>
        </w:rPr>
      </w:pPr>
    </w:p>
    <w:p w14:paraId="6911261E">
      <w:pPr>
        <w:spacing w:line="360" w:lineRule="auto"/>
        <w:ind w:firstLine="576" w:firstLineChars="262"/>
        <w:rPr>
          <w:rFonts w:hint="eastAsia" w:ascii="仿宋" w:hAnsi="仿宋" w:eastAsia="仿宋" w:cs="仿宋"/>
          <w:color w:val="auto"/>
          <w:sz w:val="22"/>
        </w:rPr>
      </w:pPr>
      <w:r>
        <w:rPr>
          <w:rFonts w:hint="eastAsia" w:ascii="仿宋" w:hAnsi="仿宋" w:eastAsia="仿宋" w:cs="仿宋"/>
          <w:color w:val="auto"/>
          <w:sz w:val="22"/>
        </w:rPr>
        <w:t>投标人：</w:t>
      </w:r>
      <w:r>
        <w:rPr>
          <w:rFonts w:hint="eastAsia" w:ascii="仿宋" w:hAnsi="仿宋" w:eastAsia="仿宋" w:cs="仿宋"/>
          <w:color w:val="auto"/>
          <w:sz w:val="22"/>
          <w:u w:val="single"/>
        </w:rPr>
        <w:t xml:space="preserve">             (电子签章) </w:t>
      </w:r>
    </w:p>
    <w:p w14:paraId="60DCFD1B">
      <w:pPr>
        <w:spacing w:line="360" w:lineRule="auto"/>
        <w:rPr>
          <w:rFonts w:hint="eastAsia" w:ascii="仿宋" w:hAnsi="仿宋" w:eastAsia="仿宋" w:cs="仿宋"/>
          <w:color w:val="auto"/>
          <w:sz w:val="22"/>
        </w:rPr>
      </w:pPr>
    </w:p>
    <w:p w14:paraId="0B4CDBF9">
      <w:pPr>
        <w:spacing w:line="360" w:lineRule="auto"/>
        <w:ind w:firstLine="585" w:firstLineChars="266"/>
        <w:rPr>
          <w:rFonts w:hint="eastAsia" w:ascii="仿宋" w:hAnsi="仿宋" w:eastAsia="仿宋" w:cs="仿宋"/>
          <w:color w:val="auto"/>
          <w:sz w:val="22"/>
        </w:rPr>
      </w:pPr>
      <w:r>
        <w:rPr>
          <w:rFonts w:hint="eastAsia" w:ascii="仿宋" w:hAnsi="仿宋" w:eastAsia="仿宋" w:cs="仿宋"/>
          <w:color w:val="auto"/>
          <w:sz w:val="22"/>
        </w:rPr>
        <w:t>日  期：</w:t>
      </w:r>
      <w:r>
        <w:rPr>
          <w:rFonts w:hint="eastAsia" w:ascii="仿宋" w:hAnsi="仿宋" w:eastAsia="仿宋" w:cs="仿宋"/>
          <w:color w:val="auto"/>
          <w:sz w:val="22"/>
          <w:u w:val="single"/>
        </w:rPr>
        <w:t xml:space="preserve">       </w:t>
      </w:r>
      <w:r>
        <w:rPr>
          <w:rFonts w:hint="eastAsia" w:ascii="仿宋" w:hAnsi="仿宋" w:eastAsia="仿宋" w:cs="仿宋"/>
          <w:color w:val="auto"/>
          <w:sz w:val="22"/>
        </w:rPr>
        <w:t>年</w:t>
      </w:r>
      <w:r>
        <w:rPr>
          <w:rFonts w:hint="eastAsia" w:ascii="仿宋" w:hAnsi="仿宋" w:eastAsia="仿宋" w:cs="仿宋"/>
          <w:color w:val="auto"/>
          <w:sz w:val="22"/>
          <w:u w:val="single"/>
        </w:rPr>
        <w:t xml:space="preserve">      </w:t>
      </w:r>
      <w:r>
        <w:rPr>
          <w:rFonts w:hint="eastAsia" w:ascii="仿宋" w:hAnsi="仿宋" w:eastAsia="仿宋" w:cs="仿宋"/>
          <w:color w:val="auto"/>
          <w:sz w:val="22"/>
        </w:rPr>
        <w:t>月</w:t>
      </w:r>
      <w:r>
        <w:rPr>
          <w:rFonts w:hint="eastAsia" w:ascii="仿宋" w:hAnsi="仿宋" w:eastAsia="仿宋" w:cs="仿宋"/>
          <w:color w:val="auto"/>
          <w:sz w:val="22"/>
          <w:u w:val="single"/>
        </w:rPr>
        <w:t xml:space="preserve">      </w:t>
      </w:r>
      <w:r>
        <w:rPr>
          <w:rFonts w:hint="eastAsia" w:ascii="仿宋" w:hAnsi="仿宋" w:eastAsia="仿宋" w:cs="仿宋"/>
          <w:color w:val="auto"/>
          <w:sz w:val="22"/>
        </w:rPr>
        <w:t>日</w:t>
      </w:r>
    </w:p>
    <w:p w14:paraId="36FEB77A">
      <w:pPr>
        <w:spacing w:line="360" w:lineRule="auto"/>
        <w:ind w:firstLine="579" w:firstLineChars="262"/>
        <w:rPr>
          <w:rFonts w:hint="eastAsia" w:ascii="仿宋" w:hAnsi="仿宋" w:eastAsia="仿宋" w:cs="仿宋"/>
          <w:b/>
          <w:color w:val="auto"/>
          <w:sz w:val="22"/>
        </w:rPr>
      </w:pPr>
    </w:p>
    <w:p w14:paraId="7B3C19D5">
      <w:pPr>
        <w:spacing w:line="360" w:lineRule="auto"/>
        <w:jc w:val="center"/>
        <w:rPr>
          <w:rFonts w:hint="eastAsia" w:ascii="仿宋" w:hAnsi="仿宋" w:eastAsia="仿宋" w:cs="仿宋"/>
          <w:color w:val="auto"/>
          <w:sz w:val="28"/>
          <w:szCs w:val="24"/>
        </w:rPr>
      </w:pPr>
      <w:r>
        <w:rPr>
          <w:rFonts w:hint="eastAsia" w:ascii="仿宋" w:hAnsi="仿宋" w:eastAsia="仿宋" w:cs="仿宋"/>
          <w:b/>
          <w:color w:val="auto"/>
          <w:sz w:val="22"/>
          <w:szCs w:val="24"/>
        </w:rPr>
        <w:t>(附法定代表人身份证双面复印件)</w:t>
      </w:r>
    </w:p>
    <w:tbl>
      <w:tblPr>
        <w:tblStyle w:val="24"/>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3CA1A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560096AE">
            <w:pPr>
              <w:spacing w:line="360" w:lineRule="auto"/>
              <w:jc w:val="center"/>
              <w:rPr>
                <w:rFonts w:hint="eastAsia" w:ascii="仿宋" w:hAnsi="仿宋" w:eastAsia="仿宋" w:cs="仿宋"/>
                <w:color w:val="auto"/>
                <w:sz w:val="24"/>
              </w:rPr>
            </w:pPr>
          </w:p>
        </w:tc>
        <w:tc>
          <w:tcPr>
            <w:tcW w:w="4729" w:type="dxa"/>
            <w:vAlign w:val="center"/>
          </w:tcPr>
          <w:p w14:paraId="5A44B2A8">
            <w:pPr>
              <w:spacing w:line="360" w:lineRule="auto"/>
              <w:jc w:val="center"/>
              <w:rPr>
                <w:rFonts w:hint="eastAsia" w:ascii="仿宋" w:hAnsi="仿宋" w:eastAsia="仿宋" w:cs="仿宋"/>
                <w:color w:val="auto"/>
                <w:sz w:val="24"/>
              </w:rPr>
            </w:pPr>
          </w:p>
        </w:tc>
      </w:tr>
    </w:tbl>
    <w:p w14:paraId="4B56B969">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14:paraId="0D430048">
      <w:pPr>
        <w:spacing w:line="360" w:lineRule="auto"/>
        <w:jc w:val="center"/>
        <w:rPr>
          <w:rFonts w:hint="eastAsia" w:ascii="仿宋" w:hAnsi="仿宋" w:eastAsia="仿宋" w:cs="仿宋"/>
          <w:color w:val="auto"/>
        </w:rPr>
      </w:pPr>
      <w:r>
        <w:rPr>
          <w:rFonts w:hint="eastAsia" w:ascii="仿宋" w:hAnsi="仿宋" w:eastAsia="仿宋" w:cs="仿宋"/>
          <w:b/>
          <w:bCs/>
          <w:color w:val="auto"/>
          <w:sz w:val="28"/>
          <w:szCs w:val="28"/>
        </w:rPr>
        <w:t>（二）法定代表人授权委托书</w:t>
      </w:r>
    </w:p>
    <w:p w14:paraId="51938FF0">
      <w:pPr>
        <w:spacing w:line="360" w:lineRule="auto"/>
        <w:ind w:firstLine="330" w:firstLineChars="150"/>
        <w:rPr>
          <w:rFonts w:hint="eastAsia" w:ascii="仿宋" w:hAnsi="仿宋" w:eastAsia="仿宋" w:cs="仿宋"/>
          <w:color w:val="auto"/>
          <w:sz w:val="22"/>
        </w:rPr>
      </w:pPr>
      <w:r>
        <w:rPr>
          <w:rFonts w:hint="eastAsia" w:ascii="仿宋" w:hAnsi="仿宋" w:eastAsia="仿宋" w:cs="仿宋"/>
          <w:color w:val="auto"/>
          <w:sz w:val="22"/>
        </w:rPr>
        <w:t>本人作为</w:t>
      </w:r>
      <w:r>
        <w:rPr>
          <w:rFonts w:hint="eastAsia" w:ascii="仿宋" w:hAnsi="仿宋" w:eastAsia="仿宋" w:cs="仿宋"/>
          <w:color w:val="auto"/>
          <w:sz w:val="22"/>
          <w:u w:val="single"/>
        </w:rPr>
        <w:t xml:space="preserve">  (投标人名称) </w:t>
      </w:r>
      <w:r>
        <w:rPr>
          <w:rFonts w:hint="eastAsia" w:ascii="仿宋" w:hAnsi="仿宋" w:eastAsia="仿宋" w:cs="仿宋"/>
          <w:color w:val="auto"/>
          <w:sz w:val="22"/>
        </w:rPr>
        <w:t>的法定代表人，在此授权我公司的</w:t>
      </w:r>
      <w:r>
        <w:rPr>
          <w:rFonts w:hint="eastAsia" w:ascii="仿宋" w:hAnsi="仿宋" w:eastAsia="仿宋" w:cs="仿宋"/>
          <w:color w:val="auto"/>
          <w:sz w:val="22"/>
          <w:u w:val="single"/>
        </w:rPr>
        <w:t xml:space="preserve">         </w:t>
      </w:r>
      <w:r>
        <w:rPr>
          <w:rFonts w:hint="eastAsia" w:ascii="仿宋" w:hAnsi="仿宋" w:eastAsia="仿宋" w:cs="仿宋"/>
          <w:color w:val="auto"/>
          <w:sz w:val="22"/>
        </w:rPr>
        <w:t>，其身份证号码：</w:t>
      </w:r>
      <w:r>
        <w:rPr>
          <w:rFonts w:hint="eastAsia" w:ascii="仿宋" w:hAnsi="仿宋" w:eastAsia="仿宋" w:cs="仿宋"/>
          <w:color w:val="auto"/>
          <w:sz w:val="22"/>
          <w:u w:val="single"/>
        </w:rPr>
        <w:t xml:space="preserve">          </w:t>
      </w:r>
      <w:r>
        <w:rPr>
          <w:rFonts w:hint="eastAsia" w:ascii="仿宋" w:hAnsi="仿宋" w:eastAsia="仿宋" w:cs="仿宋"/>
          <w:color w:val="auto"/>
          <w:sz w:val="22"/>
        </w:rPr>
        <w:t>，作为我的合法授权代表，以我的名义并代表我公司全权处理</w:t>
      </w:r>
      <w:r>
        <w:rPr>
          <w:rFonts w:hint="eastAsia" w:ascii="仿宋" w:hAnsi="仿宋" w:eastAsia="仿宋" w:cs="仿宋"/>
          <w:color w:val="auto"/>
          <w:sz w:val="22"/>
          <w:u w:val="single"/>
        </w:rPr>
        <w:t xml:space="preserve">    （项目名称）     </w:t>
      </w:r>
      <w:r>
        <w:rPr>
          <w:rFonts w:hint="eastAsia" w:ascii="仿宋" w:hAnsi="仿宋" w:eastAsia="仿宋" w:cs="仿宋"/>
          <w:color w:val="auto"/>
          <w:sz w:val="22"/>
        </w:rPr>
        <w:t>投标的各项事宜。</w:t>
      </w:r>
    </w:p>
    <w:p w14:paraId="2628687D">
      <w:pPr>
        <w:spacing w:line="360" w:lineRule="auto"/>
        <w:ind w:firstLine="330" w:firstLineChars="150"/>
        <w:rPr>
          <w:rFonts w:hint="eastAsia" w:ascii="仿宋" w:hAnsi="仿宋" w:eastAsia="仿宋" w:cs="仿宋"/>
          <w:color w:val="auto"/>
          <w:sz w:val="22"/>
        </w:rPr>
      </w:pPr>
      <w:r>
        <w:rPr>
          <w:rFonts w:hint="eastAsia" w:ascii="仿宋" w:hAnsi="仿宋" w:eastAsia="仿宋" w:cs="仿宋"/>
          <w:color w:val="auto"/>
          <w:sz w:val="22"/>
        </w:rPr>
        <w:t>本授权书期限自</w:t>
      </w:r>
      <w:r>
        <w:rPr>
          <w:rFonts w:hint="eastAsia" w:ascii="仿宋" w:hAnsi="仿宋" w:eastAsia="仿宋" w:cs="仿宋"/>
          <w:color w:val="auto"/>
          <w:sz w:val="22"/>
          <w:u w:val="single"/>
        </w:rPr>
        <w:t xml:space="preserve">      </w:t>
      </w:r>
      <w:r>
        <w:rPr>
          <w:rFonts w:hint="eastAsia" w:ascii="仿宋" w:hAnsi="仿宋" w:eastAsia="仿宋" w:cs="仿宋"/>
          <w:color w:val="auto"/>
          <w:sz w:val="22"/>
        </w:rPr>
        <w:t>年</w:t>
      </w:r>
      <w:r>
        <w:rPr>
          <w:rFonts w:hint="eastAsia" w:ascii="仿宋" w:hAnsi="仿宋" w:eastAsia="仿宋" w:cs="仿宋"/>
          <w:color w:val="auto"/>
          <w:sz w:val="22"/>
          <w:u w:val="single"/>
        </w:rPr>
        <w:t xml:space="preserve">     </w:t>
      </w:r>
      <w:r>
        <w:rPr>
          <w:rFonts w:hint="eastAsia" w:ascii="仿宋" w:hAnsi="仿宋" w:eastAsia="仿宋" w:cs="仿宋"/>
          <w:color w:val="auto"/>
          <w:sz w:val="22"/>
        </w:rPr>
        <w:t>月</w:t>
      </w:r>
      <w:r>
        <w:rPr>
          <w:rFonts w:hint="eastAsia" w:ascii="仿宋" w:hAnsi="仿宋" w:eastAsia="仿宋" w:cs="仿宋"/>
          <w:color w:val="auto"/>
          <w:sz w:val="22"/>
          <w:u w:val="single"/>
        </w:rPr>
        <w:t xml:space="preserve">     </w:t>
      </w:r>
      <w:r>
        <w:rPr>
          <w:rFonts w:hint="eastAsia" w:ascii="仿宋" w:hAnsi="仿宋" w:eastAsia="仿宋" w:cs="仿宋"/>
          <w:color w:val="auto"/>
          <w:sz w:val="22"/>
        </w:rPr>
        <w:t>日起至</w:t>
      </w:r>
      <w:r>
        <w:rPr>
          <w:rFonts w:hint="eastAsia" w:ascii="仿宋" w:hAnsi="仿宋" w:eastAsia="仿宋" w:cs="仿宋"/>
          <w:color w:val="auto"/>
          <w:sz w:val="22"/>
          <w:u w:val="single"/>
        </w:rPr>
        <w:t xml:space="preserve">      </w:t>
      </w:r>
      <w:r>
        <w:rPr>
          <w:rFonts w:hint="eastAsia" w:ascii="仿宋" w:hAnsi="仿宋" w:eastAsia="仿宋" w:cs="仿宋"/>
          <w:color w:val="auto"/>
          <w:sz w:val="22"/>
        </w:rPr>
        <w:t>年</w:t>
      </w:r>
      <w:r>
        <w:rPr>
          <w:rFonts w:hint="eastAsia" w:ascii="仿宋" w:hAnsi="仿宋" w:eastAsia="仿宋" w:cs="仿宋"/>
          <w:color w:val="auto"/>
          <w:sz w:val="22"/>
          <w:u w:val="single"/>
        </w:rPr>
        <w:t xml:space="preserve">     </w:t>
      </w:r>
      <w:r>
        <w:rPr>
          <w:rFonts w:hint="eastAsia" w:ascii="仿宋" w:hAnsi="仿宋" w:eastAsia="仿宋" w:cs="仿宋"/>
          <w:color w:val="auto"/>
          <w:sz w:val="22"/>
        </w:rPr>
        <w:t>月</w:t>
      </w:r>
      <w:r>
        <w:rPr>
          <w:rFonts w:hint="eastAsia" w:ascii="仿宋" w:hAnsi="仿宋" w:eastAsia="仿宋" w:cs="仿宋"/>
          <w:color w:val="auto"/>
          <w:sz w:val="22"/>
          <w:u w:val="single"/>
        </w:rPr>
        <w:t xml:space="preserve">     </w:t>
      </w:r>
      <w:r>
        <w:rPr>
          <w:rFonts w:hint="eastAsia" w:ascii="仿宋" w:hAnsi="仿宋" w:eastAsia="仿宋" w:cs="仿宋"/>
          <w:color w:val="auto"/>
          <w:sz w:val="22"/>
        </w:rPr>
        <w:t>日止。</w:t>
      </w:r>
    </w:p>
    <w:p w14:paraId="578F0BF2">
      <w:pPr>
        <w:spacing w:line="360" w:lineRule="auto"/>
        <w:ind w:firstLine="330" w:firstLineChars="150"/>
        <w:rPr>
          <w:rFonts w:hint="eastAsia" w:ascii="仿宋" w:hAnsi="仿宋" w:eastAsia="仿宋" w:cs="仿宋"/>
          <w:color w:val="auto"/>
          <w:sz w:val="22"/>
        </w:rPr>
      </w:pPr>
      <w:r>
        <w:rPr>
          <w:rFonts w:hint="eastAsia" w:ascii="仿宋" w:hAnsi="仿宋" w:eastAsia="仿宋" w:cs="仿宋"/>
          <w:color w:val="auto"/>
          <w:sz w:val="22"/>
        </w:rPr>
        <w:t>在此授权范围和期限内，被授权人所实施的行为具有法律效力，授权人予以认可。</w:t>
      </w:r>
    </w:p>
    <w:p w14:paraId="4BE702C6">
      <w:pPr>
        <w:spacing w:line="360" w:lineRule="auto"/>
        <w:ind w:firstLine="697"/>
        <w:rPr>
          <w:rFonts w:hint="eastAsia" w:ascii="仿宋" w:hAnsi="仿宋" w:eastAsia="仿宋" w:cs="仿宋"/>
          <w:color w:val="auto"/>
          <w:sz w:val="22"/>
        </w:rPr>
      </w:pPr>
    </w:p>
    <w:p w14:paraId="0890E28E">
      <w:pPr>
        <w:spacing w:line="360" w:lineRule="auto"/>
        <w:ind w:firstLine="697"/>
        <w:rPr>
          <w:rFonts w:hint="eastAsia" w:ascii="仿宋" w:hAnsi="仿宋" w:eastAsia="仿宋" w:cs="仿宋"/>
          <w:b/>
          <w:color w:val="auto"/>
          <w:sz w:val="22"/>
        </w:rPr>
      </w:pPr>
      <w:r>
        <w:rPr>
          <w:rFonts w:hint="eastAsia" w:ascii="仿宋" w:hAnsi="仿宋" w:eastAsia="仿宋" w:cs="仿宋"/>
          <w:b/>
          <w:color w:val="auto"/>
          <w:sz w:val="22"/>
        </w:rPr>
        <w:t>授权代表无转委托权，特此委托。</w:t>
      </w:r>
    </w:p>
    <w:p w14:paraId="22E8BC65">
      <w:pPr>
        <w:spacing w:line="360" w:lineRule="auto"/>
        <w:ind w:left="1260"/>
        <w:rPr>
          <w:rFonts w:hint="eastAsia" w:ascii="仿宋" w:hAnsi="仿宋" w:eastAsia="仿宋" w:cs="仿宋"/>
          <w:color w:val="auto"/>
          <w:sz w:val="22"/>
        </w:rPr>
      </w:pPr>
    </w:p>
    <w:p w14:paraId="5807A60D">
      <w:pPr>
        <w:spacing w:line="360" w:lineRule="auto"/>
        <w:ind w:left="1260"/>
        <w:rPr>
          <w:rFonts w:hint="eastAsia" w:ascii="仿宋" w:hAnsi="仿宋" w:eastAsia="仿宋" w:cs="仿宋"/>
          <w:color w:val="auto"/>
          <w:sz w:val="22"/>
        </w:rPr>
      </w:pPr>
    </w:p>
    <w:p w14:paraId="5AEE16D9">
      <w:pPr>
        <w:spacing w:line="360" w:lineRule="auto"/>
        <w:ind w:right="-27" w:firstLine="651" w:firstLineChars="296"/>
        <w:rPr>
          <w:rFonts w:hint="eastAsia" w:ascii="仿宋" w:hAnsi="仿宋" w:eastAsia="仿宋" w:cs="仿宋"/>
          <w:color w:val="auto"/>
          <w:sz w:val="22"/>
          <w:u w:val="single"/>
        </w:rPr>
      </w:pPr>
      <w:r>
        <w:rPr>
          <w:rFonts w:hint="eastAsia" w:ascii="仿宋" w:hAnsi="仿宋" w:eastAsia="仿宋" w:cs="仿宋"/>
          <w:color w:val="auto"/>
          <w:sz w:val="22"/>
        </w:rPr>
        <w:t>授权代表：</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性别：</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年龄：</w:t>
      </w:r>
      <w:r>
        <w:rPr>
          <w:rFonts w:hint="eastAsia" w:ascii="仿宋" w:hAnsi="仿宋" w:eastAsia="仿宋" w:cs="仿宋"/>
          <w:color w:val="auto"/>
          <w:sz w:val="22"/>
          <w:u w:val="single"/>
        </w:rPr>
        <w:t xml:space="preserve">          </w:t>
      </w:r>
      <w:r>
        <w:rPr>
          <w:rFonts w:hint="eastAsia" w:ascii="仿宋" w:hAnsi="仿宋" w:eastAsia="仿宋" w:cs="仿宋"/>
          <w:color w:val="auto"/>
          <w:sz w:val="22"/>
          <w:u w:val="single"/>
        </w:rPr>
        <w:tab/>
      </w:r>
    </w:p>
    <w:p w14:paraId="5D657137">
      <w:pPr>
        <w:spacing w:line="360" w:lineRule="auto"/>
        <w:ind w:firstLine="651" w:firstLineChars="296"/>
        <w:rPr>
          <w:rFonts w:hint="eastAsia" w:ascii="仿宋" w:hAnsi="仿宋" w:eastAsia="仿宋" w:cs="仿宋"/>
          <w:color w:val="auto"/>
          <w:sz w:val="22"/>
          <w:u w:val="single"/>
        </w:rPr>
      </w:pPr>
      <w:r>
        <w:rPr>
          <w:rFonts w:hint="eastAsia" w:ascii="仿宋" w:hAnsi="仿宋" w:eastAsia="仿宋" w:cs="仿宋"/>
          <w:color w:val="auto"/>
          <w:sz w:val="22"/>
        </w:rPr>
        <w:t>身份证号码：</w:t>
      </w:r>
      <w:r>
        <w:rPr>
          <w:rFonts w:hint="eastAsia" w:ascii="仿宋" w:hAnsi="仿宋" w:eastAsia="仿宋" w:cs="仿宋"/>
          <w:color w:val="auto"/>
          <w:sz w:val="22"/>
          <w:u w:val="single"/>
        </w:rPr>
        <w:t xml:space="preserve">               </w:t>
      </w:r>
      <w:r>
        <w:rPr>
          <w:rFonts w:hint="eastAsia" w:ascii="仿宋" w:hAnsi="仿宋" w:eastAsia="仿宋" w:cs="仿宋"/>
          <w:color w:val="auto"/>
          <w:sz w:val="22"/>
        </w:rPr>
        <w:t xml:space="preserve"> 职务：</w:t>
      </w:r>
      <w:r>
        <w:rPr>
          <w:rFonts w:hint="eastAsia" w:ascii="仿宋" w:hAnsi="仿宋" w:eastAsia="仿宋" w:cs="仿宋"/>
          <w:color w:val="auto"/>
          <w:sz w:val="22"/>
          <w:u w:val="single"/>
        </w:rPr>
        <w:t xml:space="preserve">           </w:t>
      </w:r>
      <w:r>
        <w:rPr>
          <w:rFonts w:hint="eastAsia" w:ascii="仿宋" w:hAnsi="仿宋" w:eastAsia="仿宋" w:cs="仿宋"/>
          <w:color w:val="auto"/>
          <w:sz w:val="22"/>
          <w:u w:val="single"/>
        </w:rPr>
        <w:tab/>
      </w:r>
    </w:p>
    <w:p w14:paraId="0B719B58">
      <w:pPr>
        <w:spacing w:line="360" w:lineRule="auto"/>
        <w:ind w:firstLine="651" w:firstLineChars="296"/>
        <w:rPr>
          <w:rFonts w:hint="eastAsia" w:ascii="仿宋" w:hAnsi="仿宋" w:eastAsia="仿宋" w:cs="仿宋"/>
          <w:color w:val="auto"/>
          <w:sz w:val="22"/>
        </w:rPr>
      </w:pPr>
      <w:r>
        <w:rPr>
          <w:rFonts w:hint="eastAsia" w:ascii="仿宋" w:hAnsi="仿宋" w:eastAsia="仿宋" w:cs="仿宋"/>
          <w:color w:val="auto"/>
          <w:sz w:val="22"/>
        </w:rPr>
        <w:t>投标人：</w:t>
      </w:r>
      <w:r>
        <w:rPr>
          <w:rFonts w:hint="eastAsia" w:ascii="仿宋" w:hAnsi="仿宋" w:eastAsia="仿宋" w:cs="仿宋"/>
          <w:color w:val="auto"/>
          <w:sz w:val="22"/>
          <w:u w:val="single"/>
        </w:rPr>
        <w:t xml:space="preserve">                                 </w:t>
      </w:r>
      <w:r>
        <w:rPr>
          <w:rFonts w:hint="eastAsia" w:ascii="仿宋" w:hAnsi="仿宋" w:eastAsia="仿宋" w:cs="仿宋"/>
          <w:color w:val="auto"/>
          <w:sz w:val="22"/>
        </w:rPr>
        <w:t>(电子签章)</w:t>
      </w:r>
    </w:p>
    <w:p w14:paraId="4E394C72">
      <w:pPr>
        <w:spacing w:line="360" w:lineRule="auto"/>
        <w:ind w:firstLine="651" w:firstLineChars="296"/>
        <w:rPr>
          <w:rFonts w:hint="eastAsia" w:ascii="仿宋" w:hAnsi="仿宋" w:eastAsia="仿宋" w:cs="仿宋"/>
          <w:color w:val="auto"/>
          <w:sz w:val="22"/>
        </w:rPr>
      </w:pPr>
      <w:r>
        <w:rPr>
          <w:rFonts w:hint="eastAsia" w:ascii="仿宋" w:hAnsi="仿宋" w:eastAsia="仿宋" w:cs="仿宋"/>
          <w:color w:val="auto"/>
          <w:sz w:val="22"/>
        </w:rPr>
        <w:t>法定代表人：</w:t>
      </w:r>
      <w:r>
        <w:rPr>
          <w:rFonts w:hint="eastAsia" w:ascii="仿宋" w:hAnsi="仿宋" w:eastAsia="仿宋" w:cs="仿宋"/>
          <w:color w:val="auto"/>
          <w:sz w:val="22"/>
          <w:u w:val="single"/>
        </w:rPr>
        <w:t xml:space="preserve">                             </w:t>
      </w:r>
      <w:r>
        <w:rPr>
          <w:rFonts w:hint="eastAsia" w:ascii="仿宋" w:hAnsi="仿宋" w:eastAsia="仿宋" w:cs="仿宋"/>
          <w:color w:val="auto"/>
          <w:sz w:val="22"/>
        </w:rPr>
        <w:t>(电子签章)</w:t>
      </w:r>
    </w:p>
    <w:p w14:paraId="779FC7BC">
      <w:pPr>
        <w:spacing w:line="360" w:lineRule="auto"/>
        <w:ind w:firstLine="651" w:firstLineChars="296"/>
        <w:rPr>
          <w:rFonts w:hint="eastAsia" w:ascii="仿宋" w:hAnsi="仿宋" w:eastAsia="仿宋" w:cs="仿宋"/>
          <w:color w:val="auto"/>
          <w:sz w:val="22"/>
        </w:rPr>
      </w:pPr>
      <w:r>
        <w:rPr>
          <w:rFonts w:hint="eastAsia" w:ascii="仿宋" w:hAnsi="仿宋" w:eastAsia="仿宋" w:cs="仿宋"/>
          <w:color w:val="auto"/>
          <w:sz w:val="22"/>
        </w:rPr>
        <w:t>日期：</w:t>
      </w:r>
      <w:r>
        <w:rPr>
          <w:rFonts w:hint="eastAsia" w:ascii="仿宋" w:hAnsi="仿宋" w:eastAsia="仿宋" w:cs="仿宋"/>
          <w:color w:val="auto"/>
          <w:sz w:val="22"/>
          <w:u w:val="single"/>
        </w:rPr>
        <w:t xml:space="preserve">        </w:t>
      </w:r>
      <w:r>
        <w:rPr>
          <w:rFonts w:hint="eastAsia" w:ascii="仿宋" w:hAnsi="仿宋" w:eastAsia="仿宋" w:cs="仿宋"/>
          <w:color w:val="auto"/>
          <w:sz w:val="22"/>
        </w:rPr>
        <w:t>年</w:t>
      </w:r>
      <w:r>
        <w:rPr>
          <w:rFonts w:hint="eastAsia" w:ascii="仿宋" w:hAnsi="仿宋" w:eastAsia="仿宋" w:cs="仿宋"/>
          <w:color w:val="auto"/>
          <w:sz w:val="22"/>
          <w:u w:val="single"/>
        </w:rPr>
        <w:t xml:space="preserve">     </w:t>
      </w:r>
      <w:r>
        <w:rPr>
          <w:rFonts w:hint="eastAsia" w:ascii="仿宋" w:hAnsi="仿宋" w:eastAsia="仿宋" w:cs="仿宋"/>
          <w:color w:val="auto"/>
          <w:sz w:val="22"/>
        </w:rPr>
        <w:t>月</w:t>
      </w:r>
      <w:r>
        <w:rPr>
          <w:rFonts w:hint="eastAsia" w:ascii="仿宋" w:hAnsi="仿宋" w:eastAsia="仿宋" w:cs="仿宋"/>
          <w:color w:val="auto"/>
          <w:sz w:val="22"/>
          <w:u w:val="single"/>
        </w:rPr>
        <w:t xml:space="preserve">     </w:t>
      </w:r>
      <w:r>
        <w:rPr>
          <w:rFonts w:hint="eastAsia" w:ascii="仿宋" w:hAnsi="仿宋" w:eastAsia="仿宋" w:cs="仿宋"/>
          <w:color w:val="auto"/>
          <w:sz w:val="22"/>
        </w:rPr>
        <w:t>日</w:t>
      </w:r>
    </w:p>
    <w:p w14:paraId="5B29EEFA">
      <w:pPr>
        <w:spacing w:line="360" w:lineRule="auto"/>
        <w:jc w:val="center"/>
        <w:rPr>
          <w:rFonts w:hint="eastAsia" w:ascii="仿宋" w:hAnsi="仿宋" w:eastAsia="仿宋" w:cs="仿宋"/>
          <w:b/>
          <w:color w:val="auto"/>
          <w:sz w:val="22"/>
          <w:szCs w:val="24"/>
        </w:rPr>
      </w:pPr>
      <w:r>
        <w:rPr>
          <w:rFonts w:hint="eastAsia" w:ascii="仿宋" w:hAnsi="仿宋" w:eastAsia="仿宋" w:cs="仿宋"/>
          <w:b/>
          <w:color w:val="auto"/>
          <w:sz w:val="22"/>
          <w:szCs w:val="24"/>
        </w:rPr>
        <w:t>(附被授权的代理人身份证双面复印件)</w:t>
      </w:r>
    </w:p>
    <w:tbl>
      <w:tblPr>
        <w:tblStyle w:val="24"/>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1AB0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48675CA9">
            <w:pPr>
              <w:spacing w:line="360" w:lineRule="auto"/>
              <w:jc w:val="center"/>
              <w:rPr>
                <w:rFonts w:hint="eastAsia" w:ascii="仿宋" w:hAnsi="仿宋" w:eastAsia="仿宋" w:cs="仿宋"/>
                <w:b/>
                <w:bCs/>
                <w:color w:val="auto"/>
                <w:sz w:val="22"/>
                <w:szCs w:val="21"/>
              </w:rPr>
            </w:pPr>
          </w:p>
        </w:tc>
        <w:tc>
          <w:tcPr>
            <w:tcW w:w="4729" w:type="dxa"/>
            <w:vAlign w:val="center"/>
          </w:tcPr>
          <w:p w14:paraId="072C6A5B">
            <w:pPr>
              <w:spacing w:line="360" w:lineRule="auto"/>
              <w:jc w:val="center"/>
              <w:rPr>
                <w:rFonts w:hint="eastAsia" w:ascii="仿宋" w:hAnsi="仿宋" w:eastAsia="仿宋" w:cs="仿宋"/>
                <w:b/>
                <w:bCs/>
                <w:color w:val="auto"/>
                <w:sz w:val="22"/>
                <w:szCs w:val="21"/>
              </w:rPr>
            </w:pPr>
          </w:p>
        </w:tc>
      </w:tr>
    </w:tbl>
    <w:p w14:paraId="04F5DFE5">
      <w:pPr>
        <w:spacing w:line="360" w:lineRule="auto"/>
        <w:rPr>
          <w:rFonts w:hint="eastAsia" w:ascii="仿宋" w:hAnsi="仿宋" w:eastAsia="仿宋" w:cs="仿宋"/>
          <w:color w:val="auto"/>
        </w:rPr>
      </w:pPr>
    </w:p>
    <w:p w14:paraId="1CDD2329">
      <w:pPr>
        <w:pStyle w:val="8"/>
        <w:spacing w:line="360" w:lineRule="auto"/>
        <w:rPr>
          <w:rFonts w:hint="eastAsia" w:ascii="仿宋" w:hAnsi="仿宋" w:eastAsia="仿宋" w:cs="仿宋"/>
          <w:color w:val="auto"/>
        </w:rPr>
      </w:pPr>
    </w:p>
    <w:p w14:paraId="6F4E9B47">
      <w:pPr>
        <w:spacing w:line="360" w:lineRule="auto"/>
        <w:rPr>
          <w:rFonts w:hint="eastAsia" w:ascii="仿宋" w:hAnsi="仿宋" w:eastAsia="仿宋" w:cs="仿宋"/>
          <w:color w:val="auto"/>
          <w:szCs w:val="32"/>
        </w:rPr>
      </w:pPr>
      <w:bookmarkStart w:id="526" w:name="_Toc2096"/>
      <w:bookmarkStart w:id="527" w:name="_Toc30790"/>
      <w:bookmarkStart w:id="528" w:name="_Toc18796"/>
      <w:r>
        <w:rPr>
          <w:rFonts w:hint="eastAsia" w:ascii="仿宋" w:hAnsi="仿宋" w:eastAsia="仿宋" w:cs="仿宋"/>
          <w:color w:val="auto"/>
          <w:szCs w:val="32"/>
        </w:rPr>
        <w:br w:type="page"/>
      </w:r>
    </w:p>
    <w:bookmarkEnd w:id="524"/>
    <w:bookmarkEnd w:id="526"/>
    <w:bookmarkEnd w:id="527"/>
    <w:bookmarkEnd w:id="528"/>
    <w:p w14:paraId="476BAA52">
      <w:pPr>
        <w:spacing w:line="360" w:lineRule="auto"/>
        <w:jc w:val="center"/>
        <w:outlineLvl w:val="2"/>
        <w:rPr>
          <w:rFonts w:hint="eastAsia" w:ascii="仿宋" w:hAnsi="仿宋" w:eastAsia="仿宋" w:cs="仿宋"/>
          <w:b/>
          <w:bCs/>
          <w:color w:val="auto"/>
          <w:sz w:val="28"/>
          <w:szCs w:val="28"/>
        </w:rPr>
      </w:pPr>
      <w:bookmarkStart w:id="529" w:name="_Toc21783"/>
      <w:bookmarkStart w:id="530" w:name="_Toc6253"/>
      <w:bookmarkStart w:id="531" w:name="_Toc14406"/>
      <w:bookmarkStart w:id="532" w:name="_Toc28953"/>
      <w:bookmarkStart w:id="533" w:name="_Toc14830"/>
      <w:bookmarkStart w:id="534" w:name="_Toc18774"/>
      <w:bookmarkStart w:id="535" w:name="_Toc16470"/>
      <w:bookmarkStart w:id="536" w:name="_Toc420930160"/>
      <w:bookmarkStart w:id="537" w:name="_Toc19678"/>
      <w:r>
        <w:rPr>
          <w:rFonts w:hint="eastAsia" w:ascii="仿宋" w:hAnsi="仿宋" w:eastAsia="仿宋" w:cs="仿宋"/>
          <w:b/>
          <w:bCs/>
          <w:color w:val="auto"/>
          <w:sz w:val="28"/>
          <w:szCs w:val="28"/>
        </w:rPr>
        <w:t>三、商务条款偏离表</w:t>
      </w:r>
      <w:bookmarkEnd w:id="529"/>
      <w:bookmarkEnd w:id="530"/>
      <w:bookmarkEnd w:id="531"/>
      <w:bookmarkEnd w:id="532"/>
      <w:bookmarkEnd w:id="533"/>
      <w:bookmarkEnd w:id="534"/>
      <w:bookmarkEnd w:id="535"/>
      <w:bookmarkEnd w:id="536"/>
      <w:bookmarkEnd w:id="537"/>
    </w:p>
    <w:p w14:paraId="4553DF5F">
      <w:pPr>
        <w:wordWrap w:val="0"/>
        <w:spacing w:line="360" w:lineRule="auto"/>
        <w:ind w:firstLine="480" w:firstLineChars="200"/>
        <w:rPr>
          <w:rFonts w:hint="eastAsia" w:ascii="仿宋" w:hAnsi="仿宋" w:eastAsia="仿宋" w:cs="仿宋"/>
          <w:b/>
          <w:color w:val="auto"/>
          <w:sz w:val="24"/>
        </w:rPr>
      </w:pPr>
      <w:r>
        <w:rPr>
          <w:rFonts w:hint="eastAsia" w:ascii="仿宋" w:hAnsi="仿宋" w:eastAsia="仿宋" w:cs="仿宋"/>
          <w:color w:val="auto"/>
          <w:sz w:val="24"/>
        </w:rPr>
        <w:t>投标人应逐条对应招标文件第六章“</w:t>
      </w:r>
      <w:r>
        <w:rPr>
          <w:rFonts w:hint="eastAsia" w:ascii="仿宋" w:hAnsi="仿宋" w:eastAsia="仿宋" w:cs="仿宋"/>
          <w:b/>
          <w:color w:val="auto"/>
          <w:sz w:val="24"/>
        </w:rPr>
        <w:t>采购需求</w:t>
      </w:r>
      <w:r>
        <w:rPr>
          <w:rFonts w:hint="eastAsia" w:ascii="仿宋" w:hAnsi="仿宋" w:eastAsia="仿宋" w:cs="仿宋"/>
          <w:color w:val="auto"/>
          <w:sz w:val="24"/>
        </w:rPr>
        <w:t>”和第五章“</w:t>
      </w:r>
      <w:r>
        <w:rPr>
          <w:rFonts w:hint="eastAsia" w:ascii="仿宋" w:hAnsi="仿宋" w:eastAsia="仿宋" w:cs="仿宋"/>
          <w:b/>
          <w:bCs/>
          <w:color w:val="auto"/>
          <w:sz w:val="24"/>
        </w:rPr>
        <w:t>合同书样式及主要条款</w:t>
      </w:r>
      <w:r>
        <w:rPr>
          <w:rFonts w:hint="eastAsia" w:ascii="仿宋" w:hAnsi="仿宋" w:eastAsia="仿宋" w:cs="仿宋"/>
          <w:color w:val="auto"/>
          <w:sz w:val="24"/>
        </w:rPr>
        <w:t>”中要求的商务条件，包括合同履行期限、付款方式、交付地点、履约保证金等内容，并根据实际投标情况如实填写本表格。★</w:t>
      </w:r>
      <w:r>
        <w:rPr>
          <w:rFonts w:hint="eastAsia" w:ascii="仿宋" w:hAnsi="仿宋" w:eastAsia="仿宋" w:cs="仿宋"/>
          <w:b/>
          <w:color w:val="auto"/>
          <w:sz w:val="24"/>
        </w:rPr>
        <w:t>未填写本表格的投标人将不能通过符合性评审。</w:t>
      </w:r>
    </w:p>
    <w:p w14:paraId="7E7C7B7F">
      <w:pPr>
        <w:wordWrap w:val="0"/>
        <w:spacing w:line="360" w:lineRule="auto"/>
        <w:rPr>
          <w:rFonts w:hint="eastAsia" w:ascii="仿宋" w:hAnsi="仿宋" w:eastAsia="仿宋" w:cs="仿宋"/>
          <w:color w:val="auto"/>
          <w:sz w:val="24"/>
        </w:rPr>
      </w:pP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项目编号：</w:t>
      </w:r>
      <w:r>
        <w:rPr>
          <w:rFonts w:hint="eastAsia" w:ascii="仿宋" w:hAnsi="仿宋" w:eastAsia="仿宋" w:cs="仿宋"/>
          <w:color w:val="auto"/>
          <w:sz w:val="24"/>
          <w:u w:val="single"/>
        </w:rPr>
        <w:t xml:space="preserve">                 </w:t>
      </w:r>
    </w:p>
    <w:tbl>
      <w:tblPr>
        <w:tblStyle w:val="24"/>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20F4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26" w:hRule="atLeast"/>
          <w:jc w:val="center"/>
        </w:trPr>
        <w:tc>
          <w:tcPr>
            <w:tcW w:w="10100" w:type="dxa"/>
            <w:gridSpan w:val="3"/>
            <w:vAlign w:val="center"/>
          </w:tcPr>
          <w:p w14:paraId="798304F8">
            <w:pPr>
              <w:wordWrap w:val="0"/>
              <w:spacing w:line="360" w:lineRule="auto"/>
              <w:jc w:val="left"/>
              <w:rPr>
                <w:rFonts w:hint="eastAsia" w:ascii="仿宋" w:hAnsi="仿宋" w:eastAsia="仿宋" w:cs="仿宋"/>
                <w:color w:val="auto"/>
                <w:sz w:val="24"/>
              </w:rPr>
            </w:pPr>
            <w:r>
              <w:rPr>
                <w:rFonts w:hint="eastAsia" w:ascii="仿宋" w:hAnsi="仿宋" w:eastAsia="仿宋" w:cs="仿宋"/>
                <w:color w:val="auto"/>
                <w:sz w:val="24"/>
              </w:rPr>
              <w:t>A、□我公司已详细阅读招标文件中各项商务要求，所有商务要求均无偏离，中标后我公司将严格遵照执行。</w:t>
            </w:r>
          </w:p>
          <w:p w14:paraId="7CDEAFC6">
            <w:pPr>
              <w:wordWrap w:val="0"/>
              <w:spacing w:line="360" w:lineRule="auto"/>
              <w:jc w:val="left"/>
              <w:rPr>
                <w:rFonts w:hint="eastAsia" w:ascii="仿宋" w:hAnsi="仿宋" w:eastAsia="仿宋" w:cs="仿宋"/>
                <w:color w:val="auto"/>
                <w:sz w:val="24"/>
              </w:rPr>
            </w:pPr>
            <w:r>
              <w:rPr>
                <w:rFonts w:hint="eastAsia" w:ascii="仿宋" w:hAnsi="仿宋" w:eastAsia="仿宋" w:cs="仿宋"/>
                <w:color w:val="auto"/>
                <w:sz w:val="24"/>
              </w:rPr>
              <w:t>B、□我公司已详细阅读招标文件中各项商务要求，除下述条款有偏离外，其余条款我公司均予以认可，中标后将严格遵照执行。</w:t>
            </w:r>
          </w:p>
        </w:tc>
      </w:tr>
      <w:tr w14:paraId="54A6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7D501C9F">
            <w:pPr>
              <w:wordWrap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4702" w:type="dxa"/>
            <w:vAlign w:val="center"/>
          </w:tcPr>
          <w:p w14:paraId="6B422D0E">
            <w:pPr>
              <w:wordWrap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招标文件的商务条款要求</w:t>
            </w:r>
          </w:p>
        </w:tc>
        <w:tc>
          <w:tcPr>
            <w:tcW w:w="4626" w:type="dxa"/>
            <w:vAlign w:val="center"/>
          </w:tcPr>
          <w:p w14:paraId="651A5F58">
            <w:pPr>
              <w:wordWrap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投标文件的商务条款</w:t>
            </w:r>
          </w:p>
        </w:tc>
      </w:tr>
      <w:tr w14:paraId="5B0E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73B4C2C2">
            <w:pPr>
              <w:wordWrap w:val="0"/>
              <w:spacing w:line="360" w:lineRule="auto"/>
              <w:jc w:val="center"/>
              <w:rPr>
                <w:rFonts w:hint="eastAsia" w:ascii="仿宋" w:hAnsi="仿宋" w:eastAsia="仿宋" w:cs="仿宋"/>
                <w:color w:val="auto"/>
                <w:sz w:val="24"/>
              </w:rPr>
            </w:pPr>
          </w:p>
        </w:tc>
        <w:tc>
          <w:tcPr>
            <w:tcW w:w="4702" w:type="dxa"/>
            <w:vAlign w:val="center"/>
          </w:tcPr>
          <w:p w14:paraId="5627C354">
            <w:pPr>
              <w:wordWrap w:val="0"/>
              <w:spacing w:line="360" w:lineRule="auto"/>
              <w:jc w:val="center"/>
              <w:rPr>
                <w:rFonts w:hint="eastAsia" w:ascii="仿宋" w:hAnsi="仿宋" w:eastAsia="仿宋" w:cs="仿宋"/>
                <w:color w:val="auto"/>
                <w:sz w:val="24"/>
              </w:rPr>
            </w:pPr>
          </w:p>
        </w:tc>
        <w:tc>
          <w:tcPr>
            <w:tcW w:w="4626" w:type="dxa"/>
            <w:vAlign w:val="center"/>
          </w:tcPr>
          <w:p w14:paraId="0EC5ED65">
            <w:pPr>
              <w:wordWrap w:val="0"/>
              <w:spacing w:line="360" w:lineRule="auto"/>
              <w:jc w:val="center"/>
              <w:rPr>
                <w:rFonts w:hint="eastAsia" w:ascii="仿宋" w:hAnsi="仿宋" w:eastAsia="仿宋" w:cs="仿宋"/>
                <w:color w:val="auto"/>
                <w:sz w:val="24"/>
              </w:rPr>
            </w:pPr>
          </w:p>
        </w:tc>
      </w:tr>
      <w:tr w14:paraId="7D40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55A8BAA7">
            <w:pPr>
              <w:wordWrap w:val="0"/>
              <w:spacing w:line="360" w:lineRule="auto"/>
              <w:jc w:val="center"/>
              <w:rPr>
                <w:rFonts w:hint="eastAsia" w:ascii="仿宋" w:hAnsi="仿宋" w:eastAsia="仿宋" w:cs="仿宋"/>
                <w:color w:val="auto"/>
                <w:sz w:val="24"/>
              </w:rPr>
            </w:pPr>
          </w:p>
        </w:tc>
        <w:tc>
          <w:tcPr>
            <w:tcW w:w="4702" w:type="dxa"/>
            <w:vAlign w:val="center"/>
          </w:tcPr>
          <w:p w14:paraId="661D93A0">
            <w:pPr>
              <w:wordWrap w:val="0"/>
              <w:spacing w:line="360" w:lineRule="auto"/>
              <w:jc w:val="center"/>
              <w:rPr>
                <w:rFonts w:hint="eastAsia" w:ascii="仿宋" w:hAnsi="仿宋" w:eastAsia="仿宋" w:cs="仿宋"/>
                <w:color w:val="auto"/>
                <w:sz w:val="24"/>
              </w:rPr>
            </w:pPr>
          </w:p>
        </w:tc>
        <w:tc>
          <w:tcPr>
            <w:tcW w:w="4626" w:type="dxa"/>
            <w:vAlign w:val="center"/>
          </w:tcPr>
          <w:p w14:paraId="1087FB33">
            <w:pPr>
              <w:wordWrap w:val="0"/>
              <w:spacing w:line="360" w:lineRule="auto"/>
              <w:jc w:val="center"/>
              <w:rPr>
                <w:rFonts w:hint="eastAsia" w:ascii="仿宋" w:hAnsi="仿宋" w:eastAsia="仿宋" w:cs="仿宋"/>
                <w:color w:val="auto"/>
                <w:sz w:val="24"/>
              </w:rPr>
            </w:pPr>
          </w:p>
        </w:tc>
      </w:tr>
      <w:tr w14:paraId="481A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522A5E2">
            <w:pPr>
              <w:wordWrap w:val="0"/>
              <w:spacing w:line="360" w:lineRule="auto"/>
              <w:jc w:val="center"/>
              <w:rPr>
                <w:rFonts w:hint="eastAsia" w:ascii="仿宋" w:hAnsi="仿宋" w:eastAsia="仿宋" w:cs="仿宋"/>
                <w:color w:val="auto"/>
                <w:sz w:val="24"/>
              </w:rPr>
            </w:pPr>
          </w:p>
        </w:tc>
        <w:tc>
          <w:tcPr>
            <w:tcW w:w="4702" w:type="dxa"/>
            <w:vAlign w:val="center"/>
          </w:tcPr>
          <w:p w14:paraId="2787246E">
            <w:pPr>
              <w:wordWrap w:val="0"/>
              <w:spacing w:line="360" w:lineRule="auto"/>
              <w:jc w:val="center"/>
              <w:rPr>
                <w:rFonts w:hint="eastAsia" w:ascii="仿宋" w:hAnsi="仿宋" w:eastAsia="仿宋" w:cs="仿宋"/>
                <w:color w:val="auto"/>
                <w:sz w:val="24"/>
              </w:rPr>
            </w:pPr>
          </w:p>
        </w:tc>
        <w:tc>
          <w:tcPr>
            <w:tcW w:w="4626" w:type="dxa"/>
            <w:vAlign w:val="center"/>
          </w:tcPr>
          <w:p w14:paraId="7F36D594">
            <w:pPr>
              <w:wordWrap w:val="0"/>
              <w:spacing w:line="360" w:lineRule="auto"/>
              <w:jc w:val="center"/>
              <w:rPr>
                <w:rFonts w:hint="eastAsia" w:ascii="仿宋" w:hAnsi="仿宋" w:eastAsia="仿宋" w:cs="仿宋"/>
                <w:color w:val="auto"/>
                <w:sz w:val="24"/>
              </w:rPr>
            </w:pPr>
          </w:p>
        </w:tc>
      </w:tr>
      <w:tr w14:paraId="46C7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B4E66C3">
            <w:pPr>
              <w:wordWrap w:val="0"/>
              <w:spacing w:line="360" w:lineRule="auto"/>
              <w:jc w:val="center"/>
              <w:rPr>
                <w:rFonts w:hint="eastAsia" w:ascii="仿宋" w:hAnsi="仿宋" w:eastAsia="仿宋" w:cs="仿宋"/>
                <w:color w:val="auto"/>
                <w:sz w:val="24"/>
              </w:rPr>
            </w:pPr>
          </w:p>
        </w:tc>
        <w:tc>
          <w:tcPr>
            <w:tcW w:w="4702" w:type="dxa"/>
            <w:vAlign w:val="center"/>
          </w:tcPr>
          <w:p w14:paraId="2678D05C">
            <w:pPr>
              <w:wordWrap w:val="0"/>
              <w:spacing w:line="360" w:lineRule="auto"/>
              <w:jc w:val="center"/>
              <w:rPr>
                <w:rFonts w:hint="eastAsia" w:ascii="仿宋" w:hAnsi="仿宋" w:eastAsia="仿宋" w:cs="仿宋"/>
                <w:color w:val="auto"/>
                <w:sz w:val="24"/>
              </w:rPr>
            </w:pPr>
          </w:p>
        </w:tc>
        <w:tc>
          <w:tcPr>
            <w:tcW w:w="4626" w:type="dxa"/>
            <w:vAlign w:val="center"/>
          </w:tcPr>
          <w:p w14:paraId="68B82930">
            <w:pPr>
              <w:wordWrap w:val="0"/>
              <w:spacing w:line="360" w:lineRule="auto"/>
              <w:jc w:val="center"/>
              <w:rPr>
                <w:rFonts w:hint="eastAsia" w:ascii="仿宋" w:hAnsi="仿宋" w:eastAsia="仿宋" w:cs="仿宋"/>
                <w:color w:val="auto"/>
                <w:sz w:val="24"/>
              </w:rPr>
            </w:pPr>
          </w:p>
        </w:tc>
      </w:tr>
      <w:tr w14:paraId="424C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2C5199A">
            <w:pPr>
              <w:wordWrap w:val="0"/>
              <w:spacing w:line="360" w:lineRule="auto"/>
              <w:jc w:val="center"/>
              <w:rPr>
                <w:rFonts w:hint="eastAsia" w:ascii="仿宋" w:hAnsi="仿宋" w:eastAsia="仿宋" w:cs="仿宋"/>
                <w:color w:val="auto"/>
                <w:sz w:val="24"/>
              </w:rPr>
            </w:pPr>
          </w:p>
        </w:tc>
        <w:tc>
          <w:tcPr>
            <w:tcW w:w="4702" w:type="dxa"/>
            <w:vAlign w:val="center"/>
          </w:tcPr>
          <w:p w14:paraId="1E3D535F">
            <w:pPr>
              <w:wordWrap w:val="0"/>
              <w:spacing w:line="360" w:lineRule="auto"/>
              <w:jc w:val="center"/>
              <w:rPr>
                <w:rFonts w:hint="eastAsia" w:ascii="仿宋" w:hAnsi="仿宋" w:eastAsia="仿宋" w:cs="仿宋"/>
                <w:color w:val="auto"/>
                <w:sz w:val="24"/>
              </w:rPr>
            </w:pPr>
          </w:p>
        </w:tc>
        <w:tc>
          <w:tcPr>
            <w:tcW w:w="4626" w:type="dxa"/>
            <w:vAlign w:val="center"/>
          </w:tcPr>
          <w:p w14:paraId="7D74EA95">
            <w:pPr>
              <w:wordWrap w:val="0"/>
              <w:spacing w:line="360" w:lineRule="auto"/>
              <w:jc w:val="center"/>
              <w:rPr>
                <w:rFonts w:hint="eastAsia" w:ascii="仿宋" w:hAnsi="仿宋" w:eastAsia="仿宋" w:cs="仿宋"/>
                <w:color w:val="auto"/>
                <w:sz w:val="24"/>
              </w:rPr>
            </w:pPr>
          </w:p>
        </w:tc>
      </w:tr>
      <w:tr w14:paraId="7535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42295D52">
            <w:pPr>
              <w:wordWrap w:val="0"/>
              <w:spacing w:line="360" w:lineRule="auto"/>
              <w:jc w:val="center"/>
              <w:rPr>
                <w:rFonts w:hint="eastAsia" w:ascii="仿宋" w:hAnsi="仿宋" w:eastAsia="仿宋" w:cs="仿宋"/>
                <w:color w:val="auto"/>
                <w:sz w:val="24"/>
              </w:rPr>
            </w:pPr>
          </w:p>
        </w:tc>
        <w:tc>
          <w:tcPr>
            <w:tcW w:w="4702" w:type="dxa"/>
            <w:vAlign w:val="center"/>
          </w:tcPr>
          <w:p w14:paraId="0D298BEB">
            <w:pPr>
              <w:wordWrap w:val="0"/>
              <w:spacing w:line="360" w:lineRule="auto"/>
              <w:jc w:val="center"/>
              <w:rPr>
                <w:rFonts w:hint="eastAsia" w:ascii="仿宋" w:hAnsi="仿宋" w:eastAsia="仿宋" w:cs="仿宋"/>
                <w:color w:val="auto"/>
                <w:sz w:val="24"/>
              </w:rPr>
            </w:pPr>
          </w:p>
        </w:tc>
        <w:tc>
          <w:tcPr>
            <w:tcW w:w="4626" w:type="dxa"/>
            <w:vAlign w:val="center"/>
          </w:tcPr>
          <w:p w14:paraId="1BA299D6">
            <w:pPr>
              <w:wordWrap w:val="0"/>
              <w:spacing w:line="360" w:lineRule="auto"/>
              <w:jc w:val="center"/>
              <w:rPr>
                <w:rFonts w:hint="eastAsia" w:ascii="仿宋" w:hAnsi="仿宋" w:eastAsia="仿宋" w:cs="仿宋"/>
                <w:color w:val="auto"/>
                <w:sz w:val="24"/>
              </w:rPr>
            </w:pPr>
          </w:p>
        </w:tc>
      </w:tr>
      <w:tr w14:paraId="071AD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57FD509">
            <w:pPr>
              <w:wordWrap w:val="0"/>
              <w:spacing w:line="360" w:lineRule="auto"/>
              <w:jc w:val="center"/>
              <w:rPr>
                <w:rFonts w:hint="eastAsia" w:ascii="仿宋" w:hAnsi="仿宋" w:eastAsia="仿宋" w:cs="仿宋"/>
                <w:color w:val="auto"/>
                <w:sz w:val="24"/>
              </w:rPr>
            </w:pPr>
          </w:p>
        </w:tc>
        <w:tc>
          <w:tcPr>
            <w:tcW w:w="4702" w:type="dxa"/>
            <w:vAlign w:val="center"/>
          </w:tcPr>
          <w:p w14:paraId="3F8F5071">
            <w:pPr>
              <w:wordWrap w:val="0"/>
              <w:spacing w:line="360" w:lineRule="auto"/>
              <w:jc w:val="center"/>
              <w:rPr>
                <w:rFonts w:hint="eastAsia" w:ascii="仿宋" w:hAnsi="仿宋" w:eastAsia="仿宋" w:cs="仿宋"/>
                <w:color w:val="auto"/>
                <w:sz w:val="24"/>
              </w:rPr>
            </w:pPr>
          </w:p>
        </w:tc>
        <w:tc>
          <w:tcPr>
            <w:tcW w:w="4626" w:type="dxa"/>
            <w:vAlign w:val="center"/>
          </w:tcPr>
          <w:p w14:paraId="55CFE31E">
            <w:pPr>
              <w:wordWrap w:val="0"/>
              <w:spacing w:line="360" w:lineRule="auto"/>
              <w:jc w:val="center"/>
              <w:rPr>
                <w:rFonts w:hint="eastAsia" w:ascii="仿宋" w:hAnsi="仿宋" w:eastAsia="仿宋" w:cs="仿宋"/>
                <w:color w:val="auto"/>
                <w:sz w:val="24"/>
              </w:rPr>
            </w:pPr>
          </w:p>
        </w:tc>
      </w:tr>
      <w:tr w14:paraId="2F98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7E6DC86F">
            <w:pPr>
              <w:wordWrap w:val="0"/>
              <w:spacing w:line="360" w:lineRule="auto"/>
              <w:jc w:val="center"/>
              <w:rPr>
                <w:rFonts w:hint="eastAsia" w:ascii="仿宋" w:hAnsi="仿宋" w:eastAsia="仿宋" w:cs="仿宋"/>
                <w:color w:val="auto"/>
                <w:sz w:val="24"/>
              </w:rPr>
            </w:pPr>
          </w:p>
        </w:tc>
        <w:tc>
          <w:tcPr>
            <w:tcW w:w="4702" w:type="dxa"/>
            <w:vAlign w:val="center"/>
          </w:tcPr>
          <w:p w14:paraId="3F76E9B7">
            <w:pPr>
              <w:wordWrap w:val="0"/>
              <w:spacing w:line="360" w:lineRule="auto"/>
              <w:jc w:val="center"/>
              <w:rPr>
                <w:rFonts w:hint="eastAsia" w:ascii="仿宋" w:hAnsi="仿宋" w:eastAsia="仿宋" w:cs="仿宋"/>
                <w:color w:val="auto"/>
                <w:sz w:val="24"/>
              </w:rPr>
            </w:pPr>
          </w:p>
        </w:tc>
        <w:tc>
          <w:tcPr>
            <w:tcW w:w="4626" w:type="dxa"/>
            <w:vAlign w:val="center"/>
          </w:tcPr>
          <w:p w14:paraId="6E145F83">
            <w:pPr>
              <w:wordWrap w:val="0"/>
              <w:spacing w:line="360" w:lineRule="auto"/>
              <w:jc w:val="center"/>
              <w:rPr>
                <w:rFonts w:hint="eastAsia" w:ascii="仿宋" w:hAnsi="仿宋" w:eastAsia="仿宋" w:cs="仿宋"/>
                <w:color w:val="auto"/>
                <w:sz w:val="24"/>
              </w:rPr>
            </w:pPr>
          </w:p>
        </w:tc>
      </w:tr>
      <w:tr w14:paraId="5B8FE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91DEF60">
            <w:pPr>
              <w:wordWrap w:val="0"/>
              <w:spacing w:line="360" w:lineRule="auto"/>
              <w:jc w:val="center"/>
              <w:rPr>
                <w:rFonts w:hint="eastAsia" w:ascii="仿宋" w:hAnsi="仿宋" w:eastAsia="仿宋" w:cs="仿宋"/>
                <w:color w:val="auto"/>
                <w:sz w:val="24"/>
              </w:rPr>
            </w:pPr>
          </w:p>
        </w:tc>
        <w:tc>
          <w:tcPr>
            <w:tcW w:w="4702" w:type="dxa"/>
            <w:vAlign w:val="center"/>
          </w:tcPr>
          <w:p w14:paraId="1DA2123B">
            <w:pPr>
              <w:wordWrap w:val="0"/>
              <w:spacing w:line="360" w:lineRule="auto"/>
              <w:jc w:val="center"/>
              <w:rPr>
                <w:rFonts w:hint="eastAsia" w:ascii="仿宋" w:hAnsi="仿宋" w:eastAsia="仿宋" w:cs="仿宋"/>
                <w:color w:val="auto"/>
                <w:sz w:val="24"/>
              </w:rPr>
            </w:pPr>
          </w:p>
        </w:tc>
        <w:tc>
          <w:tcPr>
            <w:tcW w:w="4626" w:type="dxa"/>
            <w:vAlign w:val="center"/>
          </w:tcPr>
          <w:p w14:paraId="6BB24CA6">
            <w:pPr>
              <w:wordWrap w:val="0"/>
              <w:spacing w:line="360" w:lineRule="auto"/>
              <w:jc w:val="center"/>
              <w:rPr>
                <w:rFonts w:hint="eastAsia" w:ascii="仿宋" w:hAnsi="仿宋" w:eastAsia="仿宋" w:cs="仿宋"/>
                <w:color w:val="auto"/>
                <w:sz w:val="24"/>
              </w:rPr>
            </w:pPr>
          </w:p>
        </w:tc>
      </w:tr>
    </w:tbl>
    <w:p w14:paraId="5A73A992">
      <w:pPr>
        <w:wordWrap w:val="0"/>
        <w:spacing w:line="360" w:lineRule="auto"/>
        <w:ind w:firstLine="2" w:firstLineChars="1"/>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0D29C4D3">
      <w:pPr>
        <w:wordWrap w:val="0"/>
        <w:spacing w:line="360" w:lineRule="auto"/>
        <w:ind w:firstLine="2" w:firstLineChars="1"/>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38781393">
      <w:pPr>
        <w:wordWrap w:val="0"/>
        <w:spacing w:line="360" w:lineRule="auto"/>
        <w:ind w:firstLine="2" w:firstLineChars="1"/>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6EBECCD9">
      <w:pPr>
        <w:pStyle w:val="14"/>
        <w:wordWrap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表格填写说明：</w:t>
      </w:r>
    </w:p>
    <w:p w14:paraId="58B65D38">
      <w:pPr>
        <w:pStyle w:val="14"/>
        <w:wordWrap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1、投标人根据应根据实际投标情况，填写本表格，若无偏离，则勾选A项，电子签章即可。若有偏离，则勾选B项，按表格要求及实际情况填写后，电子签章。</w:t>
      </w:r>
    </w:p>
    <w:p w14:paraId="5766EA4C">
      <w:pPr>
        <w:pStyle w:val="14"/>
        <w:wordWrap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2、表格中“招标文件的商务条款要求”在填写时应注明该条款在招标文件的页码及条款号。</w:t>
      </w:r>
    </w:p>
    <w:p w14:paraId="4D623823">
      <w:pPr>
        <w:pStyle w:val="14"/>
        <w:wordWrap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3、表格中“投标文件的商务条款”请投标人根据实际投标情况如实、完整、准确的填写。</w:t>
      </w:r>
    </w:p>
    <w:p w14:paraId="3CFEFAFC">
      <w:pPr>
        <w:pStyle w:val="14"/>
        <w:wordWrap w:val="0"/>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4、</w:t>
      </w:r>
      <w:r>
        <w:rPr>
          <w:rFonts w:hint="eastAsia" w:ascii="仿宋" w:hAnsi="仿宋" w:eastAsia="仿宋" w:cs="仿宋"/>
          <w:b/>
          <w:color w:val="auto"/>
          <w:sz w:val="24"/>
          <w:szCs w:val="24"/>
        </w:rPr>
        <w:t>本表格中内容与投标文件其余部分不一致的，以本表格为准。</w:t>
      </w:r>
    </w:p>
    <w:p w14:paraId="11F865D8">
      <w:pPr>
        <w:spacing w:line="360" w:lineRule="auto"/>
        <w:rPr>
          <w:rFonts w:hint="eastAsia" w:ascii="仿宋" w:hAnsi="仿宋" w:eastAsia="仿宋" w:cs="仿宋"/>
          <w:color w:val="auto"/>
        </w:rPr>
      </w:pPr>
      <w:r>
        <w:rPr>
          <w:rFonts w:hint="eastAsia" w:ascii="仿宋" w:hAnsi="仿宋" w:eastAsia="仿宋" w:cs="仿宋"/>
          <w:color w:val="auto"/>
        </w:rPr>
        <w:br w:type="page"/>
      </w:r>
    </w:p>
    <w:p w14:paraId="0362F6F6">
      <w:pPr>
        <w:pStyle w:val="4"/>
        <w:numPr>
          <w:ilvl w:val="1"/>
          <w:numId w:val="0"/>
        </w:numPr>
        <w:tabs>
          <w:tab w:val="left" w:pos="1021"/>
          <w:tab w:val="clear" w:pos="720"/>
        </w:tabs>
        <w:spacing w:before="0" w:after="0" w:line="360" w:lineRule="auto"/>
        <w:ind w:left="425"/>
        <w:jc w:val="center"/>
        <w:rPr>
          <w:rFonts w:hint="eastAsia" w:ascii="仿宋" w:hAnsi="仿宋" w:eastAsia="仿宋" w:cs="仿宋"/>
          <w:color w:val="auto"/>
          <w:sz w:val="24"/>
          <w:szCs w:val="24"/>
        </w:rPr>
      </w:pPr>
      <w:bookmarkStart w:id="538" w:name="_Toc27701"/>
      <w:bookmarkStart w:id="539" w:name="_Toc8998"/>
      <w:bookmarkStart w:id="540" w:name="_Toc2384"/>
      <w:bookmarkStart w:id="541" w:name="_Toc2781"/>
      <w:bookmarkStart w:id="542" w:name="_Toc9110"/>
      <w:bookmarkStart w:id="543" w:name="_Toc21286"/>
      <w:r>
        <w:rPr>
          <w:rFonts w:hint="eastAsia" w:ascii="仿宋" w:hAnsi="仿宋" w:eastAsia="仿宋" w:cs="仿宋"/>
          <w:color w:val="auto"/>
          <w:szCs w:val="32"/>
        </w:rPr>
        <w:t>四、技术部分</w:t>
      </w:r>
      <w:bookmarkEnd w:id="538"/>
      <w:bookmarkEnd w:id="539"/>
      <w:bookmarkEnd w:id="540"/>
      <w:bookmarkEnd w:id="541"/>
      <w:bookmarkEnd w:id="542"/>
      <w:bookmarkEnd w:id="543"/>
    </w:p>
    <w:p w14:paraId="494DECCF">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1.技术指标响应</w:t>
      </w:r>
    </w:p>
    <w:p w14:paraId="613AC3DF">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技术规格偏离表</w:t>
      </w:r>
    </w:p>
    <w:p w14:paraId="4192CAD1">
      <w:pPr>
        <w:wordWrap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投标人应逐条对应招标文件的第六章“</w:t>
      </w:r>
      <w:r>
        <w:rPr>
          <w:rFonts w:hint="eastAsia" w:ascii="仿宋" w:hAnsi="仿宋" w:eastAsia="仿宋" w:cs="仿宋"/>
          <w:b/>
          <w:color w:val="auto"/>
          <w:sz w:val="24"/>
        </w:rPr>
        <w:t>采购需求</w:t>
      </w:r>
      <w:r>
        <w:rPr>
          <w:rFonts w:hint="eastAsia" w:ascii="仿宋" w:hAnsi="仿宋" w:eastAsia="仿宋" w:cs="仿宋"/>
          <w:color w:val="auto"/>
          <w:sz w:val="24"/>
        </w:rPr>
        <w:t>”中的技术参数及性能要求规范如实、完整、准确的填写该表。</w:t>
      </w:r>
    </w:p>
    <w:p w14:paraId="4D405063">
      <w:pPr>
        <w:wordWrap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b/>
          <w:color w:val="auto"/>
          <w:sz w:val="24"/>
        </w:rPr>
        <w:t>本表格将作为评标委员会对投标人技术部分的评审依据，未填写本表格的投标人将不能通过符合性评审。</w:t>
      </w:r>
    </w:p>
    <w:p w14:paraId="3C3FFD71">
      <w:pPr>
        <w:wordWrap w:val="0"/>
        <w:spacing w:line="360" w:lineRule="auto"/>
        <w:rPr>
          <w:rFonts w:hint="eastAsia" w:ascii="仿宋" w:hAnsi="仿宋" w:eastAsia="仿宋" w:cs="仿宋"/>
          <w:color w:val="auto"/>
          <w:sz w:val="24"/>
        </w:rPr>
      </w:pP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项目编号：</w:t>
      </w:r>
      <w:r>
        <w:rPr>
          <w:rFonts w:hint="eastAsia" w:ascii="仿宋" w:hAnsi="仿宋" w:eastAsia="仿宋" w:cs="仿宋"/>
          <w:color w:val="auto"/>
          <w:sz w:val="24"/>
          <w:u w:val="single"/>
        </w:rPr>
        <w:t xml:space="preserve">                     </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28"/>
        <w:gridCol w:w="2167"/>
        <w:gridCol w:w="2179"/>
        <w:gridCol w:w="2180"/>
        <w:gridCol w:w="733"/>
        <w:gridCol w:w="1343"/>
      </w:tblGrid>
      <w:tr w14:paraId="1707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200" w:type="pct"/>
            <w:vAlign w:val="center"/>
          </w:tcPr>
          <w:p w14:paraId="3134ECE7">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468" w:type="pct"/>
            <w:vAlign w:val="center"/>
          </w:tcPr>
          <w:p w14:paraId="4F712D74">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产品名称</w:t>
            </w:r>
          </w:p>
        </w:tc>
        <w:tc>
          <w:tcPr>
            <w:tcW w:w="1090" w:type="pct"/>
            <w:vAlign w:val="center"/>
          </w:tcPr>
          <w:p w14:paraId="214AAA66">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招标文件技术参数及性能要求</w:t>
            </w:r>
          </w:p>
        </w:tc>
        <w:tc>
          <w:tcPr>
            <w:tcW w:w="1096" w:type="pct"/>
            <w:vAlign w:val="center"/>
          </w:tcPr>
          <w:p w14:paraId="51A9B92A">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制造商（生产厂商）名称/原产地</w:t>
            </w:r>
          </w:p>
        </w:tc>
        <w:tc>
          <w:tcPr>
            <w:tcW w:w="1096" w:type="pct"/>
            <w:vAlign w:val="center"/>
          </w:tcPr>
          <w:p w14:paraId="7EE44372">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投标人响应的技术参数及性能</w:t>
            </w:r>
          </w:p>
        </w:tc>
        <w:tc>
          <w:tcPr>
            <w:tcW w:w="370" w:type="pct"/>
            <w:vAlign w:val="center"/>
          </w:tcPr>
          <w:p w14:paraId="0852779B">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偏离情况</w:t>
            </w:r>
          </w:p>
        </w:tc>
        <w:tc>
          <w:tcPr>
            <w:tcW w:w="676" w:type="pct"/>
            <w:vAlign w:val="center"/>
          </w:tcPr>
          <w:p w14:paraId="28E7FE20">
            <w:pPr>
              <w:wordWrap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技术要求支持资料索引（页码及条目号等）</w:t>
            </w:r>
          </w:p>
        </w:tc>
      </w:tr>
      <w:tr w14:paraId="2E40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00" w:type="pct"/>
            <w:vAlign w:val="center"/>
          </w:tcPr>
          <w:p w14:paraId="38DDD062">
            <w:pPr>
              <w:widowControl/>
              <w:spacing w:line="360" w:lineRule="auto"/>
              <w:jc w:val="center"/>
              <w:textAlignment w:val="center"/>
              <w:rPr>
                <w:rFonts w:hint="eastAsia" w:ascii="仿宋" w:hAnsi="仿宋" w:eastAsia="仿宋" w:cs="仿宋"/>
                <w:color w:val="auto"/>
                <w:szCs w:val="21"/>
              </w:rPr>
            </w:pPr>
          </w:p>
        </w:tc>
        <w:tc>
          <w:tcPr>
            <w:tcW w:w="468" w:type="pct"/>
            <w:vAlign w:val="center"/>
          </w:tcPr>
          <w:p w14:paraId="44A6F8AF">
            <w:pPr>
              <w:widowControl/>
              <w:spacing w:line="360" w:lineRule="auto"/>
              <w:jc w:val="center"/>
              <w:textAlignment w:val="center"/>
              <w:rPr>
                <w:rFonts w:hint="eastAsia" w:ascii="仿宋" w:hAnsi="仿宋" w:eastAsia="仿宋" w:cs="仿宋"/>
                <w:color w:val="auto"/>
                <w:kern w:val="0"/>
                <w:szCs w:val="21"/>
              </w:rPr>
            </w:pPr>
          </w:p>
        </w:tc>
        <w:tc>
          <w:tcPr>
            <w:tcW w:w="1090" w:type="pct"/>
            <w:vAlign w:val="center"/>
          </w:tcPr>
          <w:p w14:paraId="3025737D">
            <w:pPr>
              <w:widowControl/>
              <w:spacing w:line="360" w:lineRule="auto"/>
              <w:jc w:val="left"/>
              <w:textAlignment w:val="center"/>
              <w:rPr>
                <w:rFonts w:hint="eastAsia" w:ascii="仿宋" w:hAnsi="仿宋" w:eastAsia="仿宋" w:cs="仿宋"/>
                <w:color w:val="auto"/>
                <w:kern w:val="0"/>
                <w:szCs w:val="21"/>
              </w:rPr>
            </w:pPr>
          </w:p>
        </w:tc>
        <w:tc>
          <w:tcPr>
            <w:tcW w:w="1096" w:type="pct"/>
            <w:vAlign w:val="center"/>
          </w:tcPr>
          <w:p w14:paraId="01B54907">
            <w:pPr>
              <w:wordWrap w:val="0"/>
              <w:spacing w:line="360" w:lineRule="auto"/>
              <w:jc w:val="center"/>
              <w:rPr>
                <w:rFonts w:hint="eastAsia" w:ascii="仿宋" w:hAnsi="仿宋" w:eastAsia="仿宋" w:cs="仿宋"/>
                <w:color w:val="auto"/>
                <w:szCs w:val="21"/>
              </w:rPr>
            </w:pPr>
          </w:p>
        </w:tc>
        <w:tc>
          <w:tcPr>
            <w:tcW w:w="1096" w:type="pct"/>
            <w:vAlign w:val="center"/>
          </w:tcPr>
          <w:p w14:paraId="7154BEA2">
            <w:pPr>
              <w:wordWrap w:val="0"/>
              <w:spacing w:line="360" w:lineRule="auto"/>
              <w:jc w:val="center"/>
              <w:rPr>
                <w:rFonts w:hint="eastAsia" w:ascii="仿宋" w:hAnsi="仿宋" w:eastAsia="仿宋" w:cs="仿宋"/>
                <w:color w:val="auto"/>
                <w:szCs w:val="21"/>
              </w:rPr>
            </w:pPr>
          </w:p>
        </w:tc>
        <w:tc>
          <w:tcPr>
            <w:tcW w:w="370" w:type="pct"/>
            <w:vAlign w:val="center"/>
          </w:tcPr>
          <w:p w14:paraId="79213F62">
            <w:pPr>
              <w:wordWrap w:val="0"/>
              <w:spacing w:line="360" w:lineRule="auto"/>
              <w:jc w:val="center"/>
              <w:rPr>
                <w:rFonts w:hint="eastAsia" w:ascii="仿宋" w:hAnsi="仿宋" w:eastAsia="仿宋" w:cs="仿宋"/>
                <w:color w:val="auto"/>
                <w:szCs w:val="21"/>
              </w:rPr>
            </w:pPr>
          </w:p>
        </w:tc>
        <w:tc>
          <w:tcPr>
            <w:tcW w:w="676" w:type="pct"/>
            <w:vAlign w:val="center"/>
          </w:tcPr>
          <w:p w14:paraId="6F58CEEE">
            <w:pPr>
              <w:wordWrap w:val="0"/>
              <w:spacing w:line="360" w:lineRule="auto"/>
              <w:jc w:val="center"/>
              <w:rPr>
                <w:rFonts w:hint="eastAsia" w:ascii="仿宋" w:hAnsi="仿宋" w:eastAsia="仿宋" w:cs="仿宋"/>
                <w:color w:val="auto"/>
                <w:szCs w:val="21"/>
              </w:rPr>
            </w:pPr>
          </w:p>
        </w:tc>
      </w:tr>
      <w:tr w14:paraId="0E0D8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00" w:type="pct"/>
            <w:vAlign w:val="center"/>
          </w:tcPr>
          <w:p w14:paraId="0CDBFAED">
            <w:pPr>
              <w:widowControl/>
              <w:spacing w:line="360" w:lineRule="auto"/>
              <w:jc w:val="center"/>
              <w:textAlignment w:val="center"/>
              <w:rPr>
                <w:rFonts w:hint="eastAsia" w:ascii="仿宋" w:hAnsi="仿宋" w:eastAsia="仿宋" w:cs="仿宋"/>
                <w:color w:val="auto"/>
                <w:szCs w:val="21"/>
              </w:rPr>
            </w:pPr>
          </w:p>
        </w:tc>
        <w:tc>
          <w:tcPr>
            <w:tcW w:w="468" w:type="pct"/>
            <w:vAlign w:val="center"/>
          </w:tcPr>
          <w:p w14:paraId="7BF3A8BD">
            <w:pPr>
              <w:widowControl/>
              <w:spacing w:line="360" w:lineRule="auto"/>
              <w:jc w:val="center"/>
              <w:textAlignment w:val="center"/>
              <w:rPr>
                <w:rFonts w:hint="eastAsia" w:ascii="仿宋" w:hAnsi="仿宋" w:eastAsia="仿宋" w:cs="仿宋"/>
                <w:color w:val="auto"/>
                <w:kern w:val="0"/>
                <w:szCs w:val="21"/>
              </w:rPr>
            </w:pPr>
          </w:p>
        </w:tc>
        <w:tc>
          <w:tcPr>
            <w:tcW w:w="1090" w:type="pct"/>
            <w:vAlign w:val="center"/>
          </w:tcPr>
          <w:p w14:paraId="7883D1D4">
            <w:pPr>
              <w:spacing w:line="360" w:lineRule="auto"/>
              <w:jc w:val="left"/>
              <w:rPr>
                <w:rFonts w:hint="eastAsia" w:ascii="仿宋" w:hAnsi="仿宋" w:eastAsia="仿宋" w:cs="仿宋"/>
                <w:color w:val="auto"/>
                <w:kern w:val="0"/>
                <w:szCs w:val="21"/>
              </w:rPr>
            </w:pPr>
          </w:p>
        </w:tc>
        <w:tc>
          <w:tcPr>
            <w:tcW w:w="1096" w:type="pct"/>
            <w:vAlign w:val="center"/>
          </w:tcPr>
          <w:p w14:paraId="1F732896">
            <w:pPr>
              <w:wordWrap w:val="0"/>
              <w:spacing w:line="360" w:lineRule="auto"/>
              <w:jc w:val="center"/>
              <w:rPr>
                <w:rFonts w:hint="eastAsia" w:ascii="仿宋" w:hAnsi="仿宋" w:eastAsia="仿宋" w:cs="仿宋"/>
                <w:color w:val="auto"/>
                <w:szCs w:val="21"/>
              </w:rPr>
            </w:pPr>
          </w:p>
        </w:tc>
        <w:tc>
          <w:tcPr>
            <w:tcW w:w="1096" w:type="pct"/>
            <w:vAlign w:val="center"/>
          </w:tcPr>
          <w:p w14:paraId="58CDF3FC">
            <w:pPr>
              <w:wordWrap w:val="0"/>
              <w:spacing w:line="360" w:lineRule="auto"/>
              <w:jc w:val="center"/>
              <w:rPr>
                <w:rFonts w:hint="eastAsia" w:ascii="仿宋" w:hAnsi="仿宋" w:eastAsia="仿宋" w:cs="仿宋"/>
                <w:color w:val="auto"/>
                <w:szCs w:val="21"/>
              </w:rPr>
            </w:pPr>
          </w:p>
        </w:tc>
        <w:tc>
          <w:tcPr>
            <w:tcW w:w="370" w:type="pct"/>
            <w:vAlign w:val="center"/>
          </w:tcPr>
          <w:p w14:paraId="1C50400E">
            <w:pPr>
              <w:wordWrap w:val="0"/>
              <w:spacing w:line="360" w:lineRule="auto"/>
              <w:jc w:val="center"/>
              <w:rPr>
                <w:rFonts w:hint="eastAsia" w:ascii="仿宋" w:hAnsi="仿宋" w:eastAsia="仿宋" w:cs="仿宋"/>
                <w:color w:val="auto"/>
                <w:szCs w:val="21"/>
              </w:rPr>
            </w:pPr>
          </w:p>
        </w:tc>
        <w:tc>
          <w:tcPr>
            <w:tcW w:w="676" w:type="pct"/>
            <w:vAlign w:val="center"/>
          </w:tcPr>
          <w:p w14:paraId="28664227">
            <w:pPr>
              <w:wordWrap w:val="0"/>
              <w:spacing w:line="360" w:lineRule="auto"/>
              <w:jc w:val="center"/>
              <w:rPr>
                <w:rFonts w:hint="eastAsia" w:ascii="仿宋" w:hAnsi="仿宋" w:eastAsia="仿宋" w:cs="仿宋"/>
                <w:color w:val="auto"/>
                <w:szCs w:val="21"/>
              </w:rPr>
            </w:pPr>
          </w:p>
        </w:tc>
      </w:tr>
      <w:tr w14:paraId="419D0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00" w:type="pct"/>
            <w:vAlign w:val="center"/>
          </w:tcPr>
          <w:p w14:paraId="07340ACB">
            <w:pPr>
              <w:widowControl/>
              <w:spacing w:line="360" w:lineRule="auto"/>
              <w:jc w:val="center"/>
              <w:textAlignment w:val="center"/>
              <w:rPr>
                <w:rFonts w:hint="eastAsia" w:ascii="仿宋" w:hAnsi="仿宋" w:eastAsia="仿宋" w:cs="仿宋"/>
                <w:color w:val="auto"/>
                <w:szCs w:val="21"/>
              </w:rPr>
            </w:pPr>
          </w:p>
        </w:tc>
        <w:tc>
          <w:tcPr>
            <w:tcW w:w="468" w:type="pct"/>
            <w:vAlign w:val="center"/>
          </w:tcPr>
          <w:p w14:paraId="7FEB5083">
            <w:pPr>
              <w:widowControl/>
              <w:spacing w:line="360" w:lineRule="auto"/>
              <w:jc w:val="center"/>
              <w:textAlignment w:val="center"/>
              <w:rPr>
                <w:rFonts w:hint="eastAsia" w:ascii="仿宋" w:hAnsi="仿宋" w:eastAsia="仿宋" w:cs="仿宋"/>
                <w:color w:val="auto"/>
                <w:kern w:val="0"/>
                <w:szCs w:val="21"/>
              </w:rPr>
            </w:pPr>
          </w:p>
        </w:tc>
        <w:tc>
          <w:tcPr>
            <w:tcW w:w="1090" w:type="pct"/>
            <w:vAlign w:val="center"/>
          </w:tcPr>
          <w:p w14:paraId="19F50FF4">
            <w:pPr>
              <w:spacing w:line="360" w:lineRule="auto"/>
              <w:jc w:val="left"/>
              <w:rPr>
                <w:rFonts w:hint="eastAsia" w:ascii="仿宋" w:hAnsi="仿宋" w:eastAsia="仿宋" w:cs="仿宋"/>
                <w:color w:val="auto"/>
                <w:kern w:val="0"/>
                <w:szCs w:val="21"/>
              </w:rPr>
            </w:pPr>
          </w:p>
        </w:tc>
        <w:tc>
          <w:tcPr>
            <w:tcW w:w="1096" w:type="pct"/>
            <w:vAlign w:val="center"/>
          </w:tcPr>
          <w:p w14:paraId="4D84653A">
            <w:pPr>
              <w:wordWrap w:val="0"/>
              <w:spacing w:line="360" w:lineRule="auto"/>
              <w:jc w:val="center"/>
              <w:rPr>
                <w:rFonts w:hint="eastAsia" w:ascii="仿宋" w:hAnsi="仿宋" w:eastAsia="仿宋" w:cs="仿宋"/>
                <w:color w:val="auto"/>
                <w:szCs w:val="21"/>
              </w:rPr>
            </w:pPr>
          </w:p>
        </w:tc>
        <w:tc>
          <w:tcPr>
            <w:tcW w:w="1096" w:type="pct"/>
            <w:vAlign w:val="center"/>
          </w:tcPr>
          <w:p w14:paraId="624FFC32">
            <w:pPr>
              <w:wordWrap w:val="0"/>
              <w:spacing w:line="360" w:lineRule="auto"/>
              <w:jc w:val="center"/>
              <w:rPr>
                <w:rFonts w:hint="eastAsia" w:ascii="仿宋" w:hAnsi="仿宋" w:eastAsia="仿宋" w:cs="仿宋"/>
                <w:color w:val="auto"/>
                <w:szCs w:val="21"/>
              </w:rPr>
            </w:pPr>
          </w:p>
        </w:tc>
        <w:tc>
          <w:tcPr>
            <w:tcW w:w="370" w:type="pct"/>
            <w:vAlign w:val="center"/>
          </w:tcPr>
          <w:p w14:paraId="576314A0">
            <w:pPr>
              <w:wordWrap w:val="0"/>
              <w:spacing w:line="360" w:lineRule="auto"/>
              <w:jc w:val="center"/>
              <w:rPr>
                <w:rFonts w:hint="eastAsia" w:ascii="仿宋" w:hAnsi="仿宋" w:eastAsia="仿宋" w:cs="仿宋"/>
                <w:color w:val="auto"/>
                <w:szCs w:val="21"/>
              </w:rPr>
            </w:pPr>
          </w:p>
        </w:tc>
        <w:tc>
          <w:tcPr>
            <w:tcW w:w="676" w:type="pct"/>
            <w:vAlign w:val="center"/>
          </w:tcPr>
          <w:p w14:paraId="38B71425">
            <w:pPr>
              <w:wordWrap w:val="0"/>
              <w:spacing w:line="360" w:lineRule="auto"/>
              <w:jc w:val="center"/>
              <w:rPr>
                <w:rFonts w:hint="eastAsia" w:ascii="仿宋" w:hAnsi="仿宋" w:eastAsia="仿宋" w:cs="仿宋"/>
                <w:color w:val="auto"/>
                <w:szCs w:val="21"/>
              </w:rPr>
            </w:pPr>
          </w:p>
        </w:tc>
      </w:tr>
      <w:tr w14:paraId="2B4A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00" w:type="pct"/>
            <w:vAlign w:val="center"/>
          </w:tcPr>
          <w:p w14:paraId="0BAABD97">
            <w:pPr>
              <w:widowControl/>
              <w:spacing w:line="360" w:lineRule="auto"/>
              <w:jc w:val="center"/>
              <w:textAlignment w:val="center"/>
              <w:rPr>
                <w:rFonts w:hint="eastAsia" w:ascii="仿宋" w:hAnsi="仿宋" w:eastAsia="仿宋" w:cs="仿宋"/>
                <w:color w:val="auto"/>
                <w:szCs w:val="21"/>
              </w:rPr>
            </w:pPr>
          </w:p>
        </w:tc>
        <w:tc>
          <w:tcPr>
            <w:tcW w:w="468" w:type="pct"/>
            <w:vAlign w:val="center"/>
          </w:tcPr>
          <w:p w14:paraId="4712D730">
            <w:pPr>
              <w:widowControl/>
              <w:spacing w:line="360" w:lineRule="auto"/>
              <w:jc w:val="center"/>
              <w:textAlignment w:val="center"/>
              <w:rPr>
                <w:rFonts w:hint="eastAsia" w:ascii="仿宋" w:hAnsi="仿宋" w:eastAsia="仿宋" w:cs="仿宋"/>
                <w:color w:val="auto"/>
                <w:kern w:val="0"/>
                <w:szCs w:val="21"/>
              </w:rPr>
            </w:pPr>
          </w:p>
        </w:tc>
        <w:tc>
          <w:tcPr>
            <w:tcW w:w="1090" w:type="pct"/>
            <w:vAlign w:val="center"/>
          </w:tcPr>
          <w:p w14:paraId="6C6C104D">
            <w:pPr>
              <w:widowControl/>
              <w:spacing w:line="360" w:lineRule="auto"/>
              <w:jc w:val="left"/>
              <w:textAlignment w:val="center"/>
              <w:rPr>
                <w:rFonts w:hint="eastAsia" w:ascii="仿宋" w:hAnsi="仿宋" w:eastAsia="仿宋" w:cs="仿宋"/>
                <w:color w:val="auto"/>
                <w:kern w:val="0"/>
                <w:szCs w:val="21"/>
              </w:rPr>
            </w:pPr>
          </w:p>
        </w:tc>
        <w:tc>
          <w:tcPr>
            <w:tcW w:w="1096" w:type="pct"/>
            <w:vAlign w:val="center"/>
          </w:tcPr>
          <w:p w14:paraId="35050804">
            <w:pPr>
              <w:wordWrap w:val="0"/>
              <w:spacing w:line="360" w:lineRule="auto"/>
              <w:jc w:val="center"/>
              <w:rPr>
                <w:rFonts w:hint="eastAsia" w:ascii="仿宋" w:hAnsi="仿宋" w:eastAsia="仿宋" w:cs="仿宋"/>
                <w:color w:val="auto"/>
                <w:szCs w:val="21"/>
              </w:rPr>
            </w:pPr>
          </w:p>
        </w:tc>
        <w:tc>
          <w:tcPr>
            <w:tcW w:w="1096" w:type="pct"/>
            <w:vAlign w:val="center"/>
          </w:tcPr>
          <w:p w14:paraId="498D5D40">
            <w:pPr>
              <w:wordWrap w:val="0"/>
              <w:spacing w:line="360" w:lineRule="auto"/>
              <w:jc w:val="center"/>
              <w:rPr>
                <w:rFonts w:hint="eastAsia" w:ascii="仿宋" w:hAnsi="仿宋" w:eastAsia="仿宋" w:cs="仿宋"/>
                <w:color w:val="auto"/>
                <w:szCs w:val="21"/>
              </w:rPr>
            </w:pPr>
          </w:p>
        </w:tc>
        <w:tc>
          <w:tcPr>
            <w:tcW w:w="370" w:type="pct"/>
            <w:vAlign w:val="center"/>
          </w:tcPr>
          <w:p w14:paraId="559E05B5">
            <w:pPr>
              <w:wordWrap w:val="0"/>
              <w:spacing w:line="360" w:lineRule="auto"/>
              <w:jc w:val="center"/>
              <w:rPr>
                <w:rFonts w:hint="eastAsia" w:ascii="仿宋" w:hAnsi="仿宋" w:eastAsia="仿宋" w:cs="仿宋"/>
                <w:color w:val="auto"/>
                <w:szCs w:val="21"/>
              </w:rPr>
            </w:pPr>
          </w:p>
        </w:tc>
        <w:tc>
          <w:tcPr>
            <w:tcW w:w="676" w:type="pct"/>
            <w:vAlign w:val="center"/>
          </w:tcPr>
          <w:p w14:paraId="4FED3AF4">
            <w:pPr>
              <w:wordWrap w:val="0"/>
              <w:spacing w:line="360" w:lineRule="auto"/>
              <w:jc w:val="center"/>
              <w:rPr>
                <w:rFonts w:hint="eastAsia" w:ascii="仿宋" w:hAnsi="仿宋" w:eastAsia="仿宋" w:cs="仿宋"/>
                <w:color w:val="auto"/>
                <w:szCs w:val="21"/>
              </w:rPr>
            </w:pPr>
          </w:p>
        </w:tc>
      </w:tr>
      <w:tr w14:paraId="460BE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00" w:type="pct"/>
            <w:vAlign w:val="center"/>
          </w:tcPr>
          <w:p w14:paraId="1BC54717">
            <w:pPr>
              <w:widowControl/>
              <w:spacing w:line="360" w:lineRule="auto"/>
              <w:jc w:val="center"/>
              <w:textAlignment w:val="center"/>
              <w:rPr>
                <w:rFonts w:hint="eastAsia" w:ascii="仿宋" w:hAnsi="仿宋" w:eastAsia="仿宋" w:cs="仿宋"/>
                <w:color w:val="auto"/>
                <w:szCs w:val="21"/>
              </w:rPr>
            </w:pPr>
          </w:p>
        </w:tc>
        <w:tc>
          <w:tcPr>
            <w:tcW w:w="468" w:type="pct"/>
            <w:vAlign w:val="center"/>
          </w:tcPr>
          <w:p w14:paraId="010AABEC">
            <w:pPr>
              <w:widowControl/>
              <w:spacing w:line="360" w:lineRule="auto"/>
              <w:jc w:val="center"/>
              <w:textAlignment w:val="center"/>
              <w:rPr>
                <w:rFonts w:hint="eastAsia" w:ascii="仿宋" w:hAnsi="仿宋" w:eastAsia="仿宋" w:cs="仿宋"/>
                <w:color w:val="auto"/>
                <w:kern w:val="0"/>
                <w:szCs w:val="21"/>
              </w:rPr>
            </w:pPr>
          </w:p>
        </w:tc>
        <w:tc>
          <w:tcPr>
            <w:tcW w:w="1090" w:type="pct"/>
            <w:vAlign w:val="center"/>
          </w:tcPr>
          <w:p w14:paraId="1C8737E7">
            <w:pPr>
              <w:widowControl/>
              <w:spacing w:line="360" w:lineRule="auto"/>
              <w:jc w:val="left"/>
              <w:textAlignment w:val="center"/>
              <w:rPr>
                <w:rFonts w:hint="eastAsia" w:ascii="仿宋" w:hAnsi="仿宋" w:eastAsia="仿宋" w:cs="仿宋"/>
                <w:color w:val="auto"/>
                <w:kern w:val="0"/>
                <w:szCs w:val="21"/>
              </w:rPr>
            </w:pPr>
          </w:p>
        </w:tc>
        <w:tc>
          <w:tcPr>
            <w:tcW w:w="1096" w:type="pct"/>
            <w:vAlign w:val="center"/>
          </w:tcPr>
          <w:p w14:paraId="6B06048C">
            <w:pPr>
              <w:wordWrap w:val="0"/>
              <w:spacing w:line="360" w:lineRule="auto"/>
              <w:jc w:val="center"/>
              <w:rPr>
                <w:rFonts w:hint="eastAsia" w:ascii="仿宋" w:hAnsi="仿宋" w:eastAsia="仿宋" w:cs="仿宋"/>
                <w:color w:val="auto"/>
                <w:szCs w:val="21"/>
              </w:rPr>
            </w:pPr>
          </w:p>
        </w:tc>
        <w:tc>
          <w:tcPr>
            <w:tcW w:w="1096" w:type="pct"/>
            <w:vAlign w:val="center"/>
          </w:tcPr>
          <w:p w14:paraId="26F7A6ED">
            <w:pPr>
              <w:wordWrap w:val="0"/>
              <w:spacing w:line="360" w:lineRule="auto"/>
              <w:jc w:val="center"/>
              <w:rPr>
                <w:rFonts w:hint="eastAsia" w:ascii="仿宋" w:hAnsi="仿宋" w:eastAsia="仿宋" w:cs="仿宋"/>
                <w:color w:val="auto"/>
                <w:szCs w:val="21"/>
              </w:rPr>
            </w:pPr>
          </w:p>
        </w:tc>
        <w:tc>
          <w:tcPr>
            <w:tcW w:w="370" w:type="pct"/>
            <w:vAlign w:val="center"/>
          </w:tcPr>
          <w:p w14:paraId="0753E1BA">
            <w:pPr>
              <w:wordWrap w:val="0"/>
              <w:spacing w:line="360" w:lineRule="auto"/>
              <w:jc w:val="center"/>
              <w:rPr>
                <w:rFonts w:hint="eastAsia" w:ascii="仿宋" w:hAnsi="仿宋" w:eastAsia="仿宋" w:cs="仿宋"/>
                <w:color w:val="auto"/>
                <w:szCs w:val="21"/>
              </w:rPr>
            </w:pPr>
          </w:p>
        </w:tc>
        <w:tc>
          <w:tcPr>
            <w:tcW w:w="676" w:type="pct"/>
            <w:vAlign w:val="center"/>
          </w:tcPr>
          <w:p w14:paraId="46CC7788">
            <w:pPr>
              <w:wordWrap w:val="0"/>
              <w:spacing w:line="360" w:lineRule="auto"/>
              <w:jc w:val="center"/>
              <w:rPr>
                <w:rFonts w:hint="eastAsia" w:ascii="仿宋" w:hAnsi="仿宋" w:eastAsia="仿宋" w:cs="仿宋"/>
                <w:color w:val="auto"/>
                <w:szCs w:val="21"/>
              </w:rPr>
            </w:pPr>
          </w:p>
        </w:tc>
      </w:tr>
    </w:tbl>
    <w:p w14:paraId="144C3560">
      <w:pPr>
        <w:wordWrap w:val="0"/>
        <w:spacing w:line="360" w:lineRule="auto"/>
        <w:ind w:firstLine="2" w:firstLineChars="1"/>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6A195055">
      <w:pPr>
        <w:wordWrap w:val="0"/>
        <w:spacing w:line="360" w:lineRule="auto"/>
        <w:ind w:firstLine="2" w:firstLineChars="1"/>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（电子签章）</w:t>
      </w:r>
    </w:p>
    <w:p w14:paraId="5AF04B2F">
      <w:pPr>
        <w:wordWrap w:val="0"/>
        <w:spacing w:line="360" w:lineRule="auto"/>
        <w:ind w:firstLine="2" w:firstLineChars="1"/>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5944A4D8">
      <w:pPr>
        <w:pStyle w:val="14"/>
        <w:wordWrap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表格填写说明：</w:t>
      </w:r>
    </w:p>
    <w:p w14:paraId="798A975A">
      <w:pPr>
        <w:spacing w:line="360" w:lineRule="auto"/>
        <w:ind w:left="5" w:hanging="5"/>
        <w:rPr>
          <w:rFonts w:hint="eastAsia" w:ascii="仿宋" w:hAnsi="仿宋" w:eastAsia="仿宋" w:cs="仿宋"/>
          <w:color w:val="auto"/>
          <w:spacing w:val="-6"/>
          <w:sz w:val="20"/>
          <w:szCs w:val="20"/>
        </w:rPr>
      </w:pPr>
      <w:r>
        <w:rPr>
          <w:rFonts w:hint="eastAsia" w:ascii="仿宋" w:hAnsi="仿宋" w:eastAsia="仿宋" w:cs="仿宋"/>
          <w:color w:val="auto"/>
          <w:spacing w:val="-6"/>
          <w:sz w:val="20"/>
          <w:szCs w:val="20"/>
        </w:rPr>
        <w:t>1.技术规格偏离表“偏离情况”列，应据实填写“无偏离”、“正偏离”或“负偏离”，未填写的视为负偏离。</w:t>
      </w:r>
    </w:p>
    <w:p w14:paraId="493E791D">
      <w:pPr>
        <w:rPr>
          <w:rFonts w:hint="eastAsia" w:ascii="仿宋" w:hAnsi="仿宋" w:eastAsia="仿宋" w:cs="仿宋"/>
          <w:color w:val="auto"/>
          <w:spacing w:val="-6"/>
          <w:sz w:val="20"/>
          <w:szCs w:val="20"/>
        </w:rPr>
      </w:pPr>
      <w:r>
        <w:rPr>
          <w:rFonts w:hint="eastAsia" w:ascii="仿宋" w:hAnsi="仿宋" w:eastAsia="仿宋" w:cs="仿宋"/>
          <w:color w:val="auto"/>
          <w:spacing w:val="-6"/>
          <w:sz w:val="20"/>
          <w:szCs w:val="20"/>
          <w:lang w:val="en-US" w:eastAsia="zh-CN"/>
        </w:rPr>
        <w:t>2.投标人可自行扩展本表格，但不可缺项、漏项，缺项、漏项视为不响应招标文件要求，符合性评审不予通过。</w:t>
      </w:r>
      <w:r>
        <w:rPr>
          <w:rFonts w:hint="eastAsia" w:ascii="仿宋" w:hAnsi="仿宋" w:eastAsia="仿宋" w:cs="仿宋"/>
          <w:color w:val="auto"/>
          <w:spacing w:val="-6"/>
          <w:sz w:val="20"/>
          <w:szCs w:val="20"/>
        </w:rPr>
        <w:br w:type="page"/>
      </w:r>
    </w:p>
    <w:p w14:paraId="7BB3EE2E">
      <w:pPr>
        <w:pStyle w:val="18"/>
        <w:spacing w:after="0"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2.</w:t>
      </w:r>
      <w:r>
        <w:rPr>
          <w:rFonts w:hint="eastAsia" w:ascii="仿宋" w:hAnsi="仿宋" w:eastAsia="仿宋" w:cs="仿宋"/>
          <w:b/>
          <w:bCs/>
          <w:color w:val="auto"/>
          <w:sz w:val="28"/>
          <w:szCs w:val="28"/>
          <w:lang w:eastAsia="zh-CN"/>
        </w:rPr>
        <w:t>供应配送方案</w:t>
      </w:r>
    </w:p>
    <w:p w14:paraId="4553BD7A">
      <w:pPr>
        <w:pStyle w:val="18"/>
        <w:spacing w:after="0" w:line="360" w:lineRule="auto"/>
        <w:jc w:val="center"/>
        <w:rPr>
          <w:rFonts w:hint="eastAsia" w:ascii="仿宋" w:hAnsi="仿宋" w:eastAsia="仿宋" w:cs="仿宋"/>
          <w:color w:val="auto"/>
          <w:sz w:val="22"/>
        </w:rPr>
      </w:pPr>
      <w:r>
        <w:rPr>
          <w:rFonts w:hint="eastAsia" w:ascii="仿宋" w:hAnsi="仿宋" w:eastAsia="仿宋" w:cs="仿宋"/>
          <w:color w:val="auto"/>
          <w:sz w:val="22"/>
        </w:rPr>
        <w:t>（投标人根据第六章采购需求及第四章评审内容自行编制）</w:t>
      </w:r>
    </w:p>
    <w:p w14:paraId="2E4BE462">
      <w:pPr>
        <w:spacing w:line="360" w:lineRule="auto"/>
        <w:jc w:val="cente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3.配送服务能力</w:t>
      </w:r>
    </w:p>
    <w:p w14:paraId="2A8E23C4">
      <w:pPr>
        <w:pStyle w:val="18"/>
        <w:spacing w:after="0" w:line="360" w:lineRule="auto"/>
        <w:jc w:val="center"/>
        <w:rPr>
          <w:rFonts w:hint="eastAsia" w:ascii="仿宋" w:hAnsi="仿宋" w:eastAsia="仿宋" w:cs="仿宋"/>
          <w:color w:val="auto"/>
          <w:sz w:val="22"/>
        </w:rPr>
      </w:pPr>
      <w:r>
        <w:rPr>
          <w:rFonts w:hint="eastAsia" w:ascii="仿宋" w:hAnsi="仿宋" w:eastAsia="仿宋" w:cs="仿宋"/>
          <w:color w:val="auto"/>
          <w:sz w:val="22"/>
        </w:rPr>
        <w:t>（投标人根据第六章采购需求及第四章评审内容自行编制）</w:t>
      </w:r>
    </w:p>
    <w:p w14:paraId="62A6F61B">
      <w:pPr>
        <w:pStyle w:val="23"/>
        <w:rPr>
          <w:rFonts w:hint="eastAsia" w:ascii="仿宋" w:hAnsi="仿宋" w:eastAsia="仿宋" w:cs="仿宋"/>
          <w:lang w:val="en-US" w:eastAsia="zh-CN"/>
        </w:rPr>
      </w:pPr>
    </w:p>
    <w:p w14:paraId="5E498A03">
      <w:pPr>
        <w:rPr>
          <w:rFonts w:hint="eastAsia" w:ascii="仿宋" w:hAnsi="仿宋" w:eastAsia="仿宋" w:cs="仿宋"/>
          <w:color w:val="auto"/>
          <w:szCs w:val="32"/>
        </w:rPr>
      </w:pPr>
      <w:bookmarkStart w:id="544" w:name="_Toc24903"/>
      <w:bookmarkStart w:id="545" w:name="_Toc21855"/>
      <w:bookmarkStart w:id="546" w:name="_Toc24324"/>
      <w:bookmarkStart w:id="547" w:name="_Toc30004"/>
      <w:bookmarkStart w:id="548" w:name="_Toc31638"/>
      <w:bookmarkStart w:id="549" w:name="_Toc21242"/>
      <w:r>
        <w:rPr>
          <w:rFonts w:hint="eastAsia" w:ascii="仿宋" w:hAnsi="仿宋" w:eastAsia="仿宋" w:cs="仿宋"/>
          <w:color w:val="auto"/>
          <w:szCs w:val="32"/>
        </w:rPr>
        <w:br w:type="page"/>
      </w:r>
    </w:p>
    <w:p w14:paraId="6D451297">
      <w:pPr>
        <w:pStyle w:val="4"/>
        <w:numPr>
          <w:ilvl w:val="1"/>
          <w:numId w:val="0"/>
        </w:numPr>
        <w:tabs>
          <w:tab w:val="left" w:pos="1021"/>
          <w:tab w:val="clear" w:pos="720"/>
        </w:tabs>
        <w:spacing w:before="0" w:after="0" w:line="360" w:lineRule="auto"/>
        <w:jc w:val="center"/>
        <w:rPr>
          <w:rFonts w:hint="eastAsia" w:ascii="仿宋" w:hAnsi="仿宋" w:eastAsia="仿宋" w:cs="仿宋"/>
          <w:color w:val="auto"/>
          <w:szCs w:val="32"/>
        </w:rPr>
      </w:pPr>
      <w:r>
        <w:rPr>
          <w:rFonts w:hint="eastAsia" w:ascii="仿宋" w:hAnsi="仿宋" w:eastAsia="仿宋" w:cs="仿宋"/>
          <w:color w:val="auto"/>
          <w:szCs w:val="32"/>
        </w:rPr>
        <w:t>五、商务部分</w:t>
      </w:r>
      <w:bookmarkEnd w:id="544"/>
      <w:bookmarkEnd w:id="545"/>
      <w:bookmarkEnd w:id="546"/>
      <w:bookmarkEnd w:id="547"/>
      <w:bookmarkEnd w:id="548"/>
      <w:bookmarkEnd w:id="549"/>
    </w:p>
    <w:p w14:paraId="4E9C92D1">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1.产品质量承诺及保障措施</w:t>
      </w:r>
    </w:p>
    <w:p w14:paraId="39B2D1E6">
      <w:pPr>
        <w:spacing w:line="360" w:lineRule="auto"/>
        <w:ind w:left="68" w:firstLine="562"/>
        <w:jc w:val="center"/>
        <w:rPr>
          <w:rFonts w:hint="eastAsia" w:ascii="仿宋" w:hAnsi="仿宋" w:eastAsia="仿宋" w:cs="仿宋"/>
          <w:color w:val="auto"/>
          <w:sz w:val="22"/>
        </w:rPr>
      </w:pPr>
      <w:r>
        <w:rPr>
          <w:rFonts w:hint="eastAsia" w:ascii="仿宋" w:hAnsi="仿宋" w:eastAsia="仿宋" w:cs="仿宋"/>
          <w:color w:val="auto"/>
          <w:sz w:val="22"/>
        </w:rPr>
        <w:t>（投标人根据第六章采购需求及第四章评审内容自行编制）</w:t>
      </w:r>
    </w:p>
    <w:p w14:paraId="177B366E">
      <w:pPr>
        <w:spacing w:line="360" w:lineRule="auto"/>
        <w:jc w:val="center"/>
        <w:rPr>
          <w:rFonts w:hint="eastAsia" w:ascii="仿宋" w:hAnsi="仿宋" w:eastAsia="仿宋" w:cs="仿宋"/>
          <w:b/>
          <w:bCs/>
          <w:color w:val="auto"/>
          <w:sz w:val="28"/>
          <w:szCs w:val="28"/>
        </w:rPr>
      </w:pPr>
    </w:p>
    <w:p w14:paraId="2E2BC5DF">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2.售后</w:t>
      </w:r>
      <w:r>
        <w:rPr>
          <w:rFonts w:hint="eastAsia" w:ascii="仿宋" w:hAnsi="仿宋" w:eastAsia="仿宋" w:cs="仿宋"/>
          <w:b/>
          <w:bCs/>
          <w:color w:val="auto"/>
          <w:sz w:val="28"/>
          <w:szCs w:val="28"/>
          <w:lang w:val="en-US" w:eastAsia="zh-CN"/>
        </w:rPr>
        <w:t>服务方案</w:t>
      </w:r>
    </w:p>
    <w:p w14:paraId="0B233238">
      <w:pPr>
        <w:spacing w:line="360" w:lineRule="auto"/>
        <w:ind w:left="68" w:firstLine="562"/>
        <w:jc w:val="center"/>
        <w:rPr>
          <w:rFonts w:hint="eastAsia" w:ascii="仿宋" w:hAnsi="仿宋" w:eastAsia="仿宋" w:cs="仿宋"/>
          <w:b/>
          <w:bCs/>
          <w:color w:val="auto"/>
          <w:sz w:val="20"/>
          <w:szCs w:val="20"/>
        </w:rPr>
      </w:pPr>
      <w:r>
        <w:rPr>
          <w:rFonts w:hint="eastAsia" w:ascii="仿宋" w:hAnsi="仿宋" w:eastAsia="仿宋" w:cs="仿宋"/>
          <w:color w:val="auto"/>
          <w:sz w:val="22"/>
        </w:rPr>
        <w:t>（投标人根据第六章采购需求及第四章评审内容自行编制）</w:t>
      </w:r>
    </w:p>
    <w:p w14:paraId="2A68CBC0">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14:paraId="7FF34670">
      <w:pPr>
        <w:rPr>
          <w:rFonts w:hint="eastAsia" w:ascii="仿宋" w:hAnsi="仿宋" w:eastAsia="仿宋" w:cs="仿宋"/>
          <w:b/>
          <w:bCs/>
          <w:color w:val="auto"/>
          <w:sz w:val="28"/>
          <w:szCs w:val="28"/>
        </w:rPr>
      </w:pPr>
      <w:bookmarkStart w:id="550" w:name="_Toc7396"/>
      <w:bookmarkStart w:id="551" w:name="_Toc22455"/>
      <w:bookmarkStart w:id="552" w:name="_Toc17081"/>
      <w:bookmarkStart w:id="553" w:name="_Toc17709"/>
      <w:bookmarkStart w:id="554" w:name="_Toc17345"/>
      <w:bookmarkStart w:id="555" w:name="_Toc21132"/>
      <w:bookmarkStart w:id="556" w:name="_Toc7262"/>
      <w:bookmarkStart w:id="557" w:name="_Toc19549"/>
      <w:r>
        <w:rPr>
          <w:rFonts w:hint="eastAsia" w:ascii="仿宋" w:hAnsi="仿宋" w:eastAsia="仿宋" w:cs="仿宋"/>
          <w:b/>
          <w:bCs/>
          <w:color w:val="auto"/>
          <w:sz w:val="28"/>
          <w:szCs w:val="28"/>
        </w:rPr>
        <w:br w:type="page"/>
      </w:r>
    </w:p>
    <w:p w14:paraId="6346C6D1">
      <w:pPr>
        <w:spacing w:line="360" w:lineRule="auto"/>
        <w:jc w:val="center"/>
        <w:outlineLvl w:val="2"/>
        <w:rPr>
          <w:rFonts w:hint="eastAsia" w:ascii="仿宋" w:hAnsi="仿宋" w:eastAsia="仿宋" w:cs="仿宋"/>
          <w:color w:val="auto"/>
        </w:rPr>
      </w:pPr>
      <w:r>
        <w:rPr>
          <w:rFonts w:hint="eastAsia" w:ascii="仿宋" w:hAnsi="仿宋" w:eastAsia="仿宋" w:cs="仿宋"/>
          <w:b/>
          <w:bCs/>
          <w:color w:val="auto"/>
          <w:sz w:val="28"/>
          <w:szCs w:val="28"/>
        </w:rPr>
        <w:t>六、构成投标文件的其它资料</w:t>
      </w:r>
      <w:bookmarkEnd w:id="550"/>
      <w:bookmarkEnd w:id="551"/>
      <w:bookmarkEnd w:id="552"/>
      <w:bookmarkEnd w:id="553"/>
      <w:bookmarkEnd w:id="554"/>
      <w:bookmarkEnd w:id="555"/>
      <w:bookmarkEnd w:id="556"/>
      <w:bookmarkEnd w:id="557"/>
    </w:p>
    <w:p w14:paraId="6C560709">
      <w:pPr>
        <w:spacing w:line="360" w:lineRule="auto"/>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1.提供开户银行许可证复印件或银行出具的基本存款账户信息复印件。</w:t>
      </w:r>
    </w:p>
    <w:p w14:paraId="406581DC">
      <w:pPr>
        <w:spacing w:line="360" w:lineRule="auto"/>
        <w:jc w:val="center"/>
        <w:rPr>
          <w:rFonts w:hint="eastAsia" w:ascii="仿宋" w:hAnsi="仿宋" w:eastAsia="仿宋" w:cs="仿宋"/>
          <w:b/>
          <w:color w:val="auto"/>
          <w:sz w:val="28"/>
          <w:szCs w:val="28"/>
        </w:rPr>
      </w:pPr>
    </w:p>
    <w:p w14:paraId="138AA145">
      <w:pPr>
        <w:spacing w:line="360" w:lineRule="auto"/>
        <w:rPr>
          <w:rFonts w:hint="eastAsia" w:ascii="仿宋" w:hAnsi="仿宋" w:eastAsia="仿宋" w:cs="仿宋"/>
          <w:b/>
          <w:color w:val="auto"/>
          <w:sz w:val="28"/>
          <w:szCs w:val="28"/>
        </w:rPr>
      </w:pPr>
    </w:p>
    <w:p w14:paraId="161ED7B2">
      <w:pPr>
        <w:spacing w:line="360" w:lineRule="auto"/>
        <w:jc w:val="center"/>
        <w:rPr>
          <w:rFonts w:hint="eastAsia" w:ascii="仿宋" w:hAnsi="仿宋" w:eastAsia="仿宋" w:cs="仿宋"/>
          <w:b/>
          <w:color w:val="auto"/>
        </w:rPr>
      </w:pPr>
      <w:r>
        <w:rPr>
          <w:rFonts w:hint="eastAsia" w:ascii="仿宋" w:hAnsi="仿宋" w:eastAsia="仿宋" w:cs="仿宋"/>
          <w:b/>
          <w:color w:val="auto"/>
          <w:sz w:val="28"/>
          <w:szCs w:val="28"/>
        </w:rPr>
        <w:t>2.招标文件要求提交的其他资料</w:t>
      </w:r>
    </w:p>
    <w:p w14:paraId="4CA7131F">
      <w:pPr>
        <w:pStyle w:val="8"/>
        <w:spacing w:line="360" w:lineRule="auto"/>
        <w:jc w:val="center"/>
        <w:rPr>
          <w:rFonts w:hint="eastAsia" w:ascii="仿宋" w:hAnsi="仿宋" w:eastAsia="仿宋" w:cs="仿宋"/>
          <w:b w:val="0"/>
          <w:bCs/>
          <w:color w:val="auto"/>
          <w:spacing w:val="0"/>
          <w:sz w:val="24"/>
          <w:szCs w:val="24"/>
        </w:rPr>
      </w:pPr>
      <w:r>
        <w:rPr>
          <w:rFonts w:hint="eastAsia" w:ascii="仿宋" w:hAnsi="仿宋" w:eastAsia="仿宋" w:cs="仿宋"/>
          <w:b w:val="0"/>
          <w:bCs/>
          <w:color w:val="auto"/>
          <w:sz w:val="24"/>
          <w:szCs w:val="11"/>
        </w:rPr>
        <w:t>（格式自拟）</w:t>
      </w:r>
    </w:p>
    <w:p w14:paraId="168DB064">
      <w:pPr>
        <w:pStyle w:val="12"/>
        <w:numPr>
          <w:ilvl w:val="255"/>
          <w:numId w:val="0"/>
        </w:numPr>
        <w:spacing w:line="360" w:lineRule="auto"/>
        <w:rPr>
          <w:rFonts w:hint="eastAsia" w:ascii="仿宋" w:hAnsi="仿宋" w:eastAsia="仿宋" w:cs="仿宋"/>
          <w:color w:val="auto"/>
        </w:rPr>
      </w:pPr>
    </w:p>
    <w:p w14:paraId="009AA7B6">
      <w:pPr>
        <w:spacing w:line="360" w:lineRule="auto"/>
        <w:rPr>
          <w:rFonts w:hint="eastAsia" w:ascii="仿宋" w:hAnsi="仿宋" w:eastAsia="仿宋" w:cs="仿宋"/>
          <w:color w:val="auto"/>
        </w:rPr>
      </w:pPr>
    </w:p>
    <w:p w14:paraId="6D0421B8">
      <w:pPr>
        <w:spacing w:line="360" w:lineRule="auto"/>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3.投标人认为需要提交的其他资料</w:t>
      </w:r>
    </w:p>
    <w:p w14:paraId="1EB8D790">
      <w:pPr>
        <w:pStyle w:val="8"/>
        <w:spacing w:line="360" w:lineRule="auto"/>
        <w:jc w:val="center"/>
        <w:rPr>
          <w:rFonts w:hint="eastAsia" w:ascii="仿宋" w:hAnsi="仿宋" w:eastAsia="仿宋" w:cs="仿宋"/>
          <w:b w:val="0"/>
          <w:bCs/>
          <w:color w:val="auto"/>
          <w:sz w:val="24"/>
          <w:szCs w:val="11"/>
        </w:rPr>
      </w:pPr>
      <w:r>
        <w:rPr>
          <w:rFonts w:hint="eastAsia" w:ascii="仿宋" w:hAnsi="仿宋" w:eastAsia="仿宋" w:cs="仿宋"/>
          <w:b w:val="0"/>
          <w:bCs/>
          <w:color w:val="auto"/>
          <w:sz w:val="24"/>
          <w:szCs w:val="11"/>
        </w:rPr>
        <w:t>（格式自拟）</w:t>
      </w:r>
    </w:p>
    <w:p w14:paraId="132436FA">
      <w:pPr>
        <w:spacing w:line="360" w:lineRule="auto"/>
        <w:jc w:val="center"/>
        <w:rPr>
          <w:rFonts w:hint="eastAsia" w:ascii="仿宋" w:hAnsi="仿宋" w:eastAsia="仿宋" w:cs="仿宋"/>
          <w:b/>
          <w:color w:val="auto"/>
          <w:sz w:val="28"/>
          <w:szCs w:val="28"/>
        </w:rPr>
      </w:pPr>
    </w:p>
    <w:p w14:paraId="22C68716">
      <w:pPr>
        <w:spacing w:line="360" w:lineRule="auto"/>
        <w:jc w:val="center"/>
        <w:rPr>
          <w:rFonts w:hint="eastAsia" w:ascii="仿宋" w:hAnsi="仿宋" w:eastAsia="仿宋" w:cs="仿宋"/>
          <w:b/>
          <w:color w:val="auto"/>
          <w:sz w:val="28"/>
          <w:szCs w:val="28"/>
        </w:rPr>
      </w:pPr>
    </w:p>
    <w:p w14:paraId="1A19BC56">
      <w:pPr>
        <w:spacing w:line="360" w:lineRule="auto"/>
        <w:rPr>
          <w:rFonts w:hint="eastAsia" w:ascii="仿宋" w:hAnsi="仿宋" w:eastAsia="仿宋" w:cs="仿宋"/>
          <w:color w:val="auto"/>
        </w:rPr>
      </w:pPr>
    </w:p>
    <w:p w14:paraId="63EA8C95">
      <w:pPr>
        <w:spacing w:line="360" w:lineRule="auto"/>
        <w:rPr>
          <w:rFonts w:hint="eastAsia" w:ascii="仿宋" w:hAnsi="仿宋" w:eastAsia="仿宋" w:cs="仿宋"/>
          <w:color w:val="auto"/>
        </w:rPr>
      </w:pPr>
    </w:p>
    <w:p w14:paraId="2C3F6352">
      <w:pPr>
        <w:spacing w:line="360" w:lineRule="auto"/>
        <w:rPr>
          <w:rFonts w:hint="eastAsia" w:ascii="仿宋" w:hAnsi="仿宋" w:eastAsia="仿宋" w:cs="仿宋"/>
          <w:color w:val="auto"/>
        </w:rPr>
      </w:pPr>
    </w:p>
    <w:p w14:paraId="7FF555AB">
      <w:pPr>
        <w:spacing w:line="360" w:lineRule="auto"/>
        <w:rPr>
          <w:rFonts w:hint="eastAsia" w:ascii="仿宋" w:hAnsi="仿宋" w:eastAsia="仿宋" w:cs="仿宋"/>
          <w:color w:val="auto"/>
        </w:rPr>
      </w:pPr>
    </w:p>
    <w:p w14:paraId="43401F1D">
      <w:pPr>
        <w:spacing w:line="360" w:lineRule="auto"/>
        <w:rPr>
          <w:rFonts w:hint="eastAsia" w:ascii="仿宋" w:hAnsi="仿宋" w:eastAsia="仿宋" w:cs="仿宋"/>
          <w:color w:val="auto"/>
        </w:rPr>
      </w:pPr>
    </w:p>
    <w:sectPr>
      <w:pgSz w:w="11906" w:h="16838"/>
      <w:pgMar w:top="1440" w:right="1080" w:bottom="1440" w:left="1080" w:header="851" w:footer="992"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81B29">
    <w:pPr>
      <w:pStyle w:val="15"/>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1663240239" name="图片 166324023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40239" name="图片 166324023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8E764">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1C420">
    <w:pPr>
      <w:pStyle w:val="15"/>
      <w:pBdr>
        <w:bottom w:val="double" w:color="auto" w:sz="8" w:space="0"/>
      </w:pBdr>
      <w:tabs>
        <w:tab w:val="right" w:pos="8820"/>
        <w:tab w:val="clear" w:pos="8306"/>
      </w:tabs>
      <w:ind w:right="172"/>
    </w:pPr>
    <w:r>
      <w:rPr>
        <w:rFonts w:hint="eastAsia" w:ascii="仿宋" w:hAnsi="仿宋" w:eastAsia="仿宋" w:cs="仿宋"/>
        <w:b/>
        <w:sz w:val="16"/>
        <w:szCs w:val="16"/>
      </w:rPr>
      <w:drawing>
        <wp:inline distT="0" distB="0" distL="114300" distR="114300">
          <wp:extent cx="181610" cy="181610"/>
          <wp:effectExtent l="0" t="0" r="8890" b="8890"/>
          <wp:docPr id="874012914" name="图片 8740129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12914" name="图片 8740129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8DAF3">
    <w:pPr>
      <w:pStyle w:val="15"/>
      <w:pBdr>
        <w:bottom w:val="double" w:color="auto" w:sz="8" w:space="0"/>
      </w:pBdr>
      <w:tabs>
        <w:tab w:val="right" w:pos="8820"/>
        <w:tab w:val="clear" w:pos="8306"/>
      </w:tabs>
      <w:ind w:right="172"/>
      <w:rPr>
        <w:rFonts w:hint="eastAsia"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69E502">
                          <w:pPr>
                            <w:pStyle w:val="15"/>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57</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7C69E502">
                    <w:pPr>
                      <w:pStyle w:val="15"/>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57</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7" name="图片 7"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C06CF">
    <w:pPr>
      <w:pStyle w:val="15"/>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z w:val="16"/>
        <w:szCs w:val="16"/>
        <w:lang w:eastAsia="zh-CN"/>
      </w:rPr>
      <w:t>云南省林业和草原技术推广总站林下滇黄精栽培技术推广示范项目肥料、药品采购项目</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 xml:space="preserve"> </w:t>
    </w:r>
    <w:r>
      <w:rPr>
        <w:rFonts w:hint="eastAsia" w:ascii="仿宋" w:hAnsi="仿宋" w:eastAsia="仿宋" w:cs="仿宋"/>
        <w:b/>
        <w:sz w:val="16"/>
        <w:szCs w:val="16"/>
        <w:lang w:eastAsia="zh-CN"/>
      </w:rPr>
      <w:t>YNZC2026-G1-00374-YNGH-0032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C569E">
    <w:pPr>
      <w:pStyle w:val="15"/>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z w:val="16"/>
        <w:szCs w:val="16"/>
        <w:lang w:eastAsia="zh-CN"/>
      </w:rPr>
      <w:t>云南省林业和草原技术推广总站林下滇黄精栽培技术推广示范项目肥料、药品采购项目</w:t>
    </w:r>
    <w:r>
      <w:rPr>
        <w:rFonts w:hint="eastAsia" w:ascii="仿宋" w:hAnsi="仿宋" w:eastAsia="仿宋" w:cs="仿宋"/>
        <w:b/>
        <w:sz w:val="16"/>
        <w:szCs w:val="16"/>
      </w:rPr>
      <w:t xml:space="preserve">                                                       </w:t>
    </w:r>
    <w:r>
      <w:rPr>
        <w:rFonts w:hint="eastAsia" w:ascii="仿宋" w:hAnsi="仿宋" w:eastAsia="仿宋" w:cs="仿宋"/>
        <w:b/>
        <w:sz w:val="16"/>
        <w:szCs w:val="16"/>
        <w:lang w:eastAsia="zh-CN"/>
      </w:rPr>
      <w:t>YNZC2026-G1-00374-YNGH-0032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2DCD5">
    <w:pPr>
      <w:pStyle w:val="15"/>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z w:val="16"/>
        <w:szCs w:val="16"/>
        <w:lang w:eastAsia="zh-CN"/>
      </w:rPr>
      <w:t>云南省林业和草原技术推广总站林下滇黄精栽培技术推广示范项目肥料、药品采购项目</w:t>
    </w:r>
    <w:r>
      <w:rPr>
        <w:rFonts w:hint="eastAsia" w:ascii="仿宋" w:hAnsi="仿宋" w:eastAsia="仿宋" w:cs="仿宋"/>
        <w:b/>
        <w:sz w:val="16"/>
        <w:szCs w:val="16"/>
      </w:rPr>
      <w:t xml:space="preserve">                             </w:t>
    </w:r>
    <w:r>
      <w:rPr>
        <w:rFonts w:hint="eastAsia" w:ascii="仿宋" w:hAnsi="仿宋" w:eastAsia="仿宋" w:cs="仿宋"/>
        <w:b/>
        <w:sz w:val="16"/>
        <w:szCs w:val="16"/>
        <w:lang w:eastAsia="zh-CN"/>
      </w:rPr>
      <w:t>YNZC2026-G1-00374-YNGH-0032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3CC33">
    <w:pPr>
      <w:pStyle w:val="15"/>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z w:val="16"/>
        <w:szCs w:val="16"/>
        <w:lang w:eastAsia="zh-CN"/>
      </w:rPr>
      <w:t>云南省林业和草原技术推广总站林下滇黄精栽培技术推广示范项目肥料、药品采购项目</w:t>
    </w:r>
    <w:r>
      <w:rPr>
        <w:rFonts w:hint="eastAsia" w:ascii="仿宋" w:hAnsi="仿宋" w:eastAsia="仿宋" w:cs="仿宋"/>
        <w:b/>
        <w:sz w:val="16"/>
        <w:szCs w:val="16"/>
      </w:rPr>
      <w:t xml:space="preserve">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 xml:space="preserve">     </w:t>
    </w:r>
    <w:r>
      <w:rPr>
        <w:rFonts w:hint="eastAsia" w:ascii="仿宋" w:hAnsi="仿宋" w:eastAsia="仿宋" w:cs="仿宋"/>
        <w:b/>
        <w:sz w:val="16"/>
        <w:szCs w:val="16"/>
        <w:lang w:eastAsia="zh-CN"/>
      </w:rPr>
      <w:t>YNZC2026-G1-00374-YNGH-0032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B43FAC"/>
    <w:multiLevelType w:val="singleLevel"/>
    <w:tmpl w:val="D5B43FAC"/>
    <w:lvl w:ilvl="0" w:tentative="0">
      <w:start w:val="1"/>
      <w:numFmt w:val="decimal"/>
      <w:suff w:val="nothing"/>
      <w:lvlText w:val="%1、"/>
      <w:lvlJc w:val="left"/>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3FBA9B0"/>
    <w:multiLevelType w:val="singleLevel"/>
    <w:tmpl w:val="63FBA9B0"/>
    <w:lvl w:ilvl="0" w:tentative="0">
      <w:start w:val="2"/>
      <w:numFmt w:val="decimal"/>
      <w:suff w:val="nothing"/>
      <w:lvlText w:val="（%1）"/>
      <w:lvlJc w:val="left"/>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yOWQ1NzE4NTViOTUwZWY5YWMyZGY5MmY1ZTI5MTgifQ=="/>
  </w:docVars>
  <w:rsids>
    <w:rsidRoot w:val="00621CD5"/>
    <w:rsid w:val="00060A79"/>
    <w:rsid w:val="000B0419"/>
    <w:rsid w:val="000D2A3C"/>
    <w:rsid w:val="001E73D6"/>
    <w:rsid w:val="00236F49"/>
    <w:rsid w:val="00261B35"/>
    <w:rsid w:val="002C3507"/>
    <w:rsid w:val="00363164"/>
    <w:rsid w:val="00367850"/>
    <w:rsid w:val="00375021"/>
    <w:rsid w:val="004806F9"/>
    <w:rsid w:val="004E3BF0"/>
    <w:rsid w:val="004E699A"/>
    <w:rsid w:val="00500E93"/>
    <w:rsid w:val="005D1402"/>
    <w:rsid w:val="005E724D"/>
    <w:rsid w:val="00621CD5"/>
    <w:rsid w:val="00797AC7"/>
    <w:rsid w:val="00804FCE"/>
    <w:rsid w:val="00856E31"/>
    <w:rsid w:val="0087223A"/>
    <w:rsid w:val="00924069"/>
    <w:rsid w:val="009A03D2"/>
    <w:rsid w:val="00AA6425"/>
    <w:rsid w:val="00B131E2"/>
    <w:rsid w:val="00B42FCE"/>
    <w:rsid w:val="00BB0726"/>
    <w:rsid w:val="00BE5B2A"/>
    <w:rsid w:val="00BF0E19"/>
    <w:rsid w:val="00C64EB2"/>
    <w:rsid w:val="00D44325"/>
    <w:rsid w:val="00D57075"/>
    <w:rsid w:val="00DD209B"/>
    <w:rsid w:val="00E67D43"/>
    <w:rsid w:val="00E94BB8"/>
    <w:rsid w:val="00EC1ADE"/>
    <w:rsid w:val="00F54452"/>
    <w:rsid w:val="00FE0731"/>
    <w:rsid w:val="01C506B1"/>
    <w:rsid w:val="01E0649E"/>
    <w:rsid w:val="024A0CCD"/>
    <w:rsid w:val="024B6E08"/>
    <w:rsid w:val="024E07BB"/>
    <w:rsid w:val="02503E22"/>
    <w:rsid w:val="026D3539"/>
    <w:rsid w:val="02852E05"/>
    <w:rsid w:val="02E42DB9"/>
    <w:rsid w:val="02F95BEF"/>
    <w:rsid w:val="03336B11"/>
    <w:rsid w:val="034507D1"/>
    <w:rsid w:val="037A695A"/>
    <w:rsid w:val="03A02DE7"/>
    <w:rsid w:val="03AC1B29"/>
    <w:rsid w:val="03FB03BA"/>
    <w:rsid w:val="04054137"/>
    <w:rsid w:val="040E4592"/>
    <w:rsid w:val="043D09D3"/>
    <w:rsid w:val="04B05449"/>
    <w:rsid w:val="04B14F1D"/>
    <w:rsid w:val="04EE5693"/>
    <w:rsid w:val="052039F3"/>
    <w:rsid w:val="058A40EC"/>
    <w:rsid w:val="05E42222"/>
    <w:rsid w:val="061E4834"/>
    <w:rsid w:val="0687062B"/>
    <w:rsid w:val="069D7E4F"/>
    <w:rsid w:val="06C020A5"/>
    <w:rsid w:val="06C46F73"/>
    <w:rsid w:val="06C929F2"/>
    <w:rsid w:val="079C3C62"/>
    <w:rsid w:val="07A024F9"/>
    <w:rsid w:val="07FC703B"/>
    <w:rsid w:val="0850637B"/>
    <w:rsid w:val="08622EB5"/>
    <w:rsid w:val="08C53D4D"/>
    <w:rsid w:val="08CC33A2"/>
    <w:rsid w:val="093164C4"/>
    <w:rsid w:val="096C67EC"/>
    <w:rsid w:val="099C263F"/>
    <w:rsid w:val="09A13D71"/>
    <w:rsid w:val="09AF2373"/>
    <w:rsid w:val="09F71624"/>
    <w:rsid w:val="0A480C9B"/>
    <w:rsid w:val="0ABB79A6"/>
    <w:rsid w:val="0AC84167"/>
    <w:rsid w:val="0AFE1FFE"/>
    <w:rsid w:val="0B3133D7"/>
    <w:rsid w:val="0B7F5D75"/>
    <w:rsid w:val="0BCB720C"/>
    <w:rsid w:val="0BFA364D"/>
    <w:rsid w:val="0C1E01A2"/>
    <w:rsid w:val="0C833643"/>
    <w:rsid w:val="0D0C4CED"/>
    <w:rsid w:val="0D0C7835"/>
    <w:rsid w:val="0D5E5058"/>
    <w:rsid w:val="0D782A7C"/>
    <w:rsid w:val="0E666D78"/>
    <w:rsid w:val="0EF56BB3"/>
    <w:rsid w:val="0F3A0223"/>
    <w:rsid w:val="0F607C6B"/>
    <w:rsid w:val="0FC90C29"/>
    <w:rsid w:val="0FDD17A3"/>
    <w:rsid w:val="0FE76DAA"/>
    <w:rsid w:val="103E61FE"/>
    <w:rsid w:val="10AB4B20"/>
    <w:rsid w:val="10B709A6"/>
    <w:rsid w:val="10F468BD"/>
    <w:rsid w:val="10F66AD9"/>
    <w:rsid w:val="118063A3"/>
    <w:rsid w:val="11867A3D"/>
    <w:rsid w:val="120314AE"/>
    <w:rsid w:val="120D40DA"/>
    <w:rsid w:val="121D2F7E"/>
    <w:rsid w:val="123A47A4"/>
    <w:rsid w:val="12437252"/>
    <w:rsid w:val="124D2289"/>
    <w:rsid w:val="12D6271E"/>
    <w:rsid w:val="13A91BE1"/>
    <w:rsid w:val="13AA4950"/>
    <w:rsid w:val="13EF22C9"/>
    <w:rsid w:val="146C6056"/>
    <w:rsid w:val="14A66120"/>
    <w:rsid w:val="14D2145F"/>
    <w:rsid w:val="14DD4771"/>
    <w:rsid w:val="14ED7151"/>
    <w:rsid w:val="1509523C"/>
    <w:rsid w:val="156B045F"/>
    <w:rsid w:val="157532DA"/>
    <w:rsid w:val="159B5166"/>
    <w:rsid w:val="159F1C9E"/>
    <w:rsid w:val="15C34AB0"/>
    <w:rsid w:val="15D41341"/>
    <w:rsid w:val="15E6065A"/>
    <w:rsid w:val="16247F58"/>
    <w:rsid w:val="162F3AC6"/>
    <w:rsid w:val="164B0161"/>
    <w:rsid w:val="16976140"/>
    <w:rsid w:val="172F68A1"/>
    <w:rsid w:val="17726E57"/>
    <w:rsid w:val="17DE3E23"/>
    <w:rsid w:val="180875B0"/>
    <w:rsid w:val="18255FA2"/>
    <w:rsid w:val="18267F95"/>
    <w:rsid w:val="18305D44"/>
    <w:rsid w:val="185D4D5E"/>
    <w:rsid w:val="18C33745"/>
    <w:rsid w:val="196373A0"/>
    <w:rsid w:val="198804EA"/>
    <w:rsid w:val="198A4263"/>
    <w:rsid w:val="19F811CC"/>
    <w:rsid w:val="1A225E5C"/>
    <w:rsid w:val="1A293A7B"/>
    <w:rsid w:val="1A6733E4"/>
    <w:rsid w:val="1AE95C8D"/>
    <w:rsid w:val="1AF04D26"/>
    <w:rsid w:val="1B13565A"/>
    <w:rsid w:val="1B5A5EF2"/>
    <w:rsid w:val="1B795C90"/>
    <w:rsid w:val="1BB05AD7"/>
    <w:rsid w:val="1C6139F1"/>
    <w:rsid w:val="1C8256C5"/>
    <w:rsid w:val="1CB671ED"/>
    <w:rsid w:val="1CB8761C"/>
    <w:rsid w:val="1CE57FB5"/>
    <w:rsid w:val="1CFC5477"/>
    <w:rsid w:val="1D295B40"/>
    <w:rsid w:val="1D511C3C"/>
    <w:rsid w:val="1D6549D9"/>
    <w:rsid w:val="1DF07EA2"/>
    <w:rsid w:val="1E0D2299"/>
    <w:rsid w:val="1E290301"/>
    <w:rsid w:val="1E7F43BD"/>
    <w:rsid w:val="1EAB37A8"/>
    <w:rsid w:val="1EB61656"/>
    <w:rsid w:val="1EBA59E9"/>
    <w:rsid w:val="1EBB7320"/>
    <w:rsid w:val="1EBD067C"/>
    <w:rsid w:val="1EC84FB1"/>
    <w:rsid w:val="1F474507"/>
    <w:rsid w:val="1F8135B5"/>
    <w:rsid w:val="1FB16A7A"/>
    <w:rsid w:val="200A3A07"/>
    <w:rsid w:val="200F7270"/>
    <w:rsid w:val="20AA2C79"/>
    <w:rsid w:val="21183DF9"/>
    <w:rsid w:val="2120725A"/>
    <w:rsid w:val="21383E23"/>
    <w:rsid w:val="21735C3A"/>
    <w:rsid w:val="217466A5"/>
    <w:rsid w:val="217575A6"/>
    <w:rsid w:val="221548E5"/>
    <w:rsid w:val="223F38F6"/>
    <w:rsid w:val="228226E3"/>
    <w:rsid w:val="22AD2D70"/>
    <w:rsid w:val="22BD7457"/>
    <w:rsid w:val="22CE384A"/>
    <w:rsid w:val="22EE13BE"/>
    <w:rsid w:val="23241284"/>
    <w:rsid w:val="239A32F4"/>
    <w:rsid w:val="23A86E3C"/>
    <w:rsid w:val="23AD4D5D"/>
    <w:rsid w:val="23ED1676"/>
    <w:rsid w:val="242D7872"/>
    <w:rsid w:val="246C45D4"/>
    <w:rsid w:val="246E6870"/>
    <w:rsid w:val="24827F98"/>
    <w:rsid w:val="24D763BB"/>
    <w:rsid w:val="25033309"/>
    <w:rsid w:val="25237F2A"/>
    <w:rsid w:val="256F255E"/>
    <w:rsid w:val="25A36C3A"/>
    <w:rsid w:val="26976705"/>
    <w:rsid w:val="26A27013"/>
    <w:rsid w:val="26A34BB6"/>
    <w:rsid w:val="26B741BD"/>
    <w:rsid w:val="26E34DC9"/>
    <w:rsid w:val="279A1481"/>
    <w:rsid w:val="279E39CA"/>
    <w:rsid w:val="27A420B7"/>
    <w:rsid w:val="27AF717F"/>
    <w:rsid w:val="27EF73A4"/>
    <w:rsid w:val="28215D92"/>
    <w:rsid w:val="28BC1F5F"/>
    <w:rsid w:val="28BF7ADF"/>
    <w:rsid w:val="28EF5E90"/>
    <w:rsid w:val="28F74D45"/>
    <w:rsid w:val="291476A5"/>
    <w:rsid w:val="29A467D6"/>
    <w:rsid w:val="29D93F68"/>
    <w:rsid w:val="2A404FB9"/>
    <w:rsid w:val="2AE81FF5"/>
    <w:rsid w:val="2AE8703B"/>
    <w:rsid w:val="2B0B4AD7"/>
    <w:rsid w:val="2B34402E"/>
    <w:rsid w:val="2C2916B9"/>
    <w:rsid w:val="2C3768D6"/>
    <w:rsid w:val="2C98683F"/>
    <w:rsid w:val="2C9F2AE4"/>
    <w:rsid w:val="2D011952"/>
    <w:rsid w:val="2D281971"/>
    <w:rsid w:val="2D4D7629"/>
    <w:rsid w:val="2D773434"/>
    <w:rsid w:val="2D9016FD"/>
    <w:rsid w:val="2D9604C7"/>
    <w:rsid w:val="2E171D22"/>
    <w:rsid w:val="2E442C41"/>
    <w:rsid w:val="2E6903FD"/>
    <w:rsid w:val="2F2A534A"/>
    <w:rsid w:val="2F4175EC"/>
    <w:rsid w:val="2F643F15"/>
    <w:rsid w:val="2FAE3452"/>
    <w:rsid w:val="30474513"/>
    <w:rsid w:val="307B44AD"/>
    <w:rsid w:val="30BC6FA0"/>
    <w:rsid w:val="30F1651D"/>
    <w:rsid w:val="30F324A0"/>
    <w:rsid w:val="31182427"/>
    <w:rsid w:val="312038BD"/>
    <w:rsid w:val="312709BD"/>
    <w:rsid w:val="313B72D2"/>
    <w:rsid w:val="31442E27"/>
    <w:rsid w:val="318555E4"/>
    <w:rsid w:val="318B0798"/>
    <w:rsid w:val="31C854D0"/>
    <w:rsid w:val="32A93554"/>
    <w:rsid w:val="335F1469"/>
    <w:rsid w:val="33AD0E22"/>
    <w:rsid w:val="33B249A7"/>
    <w:rsid w:val="33C54232"/>
    <w:rsid w:val="33FD6210"/>
    <w:rsid w:val="34442980"/>
    <w:rsid w:val="34AF2977"/>
    <w:rsid w:val="34C93A39"/>
    <w:rsid w:val="34FE65CA"/>
    <w:rsid w:val="350C4C9B"/>
    <w:rsid w:val="35C72C89"/>
    <w:rsid w:val="35DA1C76"/>
    <w:rsid w:val="36252B47"/>
    <w:rsid w:val="36D66F42"/>
    <w:rsid w:val="37016D1F"/>
    <w:rsid w:val="371331FD"/>
    <w:rsid w:val="375E23C3"/>
    <w:rsid w:val="378E2D18"/>
    <w:rsid w:val="379503A4"/>
    <w:rsid w:val="379F2090"/>
    <w:rsid w:val="37CE1367"/>
    <w:rsid w:val="37E868CC"/>
    <w:rsid w:val="3803406C"/>
    <w:rsid w:val="387B329C"/>
    <w:rsid w:val="38BF587F"/>
    <w:rsid w:val="38CE75A1"/>
    <w:rsid w:val="39193CC2"/>
    <w:rsid w:val="394538AA"/>
    <w:rsid w:val="39550B5F"/>
    <w:rsid w:val="39A10D6D"/>
    <w:rsid w:val="39DC420F"/>
    <w:rsid w:val="3A3E7BA6"/>
    <w:rsid w:val="3A7A5E43"/>
    <w:rsid w:val="3AAC2067"/>
    <w:rsid w:val="3ACF52B8"/>
    <w:rsid w:val="3B001968"/>
    <w:rsid w:val="3B23163F"/>
    <w:rsid w:val="3B9D5784"/>
    <w:rsid w:val="3BA81E08"/>
    <w:rsid w:val="3BDF7FE6"/>
    <w:rsid w:val="3BF15FA6"/>
    <w:rsid w:val="3BF20B53"/>
    <w:rsid w:val="3C6329C5"/>
    <w:rsid w:val="3CBE19AA"/>
    <w:rsid w:val="3CD45671"/>
    <w:rsid w:val="3D08531B"/>
    <w:rsid w:val="3D22228B"/>
    <w:rsid w:val="3D431EA5"/>
    <w:rsid w:val="3D98044D"/>
    <w:rsid w:val="3DA66A6D"/>
    <w:rsid w:val="3DB37034"/>
    <w:rsid w:val="3DCC0F15"/>
    <w:rsid w:val="3DE10046"/>
    <w:rsid w:val="3DF31B27"/>
    <w:rsid w:val="3E2E7003"/>
    <w:rsid w:val="3E3363C7"/>
    <w:rsid w:val="3E4548C7"/>
    <w:rsid w:val="3E5D5D1B"/>
    <w:rsid w:val="3EA8133A"/>
    <w:rsid w:val="3EAD617A"/>
    <w:rsid w:val="3ED30BC6"/>
    <w:rsid w:val="3F0A0DF8"/>
    <w:rsid w:val="3F261A88"/>
    <w:rsid w:val="3F9609BC"/>
    <w:rsid w:val="40454062"/>
    <w:rsid w:val="40786FAB"/>
    <w:rsid w:val="40AF61D9"/>
    <w:rsid w:val="40B1756E"/>
    <w:rsid w:val="40C003E6"/>
    <w:rsid w:val="40DA56D9"/>
    <w:rsid w:val="41A05B22"/>
    <w:rsid w:val="41A62FB2"/>
    <w:rsid w:val="425C413F"/>
    <w:rsid w:val="426163F2"/>
    <w:rsid w:val="426D00FA"/>
    <w:rsid w:val="42AC536D"/>
    <w:rsid w:val="42C35F6C"/>
    <w:rsid w:val="42FB01D7"/>
    <w:rsid w:val="42FF4FCC"/>
    <w:rsid w:val="430005F0"/>
    <w:rsid w:val="430D73BE"/>
    <w:rsid w:val="431247FD"/>
    <w:rsid w:val="433E55F2"/>
    <w:rsid w:val="4356002A"/>
    <w:rsid w:val="43D83F49"/>
    <w:rsid w:val="4405167E"/>
    <w:rsid w:val="440A4F4D"/>
    <w:rsid w:val="448160DE"/>
    <w:rsid w:val="44DC50C3"/>
    <w:rsid w:val="450907CE"/>
    <w:rsid w:val="45101210"/>
    <w:rsid w:val="45132AAF"/>
    <w:rsid w:val="45372C41"/>
    <w:rsid w:val="45B858BA"/>
    <w:rsid w:val="45C240EE"/>
    <w:rsid w:val="46513FED"/>
    <w:rsid w:val="46B61944"/>
    <w:rsid w:val="470E1780"/>
    <w:rsid w:val="473B3FA5"/>
    <w:rsid w:val="47966716"/>
    <w:rsid w:val="47B10B40"/>
    <w:rsid w:val="480D114A"/>
    <w:rsid w:val="485D6313"/>
    <w:rsid w:val="499C2013"/>
    <w:rsid w:val="49BD0D3F"/>
    <w:rsid w:val="49F9292A"/>
    <w:rsid w:val="4A6727A9"/>
    <w:rsid w:val="4A8C3417"/>
    <w:rsid w:val="4AC40AD3"/>
    <w:rsid w:val="4AD131F0"/>
    <w:rsid w:val="4AF869CF"/>
    <w:rsid w:val="4B1D4687"/>
    <w:rsid w:val="4B6C1F73"/>
    <w:rsid w:val="4BA250EF"/>
    <w:rsid w:val="4BB56E0D"/>
    <w:rsid w:val="4BBA523B"/>
    <w:rsid w:val="4BD832E9"/>
    <w:rsid w:val="4C35269F"/>
    <w:rsid w:val="4C3D02BD"/>
    <w:rsid w:val="4C3F41A4"/>
    <w:rsid w:val="4C582A42"/>
    <w:rsid w:val="4C5C7CD6"/>
    <w:rsid w:val="4C632A6B"/>
    <w:rsid w:val="4C6D654F"/>
    <w:rsid w:val="4CA23096"/>
    <w:rsid w:val="4CF84A64"/>
    <w:rsid w:val="4D281A79"/>
    <w:rsid w:val="4D317F76"/>
    <w:rsid w:val="4DBF53A3"/>
    <w:rsid w:val="4DC15B22"/>
    <w:rsid w:val="4E550C6B"/>
    <w:rsid w:val="4E80078E"/>
    <w:rsid w:val="4E8E72B6"/>
    <w:rsid w:val="4F211CA7"/>
    <w:rsid w:val="4FBF1C8B"/>
    <w:rsid w:val="4FD659F1"/>
    <w:rsid w:val="50041FA8"/>
    <w:rsid w:val="50175B49"/>
    <w:rsid w:val="501C315F"/>
    <w:rsid w:val="511B6F73"/>
    <w:rsid w:val="512C0018"/>
    <w:rsid w:val="512F6EC2"/>
    <w:rsid w:val="51A04E60"/>
    <w:rsid w:val="52080DC5"/>
    <w:rsid w:val="520D275B"/>
    <w:rsid w:val="523C7AF1"/>
    <w:rsid w:val="531243A6"/>
    <w:rsid w:val="537868FE"/>
    <w:rsid w:val="53886747"/>
    <w:rsid w:val="54260108"/>
    <w:rsid w:val="546E385E"/>
    <w:rsid w:val="54857639"/>
    <w:rsid w:val="548F182E"/>
    <w:rsid w:val="54975B6A"/>
    <w:rsid w:val="54B5148C"/>
    <w:rsid w:val="54D269F5"/>
    <w:rsid w:val="54E34007"/>
    <w:rsid w:val="54FC355F"/>
    <w:rsid w:val="553714FE"/>
    <w:rsid w:val="55466588"/>
    <w:rsid w:val="55872E29"/>
    <w:rsid w:val="558A599C"/>
    <w:rsid w:val="558F7316"/>
    <w:rsid w:val="559D2772"/>
    <w:rsid w:val="559E7614"/>
    <w:rsid w:val="55E80984"/>
    <w:rsid w:val="55F50911"/>
    <w:rsid w:val="56644F18"/>
    <w:rsid w:val="56755377"/>
    <w:rsid w:val="56CD0CE1"/>
    <w:rsid w:val="56E322E1"/>
    <w:rsid w:val="572A63C1"/>
    <w:rsid w:val="572F5526"/>
    <w:rsid w:val="57430FD1"/>
    <w:rsid w:val="574B6534"/>
    <w:rsid w:val="5815299E"/>
    <w:rsid w:val="58204A75"/>
    <w:rsid w:val="58B57CAD"/>
    <w:rsid w:val="58BD4DB3"/>
    <w:rsid w:val="58DE7204"/>
    <w:rsid w:val="58E21A07"/>
    <w:rsid w:val="58ED2417"/>
    <w:rsid w:val="593315EB"/>
    <w:rsid w:val="593C4523"/>
    <w:rsid w:val="59471F5A"/>
    <w:rsid w:val="597C3781"/>
    <w:rsid w:val="59A654A4"/>
    <w:rsid w:val="59BE46C2"/>
    <w:rsid w:val="59D625D1"/>
    <w:rsid w:val="59E7460B"/>
    <w:rsid w:val="59EA7FBA"/>
    <w:rsid w:val="5A110AAE"/>
    <w:rsid w:val="5A7D0C9E"/>
    <w:rsid w:val="5B7B51DE"/>
    <w:rsid w:val="5BA1547E"/>
    <w:rsid w:val="5BE508A9"/>
    <w:rsid w:val="5BF67299"/>
    <w:rsid w:val="5C673B45"/>
    <w:rsid w:val="5C6E6F8E"/>
    <w:rsid w:val="5CCF4C73"/>
    <w:rsid w:val="5CDF07B8"/>
    <w:rsid w:val="5D83037A"/>
    <w:rsid w:val="5D8B5480"/>
    <w:rsid w:val="5DA50691"/>
    <w:rsid w:val="5DC4230D"/>
    <w:rsid w:val="5DCF1811"/>
    <w:rsid w:val="5DCF5062"/>
    <w:rsid w:val="5E6B26DB"/>
    <w:rsid w:val="5E730B9C"/>
    <w:rsid w:val="5EC92DE5"/>
    <w:rsid w:val="5F314DD9"/>
    <w:rsid w:val="601003B7"/>
    <w:rsid w:val="60206354"/>
    <w:rsid w:val="602B5716"/>
    <w:rsid w:val="603F7E68"/>
    <w:rsid w:val="60D502CE"/>
    <w:rsid w:val="60F021CA"/>
    <w:rsid w:val="615D0EE2"/>
    <w:rsid w:val="61BA3B34"/>
    <w:rsid w:val="624C1682"/>
    <w:rsid w:val="626A7D5A"/>
    <w:rsid w:val="627238CD"/>
    <w:rsid w:val="62B114E5"/>
    <w:rsid w:val="62C456BC"/>
    <w:rsid w:val="62F34DFE"/>
    <w:rsid w:val="62F67D96"/>
    <w:rsid w:val="63A916FF"/>
    <w:rsid w:val="63D64A1E"/>
    <w:rsid w:val="63EF621B"/>
    <w:rsid w:val="643B19AE"/>
    <w:rsid w:val="64740A1C"/>
    <w:rsid w:val="6477538E"/>
    <w:rsid w:val="64881F6E"/>
    <w:rsid w:val="65031DA0"/>
    <w:rsid w:val="655A2308"/>
    <w:rsid w:val="65931376"/>
    <w:rsid w:val="65B64CA6"/>
    <w:rsid w:val="65F9775D"/>
    <w:rsid w:val="66CC57A6"/>
    <w:rsid w:val="673E7E37"/>
    <w:rsid w:val="67530DBD"/>
    <w:rsid w:val="67627252"/>
    <w:rsid w:val="67CD7FEB"/>
    <w:rsid w:val="67DB7004"/>
    <w:rsid w:val="6824310A"/>
    <w:rsid w:val="689F0032"/>
    <w:rsid w:val="68B166E3"/>
    <w:rsid w:val="68CC52CB"/>
    <w:rsid w:val="691F3B13"/>
    <w:rsid w:val="69554474"/>
    <w:rsid w:val="69B83AA1"/>
    <w:rsid w:val="69CC4E56"/>
    <w:rsid w:val="69DF5556"/>
    <w:rsid w:val="69E253D0"/>
    <w:rsid w:val="6A53191B"/>
    <w:rsid w:val="6A701C86"/>
    <w:rsid w:val="6B872F6E"/>
    <w:rsid w:val="6B8C2BFF"/>
    <w:rsid w:val="6BDF70C3"/>
    <w:rsid w:val="6BE75F78"/>
    <w:rsid w:val="6C053BF8"/>
    <w:rsid w:val="6C223454"/>
    <w:rsid w:val="6C5A128A"/>
    <w:rsid w:val="6C6817C6"/>
    <w:rsid w:val="6D294BE9"/>
    <w:rsid w:val="6D2A6A64"/>
    <w:rsid w:val="6D3E01D1"/>
    <w:rsid w:val="6D655CEE"/>
    <w:rsid w:val="6D8450A3"/>
    <w:rsid w:val="6D9C7631"/>
    <w:rsid w:val="6DFB21AE"/>
    <w:rsid w:val="6E117620"/>
    <w:rsid w:val="6E361BF7"/>
    <w:rsid w:val="6E3D6323"/>
    <w:rsid w:val="6E511DCE"/>
    <w:rsid w:val="6E5C0E9F"/>
    <w:rsid w:val="6E7B1312"/>
    <w:rsid w:val="6EA6211A"/>
    <w:rsid w:val="6EC74D85"/>
    <w:rsid w:val="6ED8429D"/>
    <w:rsid w:val="6EFE1575"/>
    <w:rsid w:val="6F1F3C7A"/>
    <w:rsid w:val="6F863AE0"/>
    <w:rsid w:val="6F926156"/>
    <w:rsid w:val="6FEA072C"/>
    <w:rsid w:val="6FF670D1"/>
    <w:rsid w:val="70522FAF"/>
    <w:rsid w:val="706B0972"/>
    <w:rsid w:val="706C2EEF"/>
    <w:rsid w:val="709F32C5"/>
    <w:rsid w:val="7113780F"/>
    <w:rsid w:val="715224EE"/>
    <w:rsid w:val="71D87CB7"/>
    <w:rsid w:val="72347A3D"/>
    <w:rsid w:val="727675A7"/>
    <w:rsid w:val="727D5888"/>
    <w:rsid w:val="72850298"/>
    <w:rsid w:val="72E87F6D"/>
    <w:rsid w:val="732E6B82"/>
    <w:rsid w:val="734B14E2"/>
    <w:rsid w:val="73967696"/>
    <w:rsid w:val="739A7D73"/>
    <w:rsid w:val="73A5175B"/>
    <w:rsid w:val="74024D10"/>
    <w:rsid w:val="74733539"/>
    <w:rsid w:val="74815B3F"/>
    <w:rsid w:val="74A94712"/>
    <w:rsid w:val="74EC3FAB"/>
    <w:rsid w:val="75074221"/>
    <w:rsid w:val="75397017"/>
    <w:rsid w:val="759C7DD3"/>
    <w:rsid w:val="75FA75B7"/>
    <w:rsid w:val="76817A06"/>
    <w:rsid w:val="76B13D52"/>
    <w:rsid w:val="77A71897"/>
    <w:rsid w:val="77F43EF6"/>
    <w:rsid w:val="781400F4"/>
    <w:rsid w:val="785B79B0"/>
    <w:rsid w:val="787E1A12"/>
    <w:rsid w:val="7881778A"/>
    <w:rsid w:val="788C2381"/>
    <w:rsid w:val="79A92498"/>
    <w:rsid w:val="79FE72AE"/>
    <w:rsid w:val="7A344A7F"/>
    <w:rsid w:val="7A624E75"/>
    <w:rsid w:val="7A79667D"/>
    <w:rsid w:val="7A925C48"/>
    <w:rsid w:val="7A97500D"/>
    <w:rsid w:val="7A976A07"/>
    <w:rsid w:val="7AE207C1"/>
    <w:rsid w:val="7AFD2CCD"/>
    <w:rsid w:val="7B095F0A"/>
    <w:rsid w:val="7B217C64"/>
    <w:rsid w:val="7B2D599B"/>
    <w:rsid w:val="7B6117D1"/>
    <w:rsid w:val="7B786BEC"/>
    <w:rsid w:val="7B8B68F2"/>
    <w:rsid w:val="7C1F52BA"/>
    <w:rsid w:val="7CB4634A"/>
    <w:rsid w:val="7CDB0441"/>
    <w:rsid w:val="7CEA58C8"/>
    <w:rsid w:val="7CED7E48"/>
    <w:rsid w:val="7CF0115B"/>
    <w:rsid w:val="7D0D15B6"/>
    <w:rsid w:val="7D861981"/>
    <w:rsid w:val="7E4126EB"/>
    <w:rsid w:val="7EB937A4"/>
    <w:rsid w:val="7ED409D1"/>
    <w:rsid w:val="7F896B7C"/>
    <w:rsid w:val="7FA06C20"/>
    <w:rsid w:val="7FB328E9"/>
    <w:rsid w:val="7FFB7DEC"/>
    <w:rsid w:val="7FFD1970"/>
    <w:rsid w:val="BF7F0781"/>
    <w:rsid w:val="CEFC26BF"/>
    <w:rsid w:val="DBFE1CFA"/>
    <w:rsid w:val="EFB5AAD1"/>
    <w:rsid w:val="FE454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Document Map"/>
    <w:basedOn w:val="1"/>
    <w:qFormat/>
    <w:uiPriority w:val="0"/>
    <w:pPr>
      <w:shd w:val="clear" w:color="auto" w:fill="000080"/>
    </w:pPr>
  </w:style>
  <w:style w:type="paragraph" w:styleId="7">
    <w:name w:val="annotation text"/>
    <w:basedOn w:val="1"/>
    <w:link w:val="39"/>
    <w:qFormat/>
    <w:uiPriority w:val="0"/>
    <w:pPr>
      <w:jc w:val="left"/>
    </w:pPr>
  </w:style>
  <w:style w:type="paragraph" w:styleId="8">
    <w:name w:val="Body Text"/>
    <w:basedOn w:val="1"/>
    <w:next w:val="9"/>
    <w:qFormat/>
    <w:uiPriority w:val="0"/>
    <w:rPr>
      <w:rFonts w:ascii="金山简黑体" w:hAnsi="金山简黑体" w:eastAsia="金山简黑体"/>
      <w:b/>
      <w:spacing w:val="-8"/>
      <w:sz w:val="44"/>
      <w:szCs w:val="20"/>
    </w:rPr>
  </w:style>
  <w:style w:type="paragraph" w:customStyle="1" w:styleId="9">
    <w:name w:val="Body Text 21"/>
    <w:basedOn w:val="1"/>
    <w:qFormat/>
    <w:locked/>
    <w:uiPriority w:val="0"/>
    <w:pPr>
      <w:spacing w:line="500" w:lineRule="exact"/>
    </w:pPr>
    <w:rPr>
      <w:color w:val="000000"/>
      <w:sz w:val="30"/>
      <w:szCs w:val="24"/>
    </w:rPr>
  </w:style>
  <w:style w:type="paragraph" w:styleId="10">
    <w:name w:val="Body Text Indent"/>
    <w:basedOn w:val="1"/>
    <w:qFormat/>
    <w:uiPriority w:val="0"/>
    <w:pPr>
      <w:spacing w:line="300" w:lineRule="auto"/>
      <w:ind w:left="840"/>
    </w:pPr>
    <w:rPr>
      <w:sz w:val="24"/>
    </w:rPr>
  </w:style>
  <w:style w:type="paragraph" w:styleId="11">
    <w:name w:val="Block Text"/>
    <w:basedOn w:val="1"/>
    <w:qFormat/>
    <w:uiPriority w:val="0"/>
    <w:pPr>
      <w:spacing w:after="120"/>
      <w:ind w:left="1440" w:leftChars="700" w:right="1440" w:rightChars="700"/>
    </w:pPr>
  </w:style>
  <w:style w:type="paragraph" w:styleId="12">
    <w:name w:val="toc 5"/>
    <w:basedOn w:val="1"/>
    <w:next w:val="1"/>
    <w:qFormat/>
    <w:uiPriority w:val="0"/>
    <w:pPr>
      <w:ind w:left="840"/>
      <w:jc w:val="left"/>
    </w:pPr>
    <w:rPr>
      <w:sz w:val="18"/>
      <w:szCs w:val="18"/>
    </w:rPr>
  </w:style>
  <w:style w:type="paragraph" w:styleId="13">
    <w:name w:val="toc 3"/>
    <w:basedOn w:val="1"/>
    <w:next w:val="1"/>
    <w:qFormat/>
    <w:uiPriority w:val="39"/>
    <w:pPr>
      <w:ind w:left="840" w:leftChars="400"/>
    </w:pPr>
  </w:style>
  <w:style w:type="paragraph" w:styleId="14">
    <w:name w:val="Plain Text"/>
    <w:basedOn w:val="1"/>
    <w:qFormat/>
    <w:uiPriority w:val="0"/>
    <w:rPr>
      <w:rFonts w:ascii="宋体"/>
    </w:rPr>
  </w:style>
  <w:style w:type="paragraph" w:styleId="15">
    <w:name w:val="footer"/>
    <w:basedOn w:val="1"/>
    <w:qFormat/>
    <w:uiPriority w:val="0"/>
    <w:pPr>
      <w:tabs>
        <w:tab w:val="center" w:pos="4153"/>
        <w:tab w:val="right" w:pos="8306"/>
      </w:tabs>
      <w:snapToGrid w:val="0"/>
      <w:jc w:val="left"/>
    </w:pPr>
    <w:rPr>
      <w:sz w:val="18"/>
    </w:rPr>
  </w:style>
  <w:style w:type="paragraph" w:styleId="16">
    <w:name w:val="toc 1"/>
    <w:basedOn w:val="1"/>
    <w:next w:val="1"/>
    <w:qFormat/>
    <w:uiPriority w:val="39"/>
    <w:pPr>
      <w:adjustRightInd w:val="0"/>
      <w:spacing w:line="360" w:lineRule="atLeast"/>
      <w:jc w:val="left"/>
      <w:textAlignment w:val="baseline"/>
    </w:pPr>
    <w:rPr>
      <w:kern w:val="0"/>
      <w:sz w:val="24"/>
    </w:rPr>
  </w:style>
  <w:style w:type="paragraph" w:styleId="17">
    <w:name w:val="toc 2"/>
    <w:basedOn w:val="1"/>
    <w:next w:val="1"/>
    <w:qFormat/>
    <w:uiPriority w:val="39"/>
    <w:pPr>
      <w:adjustRightInd w:val="0"/>
      <w:spacing w:line="360" w:lineRule="atLeast"/>
      <w:ind w:left="420" w:leftChars="200"/>
      <w:jc w:val="left"/>
      <w:textAlignment w:val="baseline"/>
    </w:pPr>
    <w:rPr>
      <w:kern w:val="0"/>
      <w:sz w:val="24"/>
    </w:rPr>
  </w:style>
  <w:style w:type="paragraph" w:styleId="18">
    <w:name w:val="Body Text 2"/>
    <w:basedOn w:val="1"/>
    <w:qFormat/>
    <w:uiPriority w:val="0"/>
    <w:pPr>
      <w:spacing w:after="120" w:line="480" w:lineRule="auto"/>
    </w:p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0">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paragraph" w:styleId="21">
    <w:name w:val="annotation subject"/>
    <w:basedOn w:val="7"/>
    <w:next w:val="7"/>
    <w:link w:val="40"/>
    <w:qFormat/>
    <w:uiPriority w:val="0"/>
    <w:rPr>
      <w:b/>
      <w:bCs/>
    </w:rPr>
  </w:style>
  <w:style w:type="paragraph" w:styleId="22">
    <w:name w:val="Body Text First Indent"/>
    <w:basedOn w:val="8"/>
    <w:next w:val="1"/>
    <w:qFormat/>
    <w:uiPriority w:val="0"/>
    <w:pPr>
      <w:ind w:firstLine="420" w:firstLineChars="100"/>
    </w:pPr>
  </w:style>
  <w:style w:type="paragraph" w:styleId="23">
    <w:name w:val="Body Text First Indent 2"/>
    <w:basedOn w:val="10"/>
    <w:next w:val="11"/>
    <w:qFormat/>
    <w:uiPriority w:val="0"/>
    <w:pPr>
      <w:tabs>
        <w:tab w:val="left" w:pos="720"/>
      </w:tabs>
      <w:spacing w:after="120"/>
      <w:ind w:left="420" w:leftChars="200" w:firstLine="420"/>
    </w:pPr>
    <w:rPr>
      <w:sz w:val="21"/>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Hyperlink"/>
    <w:basedOn w:val="26"/>
    <w:qFormat/>
    <w:uiPriority w:val="0"/>
    <w:rPr>
      <w:color w:val="0000FF"/>
      <w:u w:val="single"/>
    </w:rPr>
  </w:style>
  <w:style w:type="character" w:styleId="29">
    <w:name w:val="annotation reference"/>
    <w:basedOn w:val="26"/>
    <w:qFormat/>
    <w:uiPriority w:val="0"/>
    <w:rPr>
      <w:sz w:val="21"/>
      <w:szCs w:val="21"/>
    </w:rPr>
  </w:style>
  <w:style w:type="paragraph" w:customStyle="1" w:styleId="3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2">
    <w:name w:val="Default"/>
    <w:basedOn w:val="20"/>
    <w:qFormat/>
    <w:uiPriority w:val="0"/>
    <w:pPr>
      <w:autoSpaceDE w:val="0"/>
      <w:autoSpaceDN w:val="0"/>
    </w:pPr>
    <w:rPr>
      <w:rFonts w:ascii="宋体" w:hAnsi="Times New Roman" w:cs="宋体"/>
      <w:color w:val="000000"/>
      <w:sz w:val="24"/>
      <w:szCs w:val="24"/>
    </w:rPr>
  </w:style>
  <w:style w:type="paragraph" w:customStyle="1" w:styleId="33">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34">
    <w:name w:val="font21"/>
    <w:basedOn w:val="26"/>
    <w:qFormat/>
    <w:uiPriority w:val="0"/>
    <w:rPr>
      <w:rFonts w:ascii="Wingdings" w:hAnsi="Wingdings" w:cs="Wingdings"/>
      <w:color w:val="000000"/>
      <w:sz w:val="18"/>
      <w:szCs w:val="18"/>
      <w:u w:val="none"/>
    </w:rPr>
  </w:style>
  <w:style w:type="paragraph" w:customStyle="1" w:styleId="35">
    <w:name w:val="列出段落1"/>
    <w:basedOn w:val="1"/>
    <w:unhideWhenUsed/>
    <w:qFormat/>
    <w:uiPriority w:val="34"/>
    <w:pPr>
      <w:ind w:firstLine="420" w:firstLineChars="200"/>
    </w:pPr>
  </w:style>
  <w:style w:type="character" w:customStyle="1" w:styleId="36">
    <w:name w:val="font51"/>
    <w:basedOn w:val="26"/>
    <w:qFormat/>
    <w:uiPriority w:val="0"/>
    <w:rPr>
      <w:rFonts w:hint="eastAsia" w:ascii="微软雅黑" w:hAnsi="微软雅黑" w:eastAsia="微软雅黑" w:cs="微软雅黑"/>
      <w:b/>
      <w:bCs/>
      <w:color w:val="000000"/>
      <w:sz w:val="18"/>
      <w:szCs w:val="18"/>
      <w:u w:val="none"/>
    </w:rPr>
  </w:style>
  <w:style w:type="character" w:customStyle="1" w:styleId="37">
    <w:name w:val="font31"/>
    <w:basedOn w:val="26"/>
    <w:qFormat/>
    <w:uiPriority w:val="0"/>
    <w:rPr>
      <w:rFonts w:hint="eastAsia" w:ascii="微软雅黑" w:hAnsi="微软雅黑" w:eastAsia="微软雅黑" w:cs="微软雅黑"/>
      <w:color w:val="FF0000"/>
      <w:sz w:val="18"/>
      <w:szCs w:val="18"/>
      <w:u w:val="none"/>
    </w:rPr>
  </w:style>
  <w:style w:type="paragraph" w:styleId="38">
    <w:name w:val="List Paragraph"/>
    <w:basedOn w:val="1"/>
    <w:unhideWhenUsed/>
    <w:qFormat/>
    <w:uiPriority w:val="99"/>
    <w:pPr>
      <w:ind w:firstLine="420" w:firstLineChars="200"/>
    </w:pPr>
  </w:style>
  <w:style w:type="character" w:customStyle="1" w:styleId="39">
    <w:name w:val="批注文字 字符"/>
    <w:basedOn w:val="26"/>
    <w:link w:val="7"/>
    <w:qFormat/>
    <w:uiPriority w:val="0"/>
    <w:rPr>
      <w:kern w:val="2"/>
      <w:sz w:val="21"/>
      <w:szCs w:val="22"/>
    </w:rPr>
  </w:style>
  <w:style w:type="character" w:customStyle="1" w:styleId="40">
    <w:name w:val="批注主题 字符"/>
    <w:basedOn w:val="39"/>
    <w:link w:val="21"/>
    <w:qFormat/>
    <w:uiPriority w:val="0"/>
    <w:rPr>
      <w:b/>
      <w:bCs/>
      <w:kern w:val="2"/>
      <w:sz w:val="21"/>
      <w:szCs w:val="22"/>
    </w:rPr>
  </w:style>
  <w:style w:type="character" w:customStyle="1" w:styleId="41">
    <w:name w:val="font61"/>
    <w:basedOn w:val="26"/>
    <w:qFormat/>
    <w:uiPriority w:val="0"/>
    <w:rPr>
      <w:rFonts w:ascii="Arial" w:hAnsi="Arial" w:cs="Arial"/>
      <w:color w:val="000000"/>
      <w:sz w:val="22"/>
      <w:szCs w:val="22"/>
      <w:u w:val="none"/>
    </w:rPr>
  </w:style>
  <w:style w:type="character" w:customStyle="1" w:styleId="42">
    <w:name w:val="font11"/>
    <w:basedOn w:val="26"/>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17273</Words>
  <Characters>18360</Characters>
  <Lines>439</Lines>
  <Paragraphs>123</Paragraphs>
  <TotalTime>0</TotalTime>
  <ScaleCrop>false</ScaleCrop>
  <LinksUpToDate>false</LinksUpToDate>
  <CharactersWithSpaces>18518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2025-03-31T06:46:00Z</dcterms:created>
  <dc:creator>63815951</dc:creator>
  <cp:lastModifiedBy>FYL</cp:lastModifiedBy>
  <dcterms:modified xsi:type="dcterms:W3CDTF">2026-03-01T09:05:15Z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C9BBA4542FED4540A431A301B3755A09_13</vt:lpwstr>
  </property>
  <property fmtid="{D5CDD505-2E9C-101B-9397-08002B2CF9AE}" pid="4" name="KSOTemplateDocerSaveRecord">
    <vt:lpwstr>eyJoZGlkIjoiYzFhZGY0ZTViYWQyN2I0ZGJhNDk0OThkMjNkNmQ2MDYiLCJ1c2VySWQiOiIyNDIzMDQ5NzcifQ==</vt:lpwstr>
  </property>
</Properties>
</file>