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085D72">
      <w:pPr>
        <w:jc w:val="center"/>
        <w:rPr>
          <w:rFonts w:hint="eastAsia" w:ascii="微软雅黑" w:hAnsi="微软雅黑" w:eastAsia="微软雅黑" w:cs="微软雅黑"/>
          <w:color w:val="auto"/>
        </w:rPr>
      </w:pPr>
    </w:p>
    <w:p w14:paraId="16757CB9">
      <w:pPr>
        <w:spacing w:line="1600" w:lineRule="exact"/>
        <w:jc w:val="center"/>
        <w:outlineLvl w:val="0"/>
        <w:rPr>
          <w:rFonts w:hint="eastAsia" w:ascii="微软雅黑" w:hAnsi="微软雅黑" w:eastAsia="微软雅黑" w:cs="微软雅黑"/>
          <w:color w:val="auto"/>
          <w:sz w:val="100"/>
        </w:rPr>
      </w:pPr>
      <w:r>
        <w:rPr>
          <w:rFonts w:hint="eastAsia" w:ascii="微软雅黑" w:hAnsi="微软雅黑" w:eastAsia="微软雅黑" w:cs="微软雅黑"/>
          <w:color w:val="auto"/>
          <w:sz w:val="100"/>
        </w:rPr>
        <w:t>政府采购</w:t>
      </w:r>
    </w:p>
    <w:p w14:paraId="4061639A">
      <w:pPr>
        <w:spacing w:line="1600" w:lineRule="exact"/>
        <w:jc w:val="center"/>
        <w:outlineLvl w:val="0"/>
        <w:rPr>
          <w:rFonts w:hint="eastAsia" w:ascii="微软雅黑" w:hAnsi="微软雅黑" w:eastAsia="微软雅黑" w:cs="微软雅黑"/>
          <w:color w:val="auto"/>
          <w:sz w:val="100"/>
        </w:rPr>
      </w:pPr>
      <w:r>
        <w:rPr>
          <w:rFonts w:hint="eastAsia" w:ascii="微软雅黑" w:hAnsi="微软雅黑" w:eastAsia="微软雅黑" w:cs="微软雅黑"/>
          <w:color w:val="auto"/>
          <w:sz w:val="100"/>
        </w:rPr>
        <w:t>竞争性磋商文件</w:t>
      </w:r>
    </w:p>
    <w:p w14:paraId="546AD32E">
      <w:pPr>
        <w:spacing w:line="700" w:lineRule="exact"/>
        <w:jc w:val="center"/>
        <w:rPr>
          <w:rFonts w:hint="eastAsia" w:ascii="微软雅黑" w:hAnsi="微软雅黑" w:eastAsia="微软雅黑" w:cs="微软雅黑"/>
          <w:color w:val="auto"/>
          <w:sz w:val="32"/>
        </w:rPr>
      </w:pPr>
    </w:p>
    <w:p w14:paraId="5E4BCD64">
      <w:pPr>
        <w:spacing w:line="700" w:lineRule="exact"/>
        <w:jc w:val="center"/>
        <w:rPr>
          <w:rFonts w:hint="eastAsia" w:ascii="微软雅黑" w:hAnsi="微软雅黑" w:eastAsia="微软雅黑" w:cs="微软雅黑"/>
          <w:color w:val="auto"/>
          <w:sz w:val="32"/>
        </w:rPr>
      </w:pPr>
    </w:p>
    <w:p w14:paraId="2462C580">
      <w:pPr>
        <w:spacing w:line="700" w:lineRule="exact"/>
        <w:jc w:val="center"/>
        <w:rPr>
          <w:rFonts w:hint="eastAsia" w:ascii="微软雅黑" w:hAnsi="微软雅黑" w:eastAsia="微软雅黑" w:cs="微软雅黑"/>
          <w:color w:val="auto"/>
          <w:sz w:val="32"/>
        </w:rPr>
      </w:pPr>
    </w:p>
    <w:p w14:paraId="7DCD6B38">
      <w:pPr>
        <w:spacing w:line="500" w:lineRule="exact"/>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 xml:space="preserve">项  </w:t>
      </w:r>
      <w:r>
        <w:rPr>
          <w:rFonts w:hint="eastAsia" w:ascii="微软雅黑" w:hAnsi="微软雅黑" w:eastAsia="微软雅黑" w:cs="微软雅黑"/>
          <w:color w:val="auto"/>
          <w:sz w:val="36"/>
          <w:szCs w:val="36"/>
          <w:lang w:val="en-US" w:eastAsia="zh-CN"/>
        </w:rPr>
        <w:t xml:space="preserve"> </w:t>
      </w:r>
      <w:r>
        <w:rPr>
          <w:rFonts w:hint="eastAsia" w:ascii="微软雅黑" w:hAnsi="微软雅黑" w:eastAsia="微软雅黑" w:cs="微软雅黑"/>
          <w:color w:val="auto"/>
          <w:sz w:val="36"/>
          <w:szCs w:val="36"/>
        </w:rPr>
        <w:t xml:space="preserve">目  </w:t>
      </w:r>
      <w:r>
        <w:rPr>
          <w:rFonts w:hint="eastAsia" w:ascii="微软雅黑" w:hAnsi="微软雅黑" w:eastAsia="微软雅黑" w:cs="微软雅黑"/>
          <w:color w:val="auto"/>
          <w:sz w:val="36"/>
          <w:szCs w:val="36"/>
          <w:lang w:val="en-US" w:eastAsia="zh-CN"/>
        </w:rPr>
        <w:t xml:space="preserve"> </w:t>
      </w:r>
      <w:r>
        <w:rPr>
          <w:rFonts w:hint="eastAsia" w:ascii="微软雅黑" w:hAnsi="微软雅黑" w:eastAsia="微软雅黑" w:cs="微软雅黑"/>
          <w:color w:val="auto"/>
          <w:sz w:val="36"/>
          <w:szCs w:val="36"/>
        </w:rPr>
        <w:t>号：JLP25C00035</w:t>
      </w:r>
    </w:p>
    <w:p w14:paraId="66E942A9">
      <w:pPr>
        <w:spacing w:line="500" w:lineRule="exact"/>
        <w:ind w:firstLine="900" w:firstLineChars="250"/>
        <w:outlineLvl w:val="0"/>
        <w:rPr>
          <w:rFonts w:hint="eastAsia" w:ascii="微软雅黑" w:hAnsi="微软雅黑" w:eastAsia="微软雅黑" w:cs="微软雅黑"/>
          <w:color w:val="auto"/>
          <w:sz w:val="36"/>
          <w:szCs w:val="36"/>
        </w:rPr>
      </w:pPr>
    </w:p>
    <w:p w14:paraId="15AE467C">
      <w:pPr>
        <w:spacing w:line="360" w:lineRule="auto"/>
        <w:ind w:left="2520" w:hanging="2520" w:hangingChars="700"/>
        <w:jc w:val="left"/>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磋商项目名称：九龙污水隧道及上游污水管网溯源整治工程造价全过程控制服务</w:t>
      </w:r>
    </w:p>
    <w:p w14:paraId="29BB4411">
      <w:pPr>
        <w:spacing w:line="700" w:lineRule="exact"/>
        <w:ind w:firstLine="1749" w:firstLineChars="486"/>
        <w:rPr>
          <w:rFonts w:hint="eastAsia" w:ascii="微软雅黑" w:hAnsi="微软雅黑" w:eastAsia="微软雅黑" w:cs="微软雅黑"/>
          <w:color w:val="auto"/>
          <w:sz w:val="36"/>
          <w:szCs w:val="36"/>
        </w:rPr>
      </w:pPr>
    </w:p>
    <w:p w14:paraId="3CAC0A7C">
      <w:pPr>
        <w:spacing w:line="700" w:lineRule="exact"/>
        <w:rPr>
          <w:rFonts w:hint="eastAsia" w:ascii="微软雅黑" w:hAnsi="微软雅黑" w:eastAsia="微软雅黑" w:cs="微软雅黑"/>
          <w:color w:val="auto"/>
          <w:sz w:val="36"/>
          <w:szCs w:val="36"/>
        </w:rPr>
      </w:pPr>
    </w:p>
    <w:p w14:paraId="2DCD49E1">
      <w:pPr>
        <w:spacing w:line="700" w:lineRule="exact"/>
        <w:jc w:val="center"/>
        <w:rPr>
          <w:rFonts w:hint="eastAsia" w:ascii="微软雅黑" w:hAnsi="微软雅黑" w:eastAsia="微软雅黑" w:cs="微软雅黑"/>
          <w:b/>
          <w:color w:val="auto"/>
          <w:sz w:val="36"/>
          <w:szCs w:val="36"/>
        </w:rPr>
      </w:pPr>
    </w:p>
    <w:p w14:paraId="7F19BFF7">
      <w:pPr>
        <w:spacing w:line="360" w:lineRule="auto"/>
        <w:ind w:left="2517" w:leftChars="256" w:hanging="1800" w:hangingChars="500"/>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采购人：重庆市九龙坡区住房和城乡建设委员会</w:t>
      </w:r>
    </w:p>
    <w:p w14:paraId="39F9433D">
      <w:pPr>
        <w:spacing w:line="360" w:lineRule="auto"/>
        <w:ind w:left="2517" w:leftChars="256" w:hanging="1800" w:hangingChars="500"/>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采购代理机构：重庆昕笛枫建设工程咨询有限公司</w:t>
      </w:r>
    </w:p>
    <w:p w14:paraId="43557C85">
      <w:pPr>
        <w:spacing w:line="360" w:lineRule="auto"/>
        <w:ind w:left="2520" w:hanging="2520" w:hangingChars="700"/>
        <w:jc w:val="center"/>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二〇二五年四月</w:t>
      </w:r>
    </w:p>
    <w:p w14:paraId="1B0C7999">
      <w:pPr>
        <w:spacing w:line="720" w:lineRule="exact"/>
        <w:jc w:val="center"/>
        <w:outlineLvl w:val="0"/>
        <w:rPr>
          <w:rFonts w:hint="eastAsia" w:ascii="微软雅黑" w:hAnsi="微软雅黑" w:eastAsia="微软雅黑" w:cs="微软雅黑"/>
          <w:color w:val="auto"/>
          <w:sz w:val="48"/>
          <w:szCs w:val="32"/>
        </w:rPr>
        <w:sectPr>
          <w:headerReference r:id="rId5" w:type="first"/>
          <w:footerReference r:id="rId8" w:type="first"/>
          <w:headerReference r:id="rId3" w:type="default"/>
          <w:footerReference r:id="rId6" w:type="default"/>
          <w:headerReference r:id="rId4" w:type="even"/>
          <w:footerReference r:id="rId7" w:type="even"/>
          <w:pgSz w:w="11907" w:h="16840"/>
          <w:pgMar w:top="1417" w:right="1417" w:bottom="1417" w:left="1417" w:header="851" w:footer="992" w:gutter="0"/>
          <w:pgNumType w:fmt="numberInDash" w:start="1"/>
          <w:cols w:space="720" w:num="1"/>
          <w:titlePg/>
          <w:docGrid w:linePitch="381" w:charSpace="-5735"/>
        </w:sectPr>
      </w:pPr>
    </w:p>
    <w:p w14:paraId="2C139357">
      <w:pPr>
        <w:spacing w:line="480" w:lineRule="exact"/>
        <w:jc w:val="center"/>
        <w:outlineLvl w:val="0"/>
        <w:rPr>
          <w:rFonts w:hint="eastAsia" w:ascii="微软雅黑" w:hAnsi="微软雅黑" w:eastAsia="微软雅黑" w:cs="微软雅黑"/>
          <w:color w:val="auto"/>
          <w:sz w:val="44"/>
          <w:szCs w:val="28"/>
        </w:rPr>
      </w:pPr>
      <w:r>
        <w:rPr>
          <w:rFonts w:hint="eastAsia" w:ascii="微软雅黑" w:hAnsi="微软雅黑" w:eastAsia="微软雅黑" w:cs="微软雅黑"/>
          <w:color w:val="auto"/>
          <w:sz w:val="44"/>
          <w:szCs w:val="28"/>
        </w:rPr>
        <w:t>目   录</w:t>
      </w:r>
    </w:p>
    <w:p w14:paraId="3DF75BBF">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TOC \o "1-3" \h \z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_Toc15281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color w:val="auto"/>
          <w:szCs w:val="30"/>
        </w:rPr>
        <w:t>第一篇  采购邀请书</w:t>
      </w:r>
      <w:r>
        <w:rPr>
          <w:color w:val="auto"/>
        </w:rPr>
        <w:tab/>
      </w:r>
      <w:r>
        <w:rPr>
          <w:color w:val="auto"/>
        </w:rPr>
        <w:fldChar w:fldCharType="begin"/>
      </w:r>
      <w:r>
        <w:rPr>
          <w:color w:val="auto"/>
        </w:rPr>
        <w:instrText xml:space="preserve"> PAGEREF _Toc15281 \h </w:instrText>
      </w:r>
      <w:r>
        <w:rPr>
          <w:color w:val="auto"/>
        </w:rPr>
        <w:fldChar w:fldCharType="separate"/>
      </w:r>
      <w:r>
        <w:rPr>
          <w:color w:val="auto"/>
        </w:rPr>
        <w:t>- 2 -</w:t>
      </w:r>
      <w:r>
        <w:rPr>
          <w:color w:val="auto"/>
        </w:rPr>
        <w:fldChar w:fldCharType="end"/>
      </w:r>
      <w:r>
        <w:rPr>
          <w:rFonts w:hint="eastAsia" w:ascii="微软雅黑" w:hAnsi="微软雅黑" w:eastAsia="微软雅黑" w:cs="微软雅黑"/>
          <w:color w:val="auto"/>
          <w:szCs w:val="21"/>
        </w:rPr>
        <w:fldChar w:fldCharType="end"/>
      </w:r>
    </w:p>
    <w:p w14:paraId="0BB48D9F">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_Toc13552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color w:val="auto"/>
          <w:szCs w:val="30"/>
        </w:rPr>
        <w:t>第二篇  项目服务需求</w:t>
      </w:r>
      <w:r>
        <w:rPr>
          <w:color w:val="auto"/>
        </w:rPr>
        <w:tab/>
      </w:r>
      <w:r>
        <w:rPr>
          <w:color w:val="auto"/>
        </w:rPr>
        <w:fldChar w:fldCharType="begin"/>
      </w:r>
      <w:r>
        <w:rPr>
          <w:color w:val="auto"/>
        </w:rPr>
        <w:instrText xml:space="preserve"> PAGEREF _Toc13552 \h </w:instrText>
      </w:r>
      <w:r>
        <w:rPr>
          <w:color w:val="auto"/>
        </w:rPr>
        <w:fldChar w:fldCharType="separate"/>
      </w:r>
      <w:r>
        <w:rPr>
          <w:color w:val="auto"/>
        </w:rPr>
        <w:t>- 8 -</w:t>
      </w:r>
      <w:r>
        <w:rPr>
          <w:color w:val="auto"/>
        </w:rPr>
        <w:fldChar w:fldCharType="end"/>
      </w:r>
      <w:r>
        <w:rPr>
          <w:rFonts w:hint="eastAsia" w:ascii="微软雅黑" w:hAnsi="微软雅黑" w:eastAsia="微软雅黑" w:cs="微软雅黑"/>
          <w:color w:val="auto"/>
          <w:szCs w:val="21"/>
        </w:rPr>
        <w:fldChar w:fldCharType="end"/>
      </w:r>
    </w:p>
    <w:p w14:paraId="08F0032D">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_Toc9816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color w:val="auto"/>
          <w:szCs w:val="30"/>
        </w:rPr>
        <w:t>第三篇  项目商务需求</w:t>
      </w:r>
      <w:r>
        <w:rPr>
          <w:color w:val="auto"/>
        </w:rPr>
        <w:tab/>
      </w:r>
      <w:r>
        <w:rPr>
          <w:color w:val="auto"/>
        </w:rPr>
        <w:fldChar w:fldCharType="begin"/>
      </w:r>
      <w:r>
        <w:rPr>
          <w:color w:val="auto"/>
        </w:rPr>
        <w:instrText xml:space="preserve"> PAGEREF _Toc9816 \h </w:instrText>
      </w:r>
      <w:r>
        <w:rPr>
          <w:color w:val="auto"/>
        </w:rPr>
        <w:fldChar w:fldCharType="separate"/>
      </w:r>
      <w:r>
        <w:rPr>
          <w:color w:val="auto"/>
        </w:rPr>
        <w:t>- 10 -</w:t>
      </w:r>
      <w:r>
        <w:rPr>
          <w:color w:val="auto"/>
        </w:rPr>
        <w:fldChar w:fldCharType="end"/>
      </w:r>
      <w:r>
        <w:rPr>
          <w:rFonts w:hint="eastAsia" w:ascii="微软雅黑" w:hAnsi="微软雅黑" w:eastAsia="微软雅黑" w:cs="微软雅黑"/>
          <w:color w:val="auto"/>
          <w:szCs w:val="21"/>
        </w:rPr>
        <w:fldChar w:fldCharType="end"/>
      </w:r>
    </w:p>
    <w:p w14:paraId="12965FBF">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_Toc18827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color w:val="auto"/>
          <w:szCs w:val="30"/>
        </w:rPr>
        <w:t>第四篇 磋商程序及方法、评审标准、无效响应和</w:t>
      </w:r>
      <w:r>
        <w:rPr>
          <w:rFonts w:hint="eastAsia" w:ascii="微软雅黑" w:hAnsi="微软雅黑" w:eastAsia="微软雅黑" w:cs="微软雅黑"/>
          <w:color w:val="auto"/>
          <w:szCs w:val="36"/>
        </w:rPr>
        <w:t>采购终止</w:t>
      </w:r>
      <w:r>
        <w:rPr>
          <w:color w:val="auto"/>
        </w:rPr>
        <w:tab/>
      </w:r>
      <w:r>
        <w:rPr>
          <w:color w:val="auto"/>
        </w:rPr>
        <w:fldChar w:fldCharType="begin"/>
      </w:r>
      <w:r>
        <w:rPr>
          <w:color w:val="auto"/>
        </w:rPr>
        <w:instrText xml:space="preserve"> PAGEREF _Toc18827 \h </w:instrText>
      </w:r>
      <w:r>
        <w:rPr>
          <w:color w:val="auto"/>
        </w:rPr>
        <w:fldChar w:fldCharType="separate"/>
      </w:r>
      <w:r>
        <w:rPr>
          <w:color w:val="auto"/>
        </w:rPr>
        <w:t>- 12 -</w:t>
      </w:r>
      <w:r>
        <w:rPr>
          <w:color w:val="auto"/>
        </w:rPr>
        <w:fldChar w:fldCharType="end"/>
      </w:r>
      <w:r>
        <w:rPr>
          <w:rFonts w:hint="eastAsia" w:ascii="微软雅黑" w:hAnsi="微软雅黑" w:eastAsia="微软雅黑" w:cs="微软雅黑"/>
          <w:color w:val="auto"/>
          <w:szCs w:val="21"/>
        </w:rPr>
        <w:fldChar w:fldCharType="end"/>
      </w:r>
    </w:p>
    <w:p w14:paraId="692A0FFE">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_Toc22493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bCs/>
          <w:color w:val="auto"/>
          <w:szCs w:val="30"/>
        </w:rPr>
        <w:t>第五篇  供应商须知</w:t>
      </w:r>
      <w:r>
        <w:rPr>
          <w:color w:val="auto"/>
        </w:rPr>
        <w:tab/>
      </w:r>
      <w:r>
        <w:rPr>
          <w:color w:val="auto"/>
        </w:rPr>
        <w:fldChar w:fldCharType="begin"/>
      </w:r>
      <w:r>
        <w:rPr>
          <w:color w:val="auto"/>
        </w:rPr>
        <w:instrText xml:space="preserve"> PAGEREF _Toc22493 \h </w:instrText>
      </w:r>
      <w:r>
        <w:rPr>
          <w:color w:val="auto"/>
        </w:rPr>
        <w:fldChar w:fldCharType="separate"/>
      </w:r>
      <w:r>
        <w:rPr>
          <w:color w:val="auto"/>
        </w:rPr>
        <w:t>- 18 -</w:t>
      </w:r>
      <w:r>
        <w:rPr>
          <w:color w:val="auto"/>
        </w:rPr>
        <w:fldChar w:fldCharType="end"/>
      </w:r>
      <w:r>
        <w:rPr>
          <w:rFonts w:hint="eastAsia" w:ascii="微软雅黑" w:hAnsi="微软雅黑" w:eastAsia="微软雅黑" w:cs="微软雅黑"/>
          <w:color w:val="auto"/>
          <w:szCs w:val="21"/>
        </w:rPr>
        <w:fldChar w:fldCharType="end"/>
      </w:r>
    </w:p>
    <w:p w14:paraId="5E0FA42C">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_Toc29780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color w:val="auto"/>
          <w:szCs w:val="30"/>
        </w:rPr>
        <w:t>第六篇  政府采购合同</w:t>
      </w:r>
      <w:r>
        <w:rPr>
          <w:color w:val="auto"/>
        </w:rPr>
        <w:tab/>
      </w:r>
      <w:r>
        <w:rPr>
          <w:color w:val="auto"/>
        </w:rPr>
        <w:fldChar w:fldCharType="begin"/>
      </w:r>
      <w:r>
        <w:rPr>
          <w:color w:val="auto"/>
        </w:rPr>
        <w:instrText xml:space="preserve"> PAGEREF _Toc29780 \h </w:instrText>
      </w:r>
      <w:r>
        <w:rPr>
          <w:color w:val="auto"/>
        </w:rPr>
        <w:fldChar w:fldCharType="separate"/>
      </w:r>
      <w:r>
        <w:rPr>
          <w:color w:val="auto"/>
        </w:rPr>
        <w:t>- 23 -</w:t>
      </w:r>
      <w:r>
        <w:rPr>
          <w:color w:val="auto"/>
        </w:rPr>
        <w:fldChar w:fldCharType="end"/>
      </w:r>
      <w:r>
        <w:rPr>
          <w:rFonts w:hint="eastAsia" w:ascii="微软雅黑" w:hAnsi="微软雅黑" w:eastAsia="微软雅黑" w:cs="微软雅黑"/>
          <w:color w:val="auto"/>
          <w:szCs w:val="21"/>
        </w:rPr>
        <w:fldChar w:fldCharType="end"/>
      </w:r>
    </w:p>
    <w:p w14:paraId="197A4007">
      <w:pPr>
        <w:pStyle w:val="49"/>
        <w:keepNext w:val="0"/>
        <w:keepLines w:val="0"/>
        <w:pageBreakBefore w:val="0"/>
        <w:widowControl w:val="0"/>
        <w:tabs>
          <w:tab w:val="right" w:leader="dot" w:pos="9073"/>
        </w:tabs>
        <w:kinsoku/>
        <w:wordWrap/>
        <w:overflowPunct/>
        <w:topLinePunct w:val="0"/>
        <w:autoSpaceDE/>
        <w:autoSpaceDN/>
        <w:bidi w:val="0"/>
        <w:adjustRightInd/>
        <w:snapToGrid/>
        <w:spacing w:line="480" w:lineRule="auto"/>
        <w:textAlignment w:val="auto"/>
        <w:rPr>
          <w:color w:val="auto"/>
        </w:rPr>
      </w:pPr>
      <w:r>
        <w:rPr>
          <w:rFonts w:hint="eastAsia" w:ascii="微软雅黑" w:hAnsi="微软雅黑" w:eastAsia="微软雅黑" w:cs="微软雅黑"/>
          <w:color w:val="auto"/>
          <w:szCs w:val="21"/>
        </w:rPr>
        <w:fldChar w:fldCharType="begin"/>
      </w:r>
      <w:r>
        <w:rPr>
          <w:rFonts w:hint="eastAsia" w:ascii="微软雅黑" w:hAnsi="微软雅黑" w:eastAsia="微软雅黑" w:cs="微软雅黑"/>
          <w:color w:val="auto"/>
          <w:szCs w:val="21"/>
        </w:rPr>
        <w:instrText xml:space="preserve"> HYPERLINK \l _Toc5395 </w:instrText>
      </w:r>
      <w:r>
        <w:rPr>
          <w:rFonts w:hint="eastAsia" w:ascii="微软雅黑" w:hAnsi="微软雅黑" w:eastAsia="微软雅黑" w:cs="微软雅黑"/>
          <w:color w:val="auto"/>
          <w:szCs w:val="21"/>
        </w:rPr>
        <w:fldChar w:fldCharType="separate"/>
      </w:r>
      <w:r>
        <w:rPr>
          <w:rFonts w:hint="eastAsia" w:ascii="微软雅黑" w:hAnsi="微软雅黑" w:eastAsia="微软雅黑" w:cs="微软雅黑"/>
          <w:color w:val="auto"/>
          <w:szCs w:val="30"/>
        </w:rPr>
        <w:t>第七篇  响应文件编制要求</w:t>
      </w:r>
      <w:r>
        <w:rPr>
          <w:color w:val="auto"/>
        </w:rPr>
        <w:tab/>
      </w:r>
      <w:r>
        <w:rPr>
          <w:color w:val="auto"/>
        </w:rPr>
        <w:fldChar w:fldCharType="begin"/>
      </w:r>
      <w:r>
        <w:rPr>
          <w:color w:val="auto"/>
        </w:rPr>
        <w:instrText xml:space="preserve"> PAGEREF _Toc5395 \h </w:instrText>
      </w:r>
      <w:r>
        <w:rPr>
          <w:color w:val="auto"/>
        </w:rPr>
        <w:fldChar w:fldCharType="separate"/>
      </w:r>
      <w:r>
        <w:rPr>
          <w:color w:val="auto"/>
        </w:rPr>
        <w:t>- 48 -</w:t>
      </w:r>
      <w:r>
        <w:rPr>
          <w:color w:val="auto"/>
        </w:rPr>
        <w:fldChar w:fldCharType="end"/>
      </w:r>
      <w:r>
        <w:rPr>
          <w:rFonts w:hint="eastAsia" w:ascii="微软雅黑" w:hAnsi="微软雅黑" w:eastAsia="微软雅黑" w:cs="微软雅黑"/>
          <w:color w:val="auto"/>
          <w:szCs w:val="21"/>
        </w:rPr>
        <w:fldChar w:fldCharType="end"/>
      </w:r>
    </w:p>
    <w:p w14:paraId="14C23C37">
      <w:pPr>
        <w:pStyle w:val="49"/>
        <w:tabs>
          <w:tab w:val="right" w:leader="dot" w:pos="9073"/>
        </w:tabs>
        <w:rPr>
          <w:color w:val="auto"/>
        </w:rPr>
      </w:pPr>
    </w:p>
    <w:p w14:paraId="6F470942">
      <w:pPr>
        <w:pStyle w:val="49"/>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417" w:right="1417" w:bottom="1417" w:left="1417" w:header="851" w:footer="992" w:gutter="0"/>
          <w:pgNumType w:fmt="numberInDash" w:start="1"/>
          <w:cols w:space="720" w:num="1"/>
          <w:docGrid w:linePitch="381" w:charSpace="-5735"/>
        </w:sectPr>
      </w:pPr>
      <w:r>
        <w:rPr>
          <w:rFonts w:hint="eastAsia" w:ascii="微软雅黑" w:hAnsi="微软雅黑" w:eastAsia="微软雅黑" w:cs="微软雅黑"/>
          <w:color w:val="auto"/>
          <w:szCs w:val="21"/>
        </w:rPr>
        <w:fldChar w:fldCharType="end"/>
      </w:r>
    </w:p>
    <w:p w14:paraId="76533416">
      <w:pPr>
        <w:pStyle w:val="3"/>
        <w:spacing w:line="360" w:lineRule="auto"/>
        <w:jc w:val="center"/>
        <w:rPr>
          <w:rFonts w:hint="eastAsia" w:ascii="微软雅黑" w:hAnsi="微软雅黑" w:eastAsia="微软雅黑" w:cs="微软雅黑"/>
          <w:b w:val="0"/>
          <w:color w:val="auto"/>
          <w:szCs w:val="30"/>
        </w:rPr>
      </w:pPr>
      <w:bookmarkStart w:id="0" w:name="_Toc11641050"/>
      <w:bookmarkStart w:id="1" w:name="_Toc76462316"/>
      <w:bookmarkStart w:id="2" w:name="_Toc15281"/>
      <w:bookmarkStart w:id="3" w:name="_Toc12789052"/>
      <w:r>
        <w:rPr>
          <w:rFonts w:hint="eastAsia" w:ascii="微软雅黑" w:hAnsi="微软雅黑" w:eastAsia="微软雅黑" w:cs="微软雅黑"/>
          <w:b w:val="0"/>
          <w:color w:val="auto"/>
          <w:sz w:val="36"/>
          <w:szCs w:val="30"/>
        </w:rPr>
        <w:t>第一篇  采购邀请书</w:t>
      </w:r>
      <w:bookmarkEnd w:id="0"/>
      <w:bookmarkEnd w:id="1"/>
      <w:bookmarkEnd w:id="2"/>
      <w:bookmarkEnd w:id="3"/>
    </w:p>
    <w:p w14:paraId="70569C46">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重庆昕笛枫建设工程咨询有限公司（以下简称：采购代理机构）接受重庆市九龙坡区住房和城乡建设委员会（以下简称：采购人）的委托，对九龙污水隧道及上游污水管网溯源整治工程造价全过程控制服务采购进行竞争性磋商采购。欢迎有资格的供应商前来参与磋商。</w:t>
      </w:r>
    </w:p>
    <w:p w14:paraId="77B1D5D6">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 w:name="_Toc26131"/>
      <w:bookmarkStart w:id="5" w:name="_Toc76462317"/>
      <w:bookmarkStart w:id="6" w:name="_Toc182845833"/>
      <w:bookmarkStart w:id="7" w:name="_Toc317775175"/>
      <w:bookmarkStart w:id="8" w:name="_Toc313893526"/>
      <w:r>
        <w:rPr>
          <w:rFonts w:hint="eastAsia" w:ascii="微软雅黑" w:hAnsi="微软雅黑" w:eastAsia="微软雅黑" w:cs="微软雅黑"/>
          <w:color w:val="auto"/>
          <w:sz w:val="24"/>
        </w:rPr>
        <w:t>一、竞争性磋商内容</w:t>
      </w:r>
      <w:bookmarkEnd w:id="4"/>
      <w:bookmarkEnd w:id="5"/>
      <w:bookmarkEnd w:id="6"/>
      <w:bookmarkEnd w:id="7"/>
      <w:bookmarkEnd w:id="8"/>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2551"/>
        <w:gridCol w:w="1276"/>
        <w:gridCol w:w="992"/>
        <w:gridCol w:w="1701"/>
        <w:gridCol w:w="2375"/>
      </w:tblGrid>
      <w:tr w14:paraId="2365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92" w:type="dxa"/>
            <w:tcBorders>
              <w:top w:val="single" w:color="auto" w:sz="4" w:space="0"/>
              <w:left w:val="single" w:color="auto" w:sz="4" w:space="0"/>
              <w:right w:val="single" w:color="auto" w:sz="4" w:space="0"/>
            </w:tcBorders>
            <w:noWrap w:val="0"/>
            <w:vAlign w:val="center"/>
          </w:tcPr>
          <w:p w14:paraId="7CC6405D">
            <w:pPr>
              <w:spacing w:line="400" w:lineRule="exact"/>
              <w:jc w:val="center"/>
              <w:rPr>
                <w:rFonts w:hint="eastAsia" w:ascii="微软雅黑" w:hAnsi="微软雅黑" w:eastAsia="微软雅黑" w:cs="微软雅黑"/>
                <w:b/>
                <w:bCs/>
                <w:color w:val="auto"/>
                <w:sz w:val="21"/>
                <w:szCs w:val="21"/>
              </w:rPr>
            </w:pPr>
            <w:bookmarkStart w:id="9" w:name="_Toc76462318"/>
            <w:bookmarkStart w:id="10" w:name="_Toc373860293"/>
            <w:bookmarkStart w:id="11" w:name="_Toc317775178"/>
            <w:r>
              <w:rPr>
                <w:rFonts w:hint="eastAsia" w:ascii="微软雅黑" w:hAnsi="微软雅黑" w:eastAsia="微软雅黑" w:cs="微软雅黑"/>
                <w:b/>
                <w:bCs/>
                <w:color w:val="auto"/>
                <w:sz w:val="21"/>
                <w:szCs w:val="21"/>
              </w:rPr>
              <w:t>序号</w:t>
            </w:r>
          </w:p>
        </w:tc>
        <w:tc>
          <w:tcPr>
            <w:tcW w:w="2551" w:type="dxa"/>
            <w:tcBorders>
              <w:top w:val="single" w:color="auto" w:sz="4" w:space="0"/>
              <w:left w:val="single" w:color="auto" w:sz="4" w:space="0"/>
              <w:right w:val="single" w:color="auto" w:sz="4" w:space="0"/>
            </w:tcBorders>
            <w:noWrap w:val="0"/>
            <w:vAlign w:val="center"/>
          </w:tcPr>
          <w:p w14:paraId="3E9FAB0E">
            <w:pPr>
              <w:spacing w:line="400" w:lineRule="exact"/>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项目名称</w:t>
            </w:r>
          </w:p>
        </w:tc>
        <w:tc>
          <w:tcPr>
            <w:tcW w:w="1276" w:type="dxa"/>
            <w:tcBorders>
              <w:top w:val="single" w:color="auto" w:sz="4" w:space="0"/>
              <w:left w:val="single" w:color="auto" w:sz="4" w:space="0"/>
              <w:right w:val="single" w:color="auto" w:sz="4" w:space="0"/>
            </w:tcBorders>
            <w:noWrap w:val="0"/>
            <w:vAlign w:val="center"/>
          </w:tcPr>
          <w:p w14:paraId="5C298A02">
            <w:pPr>
              <w:spacing w:line="400" w:lineRule="exact"/>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最高限价（万元）</w:t>
            </w:r>
          </w:p>
        </w:tc>
        <w:tc>
          <w:tcPr>
            <w:tcW w:w="992" w:type="dxa"/>
            <w:tcBorders>
              <w:top w:val="single" w:color="auto" w:sz="4" w:space="0"/>
              <w:left w:val="single" w:color="auto" w:sz="4" w:space="0"/>
              <w:right w:val="single" w:color="auto" w:sz="4" w:space="0"/>
            </w:tcBorders>
            <w:noWrap w:val="0"/>
            <w:vAlign w:val="center"/>
          </w:tcPr>
          <w:p w14:paraId="4BD42155">
            <w:pPr>
              <w:spacing w:line="400" w:lineRule="exact"/>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保证金（万元）</w:t>
            </w:r>
          </w:p>
        </w:tc>
        <w:tc>
          <w:tcPr>
            <w:tcW w:w="1701" w:type="dxa"/>
            <w:tcBorders>
              <w:top w:val="single" w:color="auto" w:sz="4" w:space="0"/>
              <w:left w:val="single" w:color="auto" w:sz="4" w:space="0"/>
              <w:right w:val="single" w:color="auto" w:sz="4" w:space="0"/>
            </w:tcBorders>
            <w:noWrap w:val="0"/>
            <w:vAlign w:val="center"/>
          </w:tcPr>
          <w:p w14:paraId="2F34FD86">
            <w:pPr>
              <w:spacing w:line="400" w:lineRule="exact"/>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成交供应商数量（名）</w:t>
            </w:r>
          </w:p>
        </w:tc>
        <w:tc>
          <w:tcPr>
            <w:tcW w:w="2375" w:type="dxa"/>
            <w:tcBorders>
              <w:top w:val="single" w:color="auto" w:sz="4" w:space="0"/>
              <w:left w:val="single" w:color="auto" w:sz="4" w:space="0"/>
              <w:right w:val="single" w:color="auto" w:sz="4" w:space="0"/>
            </w:tcBorders>
            <w:noWrap w:val="0"/>
            <w:vAlign w:val="center"/>
          </w:tcPr>
          <w:p w14:paraId="78375458">
            <w:pPr>
              <w:spacing w:line="400" w:lineRule="exact"/>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采购标的对应的中小企业划分标准所属行业</w:t>
            </w:r>
          </w:p>
        </w:tc>
      </w:tr>
      <w:tr w14:paraId="2A4B7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92" w:type="dxa"/>
            <w:tcBorders>
              <w:top w:val="single" w:color="auto" w:sz="4" w:space="0"/>
              <w:left w:val="single" w:color="auto" w:sz="4" w:space="0"/>
              <w:bottom w:val="single" w:color="auto" w:sz="4" w:space="0"/>
              <w:right w:val="single" w:color="auto" w:sz="4" w:space="0"/>
            </w:tcBorders>
            <w:noWrap w:val="0"/>
            <w:vAlign w:val="center"/>
          </w:tcPr>
          <w:p w14:paraId="355EE1EE">
            <w:pPr>
              <w:snapToGrid w:val="0"/>
              <w:spacing w:line="400" w:lineRule="exact"/>
              <w:jc w:val="center"/>
              <w:rPr>
                <w:rFonts w:hint="eastAsia" w:ascii="微软雅黑" w:hAnsi="微软雅黑" w:eastAsia="微软雅黑" w:cs="微软雅黑"/>
                <w:color w:val="auto"/>
                <w:sz w:val="21"/>
                <w:szCs w:val="21"/>
              </w:rPr>
            </w:pPr>
            <w:bookmarkStart w:id="12" w:name="_Hlk344477914"/>
            <w:r>
              <w:rPr>
                <w:rFonts w:hint="eastAsia" w:ascii="微软雅黑" w:hAnsi="微软雅黑" w:eastAsia="微软雅黑" w:cs="微软雅黑"/>
                <w:color w:val="auto"/>
                <w:sz w:val="21"/>
                <w:szCs w:val="21"/>
              </w:rPr>
              <w:t>1</w:t>
            </w:r>
          </w:p>
        </w:tc>
        <w:tc>
          <w:tcPr>
            <w:tcW w:w="2551" w:type="dxa"/>
            <w:tcBorders>
              <w:top w:val="single" w:color="auto" w:sz="4" w:space="0"/>
              <w:left w:val="single" w:color="auto" w:sz="4" w:space="0"/>
              <w:right w:val="single" w:color="auto" w:sz="4" w:space="0"/>
            </w:tcBorders>
            <w:noWrap w:val="0"/>
            <w:vAlign w:val="center"/>
          </w:tcPr>
          <w:p w14:paraId="5E49BBDD">
            <w:pPr>
              <w:snapToGrid w:val="0"/>
              <w:spacing w:line="400" w:lineRule="exac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九龙污水隧道及上游污水管网溯源整治工程造价全过程控制服务</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5EA9C92">
            <w:pPr>
              <w:snapToGrid w:val="0"/>
              <w:spacing w:line="400" w:lineRule="exact"/>
              <w:jc w:val="center"/>
              <w:rPr>
                <w:rFonts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69.76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343268">
            <w:pPr>
              <w:snapToGrid w:val="0"/>
              <w:spacing w:line="400" w:lineRule="exact"/>
              <w:ind w:firstLine="315" w:firstLineChars="15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6796D6A">
            <w:pPr>
              <w:snapToGrid w:val="0"/>
              <w:spacing w:line="400" w:lineRule="exac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2375" w:type="dxa"/>
            <w:tcBorders>
              <w:top w:val="single" w:color="auto" w:sz="4" w:space="0"/>
              <w:left w:val="single" w:color="auto" w:sz="4" w:space="0"/>
              <w:right w:val="single" w:color="auto" w:sz="4" w:space="0"/>
            </w:tcBorders>
            <w:noWrap w:val="0"/>
            <w:vAlign w:val="center"/>
          </w:tcPr>
          <w:p w14:paraId="36242B82">
            <w:pPr>
              <w:snapToGrid w:val="0"/>
              <w:spacing w:line="400" w:lineRule="exac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其他未列明行业</w:t>
            </w:r>
          </w:p>
        </w:tc>
      </w:tr>
      <w:bookmarkEnd w:id="12"/>
    </w:tbl>
    <w:p w14:paraId="797BDD48">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 w:name="_Toc11258"/>
      <w:bookmarkStart w:id="14" w:name="_Toc182845834"/>
      <w:r>
        <w:rPr>
          <w:rFonts w:hint="eastAsia" w:ascii="微软雅黑" w:hAnsi="微软雅黑" w:eastAsia="微软雅黑" w:cs="微软雅黑"/>
          <w:color w:val="auto"/>
          <w:sz w:val="24"/>
        </w:rPr>
        <w:t>二、资金来源</w:t>
      </w:r>
      <w:bookmarkEnd w:id="9"/>
      <w:bookmarkEnd w:id="13"/>
      <w:bookmarkEnd w:id="14"/>
    </w:p>
    <w:p w14:paraId="5676E9F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财政预算资金。</w:t>
      </w:r>
    </w:p>
    <w:p w14:paraId="142EC15B">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 w:name="_Toc19152"/>
      <w:bookmarkStart w:id="16" w:name="_Toc76462319"/>
      <w:bookmarkStart w:id="17" w:name="_Toc182845835"/>
      <w:r>
        <w:rPr>
          <w:rFonts w:hint="eastAsia" w:ascii="微软雅黑" w:hAnsi="微软雅黑" w:eastAsia="微软雅黑" w:cs="微软雅黑"/>
          <w:color w:val="auto"/>
          <w:sz w:val="24"/>
        </w:rPr>
        <w:t>三、供应商资格条件</w:t>
      </w:r>
      <w:bookmarkEnd w:id="15"/>
      <w:bookmarkEnd w:id="16"/>
      <w:bookmarkEnd w:id="17"/>
    </w:p>
    <w:p w14:paraId="15F35DF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14:paraId="473D174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落实政府采购政策需满足的资格要求：本项目专门面向中小微企业采购，供应商应为中小微型企业（提供中小企业声明函）或监狱企业（提供监狱企业证明文件）或残疾人福利性单位（残疾人福利性单位声明函）。</w:t>
      </w:r>
    </w:p>
    <w:p w14:paraId="6D93140D">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注：“中小企业声明函”应由供应商出具，并加盖供应商公章，声明函格式详见本招标文件第七篇“中小企业声明函”；</w:t>
      </w:r>
    </w:p>
    <w:p w14:paraId="3DC01C6A">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“监狱企业证明文件”应当由供应商提供其属于监狱企业的证明文件，该证明文件由省级以上监狱管理局、戒毒管理局（含新疆生产建设兵团）出具；</w:t>
      </w:r>
    </w:p>
    <w:p w14:paraId="611ECD0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“残疾人福利性单位声明函”应由供应商出具的“残疾人福利性单位声明函”，并加盖该残疾人福利性单位公章。</w:t>
      </w:r>
    </w:p>
    <w:p w14:paraId="20FF22C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（三）本项目的特定资格要求：无。</w:t>
      </w:r>
    </w:p>
    <w:p w14:paraId="5ED4BEC0">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 w:name="_Toc76462320"/>
      <w:bookmarkStart w:id="19" w:name="_Toc7581"/>
      <w:bookmarkStart w:id="20" w:name="_Toc182845836"/>
      <w:r>
        <w:rPr>
          <w:rFonts w:hint="eastAsia" w:ascii="微软雅黑" w:hAnsi="微软雅黑" w:eastAsia="微软雅黑" w:cs="微软雅黑"/>
          <w:color w:val="auto"/>
          <w:sz w:val="24"/>
        </w:rPr>
        <w:t>四、磋商有关说明</w:t>
      </w:r>
      <w:bookmarkEnd w:id="10"/>
      <w:bookmarkEnd w:id="18"/>
      <w:bookmarkEnd w:id="19"/>
      <w:bookmarkEnd w:id="20"/>
    </w:p>
    <w:p w14:paraId="4E3449F7">
      <w:pPr>
        <w:spacing w:line="400" w:lineRule="exact"/>
        <w:ind w:firstLine="480" w:firstLineChars="200"/>
        <w:rPr>
          <w:rFonts w:hint="eastAsia" w:ascii="微软雅黑" w:hAnsi="微软雅黑" w:eastAsia="微软雅黑" w:cs="微软雅黑"/>
          <w:color w:val="auto"/>
          <w:sz w:val="24"/>
          <w:szCs w:val="24"/>
        </w:rPr>
      </w:pPr>
      <w:bookmarkStart w:id="21" w:name="_Toc373860294"/>
      <w:bookmarkStart w:id="22" w:name="_Toc76462321"/>
      <w:r>
        <w:rPr>
          <w:rFonts w:hint="eastAsia" w:ascii="微软雅黑" w:hAnsi="微软雅黑" w:eastAsia="微软雅黑" w:cs="微软雅黑"/>
          <w:color w:val="auto"/>
          <w:sz w:val="24"/>
          <w:szCs w:val="24"/>
        </w:rPr>
        <w:t>（一）供应商应通过重庆市政府采购网（</w:t>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"http://www.cqgp.gov.cn"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rPr>
        <w:t>www.ccgp-chongqing.gov.cn</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t>）登记加入“重庆市政府采购供应商库”。</w:t>
      </w:r>
    </w:p>
    <w:p w14:paraId="27C19C8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投标的供应商线上获取本项目磋商文件、图纸、澄清等开标前公布的所有项目资料（登录重庆市政府采购网→在线开评标→电子投标在线报名→在线获取），无论供应商下载与否，均视为已知晓所有磋商内容。本次招标不提供纸质版竞争性磋商文件。</w:t>
      </w:r>
    </w:p>
    <w:p w14:paraId="636F904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竞争性磋商公告所附竞争性磋商文件仅供阅览使用，供应商只有登陆“重庆市政府采购网”完成网上获取采购文件才被视为合法获取了采购文件，否则其投标将被拒绝。即：未通过“重庆市政府采购网”下载、获取磋商文件，将无法上传响应文件。</w:t>
      </w:r>
    </w:p>
    <w:p w14:paraId="779AF5FD">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本项目为政府采购电子招投标项目，首次参与电子招投标的供应商须申请重庆市政府采购网账号密码、办理CA证书并下载响应文件制作系统制作电子响应文件进行互联网线上响应，具体操作流程请下载项目公告附件《政府采购全程电子化采购操作及安装手册（供应商必看手册）》进行查看。因未注册重庆市政府采购网账号、未办理CA证书、操作失败等原因造成无法投标或投标失败等后果由供应商自行承担。</w:t>
      </w:r>
    </w:p>
    <w:p w14:paraId="644ED45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1.CA证书的办理流程：登录“重庆市政府采购网”，进入“在线开评标”栏目，下载《政府采购全流程电子招投标项目供应商操作引导（含办理正式CA签章流程）》并按要求操作。</w:t>
      </w:r>
    </w:p>
    <w:p w14:paraId="7E8BA0F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电子响应文件制作：登录“重庆市政府采购网”→“个人中心”→“在线开评标”→“电子招投标中心”→“相关下载”栏目，下载附件《【供应商必看】政府采购（CA版）供应商投标前软件安装手册》、《政府采购全程电子化采购系统供应商操作手册（CA证书签章版）》和下载响应文件制作工具，并按下载的操作手册引导，完成电子响应文件制作。</w:t>
      </w:r>
    </w:p>
    <w:p w14:paraId="1820EFF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（五）竞争性磋商公告期限：自采购公告发布之日起五个工作日。</w:t>
      </w:r>
    </w:p>
    <w:p w14:paraId="244D731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（六）竞争性磋商文件发</w:t>
      </w:r>
      <w:r>
        <w:rPr>
          <w:rFonts w:hint="eastAsia" w:ascii="微软雅黑" w:hAnsi="微软雅黑" w:eastAsia="微软雅黑" w:cs="微软雅黑"/>
          <w:color w:val="auto"/>
          <w:sz w:val="24"/>
          <w:szCs w:val="24"/>
          <w:lang w:val="en-US" w:eastAsia="zh-CN"/>
        </w:rPr>
        <w:t>布</w:t>
      </w:r>
      <w:r>
        <w:rPr>
          <w:rFonts w:hint="eastAsia" w:ascii="微软雅黑" w:hAnsi="微软雅黑" w:eastAsia="微软雅黑" w:cs="微软雅黑"/>
          <w:color w:val="auto"/>
          <w:sz w:val="24"/>
          <w:szCs w:val="24"/>
        </w:rPr>
        <w:t>期限：自采购公告发布之日起五个工作日。</w:t>
      </w:r>
    </w:p>
    <w:p w14:paraId="6C713F6A">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七</w:t>
      </w:r>
      <w:r>
        <w:rPr>
          <w:rFonts w:hint="eastAsia" w:ascii="微软雅黑" w:hAnsi="微软雅黑" w:eastAsia="微软雅黑" w:cs="微软雅黑"/>
          <w:color w:val="auto"/>
          <w:sz w:val="24"/>
          <w:szCs w:val="24"/>
        </w:rPr>
        <w:t>）竞争性磋商文件售价：本项目免收磋商文件购买费。</w:t>
      </w:r>
    </w:p>
    <w:p w14:paraId="6BFCFF8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八</w:t>
      </w:r>
      <w:r>
        <w:rPr>
          <w:rFonts w:hint="eastAsia" w:ascii="微软雅黑" w:hAnsi="微软雅黑" w:eastAsia="微软雅黑" w:cs="微软雅黑"/>
          <w:color w:val="auto"/>
          <w:sz w:val="24"/>
          <w:szCs w:val="24"/>
        </w:rPr>
        <w:t>）递交响应文件方式：本项目采用网上递交方式，在投标截止时间前，登录“重庆市政府采购网”，进入“在线开评标”栏目，在“我的投标项目→待投标→上传响应文件”板块提交。</w:t>
      </w:r>
    </w:p>
    <w:p w14:paraId="1595F25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九</w:t>
      </w:r>
      <w:r>
        <w:rPr>
          <w:rFonts w:hint="eastAsia" w:ascii="微软雅黑" w:hAnsi="微软雅黑" w:eastAsia="微软雅黑" w:cs="微软雅黑"/>
          <w:color w:val="auto"/>
          <w:sz w:val="24"/>
          <w:szCs w:val="24"/>
        </w:rPr>
        <w:t>）响应文件递交截止时间：2025年</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月</w:t>
      </w: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日北京时间10:00</w:t>
      </w:r>
    </w:p>
    <w:p w14:paraId="2E13587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（十）磋商开始时间：2025年</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月</w:t>
      </w: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日北京时间10:00</w:t>
      </w:r>
    </w:p>
    <w:p w14:paraId="7AF63F8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rPr>
        <w:t>）开标地点：供应商登录“重庆市政府采购网”，进入“在线开评标”栏目，在“开评标大厅”进入本项目开标室。</w:t>
      </w:r>
    </w:p>
    <w:p w14:paraId="205680E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）注意事项</w:t>
      </w:r>
    </w:p>
    <w:p w14:paraId="3173691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1.开标方式：本项目采用网上开标，供应商登录重庆市政府采购网→在线开评标→开评标大厅，进入开标室完成在线签到、标书解密、确认开标结果。</w:t>
      </w:r>
    </w:p>
    <w:p w14:paraId="740BD29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供应商法定代表人或其授权代表持CA证书和无线上网的笔记本电脑（必须具有视频通话功能）前往重庆市公共资源交易中心（地址：重庆市渝北区青枫北路6号渝兴广场B9栋6楼）现场参加网上开标。供应商线下持对应设备到线下指定磋商地点参与在线磋商都是由供应商主观自行决定。因供应商自身原因导致未能在规定时间内解密电子响应文件或参与磋商的，其后果由供应商自行承担。</w:t>
      </w:r>
    </w:p>
    <w:p w14:paraId="4F746FF7">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3.供应商如未在规定时间内解密电子响应文件，其投标将被拒绝（因电子招投标系统问题除外）。</w:t>
      </w:r>
    </w:p>
    <w:p w14:paraId="3CFD577D">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4.本项目采用全流程电子招投标，各供应商需熟悉整个电子化过程。</w:t>
      </w:r>
    </w:p>
    <w:bookmarkEnd w:id="11"/>
    <w:bookmarkEnd w:id="21"/>
    <w:p w14:paraId="3263FEE6">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3" w:name="_Toc21629"/>
      <w:bookmarkStart w:id="24" w:name="_Toc182845837"/>
      <w:bookmarkStart w:id="25" w:name="_Toc28902"/>
      <w:bookmarkStart w:id="26" w:name="_Toc17197"/>
      <w:bookmarkStart w:id="27" w:name="_Toc480466698"/>
      <w:bookmarkStart w:id="28" w:name="_Toc479668114"/>
      <w:r>
        <w:rPr>
          <w:rFonts w:hint="eastAsia" w:ascii="微软雅黑" w:hAnsi="微软雅黑" w:eastAsia="微软雅黑" w:cs="微软雅黑"/>
          <w:color w:val="auto"/>
          <w:sz w:val="24"/>
        </w:rPr>
        <w:t>五、磋商保证金</w:t>
      </w:r>
      <w:bookmarkEnd w:id="23"/>
      <w:bookmarkEnd w:id="24"/>
      <w:bookmarkEnd w:id="25"/>
      <w:bookmarkEnd w:id="26"/>
    </w:p>
    <w:p w14:paraId="3608736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（一）磋商保证金递交</w:t>
      </w:r>
    </w:p>
    <w:p w14:paraId="58182B8D">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磋商保证金应当以银行转账、电汇、网银或者金融机构、担保机构出具的保函等非现金形式提交。供应商应足额交纳投标保证金（保证金金额详见本篇，一、</w:t>
      </w:r>
      <w:r>
        <w:rPr>
          <w:rFonts w:hint="eastAsia" w:ascii="微软雅黑" w:hAnsi="微软雅黑" w:eastAsia="微软雅黑" w:cs="微软雅黑"/>
          <w:color w:val="auto"/>
          <w:sz w:val="24"/>
          <w:szCs w:val="24"/>
          <w:lang w:val="en-US" w:eastAsia="zh-CN"/>
        </w:rPr>
        <w:t>竞争性磋商</w:t>
      </w:r>
      <w:r>
        <w:rPr>
          <w:rFonts w:hint="eastAsia" w:ascii="微软雅黑" w:hAnsi="微软雅黑" w:eastAsia="微软雅黑" w:cs="微软雅黑"/>
          <w:color w:val="auto"/>
          <w:sz w:val="24"/>
          <w:szCs w:val="24"/>
        </w:rPr>
        <w:t>内容），选择以下任意一种方式递交：</w:t>
      </w:r>
    </w:p>
    <w:p w14:paraId="72A49AC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方式一：</w:t>
      </w:r>
    </w:p>
    <w:p w14:paraId="75F57157">
      <w:pPr>
        <w:numPr>
          <w:ilvl w:val="0"/>
          <w:numId w:val="13"/>
        </w:num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选择以银行转账、电汇形式递交的，应汇至以下任一账户，投标保证金的到账截止时间同投标截止时间。</w:t>
      </w:r>
    </w:p>
    <w:tbl>
      <w:tblPr>
        <w:tblStyle w:val="62"/>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700"/>
        <w:gridCol w:w="6300"/>
      </w:tblGrid>
      <w:tr w14:paraId="75229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50" w:hRule="atLeast"/>
          <w:jc w:val="center"/>
        </w:trPr>
        <w:tc>
          <w:tcPr>
            <w:tcW w:w="0" w:type="auto"/>
            <w:gridSpan w:val="2"/>
            <w:tcBorders>
              <w:top w:val="nil"/>
              <w:left w:val="nil"/>
              <w:bottom w:val="nil"/>
              <w:right w:val="nil"/>
            </w:tcBorders>
            <w:shd w:val="clear" w:color="auto" w:fill="auto"/>
            <w:vAlign w:val="center"/>
          </w:tcPr>
          <w:p w14:paraId="7695ADB3">
            <w:pPr>
              <w:keepNext w:val="0"/>
              <w:keepLines w:val="0"/>
              <w:widowControl/>
              <w:suppressLineNumbers w:val="0"/>
              <w:spacing w:line="375" w:lineRule="atLeast"/>
              <w:jc w:val="center"/>
              <w:rPr>
                <w:sz w:val="60"/>
                <w:szCs w:val="60"/>
              </w:rPr>
            </w:pPr>
            <w:r>
              <w:rPr>
                <w:rStyle w:val="102"/>
                <w:rFonts w:ascii="宋体" w:hAnsi="宋体" w:eastAsia="宋体" w:cs="宋体"/>
                <w:sz w:val="60"/>
                <w:szCs w:val="60"/>
              </w:rPr>
              <w:t>投标保证金递交账号一览表</w:t>
            </w:r>
          </w:p>
        </w:tc>
      </w:tr>
      <w:tr w14:paraId="646D5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14:paraId="6B2BE70C">
            <w:pPr>
              <w:keepNext w:val="0"/>
              <w:keepLines w:val="0"/>
              <w:widowControl/>
              <w:suppressLineNumbers w:val="0"/>
              <w:spacing w:line="375" w:lineRule="atLeast"/>
              <w:jc w:val="left"/>
            </w:pPr>
            <w:r>
              <w:rPr>
                <w:rStyle w:val="102"/>
                <w:rFonts w:ascii="宋体" w:hAnsi="宋体" w:eastAsia="宋体" w:cs="宋体"/>
                <w:sz w:val="24"/>
                <w:szCs w:val="24"/>
              </w:rPr>
              <w:t>项目名称：九龙污水隧道及上游污水管网溯源整治工程造价全过程控制服务</w:t>
            </w:r>
          </w:p>
        </w:tc>
      </w:tr>
      <w:tr w14:paraId="00BD9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14:paraId="5C64669B">
            <w:pPr>
              <w:keepNext w:val="0"/>
              <w:keepLines w:val="0"/>
              <w:widowControl/>
              <w:suppressLineNumbers w:val="0"/>
              <w:spacing w:line="375" w:lineRule="atLeast"/>
              <w:jc w:val="left"/>
            </w:pPr>
            <w:r>
              <w:rPr>
                <w:rStyle w:val="102"/>
                <w:rFonts w:ascii="宋体" w:hAnsi="宋体" w:eastAsia="宋体" w:cs="宋体"/>
                <w:sz w:val="24"/>
                <w:szCs w:val="24"/>
              </w:rPr>
              <w:t>财政编号：JLP25C00035</w:t>
            </w:r>
          </w:p>
        </w:tc>
      </w:tr>
      <w:tr w14:paraId="5F44C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14:paraId="755EEDF8">
            <w:pPr>
              <w:keepNext w:val="0"/>
              <w:keepLines w:val="0"/>
              <w:widowControl/>
              <w:suppressLineNumbers w:val="0"/>
              <w:spacing w:line="375" w:lineRule="atLeast"/>
              <w:jc w:val="left"/>
            </w:pPr>
            <w:r>
              <w:rPr>
                <w:rStyle w:val="102"/>
                <w:rFonts w:ascii="宋体" w:hAnsi="宋体" w:eastAsia="宋体" w:cs="宋体"/>
                <w:sz w:val="24"/>
                <w:szCs w:val="24"/>
              </w:rPr>
              <w:t>项目编号：50000120250422030703001</w:t>
            </w:r>
          </w:p>
        </w:tc>
      </w:tr>
      <w:tr w14:paraId="3230D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51B5E41">
            <w:pPr>
              <w:keepNext w:val="0"/>
              <w:keepLines w:val="0"/>
              <w:widowControl/>
              <w:suppressLineNumbers w:val="0"/>
              <w:spacing w:line="375" w:lineRule="atLeast"/>
              <w:jc w:val="left"/>
            </w:pPr>
            <w:r>
              <w:rPr>
                <w:rFonts w:ascii="宋体" w:hAnsi="宋体" w:eastAsia="宋体" w:cs="宋体"/>
                <w:sz w:val="24"/>
                <w:szCs w:val="24"/>
              </w:rPr>
              <w:t>  户名:重庆联合产权交易所集团股份有限公司</w:t>
            </w:r>
          </w:p>
        </w:tc>
      </w:tr>
      <w:tr w14:paraId="3B67A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B2F4FE5">
            <w:pPr>
              <w:keepNext w:val="0"/>
              <w:keepLines w:val="0"/>
              <w:widowControl/>
              <w:suppressLineNumbers w:val="0"/>
              <w:spacing w:line="375" w:lineRule="atLeast"/>
              <w:jc w:val="center"/>
            </w:pPr>
            <w:r>
              <w:rPr>
                <w:rFonts w:ascii="宋体" w:hAnsi="宋体" w:eastAsia="宋体" w:cs="宋体"/>
                <w:sz w:val="24"/>
                <w:szCs w:val="24"/>
              </w:rPr>
              <w:t>分包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B82824C">
            <w:pPr>
              <w:keepNext w:val="0"/>
              <w:keepLines w:val="0"/>
              <w:widowControl/>
              <w:suppressLineNumbers w:val="0"/>
              <w:spacing w:line="375" w:lineRule="atLeast"/>
              <w:jc w:val="center"/>
            </w:pPr>
            <w:r>
              <w:rPr>
                <w:rFonts w:ascii="宋体" w:hAnsi="宋体" w:eastAsia="宋体" w:cs="宋体"/>
                <w:sz w:val="24"/>
                <w:szCs w:val="24"/>
              </w:rPr>
              <w:t>银行信息</w:t>
            </w:r>
          </w:p>
        </w:tc>
      </w:tr>
      <w:tr w14:paraId="35793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A2037BB">
            <w:pPr>
              <w:keepNext w:val="0"/>
              <w:keepLines w:val="0"/>
              <w:widowControl/>
              <w:suppressLineNumbers w:val="0"/>
              <w:spacing w:line="375" w:lineRule="atLeast"/>
              <w:jc w:val="center"/>
            </w:pPr>
            <w:r>
              <w:rPr>
                <w:rFonts w:ascii="宋体" w:hAnsi="宋体" w:eastAsia="宋体" w:cs="宋体"/>
                <w:sz w:val="24"/>
                <w:szCs w:val="24"/>
              </w:rPr>
              <w:t>01</w:t>
            </w:r>
          </w:p>
        </w:tc>
        <w:tc>
          <w:tcPr>
            <w:tcW w:w="3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tbl>
            <w:tblPr>
              <w:tblStyle w:val="6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8"/>
              <w:gridCol w:w="628"/>
              <w:gridCol w:w="5028"/>
            </w:tblGrid>
            <w:tr w14:paraId="34794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2EC9008">
                  <w:pPr>
                    <w:keepNext w:val="0"/>
                    <w:keepLines w:val="0"/>
                    <w:widowControl/>
                    <w:suppressLineNumbers w:val="0"/>
                    <w:spacing w:line="375" w:lineRule="atLeast"/>
                    <w:jc w:val="center"/>
                  </w:pPr>
                  <w:r>
                    <w:rPr>
                      <w:rFonts w:ascii="宋体" w:hAnsi="宋体" w:eastAsia="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850853F">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D3BB7AC">
                  <w:pPr>
                    <w:keepNext w:val="0"/>
                    <w:keepLines w:val="0"/>
                    <w:widowControl/>
                    <w:suppressLineNumbers w:val="0"/>
                    <w:spacing w:line="375" w:lineRule="atLeast"/>
                    <w:jc w:val="center"/>
                  </w:pPr>
                  <w:r>
                    <w:rPr>
                      <w:rFonts w:ascii="宋体" w:hAnsi="宋体" w:eastAsia="宋体" w:cs="宋体"/>
                      <w:sz w:val="24"/>
                      <w:szCs w:val="24"/>
                    </w:rPr>
                    <w:t>重庆银行七星岗支行</w:t>
                  </w:r>
                </w:p>
              </w:tc>
            </w:tr>
            <w:tr w14:paraId="45D9E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E816336">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2A3B8EB">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F431ADE">
                  <w:pPr>
                    <w:keepNext w:val="0"/>
                    <w:keepLines w:val="0"/>
                    <w:widowControl/>
                    <w:suppressLineNumbers w:val="0"/>
                    <w:spacing w:line="375" w:lineRule="atLeast"/>
                    <w:jc w:val="center"/>
                  </w:pPr>
                  <w:r>
                    <w:rPr>
                      <w:rFonts w:ascii="宋体" w:hAnsi="宋体" w:eastAsia="宋体" w:cs="宋体"/>
                      <w:sz w:val="24"/>
                      <w:szCs w:val="24"/>
                    </w:rPr>
                    <w:t>150101040015061163111</w:t>
                  </w:r>
                </w:p>
              </w:tc>
            </w:tr>
            <w:tr w14:paraId="486A4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41F86F6">
                  <w:pPr>
                    <w:keepNext w:val="0"/>
                    <w:keepLines w:val="0"/>
                    <w:widowControl/>
                    <w:suppressLineNumbers w:val="0"/>
                    <w:spacing w:line="375" w:lineRule="atLeast"/>
                    <w:jc w:val="center"/>
                  </w:pPr>
                  <w:r>
                    <w:rPr>
                      <w:rFonts w:ascii="宋体" w:hAnsi="宋体" w:eastAsia="宋体" w:cs="宋体"/>
                      <w:sz w:val="24"/>
                      <w:szCs w:val="24"/>
                    </w:rPr>
                    <w:t>账号2</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BC96183">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6C6F70C">
                  <w:pPr>
                    <w:keepNext w:val="0"/>
                    <w:keepLines w:val="0"/>
                    <w:widowControl/>
                    <w:suppressLineNumbers w:val="0"/>
                    <w:spacing w:line="375" w:lineRule="atLeast"/>
                    <w:jc w:val="center"/>
                  </w:pPr>
                  <w:r>
                    <w:rPr>
                      <w:rFonts w:ascii="宋体" w:hAnsi="宋体" w:eastAsia="宋体" w:cs="宋体"/>
                      <w:sz w:val="24"/>
                      <w:szCs w:val="24"/>
                    </w:rPr>
                    <w:t>建设银行重庆中山路支行</w:t>
                  </w:r>
                </w:p>
              </w:tc>
            </w:tr>
            <w:tr w14:paraId="5A042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2F2EC1A">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FDE68A7">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D9BB5F6">
                  <w:pPr>
                    <w:keepNext w:val="0"/>
                    <w:keepLines w:val="0"/>
                    <w:widowControl/>
                    <w:suppressLineNumbers w:val="0"/>
                    <w:spacing w:line="375" w:lineRule="atLeast"/>
                    <w:jc w:val="center"/>
                  </w:pPr>
                  <w:r>
                    <w:rPr>
                      <w:rFonts w:ascii="宋体" w:hAnsi="宋体" w:eastAsia="宋体" w:cs="宋体"/>
                      <w:sz w:val="24"/>
                      <w:szCs w:val="24"/>
                    </w:rPr>
                    <w:t>6232813760001815603</w:t>
                  </w:r>
                </w:p>
              </w:tc>
            </w:tr>
          </w:tbl>
          <w:p w14:paraId="477E674E">
            <w:pPr>
              <w:jc w:val="center"/>
            </w:pPr>
          </w:p>
        </w:tc>
      </w:tr>
      <w:tr w14:paraId="00FC7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34A8FCF">
            <w:pPr>
              <w:keepNext w:val="0"/>
              <w:keepLines w:val="0"/>
              <w:widowControl/>
              <w:suppressLineNumbers w:val="0"/>
              <w:spacing w:line="375" w:lineRule="atLeast"/>
              <w:jc w:val="left"/>
            </w:pPr>
            <w:r>
              <w:rPr>
                <w:rFonts w:ascii="宋体" w:hAnsi="宋体" w:eastAsia="宋体" w:cs="宋体"/>
                <w:sz w:val="24"/>
                <w:szCs w:val="24"/>
              </w:rPr>
              <w:t xml:space="preserve">银行行号： </w:t>
            </w:r>
            <w:r>
              <w:rPr>
                <w:rFonts w:ascii="宋体" w:hAnsi="宋体" w:eastAsia="宋体" w:cs="宋体"/>
                <w:sz w:val="24"/>
                <w:szCs w:val="24"/>
              </w:rPr>
              <w:br w:type="textWrapping"/>
            </w:r>
            <w:r>
              <w:rPr>
                <w:rFonts w:ascii="宋体" w:hAnsi="宋体" w:eastAsia="宋体" w:cs="宋体"/>
                <w:sz w:val="24"/>
                <w:szCs w:val="24"/>
              </w:rPr>
              <w:t xml:space="preserve">请登录重庆市公共资源交易网（www.cqggzy.com）对应栏目查看。 </w:t>
            </w:r>
            <w:r>
              <w:rPr>
                <w:rFonts w:ascii="宋体" w:hAnsi="宋体" w:eastAsia="宋体" w:cs="宋体"/>
                <w:sz w:val="24"/>
                <w:szCs w:val="24"/>
              </w:rPr>
              <w:br w:type="textWrapping"/>
            </w:r>
            <w:r>
              <w:rPr>
                <w:rFonts w:ascii="宋体" w:hAnsi="宋体" w:eastAsia="宋体" w:cs="宋体"/>
                <w:sz w:val="24"/>
                <w:szCs w:val="24"/>
              </w:rPr>
              <w:t xml:space="preserve">路径：服务导航-政府采购-办事指引-重庆市公共资源交易中心政府采购项目保证金银行联行行号。 </w:t>
            </w:r>
          </w:p>
        </w:tc>
      </w:tr>
    </w:tbl>
    <w:p w14:paraId="7C70B72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1.1供应商应足额交纳磋商保证金（保证金金额详见本篇，一、竞争性磋商内容），并汇至所投包对应的任一账户，磋商保证金的到账截止时间同响应文件递交截止时间。</w:t>
      </w:r>
    </w:p>
    <w:p w14:paraId="7547144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1.2各供应商在银行转账（电汇）时，须充分考虑银行转账（电汇）的时间差风险，如同城转账、异地转账或汇款、跨行转账或电汇的时间要求。</w:t>
      </w:r>
    </w:p>
    <w:p w14:paraId="0C26086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2.保证金退还方式</w:t>
      </w:r>
    </w:p>
    <w:p w14:paraId="0BF5727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1.未成交供应商的磋商保证金，在中标（成交）通知书发放后，重庆市公共资源交易中心在五个工作日内按来款渠道直接退还。</w:t>
      </w:r>
    </w:p>
    <w:p w14:paraId="43F5A28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2.成交供应商的磋商保证金，在成交供应商与采购人签订合同后，重庆市公共资源交易中心在五个工作日内按资金来款渠道直接退还。</w:t>
      </w:r>
    </w:p>
    <w:p w14:paraId="05BE2427">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重庆市公共资源交易中心咨询电话：023-63625633</w:t>
      </w:r>
    </w:p>
    <w:p w14:paraId="241E26D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方式二：选择以纸质保函形式交纳磋商保证金</w:t>
      </w:r>
    </w:p>
    <w:p w14:paraId="09C83BD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 纸质投标保函交纳形式及要求：</w:t>
      </w:r>
    </w:p>
    <w:p w14:paraId="2E13D29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（1）缴纳形式：供应商提供不可撤销且见索即付的保函；</w:t>
      </w:r>
    </w:p>
    <w:p w14:paraId="6EA5B7B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具体要求：供应商须在响应文件中提供金融机构、担保机构出具的纸质保函正本扫描件，纸质保函正本原件应当于响应文件递交截止时间前在现场递交采购人（采购代理机构）保管。纸质保函应至少体现如下内容：①担保项目必须为本项目；②受益人必须为本项目采购人；③保函担保金额必须满足本项目要求；④保函生效时间必须在响应文件递交截止时间前，有效期限必须至少包含整个投标保证金的有效期限；⑤保函须不可撤销且见索即付。</w:t>
      </w:r>
    </w:p>
    <w:p w14:paraId="1AB56B2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若响应文件递交截止时间延期，则纸质保函递交的截止时间和响应文件递交截止时间保持一致。</w:t>
      </w:r>
    </w:p>
    <w:p w14:paraId="65BD156A">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不满足上述要求的纸质保函无效。</w:t>
      </w:r>
    </w:p>
    <w:p w14:paraId="3117551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2.供应商须在响应文件中提供纸质保函的核验地点、方式和联系人，否则该纸质保函视为无效。</w:t>
      </w:r>
    </w:p>
    <w:p w14:paraId="1B14E56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3.供应商在递交现场递交的纸质保函正本原件应与响应文件中提供的纸质保函扫描件一致，否则由评标小组作无效响应处理。</w:t>
      </w:r>
    </w:p>
    <w:p w14:paraId="66546BF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4.纸质保函的退还、注销</w:t>
      </w:r>
    </w:p>
    <w:p w14:paraId="01009AA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4.1未中标供应商的纸质保函，在中标通知书发放后五个工作日内退还纸质保函正本原件，具体注销事宜由供应商与金融机构、担保机构协商。</w:t>
      </w:r>
    </w:p>
    <w:p w14:paraId="242EB8A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4.2中标人的纸质保函，在中标人与采购人签订合同后五个工作日内，退还纸质保函正本原件，具体注销事宜由供应商与金融机构、担保机构协商。</w:t>
      </w:r>
    </w:p>
    <w:p w14:paraId="3321A8A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方式三：选择以电子保函形式交纳磋商保证金</w:t>
      </w:r>
    </w:p>
    <w:p w14:paraId="1E9B32B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电子磋商保函交纳形式及要求：供应商在电子响应文件递交截止时间前进入重庆政府采购网（www.ccgp-chongqing.gov.cn）→选择专题栏目→选择采购金融服务→在线申请投标保函。（具体操作请下载项目招标公告附件《采购公告附件（供应商必看手册）版》（《重庆政府采购网电子投标保函操作手册》），若当前电子保函功能不能满足区域性选择时，供应商需提供纸质投标保函或其他缴纳保证金方式。</w:t>
      </w:r>
    </w:p>
    <w:p w14:paraId="0C53081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2.电子投标保函应至少体现如下内容：</w:t>
      </w:r>
    </w:p>
    <w:p w14:paraId="697297D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①担保项目必须为本项目；</w:t>
      </w:r>
    </w:p>
    <w:p w14:paraId="018D2F2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②受益人必须为本项目招标人；</w:t>
      </w:r>
    </w:p>
    <w:p w14:paraId="0BB5E26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③保函担保金额必须满足本项目要求；</w:t>
      </w:r>
    </w:p>
    <w:p w14:paraId="3CCAFA2C">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④保函生效时间必须在电子响应文件递交截止时间前，有效期限必须至少包含整个投标有效期；</w:t>
      </w:r>
    </w:p>
    <w:p w14:paraId="05A4693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⑤保函须为不可撤销且见索即付。</w:t>
      </w:r>
    </w:p>
    <w:p w14:paraId="7ADF984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3.若电子响应文件递交截止时间延期，则电子投标保函提交的截止时间和电子响应文件递交截止时间应当保持一致。不满足上述要求的电子投标保函无效。</w:t>
      </w:r>
    </w:p>
    <w:p w14:paraId="40E03F0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4.以电子投标保函形式担保的投标保证金的金额：（详见本篇，一、招标项目内容）。</w:t>
      </w:r>
    </w:p>
    <w:p w14:paraId="7F99E7A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5.电子投标保函以重庆市公共资源交易中心开标现场展示的电子投标保函交纳情况为准，供应商在投标时无须再提供电子投标保函的相关资料。</w:t>
      </w:r>
    </w:p>
    <w:p w14:paraId="2725FEC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6.若供应商为联合体，则由联合体牵头单位提供电子投标保函。</w:t>
      </w:r>
    </w:p>
    <w:p w14:paraId="43102EA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电子投标保函的注销：具体注销事宜由供应商自行与保函出具机构咨询协商。</w:t>
      </w:r>
    </w:p>
    <w:p w14:paraId="46B885E8">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9" w:name="_Toc182845838"/>
      <w:bookmarkStart w:id="30" w:name="_Toc10870"/>
      <w:r>
        <w:rPr>
          <w:rFonts w:hint="eastAsia" w:ascii="微软雅黑" w:hAnsi="微软雅黑" w:eastAsia="微软雅黑" w:cs="微软雅黑"/>
          <w:color w:val="auto"/>
          <w:sz w:val="24"/>
        </w:rPr>
        <w:t>六、采购项目需落实的政府采购政策</w:t>
      </w:r>
      <w:bookmarkEnd w:id="22"/>
      <w:bookmarkEnd w:id="27"/>
      <w:bookmarkEnd w:id="28"/>
      <w:bookmarkEnd w:id="29"/>
      <w:bookmarkEnd w:id="30"/>
    </w:p>
    <w:p w14:paraId="2328D61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2708F9F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（二）按照财政部、工业和信息化部关于印发《政府采购促进中小企业发展管理办法》的通知（财库〔2020〕46号）的规定，落实促进中小企业发展政策。</w:t>
      </w:r>
    </w:p>
    <w:p w14:paraId="31D50F3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（三）按照《财政部、司法部关于政府采购支持监狱企业发展有关问题的通知》（财库〔2014〕68号）的规定，落实支持监狱企业发展政策。</w:t>
      </w:r>
    </w:p>
    <w:p w14:paraId="2325B12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（四）按照《三部门联合发布关于促进残疾人就业政府采购政策的通知》（财库〔2017〕 141号）的规定，落实支持残疾人福利性单位发展政策。</w:t>
      </w:r>
    </w:p>
    <w:p w14:paraId="32D53F13">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1" w:name="_Toc76462322"/>
      <w:bookmarkStart w:id="32" w:name="_Toc480466699"/>
      <w:bookmarkStart w:id="33" w:name="_Toc24428"/>
      <w:bookmarkStart w:id="34" w:name="_Toc182845839"/>
      <w:r>
        <w:rPr>
          <w:rFonts w:hint="eastAsia" w:ascii="微软雅黑" w:hAnsi="微软雅黑" w:eastAsia="微软雅黑" w:cs="微软雅黑"/>
          <w:color w:val="auto"/>
          <w:sz w:val="24"/>
        </w:rPr>
        <w:t>七、其它有关规定</w:t>
      </w:r>
      <w:bookmarkEnd w:id="31"/>
      <w:bookmarkEnd w:id="32"/>
      <w:bookmarkEnd w:id="33"/>
      <w:bookmarkEnd w:id="34"/>
    </w:p>
    <w:p w14:paraId="0F712ED9">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（一）单位负责人为同一人或者存在直接控股、管理关系的不同供应商，不得参加同一合同项（包）下的政府采购活动，否则均为无效响应。</w:t>
      </w:r>
    </w:p>
    <w:p w14:paraId="53F8AC58">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（二）为采购项目提供整体设计、规范编制或者项目管理、监理、检测等服务的供应商，不得再参加该采购项目的其他采购活动。</w:t>
      </w:r>
    </w:p>
    <w:p w14:paraId="6CD7F947">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本项目的澄清文件（如果有）一律在重庆市政府采购网（www.ccgp-chongqing.gov.cn）上发布，请各供应商注意下载或到采购代理机构处领取；无论供应商下载或领取与否，均视同供应商已知晓本项目澄清文件（如果有）的内容。</w:t>
      </w:r>
    </w:p>
    <w:p w14:paraId="35B98EFC">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（四）超过响应文件截止时间递交的响应文件，恕不接收。</w:t>
      </w:r>
    </w:p>
    <w:p w14:paraId="45A0911A">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（五）磋商费用：无论磋商结果如何，供应商参与本项目磋商的所有费用均应由供应商自行承担。</w:t>
      </w:r>
    </w:p>
    <w:p w14:paraId="2C88382D">
      <w:pPr>
        <w:snapToGrid w:val="0"/>
        <w:spacing w:line="400" w:lineRule="exact"/>
        <w:ind w:firstLine="360" w:firstLineChars="150"/>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（六）本项目不接受联合体参与磋商，否则按无效处理。</w:t>
      </w:r>
    </w:p>
    <w:p w14:paraId="3B2A2956">
      <w:pPr>
        <w:snapToGrid w:val="0"/>
        <w:spacing w:line="400" w:lineRule="exact"/>
        <w:ind w:firstLine="360" w:firstLineChars="150"/>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（七）本项目不接受合同分包，否则按无效处理。</w:t>
      </w:r>
    </w:p>
    <w:p w14:paraId="583E88AC">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w:t>
      </w:r>
      <w:bookmarkStart w:id="35" w:name="_Toc480466700"/>
      <w:r>
        <w:rPr>
          <w:rFonts w:hint="eastAsia" w:ascii="微软雅黑" w:hAnsi="微软雅黑" w:eastAsia="微软雅黑" w:cs="微软雅黑"/>
          <w:color w:val="auto"/>
          <w:sz w:val="24"/>
          <w:szCs w:val="24"/>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166ED80D">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6" w:name="_Toc182845840"/>
      <w:bookmarkStart w:id="37" w:name="_Toc26580"/>
      <w:bookmarkStart w:id="38" w:name="_Toc76462323"/>
      <w:r>
        <w:rPr>
          <w:rFonts w:hint="eastAsia" w:ascii="微软雅黑" w:hAnsi="微软雅黑" w:eastAsia="微软雅黑" w:cs="微软雅黑"/>
          <w:color w:val="auto"/>
          <w:sz w:val="24"/>
        </w:rPr>
        <w:t>八、联系方式</w:t>
      </w:r>
      <w:bookmarkEnd w:id="36"/>
      <w:bookmarkEnd w:id="37"/>
    </w:p>
    <w:bookmarkEnd w:id="35"/>
    <w:bookmarkEnd w:id="38"/>
    <w:p w14:paraId="2E3FFFBC">
      <w:pPr>
        <w:snapToGrid w:val="0"/>
        <w:spacing w:line="400" w:lineRule="exact"/>
        <w:ind w:firstLine="360" w:firstLineChars="150"/>
        <w:rPr>
          <w:rFonts w:hint="eastAsia" w:ascii="微软雅黑" w:hAnsi="微软雅黑" w:eastAsia="微软雅黑" w:cs="微软雅黑"/>
          <w:color w:val="auto"/>
          <w:sz w:val="24"/>
          <w:szCs w:val="24"/>
        </w:rPr>
      </w:pPr>
      <w:bookmarkStart w:id="39" w:name="_Toc76462324"/>
      <w:r>
        <w:rPr>
          <w:rFonts w:hint="eastAsia" w:ascii="微软雅黑" w:hAnsi="微软雅黑" w:eastAsia="微软雅黑" w:cs="微软雅黑"/>
          <w:color w:val="auto"/>
          <w:sz w:val="24"/>
          <w:szCs w:val="24"/>
        </w:rPr>
        <w:t>（一）采购人：重庆市九龙坡区住房和城乡建设委员会</w:t>
      </w:r>
    </w:p>
    <w:p w14:paraId="28769FF0">
      <w:pPr>
        <w:snapToGrid w:val="0"/>
        <w:spacing w:line="400" w:lineRule="exact"/>
        <w:ind w:firstLine="360" w:firstLineChars="15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联系人：</w:t>
      </w:r>
      <w:r>
        <w:rPr>
          <w:rFonts w:hint="eastAsia" w:ascii="微软雅黑" w:hAnsi="微软雅黑" w:eastAsia="微软雅黑" w:cs="微软雅黑"/>
          <w:color w:val="auto"/>
          <w:sz w:val="24"/>
          <w:szCs w:val="24"/>
          <w:lang w:val="en-US" w:eastAsia="zh-CN"/>
        </w:rPr>
        <w:t>陈老师</w:t>
      </w:r>
    </w:p>
    <w:p w14:paraId="33F36BEA">
      <w:pPr>
        <w:snapToGrid w:val="0"/>
        <w:spacing w:line="400" w:lineRule="exact"/>
        <w:ind w:firstLine="360" w:firstLineChars="15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电  话：</w:t>
      </w:r>
      <w:r>
        <w:rPr>
          <w:rFonts w:hint="eastAsia" w:ascii="微软雅黑" w:hAnsi="微软雅黑" w:eastAsia="微软雅黑" w:cs="微软雅黑"/>
          <w:color w:val="auto"/>
          <w:sz w:val="24"/>
          <w:szCs w:val="24"/>
          <w:lang w:val="en-US" w:eastAsia="zh-CN"/>
        </w:rPr>
        <w:t>023-61577224</w:t>
      </w:r>
    </w:p>
    <w:p w14:paraId="24C32C60">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地  址：重庆市九龙坡区杨家坪直港大道17号建设大厦</w:t>
      </w:r>
    </w:p>
    <w:p w14:paraId="684966BF">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（二）采购代理机构：重庆昕笛枫建设工程咨询有限公司</w:t>
      </w:r>
    </w:p>
    <w:p w14:paraId="61FE3331">
      <w:pPr>
        <w:snapToGrid w:val="0"/>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联系人： 薛老师</w:t>
      </w:r>
    </w:p>
    <w:p w14:paraId="431AE775">
      <w:pPr>
        <w:snapToGrid w:val="0"/>
        <w:spacing w:line="400" w:lineRule="exact"/>
        <w:ind w:firstLine="360" w:firstLineChars="150"/>
        <w:rPr>
          <w:rFonts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w:t>
      </w:r>
      <w:bookmarkStart w:id="40" w:name="_Hlk182393876"/>
      <w:r>
        <w:rPr>
          <w:rFonts w:hint="eastAsia" w:ascii="微软雅黑" w:hAnsi="微软雅黑" w:eastAsia="微软雅黑" w:cs="微软雅黑"/>
          <w:color w:val="auto"/>
          <w:sz w:val="24"/>
          <w:szCs w:val="24"/>
        </w:rPr>
        <w:t xml:space="preserve"> </w:t>
      </w:r>
      <w:bookmarkEnd w:id="40"/>
      <w:r>
        <w:rPr>
          <w:rFonts w:hint="eastAsia" w:ascii="微软雅黑" w:hAnsi="微软雅黑" w:eastAsia="微软雅黑" w:cs="微软雅黑"/>
          <w:color w:val="auto"/>
          <w:sz w:val="24"/>
          <w:szCs w:val="24"/>
        </w:rPr>
        <w:t>13508385588</w:t>
      </w:r>
    </w:p>
    <w:p w14:paraId="0D4EDEF2">
      <w:pPr>
        <w:snapToGrid w:val="0"/>
        <w:spacing w:line="400" w:lineRule="exact"/>
        <w:ind w:firstLine="360" w:firstLineChars="15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地  址： </w:t>
      </w:r>
      <w:r>
        <w:rPr>
          <w:rFonts w:hint="eastAsia" w:ascii="微软雅黑" w:hAnsi="微软雅黑" w:eastAsia="微软雅黑" w:cs="微软雅黑"/>
          <w:color w:val="auto"/>
          <w:sz w:val="24"/>
          <w:szCs w:val="24"/>
          <w:lang w:val="en-US" w:eastAsia="zh-CN"/>
        </w:rPr>
        <w:t>重庆市大渡口区兴盛路160号</w:t>
      </w:r>
    </w:p>
    <w:p w14:paraId="37396B94">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417" w:right="1417" w:bottom="1417" w:left="1417" w:header="964" w:footer="992" w:gutter="0"/>
          <w:pgNumType w:fmt="numberInDash"/>
          <w:cols w:space="720" w:num="1"/>
          <w:docGrid w:linePitch="312" w:charSpace="0"/>
        </w:sectPr>
      </w:pPr>
    </w:p>
    <w:p w14:paraId="2A1E0BD7">
      <w:pPr>
        <w:pStyle w:val="3"/>
        <w:spacing w:before="0" w:after="0" w:line="360" w:lineRule="auto"/>
        <w:jc w:val="center"/>
        <w:rPr>
          <w:rFonts w:hint="eastAsia" w:ascii="微软雅黑" w:hAnsi="微软雅黑" w:eastAsia="微软雅黑" w:cs="微软雅黑"/>
          <w:b w:val="0"/>
          <w:color w:val="auto"/>
          <w:sz w:val="30"/>
          <w:szCs w:val="30"/>
        </w:rPr>
      </w:pPr>
      <w:bookmarkStart w:id="41" w:name="_Toc13552"/>
      <w:r>
        <w:rPr>
          <w:rFonts w:hint="eastAsia" w:ascii="微软雅黑" w:hAnsi="微软雅黑" w:eastAsia="微软雅黑" w:cs="微软雅黑"/>
          <w:b w:val="0"/>
          <w:color w:val="auto"/>
          <w:sz w:val="36"/>
          <w:szCs w:val="30"/>
        </w:rPr>
        <w:t>第二篇  项目服务需求</w:t>
      </w:r>
      <w:bookmarkEnd w:id="39"/>
      <w:bookmarkEnd w:id="41"/>
    </w:p>
    <w:p w14:paraId="023D5A38">
      <w:pPr>
        <w:pStyle w:val="37"/>
        <w:spacing w:line="400" w:lineRule="exact"/>
        <w:ind w:firstLine="480" w:firstLineChars="200"/>
        <w:rPr>
          <w:rFonts w:hint="eastAsia" w:ascii="微软雅黑" w:hAnsi="微软雅黑" w:eastAsia="微软雅黑" w:cs="微软雅黑"/>
          <w:color w:val="auto"/>
          <w:sz w:val="24"/>
          <w:szCs w:val="24"/>
        </w:rPr>
      </w:pPr>
      <w:bookmarkStart w:id="42" w:name="_Toc144229690"/>
      <w:bookmarkStart w:id="43" w:name="_Toc92722147"/>
      <w:bookmarkStart w:id="44" w:name="_Toc144229590"/>
      <w:bookmarkStart w:id="45" w:name="_Toc12789058"/>
      <w:r>
        <w:rPr>
          <w:rFonts w:hint="eastAsia" w:ascii="微软雅黑" w:hAnsi="微软雅黑" w:eastAsia="微软雅黑" w:cs="微软雅黑"/>
          <w:color w:val="auto"/>
          <w:sz w:val="24"/>
          <w:szCs w:val="24"/>
        </w:rPr>
        <w:t>“※”标注的服务需求为符合性审查中的实质性要求，响应文件若不满足按无效投标处理。</w:t>
      </w:r>
    </w:p>
    <w:bookmarkEnd w:id="42"/>
    <w:bookmarkEnd w:id="43"/>
    <w:bookmarkEnd w:id="44"/>
    <w:p w14:paraId="6B85106F">
      <w:pPr>
        <w:pStyle w:val="3"/>
        <w:spacing w:before="0" w:after="0" w:line="480" w:lineRule="exact"/>
        <w:ind w:firstLine="480" w:firstLineChars="200"/>
        <w:rPr>
          <w:rFonts w:hint="eastAsia" w:ascii="微软雅黑" w:hAnsi="微软雅黑" w:eastAsia="微软雅黑" w:cs="微软雅黑"/>
          <w:color w:val="auto"/>
          <w:sz w:val="24"/>
          <w:szCs w:val="24"/>
        </w:rPr>
      </w:pPr>
      <w:bookmarkStart w:id="46" w:name="_Toc17935"/>
      <w:bookmarkStart w:id="47" w:name="_Toc22150"/>
      <w:bookmarkStart w:id="48" w:name="_Toc22800"/>
      <w:bookmarkStart w:id="49" w:name="_Toc10440"/>
      <w:bookmarkStart w:id="50" w:name="_Toc23790"/>
      <w:r>
        <w:rPr>
          <w:rFonts w:hint="eastAsia" w:ascii="微软雅黑" w:hAnsi="微软雅黑" w:eastAsia="微软雅黑" w:cs="微软雅黑"/>
          <w:color w:val="auto"/>
          <w:sz w:val="24"/>
          <w:szCs w:val="24"/>
        </w:rPr>
        <w:t>一、项目基本概况介绍</w:t>
      </w:r>
      <w:bookmarkEnd w:id="46"/>
      <w:bookmarkEnd w:id="47"/>
      <w:bookmarkEnd w:id="48"/>
      <w:bookmarkEnd w:id="49"/>
      <w:bookmarkEnd w:id="50"/>
    </w:p>
    <w:tbl>
      <w:tblPr>
        <w:tblStyle w:val="62"/>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6"/>
        <w:gridCol w:w="1670"/>
        <w:gridCol w:w="2635"/>
      </w:tblGrid>
      <w:tr w14:paraId="7817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396" w:type="dxa"/>
            <w:tcBorders>
              <w:top w:val="single" w:color="auto" w:sz="4" w:space="0"/>
              <w:left w:val="single" w:color="auto" w:sz="4" w:space="0"/>
              <w:bottom w:val="single" w:color="auto" w:sz="4" w:space="0"/>
              <w:right w:val="single" w:color="auto" w:sz="4" w:space="0"/>
            </w:tcBorders>
            <w:noWrap w:val="0"/>
            <w:vAlign w:val="center"/>
          </w:tcPr>
          <w:p w14:paraId="2B578599">
            <w:pPr>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项目名称</w:t>
            </w:r>
          </w:p>
        </w:tc>
        <w:tc>
          <w:tcPr>
            <w:tcW w:w="1670" w:type="dxa"/>
            <w:tcBorders>
              <w:top w:val="single" w:color="auto" w:sz="4" w:space="0"/>
              <w:left w:val="single" w:color="auto" w:sz="4" w:space="0"/>
              <w:bottom w:val="single" w:color="auto" w:sz="4" w:space="0"/>
              <w:right w:val="single" w:color="auto" w:sz="4" w:space="0"/>
            </w:tcBorders>
            <w:noWrap w:val="0"/>
            <w:vAlign w:val="center"/>
          </w:tcPr>
          <w:p w14:paraId="64040E33">
            <w:pPr>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数量</w:t>
            </w:r>
          </w:p>
        </w:tc>
        <w:tc>
          <w:tcPr>
            <w:tcW w:w="2635" w:type="dxa"/>
            <w:tcBorders>
              <w:top w:val="single" w:color="auto" w:sz="4" w:space="0"/>
              <w:left w:val="single" w:color="auto" w:sz="4" w:space="0"/>
              <w:bottom w:val="single" w:color="auto" w:sz="4" w:space="0"/>
              <w:right w:val="single" w:color="auto" w:sz="4" w:space="0"/>
            </w:tcBorders>
            <w:noWrap w:val="0"/>
            <w:vAlign w:val="center"/>
          </w:tcPr>
          <w:p w14:paraId="3A3C573A">
            <w:pPr>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备注</w:t>
            </w:r>
          </w:p>
        </w:tc>
      </w:tr>
      <w:tr w14:paraId="174D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4396" w:type="dxa"/>
            <w:tcBorders>
              <w:top w:val="single" w:color="auto" w:sz="4" w:space="0"/>
              <w:left w:val="single" w:color="auto" w:sz="4" w:space="0"/>
              <w:bottom w:val="single" w:color="auto" w:sz="4" w:space="0"/>
              <w:right w:val="single" w:color="auto" w:sz="4" w:space="0"/>
            </w:tcBorders>
            <w:noWrap w:val="0"/>
            <w:vAlign w:val="center"/>
          </w:tcPr>
          <w:p w14:paraId="153B9011">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九龙污水隧道及上游污水管网溯源整治工程造价全过程控制服务</w:t>
            </w:r>
          </w:p>
        </w:tc>
        <w:tc>
          <w:tcPr>
            <w:tcW w:w="1670" w:type="dxa"/>
            <w:tcBorders>
              <w:top w:val="single" w:color="auto" w:sz="4" w:space="0"/>
              <w:left w:val="single" w:color="auto" w:sz="4" w:space="0"/>
              <w:bottom w:val="single" w:color="auto" w:sz="4" w:space="0"/>
              <w:right w:val="single" w:color="auto" w:sz="4" w:space="0"/>
            </w:tcBorders>
            <w:noWrap w:val="0"/>
            <w:vAlign w:val="center"/>
          </w:tcPr>
          <w:p w14:paraId="0B8DF9AD">
            <w:pPr>
              <w:widowControl/>
              <w:tabs>
                <w:tab w:val="left" w:pos="3840"/>
                <w:tab w:val="left" w:pos="5300"/>
              </w:tabs>
              <w:snapToGrid w:val="0"/>
              <w:spacing w:line="320" w:lineRule="exact"/>
              <w:jc w:val="center"/>
              <w:textAlignment w:val="baseline"/>
              <w:rPr>
                <w:rFonts w:hint="eastAsia" w:ascii="微软雅黑" w:hAnsi="微软雅黑" w:eastAsia="微软雅黑" w:cs="微软雅黑"/>
                <w:color w:val="auto"/>
                <w:sz w:val="24"/>
                <w:szCs w:val="24"/>
              </w:rPr>
            </w:pPr>
            <w:r>
              <w:rPr>
                <w:rStyle w:val="251"/>
                <w:rFonts w:hint="eastAsia" w:ascii="微软雅黑" w:hAnsi="微软雅黑" w:eastAsia="微软雅黑" w:cs="微软雅黑"/>
                <w:color w:val="auto"/>
                <w:sz w:val="24"/>
                <w:szCs w:val="24"/>
              </w:rPr>
              <w:t>1</w:t>
            </w:r>
          </w:p>
        </w:tc>
        <w:tc>
          <w:tcPr>
            <w:tcW w:w="2635" w:type="dxa"/>
            <w:tcBorders>
              <w:top w:val="single" w:color="auto" w:sz="4" w:space="0"/>
              <w:left w:val="single" w:color="auto" w:sz="4" w:space="0"/>
              <w:bottom w:val="single" w:color="auto" w:sz="4" w:space="0"/>
              <w:right w:val="single" w:color="auto" w:sz="4" w:space="0"/>
            </w:tcBorders>
            <w:noWrap w:val="0"/>
            <w:vAlign w:val="center"/>
          </w:tcPr>
          <w:p w14:paraId="0BFAB986">
            <w:pPr>
              <w:jc w:val="center"/>
              <w:rPr>
                <w:rFonts w:hint="eastAsia" w:ascii="微软雅黑" w:hAnsi="微软雅黑" w:eastAsia="微软雅黑" w:cs="微软雅黑"/>
                <w:color w:val="auto"/>
                <w:sz w:val="24"/>
                <w:szCs w:val="24"/>
              </w:rPr>
            </w:pPr>
          </w:p>
        </w:tc>
      </w:tr>
    </w:tbl>
    <w:p w14:paraId="63CC4FB7">
      <w:pPr>
        <w:pStyle w:val="3"/>
        <w:numPr>
          <w:ilvl w:val="0"/>
          <w:numId w:val="14"/>
        </w:numPr>
        <w:spacing w:before="0" w:after="0" w:line="480" w:lineRule="exact"/>
        <w:ind w:firstLine="480" w:firstLineChars="200"/>
        <w:rPr>
          <w:rFonts w:hint="eastAsia" w:ascii="微软雅黑" w:hAnsi="微软雅黑" w:eastAsia="微软雅黑" w:cs="微软雅黑"/>
          <w:b w:val="0"/>
          <w:color w:val="auto"/>
          <w:sz w:val="24"/>
          <w:szCs w:val="24"/>
          <w:lang w:val="en-US" w:eastAsia="zh-CN"/>
        </w:rPr>
      </w:pPr>
      <w:bookmarkStart w:id="51" w:name="_Toc26376"/>
      <w:bookmarkStart w:id="52" w:name="_Toc17865"/>
      <w:bookmarkStart w:id="53" w:name="_Toc27618"/>
      <w:bookmarkStart w:id="54" w:name="_Toc26299"/>
      <w:r>
        <w:rPr>
          <w:rFonts w:hint="eastAsia" w:ascii="微软雅黑" w:hAnsi="微软雅黑" w:eastAsia="微软雅黑" w:cs="微软雅黑"/>
          <w:b w:val="0"/>
          <w:color w:val="auto"/>
          <w:sz w:val="24"/>
          <w:szCs w:val="24"/>
          <w:lang w:val="en-US" w:eastAsia="zh-CN"/>
        </w:rPr>
        <w:t>项目总投资及资金来源</w:t>
      </w:r>
    </w:p>
    <w:p w14:paraId="2966271C">
      <w:pPr>
        <w:pStyle w:val="3"/>
        <w:numPr>
          <w:ilvl w:val="0"/>
          <w:numId w:val="0"/>
        </w:numPr>
        <w:spacing w:before="0" w:after="0" w:line="480" w:lineRule="exact"/>
        <w:ind w:firstLine="480" w:firstLineChars="200"/>
        <w:rPr>
          <w:rFonts w:hint="eastAsia" w:ascii="微软雅黑" w:hAnsi="微软雅黑" w:eastAsia="微软雅黑" w:cs="微软雅黑"/>
          <w:b w:val="0"/>
          <w:color w:val="auto"/>
          <w:sz w:val="24"/>
          <w:szCs w:val="24"/>
          <w:lang w:eastAsia="zh-CN"/>
        </w:rPr>
      </w:pPr>
      <w:r>
        <w:rPr>
          <w:rFonts w:hint="eastAsia" w:ascii="微软雅黑" w:hAnsi="微软雅黑" w:eastAsia="微软雅黑" w:cs="微软雅黑"/>
          <w:b w:val="0"/>
          <w:color w:val="auto"/>
          <w:sz w:val="24"/>
          <w:szCs w:val="24"/>
        </w:rPr>
        <w:t>项目总投资概算15803.21万元，其中:工程费用12833.52万元，工程建设其他费用1799.08万元，预备1170.61万元。项目资金来源为优先使用超长期特别国债资金，不足部分由区财政筹措解决</w:t>
      </w:r>
      <w:r>
        <w:rPr>
          <w:rFonts w:hint="eastAsia" w:ascii="微软雅黑" w:hAnsi="微软雅黑" w:eastAsia="微软雅黑" w:cs="微软雅黑"/>
          <w:b w:val="0"/>
          <w:color w:val="auto"/>
          <w:sz w:val="24"/>
          <w:szCs w:val="24"/>
          <w:lang w:eastAsia="zh-CN"/>
        </w:rPr>
        <w:t>。</w:t>
      </w:r>
    </w:p>
    <w:p w14:paraId="472C7C37">
      <w:pPr>
        <w:pStyle w:val="3"/>
        <w:numPr>
          <w:ilvl w:val="0"/>
          <w:numId w:val="14"/>
        </w:numPr>
        <w:spacing w:before="0" w:after="0" w:line="480" w:lineRule="exact"/>
        <w:ind w:left="0" w:leftChars="0" w:firstLine="480" w:firstLineChars="200"/>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建设规模及内容</w:t>
      </w:r>
    </w:p>
    <w:p w14:paraId="3000BDB5">
      <w:pPr>
        <w:pStyle w:val="3"/>
        <w:keepNext/>
        <w:keepLines/>
        <w:pageBreakBefore w:val="0"/>
        <w:widowControl w:val="0"/>
        <w:numPr>
          <w:ilvl w:val="0"/>
          <w:numId w:val="0"/>
        </w:numPr>
        <w:kinsoku/>
        <w:wordWrap/>
        <w:overflowPunct/>
        <w:topLinePunct w:val="0"/>
        <w:autoSpaceDE/>
        <w:autoSpaceDN/>
        <w:bidi w:val="0"/>
        <w:adjustRightInd/>
        <w:snapToGrid/>
        <w:spacing w:before="0" w:after="0" w:line="480" w:lineRule="exact"/>
        <w:ind w:leftChars="0" w:firstLine="480" w:firstLineChars="200"/>
        <w:textAlignment w:val="auto"/>
        <w:rPr>
          <w:rFonts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本项目为实施九龙污水隧道及上游污水管网溯源整治，一是改造建设DN150~DN1500污水管网及配套设施共约 30.7公里；二是污水管涵修复病害共约20.5公里，同时整治污水管涵相关配套设施。</w:t>
      </w:r>
      <w:bookmarkEnd w:id="51"/>
    </w:p>
    <w:p w14:paraId="33A9B936">
      <w:pPr>
        <w:pStyle w:val="3"/>
        <w:spacing w:before="0" w:after="0" w:line="480" w:lineRule="exact"/>
        <w:ind w:firstLine="480" w:firstLineChars="200"/>
        <w:rPr>
          <w:rFonts w:hint="eastAsia" w:ascii="方正仿宋_GBK" w:hAnsi="宋体" w:eastAsia="方正仿宋_GBK"/>
          <w:color w:val="auto"/>
          <w:sz w:val="24"/>
        </w:rPr>
      </w:pPr>
      <w:bookmarkStart w:id="55" w:name="_Toc3599"/>
      <w:r>
        <w:rPr>
          <w:rFonts w:hint="eastAsia" w:ascii="微软雅黑" w:hAnsi="微软雅黑" w:eastAsia="微软雅黑" w:cs="微软雅黑"/>
          <w:color w:val="auto"/>
          <w:sz w:val="24"/>
          <w:szCs w:val="24"/>
        </w:rPr>
        <w:t>※二、</w:t>
      </w:r>
      <w:bookmarkEnd w:id="52"/>
      <w:bookmarkEnd w:id="53"/>
      <w:r>
        <w:rPr>
          <w:rFonts w:hint="eastAsia" w:ascii="微软雅黑" w:hAnsi="微软雅黑" w:eastAsia="微软雅黑" w:cs="微软雅黑"/>
          <w:color w:val="auto"/>
          <w:sz w:val="24"/>
          <w:szCs w:val="24"/>
        </w:rPr>
        <w:t>服务内容</w:t>
      </w:r>
      <w:bookmarkEnd w:id="54"/>
      <w:bookmarkEnd w:id="55"/>
    </w:p>
    <w:p w14:paraId="6232460B">
      <w:pPr>
        <w:snapToGrid w:val="0"/>
        <w:spacing w:line="400" w:lineRule="exact"/>
        <w:ind w:firstLine="480" w:firstLineChars="200"/>
        <w:rPr>
          <w:rFonts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完成本项目施工阶段全过程造价控制服务，包括施工阶段、竣（完）工阶段的全过程造价咨询工作（施工方案经济评价与优化、设计变更的经济分析、参与施工阶段的现场计量、现场签证、新增项目的价格审核</w:t>
      </w:r>
      <w:r>
        <w:rPr>
          <w:rFonts w:hint="eastAsia" w:ascii="微软雅黑" w:hAnsi="微软雅黑" w:eastAsia="微软雅黑" w:cs="微软雅黑"/>
          <w:color w:val="auto"/>
          <w:sz w:val="24"/>
          <w:szCs w:val="24"/>
          <w:lang w:eastAsia="zh-CN"/>
        </w:rPr>
        <w:t>（设计变更预算报告编制（审核））</w:t>
      </w:r>
      <w:r>
        <w:rPr>
          <w:rFonts w:hint="eastAsia" w:ascii="微软雅黑" w:hAnsi="微软雅黑" w:eastAsia="微软雅黑" w:cs="微软雅黑"/>
          <w:color w:val="auto"/>
          <w:sz w:val="24"/>
          <w:szCs w:val="24"/>
        </w:rPr>
        <w:t>、建筑材料</w:t>
      </w:r>
      <w:r>
        <w:rPr>
          <w:rFonts w:hint="eastAsia" w:ascii="微软雅黑" w:hAnsi="微软雅黑" w:eastAsia="微软雅黑" w:cs="微软雅黑"/>
          <w:color w:val="auto"/>
          <w:sz w:val="24"/>
          <w:szCs w:val="24"/>
          <w:lang w:eastAsia="zh-CN"/>
        </w:rPr>
        <w:t>（设备）</w:t>
      </w:r>
      <w:r>
        <w:rPr>
          <w:rFonts w:hint="eastAsia" w:ascii="微软雅黑" w:hAnsi="微软雅黑" w:eastAsia="微软雅黑" w:cs="微软雅黑"/>
          <w:color w:val="auto"/>
          <w:sz w:val="24"/>
          <w:szCs w:val="24"/>
        </w:rPr>
        <w:t>认（审）价、提供工程索赔和反索赔咨询、审核资金使用计划、进度款</w:t>
      </w:r>
      <w:r>
        <w:rPr>
          <w:rFonts w:hint="eastAsia" w:ascii="微软雅黑" w:hAnsi="微软雅黑" w:eastAsia="微软雅黑" w:cs="微软雅黑"/>
          <w:color w:val="auto"/>
          <w:sz w:val="24"/>
          <w:szCs w:val="24"/>
          <w:lang w:eastAsia="zh-CN"/>
        </w:rPr>
        <w:t>审核</w:t>
      </w:r>
      <w:r>
        <w:rPr>
          <w:rFonts w:hint="eastAsia" w:ascii="微软雅黑" w:hAnsi="微软雅黑" w:eastAsia="微软雅黑" w:cs="微软雅黑"/>
          <w:color w:val="auto"/>
          <w:sz w:val="24"/>
          <w:szCs w:val="24"/>
        </w:rPr>
        <w:t>）、出具结算审核报告、配合结算审计阶段的工作等与造价控制有关的其他全过程造价咨询服务工作，具体如下：</w:t>
      </w:r>
    </w:p>
    <w:p w14:paraId="3B7664BC">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kern w:val="2"/>
          <w:sz w:val="24"/>
          <w:szCs w:val="24"/>
          <w:lang w:val="en-US" w:eastAsia="zh-CN" w:bidi="ar-SA"/>
        </w:rPr>
        <w:t>1.</w:t>
      </w:r>
      <w:r>
        <w:rPr>
          <w:rFonts w:hint="eastAsia" w:ascii="微软雅黑" w:hAnsi="微软雅黑" w:eastAsia="微软雅黑" w:cs="微软雅黑"/>
          <w:color w:val="auto"/>
          <w:sz w:val="24"/>
          <w:szCs w:val="24"/>
        </w:rPr>
        <w:t>参与工程收方</w:t>
      </w:r>
      <w:r>
        <w:rPr>
          <w:rFonts w:hint="eastAsia" w:ascii="微软雅黑" w:hAnsi="微软雅黑" w:eastAsia="微软雅黑" w:cs="微软雅黑"/>
          <w:color w:val="auto"/>
          <w:sz w:val="24"/>
          <w:szCs w:val="24"/>
          <w:lang w:eastAsia="zh-CN"/>
        </w:rPr>
        <w:t>计量</w:t>
      </w:r>
      <w:r>
        <w:rPr>
          <w:rFonts w:hint="eastAsia" w:ascii="微软雅黑" w:hAnsi="微软雅黑" w:eastAsia="微软雅黑" w:cs="微软雅黑"/>
          <w:color w:val="auto"/>
          <w:sz w:val="24"/>
          <w:szCs w:val="24"/>
        </w:rPr>
        <w:t>、验收、监理例会和技术交底会议，并规范完善资料；</w:t>
      </w:r>
    </w:p>
    <w:p w14:paraId="4232E750">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2.进行市场考察，</w:t>
      </w:r>
      <w:r>
        <w:rPr>
          <w:rFonts w:hint="eastAsia" w:ascii="微软雅黑" w:hAnsi="微软雅黑" w:eastAsia="微软雅黑" w:cs="微软雅黑"/>
          <w:color w:val="auto"/>
          <w:sz w:val="24"/>
          <w:szCs w:val="24"/>
          <w:lang w:eastAsia="zh-CN"/>
        </w:rPr>
        <w:t>形成书面询价记录并</w:t>
      </w:r>
      <w:r>
        <w:rPr>
          <w:rFonts w:hint="eastAsia" w:ascii="微软雅黑" w:hAnsi="微软雅黑" w:eastAsia="微软雅黑" w:cs="微软雅黑"/>
          <w:color w:val="auto"/>
          <w:sz w:val="24"/>
          <w:szCs w:val="24"/>
        </w:rPr>
        <w:t>会同有关各方核定材料</w:t>
      </w:r>
      <w:r>
        <w:rPr>
          <w:rFonts w:hint="eastAsia" w:ascii="微软雅黑" w:hAnsi="微软雅黑" w:eastAsia="微软雅黑" w:cs="微软雅黑"/>
          <w:color w:val="auto"/>
          <w:sz w:val="24"/>
          <w:szCs w:val="24"/>
          <w:lang w:eastAsia="zh-CN"/>
        </w:rPr>
        <w:t>（设备）</w:t>
      </w:r>
      <w:r>
        <w:rPr>
          <w:rFonts w:hint="eastAsia" w:ascii="微软雅黑" w:hAnsi="微软雅黑" w:eastAsia="微软雅黑" w:cs="微软雅黑"/>
          <w:color w:val="auto"/>
          <w:sz w:val="24"/>
          <w:szCs w:val="24"/>
        </w:rPr>
        <w:t>价格；</w:t>
      </w:r>
    </w:p>
    <w:p w14:paraId="3A012634">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3.核定每月完成的工程量和相应的工程进度款；</w:t>
      </w:r>
    </w:p>
    <w:p w14:paraId="2B9B1812">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4.对增加或减少的工程变更程序的合理性提出建议；</w:t>
      </w:r>
    </w:p>
    <w:p w14:paraId="3055A1A9">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5.对工程签证单进行审核；</w:t>
      </w:r>
    </w:p>
    <w:p w14:paraId="288EF712">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6.核定材料调差，依照施工合同要求，审核每月主材的用量，收集主材价格调整资料，为材料调差提供依据（包括正调差和负调差）；</w:t>
      </w:r>
    </w:p>
    <w:p w14:paraId="42664F14">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7.协助委托单位对索赔事项的造价审核；</w:t>
      </w:r>
    </w:p>
    <w:p w14:paraId="336D2DB2">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8.例行检查；</w:t>
      </w:r>
    </w:p>
    <w:p w14:paraId="0DDC65C5">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9.协助决策；</w:t>
      </w:r>
    </w:p>
    <w:p w14:paraId="0DAC7F43">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10.</w:t>
      </w:r>
      <w:r>
        <w:rPr>
          <w:rFonts w:hint="eastAsia" w:ascii="微软雅黑" w:hAnsi="微软雅黑" w:eastAsia="微软雅黑" w:cs="微软雅黑"/>
          <w:color w:val="auto"/>
          <w:sz w:val="24"/>
          <w:szCs w:val="24"/>
          <w:lang w:eastAsia="zh-CN"/>
        </w:rPr>
        <w:t>拟定跟审工作计划、编写跟审</w:t>
      </w:r>
      <w:r>
        <w:rPr>
          <w:rFonts w:hint="eastAsia" w:ascii="微软雅黑" w:hAnsi="微软雅黑" w:eastAsia="微软雅黑" w:cs="微软雅黑"/>
          <w:color w:val="auto"/>
          <w:sz w:val="24"/>
          <w:szCs w:val="24"/>
        </w:rPr>
        <w:t>日志及</w:t>
      </w:r>
      <w:r>
        <w:rPr>
          <w:rFonts w:hint="eastAsia" w:ascii="微软雅黑" w:hAnsi="微软雅黑" w:eastAsia="微软雅黑" w:cs="微软雅黑"/>
          <w:color w:val="auto"/>
          <w:sz w:val="24"/>
          <w:szCs w:val="24"/>
          <w:lang w:eastAsia="zh-CN"/>
        </w:rPr>
        <w:t>跟审</w:t>
      </w:r>
      <w:r>
        <w:rPr>
          <w:rFonts w:hint="eastAsia" w:ascii="微软雅黑" w:hAnsi="微软雅黑" w:eastAsia="微软雅黑" w:cs="微软雅黑"/>
          <w:color w:val="auto"/>
          <w:sz w:val="24"/>
          <w:szCs w:val="24"/>
        </w:rPr>
        <w:t>工作小结；</w:t>
      </w:r>
    </w:p>
    <w:p w14:paraId="00B3EB56">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11.整理工程结算审计的证明材料、审查工程竣工资料（达到审计主管部门要求）、进行工程结算审核、编制工程结算审核报告、相关资料整理归档（达到送审条件）；</w:t>
      </w:r>
    </w:p>
    <w:p w14:paraId="5CF006F8">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12.乙方定时及不定时检查收方测量仪器，检查仪器年检记录，并对仪器进行现场校对、且有文字记录；</w:t>
      </w:r>
    </w:p>
    <w:p w14:paraId="47221AEB">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13.提交</w:t>
      </w:r>
      <w:r>
        <w:rPr>
          <w:rFonts w:hint="eastAsia" w:ascii="微软雅黑" w:hAnsi="微软雅黑" w:eastAsia="微软雅黑" w:cs="微软雅黑"/>
          <w:color w:val="auto"/>
          <w:sz w:val="24"/>
          <w:szCs w:val="24"/>
          <w:lang w:eastAsia="zh-CN"/>
        </w:rPr>
        <w:t>跟审</w:t>
      </w:r>
      <w:r>
        <w:rPr>
          <w:rFonts w:hint="eastAsia" w:ascii="微软雅黑" w:hAnsi="微软雅黑" w:eastAsia="微软雅黑" w:cs="微软雅黑"/>
          <w:color w:val="auto"/>
          <w:sz w:val="24"/>
          <w:szCs w:val="24"/>
        </w:rPr>
        <w:t>报表：每30天一期动态信息,需向甲方提交全过程造价控制月报。乙方提交的月报中应体现每个月内参建各方的工作开展情况，</w:t>
      </w:r>
      <w:r>
        <w:rPr>
          <w:rFonts w:hint="eastAsia" w:ascii="微软雅黑" w:hAnsi="微软雅黑" w:eastAsia="微软雅黑" w:cs="微软雅黑"/>
          <w:color w:val="auto"/>
          <w:sz w:val="24"/>
          <w:szCs w:val="24"/>
          <w:lang w:eastAsia="zh-CN"/>
        </w:rPr>
        <w:t>跟审</w:t>
      </w:r>
      <w:r>
        <w:rPr>
          <w:rFonts w:hint="eastAsia" w:ascii="微软雅黑" w:hAnsi="微软雅黑" w:eastAsia="微软雅黑" w:cs="微软雅黑"/>
          <w:color w:val="auto"/>
          <w:sz w:val="24"/>
          <w:szCs w:val="24"/>
        </w:rPr>
        <w:t>过程中发现的问题以及向甲方提出整改建议等；</w:t>
      </w:r>
    </w:p>
    <w:p w14:paraId="50E8EE71">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14.提交月报：次月5日前向甲方提交全过程造价控制月报，乙方提交的月报中应体现当月内参建各方的工作开展情况，</w:t>
      </w:r>
      <w:r>
        <w:rPr>
          <w:rFonts w:hint="eastAsia" w:ascii="微软雅黑" w:hAnsi="微软雅黑" w:eastAsia="微软雅黑" w:cs="微软雅黑"/>
          <w:color w:val="auto"/>
          <w:sz w:val="24"/>
          <w:szCs w:val="24"/>
          <w:lang w:eastAsia="zh-CN"/>
        </w:rPr>
        <w:t>跟审</w:t>
      </w:r>
      <w:r>
        <w:rPr>
          <w:rFonts w:hint="eastAsia" w:ascii="微软雅黑" w:hAnsi="微软雅黑" w:eastAsia="微软雅黑" w:cs="微软雅黑"/>
          <w:color w:val="auto"/>
          <w:sz w:val="24"/>
          <w:szCs w:val="24"/>
        </w:rPr>
        <w:t>过程中发现的问题以及向甲方提出整改建议，并对上月</w:t>
      </w:r>
      <w:r>
        <w:rPr>
          <w:rFonts w:hint="eastAsia" w:ascii="微软雅黑" w:hAnsi="微软雅黑" w:eastAsia="微软雅黑" w:cs="微软雅黑"/>
          <w:color w:val="auto"/>
          <w:sz w:val="24"/>
          <w:szCs w:val="24"/>
          <w:lang w:eastAsia="zh-CN"/>
        </w:rPr>
        <w:t>跟审</w:t>
      </w:r>
      <w:r>
        <w:rPr>
          <w:rFonts w:hint="eastAsia" w:ascii="微软雅黑" w:hAnsi="微软雅黑" w:eastAsia="微软雅黑" w:cs="微软雅黑"/>
          <w:color w:val="auto"/>
          <w:sz w:val="24"/>
          <w:szCs w:val="24"/>
        </w:rPr>
        <w:t>成果汇总以及对审计中发现的问题是否整改予以审查；</w:t>
      </w:r>
    </w:p>
    <w:p w14:paraId="3CD32E2E">
      <w:pPr>
        <w:numPr>
          <w:ilvl w:val="0"/>
          <w:numId w:val="0"/>
        </w:num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15.制订切实可行的《全过程造价控制实施方案》，并作为全过程造价控制合同的附件，在合同签订后10个工作日内向甲方提交。</w:t>
      </w:r>
    </w:p>
    <w:p w14:paraId="0A95399E">
      <w:pPr>
        <w:spacing w:line="400" w:lineRule="exact"/>
        <w:ind w:firstLine="480" w:firstLineChars="200"/>
        <w:rPr>
          <w:rFonts w:hint="eastAsia" w:ascii="微软雅黑" w:hAnsi="微软雅黑" w:eastAsia="微软雅黑" w:cs="微软雅黑"/>
          <w:color w:val="auto"/>
          <w:sz w:val="24"/>
          <w:szCs w:val="24"/>
        </w:rPr>
      </w:pPr>
    </w:p>
    <w:p w14:paraId="793A45B5">
      <w:pPr>
        <w:spacing w:line="400" w:lineRule="exact"/>
        <w:ind w:firstLine="480" w:firstLineChars="200"/>
        <w:rPr>
          <w:rFonts w:hint="eastAsia" w:ascii="微软雅黑" w:hAnsi="微软雅黑" w:eastAsia="微软雅黑" w:cs="微软雅黑"/>
          <w:color w:val="auto"/>
          <w:sz w:val="24"/>
          <w:szCs w:val="24"/>
        </w:rPr>
        <w:sectPr>
          <w:footerReference r:id="rId9" w:type="default"/>
          <w:footerReference r:id="rId10" w:type="even"/>
          <w:pgSz w:w="11907" w:h="16840"/>
          <w:pgMar w:top="1417" w:right="1417" w:bottom="1417" w:left="1417" w:header="964" w:footer="992" w:gutter="0"/>
          <w:pgNumType w:fmt="numberInDash"/>
          <w:cols w:space="720" w:num="1"/>
          <w:docGrid w:linePitch="312" w:charSpace="0"/>
        </w:sectPr>
      </w:pPr>
    </w:p>
    <w:p w14:paraId="4FB92FB9">
      <w:pPr>
        <w:pStyle w:val="3"/>
        <w:spacing w:before="0" w:after="0" w:line="360" w:lineRule="auto"/>
        <w:jc w:val="center"/>
        <w:rPr>
          <w:rFonts w:hint="eastAsia" w:ascii="微软雅黑" w:hAnsi="微软雅黑" w:eastAsia="微软雅黑" w:cs="微软雅黑"/>
          <w:b w:val="0"/>
          <w:color w:val="auto"/>
          <w:sz w:val="36"/>
          <w:szCs w:val="30"/>
        </w:rPr>
      </w:pPr>
      <w:bookmarkStart w:id="56" w:name="_Toc9816"/>
      <w:bookmarkStart w:id="57" w:name="_Toc76462327"/>
      <w:r>
        <w:rPr>
          <w:rFonts w:hint="eastAsia" w:ascii="微软雅黑" w:hAnsi="微软雅黑" w:eastAsia="微软雅黑" w:cs="微软雅黑"/>
          <w:b w:val="0"/>
          <w:color w:val="auto"/>
          <w:sz w:val="36"/>
          <w:szCs w:val="30"/>
        </w:rPr>
        <w:t xml:space="preserve">第三篇  </w:t>
      </w:r>
      <w:bookmarkEnd w:id="45"/>
      <w:r>
        <w:rPr>
          <w:rFonts w:hint="eastAsia" w:ascii="微软雅黑" w:hAnsi="微软雅黑" w:eastAsia="微软雅黑" w:cs="微软雅黑"/>
          <w:b w:val="0"/>
          <w:color w:val="auto"/>
          <w:sz w:val="36"/>
          <w:szCs w:val="30"/>
        </w:rPr>
        <w:t>项目商务需求</w:t>
      </w:r>
      <w:bookmarkEnd w:id="56"/>
      <w:bookmarkEnd w:id="57"/>
    </w:p>
    <w:p w14:paraId="6D85EC31">
      <w:pPr>
        <w:spacing w:line="400" w:lineRule="exact"/>
        <w:ind w:firstLine="480" w:firstLineChars="200"/>
        <w:rPr>
          <w:rFonts w:hint="eastAsia" w:ascii="微软雅黑" w:hAnsi="微软雅黑" w:eastAsia="微软雅黑" w:cs="微软雅黑"/>
          <w:color w:val="auto"/>
          <w:sz w:val="24"/>
          <w:szCs w:val="24"/>
        </w:rPr>
      </w:pPr>
      <w:bookmarkStart w:id="58" w:name="_Toc267320049"/>
      <w:r>
        <w:rPr>
          <w:rFonts w:hint="eastAsia" w:ascii="微软雅黑" w:hAnsi="微软雅黑" w:eastAsia="微软雅黑" w:cs="微软雅黑"/>
          <w:color w:val="auto"/>
          <w:sz w:val="24"/>
          <w:szCs w:val="24"/>
        </w:rPr>
        <w:t>“※”标注的商务需求为符合性审查中的实质性要求，响应文件若不满足按无效投标处理。</w:t>
      </w:r>
    </w:p>
    <w:bookmarkEnd w:id="58"/>
    <w:p w14:paraId="7A521BD3">
      <w:pPr>
        <w:pStyle w:val="3"/>
        <w:spacing w:before="0" w:after="0" w:line="480" w:lineRule="exact"/>
        <w:ind w:firstLine="480" w:firstLineChars="200"/>
        <w:rPr>
          <w:rFonts w:hint="eastAsia" w:ascii="微软雅黑" w:hAnsi="微软雅黑" w:eastAsia="微软雅黑" w:cs="微软雅黑"/>
          <w:color w:val="auto"/>
          <w:sz w:val="24"/>
          <w:szCs w:val="24"/>
        </w:rPr>
      </w:pPr>
      <w:bookmarkStart w:id="59" w:name="_Toc13346"/>
      <w:bookmarkStart w:id="60" w:name="_Toc17737"/>
      <w:bookmarkStart w:id="61" w:name="_Toc15866"/>
      <w:bookmarkStart w:id="62" w:name="_Toc29654"/>
      <w:r>
        <w:rPr>
          <w:rFonts w:hint="eastAsia" w:ascii="微软雅黑" w:hAnsi="微软雅黑" w:eastAsia="微软雅黑" w:cs="微软雅黑"/>
          <w:color w:val="auto"/>
          <w:sz w:val="24"/>
          <w:szCs w:val="24"/>
        </w:rPr>
        <w:t>※一、实施时间、实施地点及验收方式</w:t>
      </w:r>
      <w:bookmarkEnd w:id="59"/>
      <w:bookmarkEnd w:id="60"/>
      <w:bookmarkEnd w:id="61"/>
      <w:bookmarkEnd w:id="62"/>
    </w:p>
    <w:p w14:paraId="0142B8AD">
      <w:pPr>
        <w:spacing w:line="44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（一）实施时间：以合同签订之日开始，至工程竣工结算经审计主管部门审计完毕后终结。</w:t>
      </w:r>
    </w:p>
    <w:p w14:paraId="69CADB34">
      <w:pPr>
        <w:snapToGrid w:val="0"/>
        <w:spacing w:line="44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（二）实施地点：重庆市九龙坡区。</w:t>
      </w:r>
    </w:p>
    <w:p w14:paraId="180997E8">
      <w:pPr>
        <w:snapToGrid w:val="0"/>
        <w:spacing w:line="440" w:lineRule="exact"/>
        <w:ind w:firstLine="480" w:firstLineChars="200"/>
        <w:rPr>
          <w:rFonts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（三）验收方式：由采购人组织验收。</w:t>
      </w:r>
    </w:p>
    <w:p w14:paraId="137FB20F">
      <w:pPr>
        <w:pStyle w:val="3"/>
        <w:spacing w:before="0" w:after="0" w:line="480" w:lineRule="exact"/>
        <w:ind w:firstLine="480" w:firstLineChars="200"/>
        <w:rPr>
          <w:rFonts w:hint="eastAsia" w:ascii="微软雅黑" w:hAnsi="微软雅黑" w:eastAsia="微软雅黑" w:cs="微软雅黑"/>
          <w:color w:val="auto"/>
          <w:sz w:val="24"/>
          <w:szCs w:val="24"/>
        </w:rPr>
      </w:pPr>
      <w:bookmarkStart w:id="63" w:name="_Toc16746"/>
      <w:bookmarkStart w:id="64" w:name="_Toc10865"/>
      <w:bookmarkStart w:id="65" w:name="_Toc4805"/>
      <w:bookmarkStart w:id="66" w:name="_Toc26226"/>
      <w:bookmarkStart w:id="67" w:name="_Toc19711"/>
      <w:r>
        <w:rPr>
          <w:rFonts w:hint="eastAsia" w:ascii="微软雅黑" w:hAnsi="微软雅黑" w:eastAsia="微软雅黑" w:cs="微软雅黑"/>
          <w:color w:val="auto"/>
          <w:sz w:val="24"/>
          <w:szCs w:val="24"/>
        </w:rPr>
        <w:t>※二、报价要求</w:t>
      </w:r>
      <w:bookmarkEnd w:id="63"/>
      <w:bookmarkEnd w:id="64"/>
      <w:bookmarkEnd w:id="65"/>
      <w:bookmarkEnd w:id="66"/>
      <w:bookmarkEnd w:id="67"/>
      <w:bookmarkStart w:id="68" w:name="_Toc27531"/>
      <w:bookmarkStart w:id="69" w:name="_Toc24595"/>
      <w:bookmarkStart w:id="70" w:name="_Toc267320051"/>
      <w:bookmarkStart w:id="71" w:name="_Toc2898"/>
      <w:bookmarkStart w:id="72" w:name="_Toc32317"/>
    </w:p>
    <w:bookmarkEnd w:id="68"/>
    <w:bookmarkEnd w:id="69"/>
    <w:bookmarkEnd w:id="70"/>
    <w:bookmarkEnd w:id="71"/>
    <w:p w14:paraId="544331ED">
      <w:pPr>
        <w:pStyle w:val="37"/>
        <w:numPr>
          <w:ilvl w:val="0"/>
          <w:numId w:val="0"/>
        </w:numPr>
        <w:spacing w:line="420" w:lineRule="exact"/>
        <w:ind w:left="0" w:leftChars="0" w:firstLine="480" w:firstLineChars="200"/>
        <w:rPr>
          <w:rFonts w:hint="eastAsia" w:ascii="微软雅黑" w:hAnsi="微软雅黑" w:eastAsia="微软雅黑" w:cs="微软雅黑"/>
          <w:color w:val="auto"/>
          <w:kern w:val="0"/>
          <w:sz w:val="24"/>
          <w:szCs w:val="24"/>
          <w:lang w:val="en-US" w:eastAsia="zh-CN"/>
        </w:rPr>
      </w:pPr>
      <w:bookmarkStart w:id="73" w:name="_Toc30745"/>
      <w:bookmarkStart w:id="74" w:name="_Toc1874"/>
      <w:bookmarkStart w:id="75" w:name="_Toc267320052"/>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kern w:val="0"/>
          <w:sz w:val="24"/>
          <w:szCs w:val="24"/>
          <w:lang w:val="en-US" w:eastAsia="zh-CN"/>
        </w:rPr>
        <w:t>本次采购为取费比例报价,供应商按照《重庆市建筑安装工程设计概算编制办法》(COGSBF-JA-2021)“工程量清单施工阶段工程造价全过程控制”规定的收费标准为原则结合本项目的工程费用、结算原则、自身实力和市场行情自主填报取费比例，成交后该取费比例不因任何原因而变化(包括但不限于因政策调整、变化等原因造成跟踪审计内容的增减、物价变动、施工工期延长等)。取费比例应是完成本项目比选范围内全部工作、且应满足合同条款中对咨询服务工作的相关要求的费用，供应商须充分考虑本比选项目实际情况、工期要求、驻场时间、竞争性比选文件相关条款内容、自身实力、市场行情及综合风险因素等，在公布的最高限价范围内自主报价。</w:t>
      </w:r>
    </w:p>
    <w:p w14:paraId="3373A517">
      <w:pPr>
        <w:pStyle w:val="37"/>
        <w:numPr>
          <w:ilvl w:val="0"/>
          <w:numId w:val="0"/>
        </w:numPr>
        <w:spacing w:line="420" w:lineRule="exact"/>
        <w:ind w:left="0" w:leftChars="0"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kern w:val="0"/>
          <w:sz w:val="24"/>
          <w:szCs w:val="24"/>
          <w:lang w:val="en-US" w:eastAsia="zh-CN"/>
        </w:rPr>
        <w:t>磋商报价包括完成本项目所有建设范围及内容的全过程造价咨询服务工作的咨询及服务费用、附加工作费用、额外工作费用、工作人员工资、技术服务费、招标代理费、交易服务费、加班费、办公设施费、通讯费、交通费、差旅费、管理费、保险、利润、税金及风险等所有费用。除按合同条款约定调整外，不因任何因素变化而调整。</w:t>
      </w:r>
    </w:p>
    <w:p w14:paraId="1B21AEBE">
      <w:pPr>
        <w:pStyle w:val="37"/>
        <w:spacing w:line="420" w:lineRule="exact"/>
        <w:ind w:left="0" w:leftChars="0"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kern w:val="0"/>
          <w:sz w:val="24"/>
          <w:szCs w:val="24"/>
          <w:lang w:val="en-US" w:eastAsia="zh-CN"/>
        </w:rPr>
        <w:t>磋商取费比例最高限价为</w:t>
      </w:r>
      <w:r>
        <w:rPr>
          <w:rFonts w:hint="eastAsia" w:ascii="微软雅黑" w:hAnsi="微软雅黑" w:eastAsia="微软雅黑" w:cs="微软雅黑"/>
          <w:color w:val="auto"/>
          <w:kern w:val="0"/>
          <w:sz w:val="24"/>
          <w:szCs w:val="24"/>
          <w:u w:val="single"/>
          <w:lang w:val="en-US" w:eastAsia="zh-CN"/>
        </w:rPr>
        <w:t>80%</w:t>
      </w:r>
      <w:r>
        <w:rPr>
          <w:rFonts w:hint="eastAsia" w:ascii="微软雅黑" w:hAnsi="微软雅黑" w:eastAsia="微软雅黑" w:cs="微软雅黑"/>
          <w:color w:val="auto"/>
          <w:kern w:val="0"/>
          <w:sz w:val="24"/>
          <w:szCs w:val="24"/>
          <w:lang w:val="en-US" w:eastAsia="zh-CN"/>
        </w:rPr>
        <w:t>，暂定磋商总报价最高限价为</w:t>
      </w:r>
      <w:r>
        <w:rPr>
          <w:rFonts w:hint="eastAsia" w:ascii="微软雅黑" w:hAnsi="微软雅黑" w:eastAsia="微软雅黑" w:cs="微软雅黑"/>
          <w:color w:val="auto"/>
          <w:kern w:val="0"/>
          <w:sz w:val="24"/>
          <w:szCs w:val="24"/>
          <w:u w:val="single"/>
          <w:lang w:val="en-US" w:eastAsia="zh-CN"/>
        </w:rPr>
        <w:t>69.76</w:t>
      </w:r>
      <w:r>
        <w:rPr>
          <w:rFonts w:hint="eastAsia" w:ascii="微软雅黑" w:hAnsi="微软雅黑" w:eastAsia="微软雅黑" w:cs="微软雅黑"/>
          <w:color w:val="auto"/>
          <w:kern w:val="0"/>
          <w:sz w:val="24"/>
          <w:szCs w:val="24"/>
          <w:lang w:val="en-US" w:eastAsia="zh-CN"/>
        </w:rPr>
        <w:t>万元。磋商报价超过最高限价的按无效响应处理。</w:t>
      </w:r>
    </w:p>
    <w:p w14:paraId="055A5ACC">
      <w:pPr>
        <w:pStyle w:val="37"/>
        <w:spacing w:line="420" w:lineRule="exact"/>
        <w:ind w:left="0" w:leftChars="0"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暂定磋商总报价=以建筑工程安装费</w:t>
      </w:r>
      <w:r>
        <w:rPr>
          <w:rFonts w:hint="eastAsia" w:ascii="微软雅黑" w:hAnsi="微软雅黑" w:eastAsia="微软雅黑" w:cs="微软雅黑"/>
          <w:color w:val="auto"/>
          <w:kern w:val="0"/>
          <w:sz w:val="24"/>
          <w:szCs w:val="24"/>
          <w:u w:val="single"/>
          <w:lang w:val="en-US" w:eastAsia="zh-CN"/>
        </w:rPr>
        <w:t>12833.52</w:t>
      </w:r>
      <w:r>
        <w:rPr>
          <w:rFonts w:hint="eastAsia" w:ascii="微软雅黑" w:hAnsi="微软雅黑" w:eastAsia="微软雅黑" w:cs="微软雅黑"/>
          <w:color w:val="auto"/>
          <w:kern w:val="0"/>
          <w:sz w:val="24"/>
          <w:szCs w:val="24"/>
          <w:lang w:val="en-US" w:eastAsia="zh-CN"/>
        </w:rPr>
        <w:t xml:space="preserve">万元作为计费基数按照《重庆市建筑安装工程设计概算编制办法》(COGSBF-JA-2021)文件计算出的费用x磋商取费比例。  </w:t>
      </w:r>
    </w:p>
    <w:p w14:paraId="4D86D6FF">
      <w:pPr>
        <w:pStyle w:val="37"/>
        <w:spacing w:line="420" w:lineRule="exact"/>
        <w:ind w:left="0" w:leftChars="0"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lang w:val="en-US" w:eastAsia="zh-CN"/>
        </w:rPr>
        <w:t>磋商取费比例报价以百分号为单位，百分号前保留两位小数，第三位四舍五入，不足两位的按实际位数保留。</w:t>
      </w:r>
    </w:p>
    <w:p w14:paraId="43040015">
      <w:pPr>
        <w:pStyle w:val="3"/>
        <w:spacing w:before="0" w:after="0" w:line="480" w:lineRule="exact"/>
        <w:ind w:firstLine="480" w:firstLineChars="200"/>
        <w:rPr>
          <w:rFonts w:hint="default" w:ascii="微软雅黑" w:hAnsi="微软雅黑" w:eastAsia="微软雅黑" w:cs="微软雅黑"/>
          <w:color w:val="auto"/>
          <w:sz w:val="24"/>
          <w:szCs w:val="24"/>
          <w:lang w:val="en-US" w:eastAsia="zh-CN"/>
        </w:rPr>
      </w:pPr>
      <w:bookmarkStart w:id="76" w:name="_Toc1288"/>
      <w:bookmarkStart w:id="77" w:name="_Toc18853"/>
      <w:bookmarkStart w:id="78" w:name="_Toc12909"/>
      <w:bookmarkStart w:id="79" w:name="_Toc774"/>
      <w:bookmarkStart w:id="80" w:name="_Toc1191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三结算原则</w:t>
      </w:r>
    </w:p>
    <w:p w14:paraId="2F880EB1">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lang w:val="en-US" w:eastAsia="zh-CN"/>
        </w:rPr>
        <w:t>最终结算费用=</w:t>
      </w:r>
      <w:r>
        <w:rPr>
          <w:rFonts w:hint="eastAsia" w:ascii="微软雅黑" w:hAnsi="微软雅黑" w:eastAsia="微软雅黑" w:cs="微软雅黑"/>
          <w:color w:val="auto"/>
          <w:kern w:val="0"/>
          <w:sz w:val="24"/>
          <w:szCs w:val="24"/>
        </w:rPr>
        <w:t>九龙坡区财政局或审计局审定</w:t>
      </w:r>
      <w:r>
        <w:rPr>
          <w:rFonts w:hint="eastAsia" w:ascii="微软雅黑" w:hAnsi="微软雅黑" w:eastAsia="微软雅黑" w:cs="微软雅黑"/>
          <w:color w:val="auto"/>
          <w:kern w:val="0"/>
          <w:sz w:val="24"/>
          <w:szCs w:val="24"/>
          <w:lang w:val="en-US" w:eastAsia="zh-CN"/>
        </w:rPr>
        <w:t>的建筑工程安装费作为计费基数按照《重庆市建筑安装工程设计概算编制办法》(COGSBF-JA-2021)文件计算出的费用x</w:t>
      </w:r>
      <w:r>
        <w:rPr>
          <w:rFonts w:hint="eastAsia" w:ascii="微软雅黑" w:hAnsi="微软雅黑" w:eastAsia="微软雅黑" w:cs="微软雅黑"/>
          <w:color w:val="auto"/>
          <w:kern w:val="0"/>
          <w:sz w:val="24"/>
          <w:szCs w:val="24"/>
          <w:u w:val="single"/>
          <w:lang w:eastAsia="zh-CN"/>
        </w:rPr>
        <w:t>成交取费比例</w:t>
      </w:r>
      <w:r>
        <w:rPr>
          <w:rFonts w:hint="eastAsia" w:ascii="微软雅黑" w:hAnsi="微软雅黑" w:eastAsia="微软雅黑" w:cs="微软雅黑"/>
          <w:color w:val="auto"/>
          <w:kern w:val="0"/>
          <w:sz w:val="24"/>
          <w:szCs w:val="24"/>
          <w:lang w:val="en-US" w:eastAsia="zh-CN"/>
        </w:rPr>
        <w:t>。</w:t>
      </w:r>
      <w:r>
        <w:rPr>
          <w:rFonts w:hint="eastAsia" w:ascii="微软雅黑" w:hAnsi="微软雅黑" w:eastAsia="微软雅黑" w:cs="微软雅黑"/>
          <w:color w:val="auto"/>
          <w:kern w:val="0"/>
          <w:sz w:val="24"/>
          <w:szCs w:val="24"/>
        </w:rPr>
        <w:t>若结算费用超过</w:t>
      </w:r>
      <w:r>
        <w:rPr>
          <w:rFonts w:hint="eastAsia" w:ascii="微软雅黑" w:hAnsi="微软雅黑" w:eastAsia="微软雅黑" w:cs="微软雅黑"/>
          <w:color w:val="auto"/>
          <w:kern w:val="0"/>
          <w:sz w:val="24"/>
          <w:szCs w:val="24"/>
          <w:lang w:val="en-US" w:eastAsia="zh-CN"/>
        </w:rPr>
        <w:t>暂定磋商总金额</w:t>
      </w:r>
      <w:r>
        <w:rPr>
          <w:rFonts w:hint="eastAsia" w:ascii="微软雅黑" w:hAnsi="微软雅黑" w:eastAsia="微软雅黑" w:cs="微软雅黑"/>
          <w:color w:val="auto"/>
          <w:kern w:val="0"/>
          <w:sz w:val="24"/>
          <w:szCs w:val="24"/>
        </w:rPr>
        <w:t>时，以</w:t>
      </w:r>
      <w:r>
        <w:rPr>
          <w:rFonts w:hint="eastAsia" w:ascii="微软雅黑" w:hAnsi="微软雅黑" w:eastAsia="微软雅黑" w:cs="微软雅黑"/>
          <w:color w:val="auto"/>
          <w:kern w:val="0"/>
          <w:sz w:val="24"/>
          <w:szCs w:val="24"/>
          <w:lang w:val="en-US" w:eastAsia="zh-CN"/>
        </w:rPr>
        <w:t>暂定磋商总金额</w:t>
      </w:r>
      <w:r>
        <w:rPr>
          <w:rFonts w:hint="eastAsia" w:ascii="微软雅黑" w:hAnsi="微软雅黑" w:eastAsia="微软雅黑" w:cs="微软雅黑"/>
          <w:color w:val="auto"/>
          <w:kern w:val="0"/>
          <w:sz w:val="24"/>
          <w:szCs w:val="24"/>
        </w:rPr>
        <w:t>结算</w:t>
      </w:r>
      <w:r>
        <w:rPr>
          <w:rFonts w:hint="eastAsia" w:ascii="微软雅黑" w:hAnsi="微软雅黑" w:eastAsia="微软雅黑" w:cs="微软雅黑"/>
          <w:color w:val="auto"/>
          <w:kern w:val="0"/>
          <w:sz w:val="24"/>
          <w:szCs w:val="24"/>
          <w:lang w:eastAsia="zh-CN"/>
        </w:rPr>
        <w:t>，</w:t>
      </w:r>
      <w:r>
        <w:rPr>
          <w:rFonts w:hint="eastAsia" w:ascii="微软雅黑" w:hAnsi="微软雅黑" w:eastAsia="微软雅黑" w:cs="微软雅黑"/>
          <w:color w:val="auto"/>
          <w:kern w:val="0"/>
          <w:sz w:val="24"/>
          <w:szCs w:val="24"/>
        </w:rPr>
        <w:t>若未超过</w:t>
      </w:r>
      <w:r>
        <w:rPr>
          <w:rFonts w:hint="eastAsia" w:ascii="微软雅黑" w:hAnsi="微软雅黑" w:eastAsia="微软雅黑" w:cs="微软雅黑"/>
          <w:color w:val="auto"/>
          <w:kern w:val="0"/>
          <w:sz w:val="24"/>
          <w:szCs w:val="24"/>
          <w:lang w:val="en-US" w:eastAsia="zh-CN"/>
        </w:rPr>
        <w:t>暂定磋商总金额</w:t>
      </w:r>
      <w:r>
        <w:rPr>
          <w:rFonts w:hint="eastAsia" w:ascii="微软雅黑" w:hAnsi="微软雅黑" w:eastAsia="微软雅黑" w:cs="微软雅黑"/>
          <w:color w:val="auto"/>
          <w:kern w:val="0"/>
          <w:sz w:val="24"/>
          <w:szCs w:val="24"/>
        </w:rPr>
        <w:t>时，以实际金额结算。</w:t>
      </w:r>
    </w:p>
    <w:p w14:paraId="2C0439C9">
      <w:pPr>
        <w:pStyle w:val="3"/>
        <w:spacing w:before="0" w:after="0" w:line="48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w:t>
      </w:r>
      <w:bookmarkEnd w:id="72"/>
      <w:bookmarkEnd w:id="73"/>
      <w:bookmarkEnd w:id="74"/>
      <w:bookmarkEnd w:id="76"/>
      <w:bookmarkEnd w:id="77"/>
      <w:bookmarkEnd w:id="78"/>
      <w:bookmarkStart w:id="81" w:name="_Toc9318"/>
      <w:bookmarkStart w:id="82" w:name="_Toc10718"/>
      <w:bookmarkStart w:id="83" w:name="_Toc22104"/>
      <w:r>
        <w:rPr>
          <w:rFonts w:hint="eastAsia" w:ascii="微软雅黑" w:hAnsi="微软雅黑" w:eastAsia="微软雅黑" w:cs="微软雅黑"/>
          <w:color w:val="auto"/>
          <w:sz w:val="24"/>
          <w:szCs w:val="24"/>
        </w:rPr>
        <w:t>付款方式</w:t>
      </w:r>
      <w:bookmarkEnd w:id="79"/>
      <w:bookmarkEnd w:id="80"/>
    </w:p>
    <w:bookmarkEnd w:id="81"/>
    <w:p w14:paraId="42F525F1">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1.工程开工后按工程进度每月进行支付，咨询费用进度款=工程当期进度审定完成的工程建安费产值金额/暂定工程建安费合同总金额*暂定咨询合同金额*70%。</w:t>
      </w:r>
    </w:p>
    <w:p w14:paraId="081619BB">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2.工程全部竣工验收合格后，若审定建筑安装工程费对应的咨询费大于合同金额则支付至暂定合同金额的80%，若审核金额小于合同金额的80%，则按实际审核金额的的80%进行支付。</w:t>
      </w:r>
    </w:p>
    <w:p w14:paraId="66AE2307">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3.完成九龙坡区财政局或审计局决算审计后，支付至决算价的100%。</w:t>
      </w:r>
    </w:p>
    <w:p w14:paraId="14924EAD">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4.每次支付前，咨询人需提供真实合规的发票。</w:t>
      </w:r>
    </w:p>
    <w:p w14:paraId="40BAA2A0">
      <w:pPr>
        <w:pStyle w:val="3"/>
        <w:spacing w:before="0" w:after="0" w:line="480" w:lineRule="exact"/>
        <w:ind w:firstLine="480" w:firstLineChars="200"/>
        <w:rPr>
          <w:rFonts w:hint="eastAsia" w:ascii="微软雅黑" w:hAnsi="微软雅黑" w:eastAsia="微软雅黑" w:cs="微软雅黑"/>
          <w:color w:val="auto"/>
          <w:sz w:val="24"/>
          <w:szCs w:val="24"/>
        </w:rPr>
      </w:pPr>
      <w:bookmarkStart w:id="84" w:name="_Toc11854"/>
      <w:bookmarkStart w:id="85" w:name="_Toc14209"/>
      <w:bookmarkStart w:id="86" w:name="_Toc8753"/>
      <w:bookmarkStart w:id="87" w:name="_Toc27917"/>
      <w:bookmarkStart w:id="88" w:name="_Toc28911"/>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、知识产权</w:t>
      </w:r>
      <w:bookmarkEnd w:id="75"/>
      <w:bookmarkEnd w:id="82"/>
      <w:bookmarkEnd w:id="83"/>
      <w:bookmarkEnd w:id="84"/>
      <w:bookmarkEnd w:id="85"/>
      <w:bookmarkEnd w:id="86"/>
      <w:bookmarkEnd w:id="87"/>
      <w:bookmarkEnd w:id="88"/>
      <w:bookmarkStart w:id="89" w:name="_Toc25339"/>
      <w:bookmarkStart w:id="90" w:name="_Toc25784"/>
    </w:p>
    <w:p w14:paraId="42B3FA0A">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采购人在中华人民共和国境内使用成交供应商提供的服务时免受第三方提出的侵犯其专利权或其它知识产权的起诉。如果第三方提出侵权指控，成交供应商应承担由此而引起的一切法律责任和费用。</w:t>
      </w:r>
      <w:bookmarkEnd w:id="89"/>
      <w:bookmarkEnd w:id="90"/>
    </w:p>
    <w:p w14:paraId="7F1E3B06">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b/>
          <w:color w:val="auto"/>
          <w:sz w:val="24"/>
          <w:szCs w:val="24"/>
        </w:rPr>
        <w:t>※</w:t>
      </w:r>
      <w:r>
        <w:rPr>
          <w:rFonts w:hint="eastAsia" w:ascii="微软雅黑" w:hAnsi="微软雅黑" w:eastAsia="微软雅黑" w:cs="微软雅黑"/>
          <w:b/>
          <w:color w:val="auto"/>
          <w:sz w:val="24"/>
          <w:szCs w:val="24"/>
          <w:lang w:val="en-US" w:eastAsia="zh-CN"/>
        </w:rPr>
        <w:t>六</w:t>
      </w:r>
      <w:r>
        <w:rPr>
          <w:rFonts w:hint="eastAsia" w:ascii="微软雅黑" w:hAnsi="微软雅黑" w:eastAsia="微软雅黑" w:cs="微软雅黑"/>
          <w:b/>
          <w:bCs/>
          <w:color w:val="auto"/>
          <w:kern w:val="0"/>
          <w:sz w:val="24"/>
          <w:szCs w:val="24"/>
        </w:rPr>
        <w:t>、保密要求</w:t>
      </w:r>
    </w:p>
    <w:p w14:paraId="2299C70A">
      <w:pPr>
        <w:pStyle w:val="37"/>
        <w:spacing w:line="42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成交供应商应对本项目所有的的技术、商业资料及工作成果进行保密，未经采购人同意，不得向第三方透露。</w:t>
      </w:r>
    </w:p>
    <w:p w14:paraId="383AC8BB">
      <w:pPr>
        <w:spacing w:line="400" w:lineRule="exact"/>
        <w:ind w:firstLine="480" w:firstLineChars="200"/>
        <w:rPr>
          <w:rFonts w:hint="eastAsia" w:ascii="微软雅黑" w:hAnsi="微软雅黑" w:eastAsia="微软雅黑" w:cs="微软雅黑"/>
          <w:color w:val="auto"/>
          <w:sz w:val="24"/>
          <w:szCs w:val="24"/>
        </w:rPr>
      </w:pPr>
    </w:p>
    <w:p w14:paraId="6B996A16">
      <w:pPr>
        <w:pStyle w:val="3"/>
        <w:pageBreakBefore/>
        <w:spacing w:before="0" w:after="0" w:line="360" w:lineRule="auto"/>
        <w:jc w:val="center"/>
        <w:rPr>
          <w:rFonts w:hint="eastAsia" w:ascii="微软雅黑" w:hAnsi="微软雅黑" w:eastAsia="微软雅黑" w:cs="微软雅黑"/>
          <w:b w:val="0"/>
          <w:color w:val="auto"/>
          <w:sz w:val="36"/>
          <w:szCs w:val="30"/>
        </w:rPr>
      </w:pPr>
      <w:bookmarkStart w:id="91" w:name="_Toc18827"/>
      <w:bookmarkStart w:id="92" w:name="_Toc76462332"/>
      <w:r>
        <w:rPr>
          <w:rFonts w:hint="eastAsia" w:ascii="微软雅黑" w:hAnsi="微软雅黑" w:eastAsia="微软雅黑" w:cs="微软雅黑"/>
          <w:b w:val="0"/>
          <w:color w:val="auto"/>
          <w:sz w:val="36"/>
          <w:szCs w:val="30"/>
        </w:rPr>
        <w:t>第四篇 磋商程序及方法、评审标准、无效响应和</w:t>
      </w:r>
      <w:r>
        <w:rPr>
          <w:rFonts w:hint="eastAsia" w:ascii="微软雅黑" w:hAnsi="微软雅黑" w:eastAsia="微软雅黑" w:cs="微软雅黑"/>
          <w:b w:val="0"/>
          <w:color w:val="auto"/>
          <w:sz w:val="36"/>
          <w:szCs w:val="36"/>
        </w:rPr>
        <w:t>采购终止</w:t>
      </w:r>
      <w:bookmarkEnd w:id="91"/>
      <w:bookmarkEnd w:id="92"/>
    </w:p>
    <w:p w14:paraId="63534BC8">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93" w:name="_Toc76462333"/>
      <w:bookmarkStart w:id="94" w:name="_Toc182845844"/>
      <w:bookmarkStart w:id="95" w:name="_Toc26527"/>
      <w:r>
        <w:rPr>
          <w:rFonts w:hint="eastAsia" w:ascii="微软雅黑" w:hAnsi="微软雅黑" w:eastAsia="微软雅黑" w:cs="微软雅黑"/>
          <w:color w:val="auto"/>
          <w:sz w:val="24"/>
        </w:rPr>
        <w:t>一、磋商程序及方法</w:t>
      </w:r>
      <w:bookmarkEnd w:id="93"/>
      <w:bookmarkEnd w:id="94"/>
      <w:bookmarkEnd w:id="95"/>
    </w:p>
    <w:p w14:paraId="7CA8D4C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（一）磋商按竞争性磋商文件规定的时间和地点进行。竞争性磋商以抽签的形式确定磋商顺序，由本项目依法组建的竞争性磋商小组（以下简称磋商小组）分别与各供应商进行磋商。</w:t>
      </w:r>
    </w:p>
    <w:p w14:paraId="7E3C27A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（二）磋商小组对各供应商的资格条件、响应文件的有效性、完整性和响应程度进行审查。各供应商只有在完全符合要求的前提下，才能参与正式磋商。</w:t>
      </w:r>
    </w:p>
    <w:p w14:paraId="32CC9291">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kern w:val="0"/>
          <w:sz w:val="24"/>
          <w:szCs w:val="24"/>
        </w:rPr>
        <w:t>资格性审查。依据法律法规和竞争性磋商文件的规定，对响应文件中的资格证明、等进行审查，以确定供应商是否具备磋商资格。资格性审查资料表如下：</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17B8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noWrap w:val="0"/>
            <w:vAlign w:val="center"/>
          </w:tcPr>
          <w:p w14:paraId="604DE1E0">
            <w:pPr>
              <w:jc w:val="center"/>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14:paraId="512C5E18">
            <w:pPr>
              <w:jc w:val="center"/>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14:paraId="0C44812B">
            <w:pPr>
              <w:jc w:val="center"/>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检查内容</w:t>
            </w:r>
          </w:p>
        </w:tc>
      </w:tr>
      <w:tr w14:paraId="59C0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4F253642">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w:t>
            </w:r>
          </w:p>
        </w:tc>
        <w:tc>
          <w:tcPr>
            <w:tcW w:w="709" w:type="dxa"/>
            <w:vMerge w:val="restart"/>
            <w:noWrap w:val="0"/>
            <w:vAlign w:val="center"/>
          </w:tcPr>
          <w:p w14:paraId="64F6E6A4">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sz w:val="21"/>
                <w:szCs w:val="21"/>
                <w:lang w:val="zh-CN"/>
              </w:rPr>
              <w:t>《中华人民共和国政府采购法》第二十二条规定</w:t>
            </w:r>
          </w:p>
        </w:tc>
        <w:tc>
          <w:tcPr>
            <w:tcW w:w="3118" w:type="dxa"/>
            <w:noWrap w:val="0"/>
            <w:vAlign w:val="center"/>
          </w:tcPr>
          <w:p w14:paraId="7C59ABA3">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1.具有独立承担民事责任的能力</w:t>
            </w:r>
          </w:p>
        </w:tc>
        <w:tc>
          <w:tcPr>
            <w:tcW w:w="4984" w:type="dxa"/>
            <w:noWrap w:val="0"/>
            <w:vAlign w:val="center"/>
          </w:tcPr>
          <w:p w14:paraId="252629CE">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1.供应商法人营业执照（副本）或事业单位法人证书（副本）或个体工商户营业执照或有效的自然人身份证明或社会团体法人登记证书（提供复印件）。 </w:t>
            </w:r>
          </w:p>
          <w:p w14:paraId="259BFD3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2.供应商法定代表人身份证明和法定代表人授权代表委托书。</w:t>
            </w:r>
          </w:p>
        </w:tc>
      </w:tr>
      <w:tr w14:paraId="3D5E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18B4D725">
            <w:pPr>
              <w:jc w:val="center"/>
              <w:rPr>
                <w:rFonts w:hint="eastAsia" w:ascii="微软雅黑" w:hAnsi="微软雅黑" w:eastAsia="微软雅黑" w:cs="微软雅黑"/>
                <w:color w:val="auto"/>
                <w:sz w:val="21"/>
                <w:szCs w:val="21"/>
              </w:rPr>
            </w:pPr>
          </w:p>
        </w:tc>
        <w:tc>
          <w:tcPr>
            <w:tcW w:w="709" w:type="dxa"/>
            <w:vMerge w:val="continue"/>
            <w:noWrap w:val="0"/>
            <w:vAlign w:val="center"/>
          </w:tcPr>
          <w:p w14:paraId="0D295E34">
            <w:pPr>
              <w:rPr>
                <w:rFonts w:hint="eastAsia" w:ascii="微软雅黑" w:hAnsi="微软雅黑" w:eastAsia="微软雅黑" w:cs="微软雅黑"/>
                <w:color w:val="auto"/>
                <w:sz w:val="21"/>
                <w:szCs w:val="21"/>
                <w:lang w:val="zh-CN"/>
              </w:rPr>
            </w:pPr>
          </w:p>
        </w:tc>
        <w:tc>
          <w:tcPr>
            <w:tcW w:w="3118" w:type="dxa"/>
            <w:noWrap w:val="0"/>
            <w:vAlign w:val="center"/>
          </w:tcPr>
          <w:p w14:paraId="37E3897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zh-CN"/>
              </w:rPr>
              <w:t>2.</w:t>
            </w:r>
            <w:r>
              <w:rPr>
                <w:rFonts w:hint="eastAsia" w:ascii="微软雅黑" w:hAnsi="微软雅黑" w:eastAsia="微软雅黑" w:cs="微软雅黑"/>
                <w:color w:val="auto"/>
                <w:sz w:val="21"/>
                <w:szCs w:val="21"/>
              </w:rPr>
              <w:t>具有良好的商业信誉和健全的财务会计制度</w:t>
            </w:r>
          </w:p>
        </w:tc>
        <w:tc>
          <w:tcPr>
            <w:tcW w:w="4984" w:type="dxa"/>
            <w:vMerge w:val="restart"/>
            <w:noWrap w:val="0"/>
            <w:vAlign w:val="center"/>
          </w:tcPr>
          <w:p w14:paraId="3A39C69C">
            <w:pPr>
              <w:rPr>
                <w:rFonts w:hint="eastAsia" w:ascii="微软雅黑" w:hAnsi="微软雅黑" w:eastAsia="微软雅黑" w:cs="微软雅黑"/>
                <w:b/>
                <w:color w:val="auto"/>
                <w:sz w:val="21"/>
                <w:szCs w:val="21"/>
              </w:rPr>
            </w:pPr>
            <w:r>
              <w:rPr>
                <w:rFonts w:hint="eastAsia" w:ascii="微软雅黑" w:hAnsi="微软雅黑" w:eastAsia="微软雅黑" w:cs="微软雅黑"/>
                <w:color w:val="auto"/>
                <w:sz w:val="21"/>
                <w:szCs w:val="21"/>
              </w:rPr>
              <w:t>供应商提供“基本资格条件承诺函”（格式详见第七篇）</w:t>
            </w:r>
          </w:p>
        </w:tc>
      </w:tr>
      <w:tr w14:paraId="0FE47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2CEDBF5E">
            <w:pPr>
              <w:jc w:val="center"/>
              <w:rPr>
                <w:rFonts w:hint="eastAsia" w:ascii="微软雅黑" w:hAnsi="微软雅黑" w:eastAsia="微软雅黑" w:cs="微软雅黑"/>
                <w:color w:val="auto"/>
                <w:sz w:val="21"/>
                <w:szCs w:val="21"/>
              </w:rPr>
            </w:pPr>
          </w:p>
        </w:tc>
        <w:tc>
          <w:tcPr>
            <w:tcW w:w="709" w:type="dxa"/>
            <w:vMerge w:val="continue"/>
            <w:noWrap w:val="0"/>
            <w:vAlign w:val="center"/>
          </w:tcPr>
          <w:p w14:paraId="59724561">
            <w:pPr>
              <w:rPr>
                <w:rFonts w:hint="eastAsia" w:ascii="微软雅黑" w:hAnsi="微软雅黑" w:eastAsia="微软雅黑" w:cs="微软雅黑"/>
                <w:color w:val="auto"/>
                <w:sz w:val="21"/>
                <w:szCs w:val="21"/>
                <w:lang w:val="zh-CN"/>
              </w:rPr>
            </w:pPr>
          </w:p>
        </w:tc>
        <w:tc>
          <w:tcPr>
            <w:tcW w:w="3118" w:type="dxa"/>
            <w:noWrap w:val="0"/>
            <w:vAlign w:val="center"/>
          </w:tcPr>
          <w:p w14:paraId="7474F7BD">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sz w:val="21"/>
                <w:szCs w:val="21"/>
                <w:lang w:val="zh-CN"/>
              </w:rPr>
              <w:t>3.具有履行合同所必需的设备和专业技术能力</w:t>
            </w:r>
          </w:p>
        </w:tc>
        <w:tc>
          <w:tcPr>
            <w:tcW w:w="4984" w:type="dxa"/>
            <w:vMerge w:val="continue"/>
            <w:noWrap w:val="0"/>
            <w:vAlign w:val="center"/>
          </w:tcPr>
          <w:p w14:paraId="23DBF370">
            <w:pPr>
              <w:rPr>
                <w:rFonts w:hint="eastAsia" w:ascii="微软雅黑" w:hAnsi="微软雅黑" w:eastAsia="微软雅黑" w:cs="微软雅黑"/>
                <w:color w:val="auto"/>
                <w:sz w:val="21"/>
                <w:szCs w:val="21"/>
              </w:rPr>
            </w:pPr>
          </w:p>
        </w:tc>
      </w:tr>
      <w:tr w14:paraId="1B6F3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0CAAB67A">
            <w:pPr>
              <w:jc w:val="center"/>
              <w:rPr>
                <w:rFonts w:hint="eastAsia" w:ascii="微软雅黑" w:hAnsi="微软雅黑" w:eastAsia="微软雅黑" w:cs="微软雅黑"/>
                <w:color w:val="auto"/>
                <w:sz w:val="21"/>
                <w:szCs w:val="21"/>
              </w:rPr>
            </w:pPr>
          </w:p>
        </w:tc>
        <w:tc>
          <w:tcPr>
            <w:tcW w:w="709" w:type="dxa"/>
            <w:vMerge w:val="continue"/>
            <w:noWrap w:val="0"/>
            <w:vAlign w:val="center"/>
          </w:tcPr>
          <w:p w14:paraId="54B79178">
            <w:pPr>
              <w:rPr>
                <w:rFonts w:hint="eastAsia" w:ascii="微软雅黑" w:hAnsi="微软雅黑" w:eastAsia="微软雅黑" w:cs="微软雅黑"/>
                <w:color w:val="auto"/>
                <w:sz w:val="21"/>
                <w:szCs w:val="21"/>
                <w:lang w:val="zh-CN"/>
              </w:rPr>
            </w:pPr>
          </w:p>
        </w:tc>
        <w:tc>
          <w:tcPr>
            <w:tcW w:w="3118" w:type="dxa"/>
            <w:noWrap w:val="0"/>
            <w:vAlign w:val="center"/>
          </w:tcPr>
          <w:p w14:paraId="09D5CBFC">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sz w:val="21"/>
                <w:szCs w:val="21"/>
                <w:lang w:val="zh-CN"/>
              </w:rPr>
              <w:t>4.有依法缴纳税收和社会保障金的良好记录</w:t>
            </w:r>
          </w:p>
        </w:tc>
        <w:tc>
          <w:tcPr>
            <w:tcW w:w="4984" w:type="dxa"/>
            <w:vMerge w:val="continue"/>
            <w:noWrap w:val="0"/>
            <w:vAlign w:val="center"/>
          </w:tcPr>
          <w:p w14:paraId="1EB6454C">
            <w:pPr>
              <w:rPr>
                <w:rFonts w:hint="eastAsia" w:ascii="微软雅黑" w:hAnsi="微软雅黑" w:eastAsia="微软雅黑" w:cs="微软雅黑"/>
                <w:color w:val="auto"/>
                <w:sz w:val="21"/>
                <w:szCs w:val="21"/>
              </w:rPr>
            </w:pPr>
          </w:p>
        </w:tc>
      </w:tr>
      <w:tr w14:paraId="0103E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7CBDFFE7">
            <w:pPr>
              <w:jc w:val="center"/>
              <w:rPr>
                <w:rFonts w:hint="eastAsia" w:ascii="微软雅黑" w:hAnsi="微软雅黑" w:eastAsia="微软雅黑" w:cs="微软雅黑"/>
                <w:color w:val="auto"/>
                <w:sz w:val="21"/>
                <w:szCs w:val="21"/>
              </w:rPr>
            </w:pPr>
          </w:p>
        </w:tc>
        <w:tc>
          <w:tcPr>
            <w:tcW w:w="709" w:type="dxa"/>
            <w:vMerge w:val="continue"/>
            <w:noWrap w:val="0"/>
            <w:vAlign w:val="center"/>
          </w:tcPr>
          <w:p w14:paraId="3B6575CC">
            <w:pPr>
              <w:rPr>
                <w:rFonts w:hint="eastAsia" w:ascii="微软雅黑" w:hAnsi="微软雅黑" w:eastAsia="微软雅黑" w:cs="微软雅黑"/>
                <w:color w:val="auto"/>
                <w:sz w:val="21"/>
                <w:szCs w:val="21"/>
                <w:lang w:val="zh-CN"/>
              </w:rPr>
            </w:pPr>
          </w:p>
        </w:tc>
        <w:tc>
          <w:tcPr>
            <w:tcW w:w="3118" w:type="dxa"/>
            <w:noWrap w:val="0"/>
            <w:vAlign w:val="center"/>
          </w:tcPr>
          <w:p w14:paraId="5089B89F">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sz w:val="21"/>
                <w:szCs w:val="21"/>
              </w:rPr>
              <w:t>5.参加政府采购活动前三年内，在经营活动中没有重大违法记录</w:t>
            </w:r>
          </w:p>
        </w:tc>
        <w:tc>
          <w:tcPr>
            <w:tcW w:w="4984" w:type="dxa"/>
            <w:vMerge w:val="continue"/>
            <w:noWrap w:val="0"/>
            <w:vAlign w:val="center"/>
          </w:tcPr>
          <w:p w14:paraId="5BD7EAB5">
            <w:pPr>
              <w:rPr>
                <w:rFonts w:hint="eastAsia" w:ascii="微软雅黑" w:hAnsi="微软雅黑" w:eastAsia="微软雅黑" w:cs="微软雅黑"/>
                <w:b/>
                <w:color w:val="auto"/>
                <w:sz w:val="21"/>
                <w:szCs w:val="21"/>
              </w:rPr>
            </w:pPr>
          </w:p>
        </w:tc>
      </w:tr>
      <w:tr w14:paraId="4BB9E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0101DBF4">
            <w:pPr>
              <w:jc w:val="center"/>
              <w:rPr>
                <w:rFonts w:hint="eastAsia" w:ascii="微软雅黑" w:hAnsi="微软雅黑" w:eastAsia="微软雅黑" w:cs="微软雅黑"/>
                <w:color w:val="auto"/>
                <w:sz w:val="21"/>
                <w:szCs w:val="21"/>
              </w:rPr>
            </w:pPr>
          </w:p>
        </w:tc>
        <w:tc>
          <w:tcPr>
            <w:tcW w:w="709" w:type="dxa"/>
            <w:vMerge w:val="continue"/>
            <w:noWrap w:val="0"/>
            <w:vAlign w:val="center"/>
          </w:tcPr>
          <w:p w14:paraId="45824072">
            <w:pPr>
              <w:rPr>
                <w:rFonts w:hint="eastAsia" w:ascii="微软雅黑" w:hAnsi="微软雅黑" w:eastAsia="微软雅黑" w:cs="微软雅黑"/>
                <w:color w:val="auto"/>
                <w:sz w:val="21"/>
                <w:szCs w:val="21"/>
              </w:rPr>
            </w:pPr>
          </w:p>
        </w:tc>
        <w:tc>
          <w:tcPr>
            <w:tcW w:w="3118" w:type="dxa"/>
            <w:noWrap w:val="0"/>
            <w:vAlign w:val="center"/>
          </w:tcPr>
          <w:p w14:paraId="3E1376EF">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6.法律、行政法规规定的其他条件</w:t>
            </w:r>
          </w:p>
        </w:tc>
        <w:tc>
          <w:tcPr>
            <w:tcW w:w="4984" w:type="dxa"/>
            <w:noWrap w:val="0"/>
            <w:vAlign w:val="center"/>
          </w:tcPr>
          <w:p w14:paraId="0C1545A4">
            <w:pPr>
              <w:jc w:val="center"/>
              <w:rPr>
                <w:rFonts w:hint="eastAsia" w:ascii="微软雅黑" w:hAnsi="微软雅黑" w:eastAsia="微软雅黑" w:cs="微软雅黑"/>
                <w:color w:val="auto"/>
                <w:sz w:val="21"/>
                <w:szCs w:val="21"/>
              </w:rPr>
            </w:pPr>
          </w:p>
        </w:tc>
      </w:tr>
      <w:tr w14:paraId="008F3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5C7E3A0E">
            <w:pPr>
              <w:jc w:val="center"/>
              <w:rPr>
                <w:rFonts w:hint="eastAsia" w:ascii="微软雅黑" w:hAnsi="微软雅黑" w:eastAsia="微软雅黑" w:cs="微软雅黑"/>
                <w:color w:val="auto"/>
                <w:sz w:val="21"/>
                <w:szCs w:val="21"/>
              </w:rPr>
            </w:pPr>
          </w:p>
        </w:tc>
        <w:tc>
          <w:tcPr>
            <w:tcW w:w="709" w:type="dxa"/>
            <w:vMerge w:val="continue"/>
            <w:noWrap w:val="0"/>
            <w:vAlign w:val="center"/>
          </w:tcPr>
          <w:p w14:paraId="3043074D">
            <w:pPr>
              <w:rPr>
                <w:rFonts w:hint="eastAsia" w:ascii="微软雅黑" w:hAnsi="微软雅黑" w:eastAsia="微软雅黑" w:cs="微软雅黑"/>
                <w:color w:val="auto"/>
                <w:sz w:val="21"/>
                <w:szCs w:val="21"/>
              </w:rPr>
            </w:pPr>
          </w:p>
        </w:tc>
        <w:tc>
          <w:tcPr>
            <w:tcW w:w="3118" w:type="dxa"/>
            <w:noWrap w:val="0"/>
            <w:vAlign w:val="center"/>
          </w:tcPr>
          <w:p w14:paraId="1AD82172">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7.本项目的特定资格要求</w:t>
            </w:r>
          </w:p>
        </w:tc>
        <w:tc>
          <w:tcPr>
            <w:tcW w:w="4984" w:type="dxa"/>
            <w:noWrap w:val="0"/>
            <w:vAlign w:val="center"/>
          </w:tcPr>
          <w:p w14:paraId="1879174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按“第一篇三、供应商资格要求（三）本项目的特定资格要求”的要求提交（如果有）。</w:t>
            </w:r>
          </w:p>
        </w:tc>
      </w:tr>
      <w:tr w14:paraId="0DED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279CA8C">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（二）</w:t>
            </w:r>
          </w:p>
        </w:tc>
        <w:tc>
          <w:tcPr>
            <w:tcW w:w="3827" w:type="dxa"/>
            <w:gridSpan w:val="2"/>
            <w:noWrap w:val="0"/>
            <w:vAlign w:val="center"/>
          </w:tcPr>
          <w:p w14:paraId="457A476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落实政府采购政策需满足的资格要求</w:t>
            </w:r>
          </w:p>
        </w:tc>
        <w:tc>
          <w:tcPr>
            <w:tcW w:w="4984" w:type="dxa"/>
            <w:noWrap w:val="0"/>
            <w:vAlign w:val="center"/>
          </w:tcPr>
          <w:p w14:paraId="5B6F8962">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按“第一篇三、供应商资格要求（二）落实政府采购政策需满足的资格要求”的要求提交。</w:t>
            </w:r>
          </w:p>
        </w:tc>
      </w:tr>
      <w:tr w14:paraId="22C9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8BF989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（三）</w:t>
            </w:r>
          </w:p>
        </w:tc>
        <w:tc>
          <w:tcPr>
            <w:tcW w:w="3827" w:type="dxa"/>
            <w:gridSpan w:val="2"/>
            <w:noWrap w:val="0"/>
            <w:vAlign w:val="center"/>
          </w:tcPr>
          <w:p w14:paraId="6FC924F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磋商保证金</w:t>
            </w:r>
          </w:p>
        </w:tc>
        <w:tc>
          <w:tcPr>
            <w:tcW w:w="4984" w:type="dxa"/>
            <w:noWrap w:val="0"/>
            <w:vAlign w:val="center"/>
          </w:tcPr>
          <w:p w14:paraId="267C712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按照磋商文件要求足额交纳所投包的磋商保证金。</w:t>
            </w:r>
          </w:p>
        </w:tc>
      </w:tr>
    </w:tbl>
    <w:p w14:paraId="0D1C82D5">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号）”执行。供应商可于响应文件递交截止时间前通过 “信用中国”网站(www.creditchina.gov.cn)、"中国政府采购网"(www.ccgp.gov.cn)等渠道查询信用记录。</w:t>
      </w:r>
    </w:p>
    <w:p w14:paraId="4D182A41">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2.符合性审查。依据竞争性磋商文件的规定，从响应文件的有效性、完整性和对竞争性磋商文件的响应程度进行审查，以确定是否对竞争性磋商文件的实质性要求作出响应。符合性审查资料表如下：</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14:paraId="60F7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noWrap w:val="0"/>
            <w:vAlign w:val="center"/>
          </w:tcPr>
          <w:p w14:paraId="3C63E5D6">
            <w:pPr>
              <w:jc w:val="center"/>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序号</w:t>
            </w:r>
          </w:p>
        </w:tc>
        <w:tc>
          <w:tcPr>
            <w:tcW w:w="3544" w:type="dxa"/>
            <w:gridSpan w:val="2"/>
            <w:noWrap w:val="0"/>
            <w:vAlign w:val="center"/>
          </w:tcPr>
          <w:p w14:paraId="35C0C251">
            <w:pPr>
              <w:jc w:val="center"/>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评审因素</w:t>
            </w:r>
          </w:p>
        </w:tc>
        <w:tc>
          <w:tcPr>
            <w:tcW w:w="5409" w:type="dxa"/>
            <w:noWrap w:val="0"/>
            <w:vAlign w:val="center"/>
          </w:tcPr>
          <w:p w14:paraId="57FA109E">
            <w:pPr>
              <w:jc w:val="center"/>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评审标准</w:t>
            </w:r>
          </w:p>
        </w:tc>
      </w:tr>
      <w:tr w14:paraId="6F30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noWrap w:val="0"/>
            <w:vAlign w:val="center"/>
          </w:tcPr>
          <w:p w14:paraId="658ECADA">
            <w:pPr>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1</w:t>
            </w:r>
          </w:p>
        </w:tc>
        <w:tc>
          <w:tcPr>
            <w:tcW w:w="1560" w:type="dxa"/>
            <w:vMerge w:val="restart"/>
            <w:noWrap w:val="0"/>
            <w:vAlign w:val="center"/>
          </w:tcPr>
          <w:p w14:paraId="78413B62">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有效性审查</w:t>
            </w:r>
          </w:p>
        </w:tc>
        <w:tc>
          <w:tcPr>
            <w:tcW w:w="1984" w:type="dxa"/>
            <w:noWrap w:val="0"/>
            <w:vAlign w:val="center"/>
          </w:tcPr>
          <w:p w14:paraId="250D645F">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sz w:val="21"/>
                <w:szCs w:val="21"/>
              </w:rPr>
              <w:t>响应文件签署或盖章</w:t>
            </w:r>
          </w:p>
        </w:tc>
        <w:tc>
          <w:tcPr>
            <w:tcW w:w="5409" w:type="dxa"/>
            <w:noWrap w:val="0"/>
            <w:vAlign w:val="center"/>
          </w:tcPr>
          <w:p w14:paraId="58DA683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按竞争性磋商文件“第七篇响应文件编制要求”要求签署或盖章。</w:t>
            </w:r>
          </w:p>
        </w:tc>
      </w:tr>
      <w:tr w14:paraId="5547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noWrap w:val="0"/>
            <w:vAlign w:val="center"/>
          </w:tcPr>
          <w:p w14:paraId="0F9B5DE9">
            <w:pPr>
              <w:jc w:val="center"/>
              <w:rPr>
                <w:rFonts w:hint="eastAsia" w:ascii="微软雅黑" w:hAnsi="微软雅黑" w:eastAsia="微软雅黑" w:cs="微软雅黑"/>
                <w:color w:val="auto"/>
                <w:kern w:val="0"/>
                <w:sz w:val="21"/>
                <w:szCs w:val="21"/>
              </w:rPr>
            </w:pPr>
          </w:p>
        </w:tc>
        <w:tc>
          <w:tcPr>
            <w:tcW w:w="1560" w:type="dxa"/>
            <w:vMerge w:val="continue"/>
            <w:noWrap w:val="0"/>
            <w:vAlign w:val="center"/>
          </w:tcPr>
          <w:p w14:paraId="587CCAD7">
            <w:pPr>
              <w:rPr>
                <w:rFonts w:hint="eastAsia" w:ascii="微软雅黑" w:hAnsi="微软雅黑" w:eastAsia="微软雅黑" w:cs="微软雅黑"/>
                <w:color w:val="auto"/>
                <w:kern w:val="0"/>
                <w:sz w:val="21"/>
                <w:szCs w:val="21"/>
              </w:rPr>
            </w:pPr>
          </w:p>
        </w:tc>
        <w:tc>
          <w:tcPr>
            <w:tcW w:w="1984" w:type="dxa"/>
            <w:noWrap w:val="0"/>
            <w:vAlign w:val="center"/>
          </w:tcPr>
          <w:p w14:paraId="3F37938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法定代表人身份证明及授权委托书</w:t>
            </w:r>
          </w:p>
        </w:tc>
        <w:tc>
          <w:tcPr>
            <w:tcW w:w="5409" w:type="dxa"/>
            <w:noWrap w:val="0"/>
            <w:vAlign w:val="center"/>
          </w:tcPr>
          <w:p w14:paraId="48E6D79E">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法定代表人身份证明及授权委托书有效，符合竞争性磋商文件规定的格式，签署或盖章齐全。</w:t>
            </w:r>
          </w:p>
        </w:tc>
      </w:tr>
      <w:tr w14:paraId="0B3A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noWrap w:val="0"/>
            <w:vAlign w:val="center"/>
          </w:tcPr>
          <w:p w14:paraId="15937158">
            <w:pPr>
              <w:jc w:val="center"/>
              <w:rPr>
                <w:rFonts w:hint="eastAsia" w:ascii="微软雅黑" w:hAnsi="微软雅黑" w:eastAsia="微软雅黑" w:cs="微软雅黑"/>
                <w:color w:val="auto"/>
                <w:kern w:val="0"/>
                <w:sz w:val="21"/>
                <w:szCs w:val="21"/>
              </w:rPr>
            </w:pPr>
          </w:p>
        </w:tc>
        <w:tc>
          <w:tcPr>
            <w:tcW w:w="1560" w:type="dxa"/>
            <w:vMerge w:val="continue"/>
            <w:noWrap w:val="0"/>
            <w:vAlign w:val="center"/>
          </w:tcPr>
          <w:p w14:paraId="26F347FE">
            <w:pPr>
              <w:rPr>
                <w:rFonts w:hint="eastAsia" w:ascii="微软雅黑" w:hAnsi="微软雅黑" w:eastAsia="微软雅黑" w:cs="微软雅黑"/>
                <w:color w:val="auto"/>
                <w:kern w:val="0"/>
                <w:sz w:val="21"/>
                <w:szCs w:val="21"/>
              </w:rPr>
            </w:pPr>
          </w:p>
        </w:tc>
        <w:tc>
          <w:tcPr>
            <w:tcW w:w="1984" w:type="dxa"/>
            <w:noWrap w:val="0"/>
            <w:vAlign w:val="center"/>
          </w:tcPr>
          <w:p w14:paraId="1104D887">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sz w:val="21"/>
                <w:szCs w:val="21"/>
              </w:rPr>
              <w:t>响应</w:t>
            </w:r>
            <w:r>
              <w:rPr>
                <w:rFonts w:hint="eastAsia" w:ascii="微软雅黑" w:hAnsi="微软雅黑" w:eastAsia="微软雅黑" w:cs="微软雅黑"/>
                <w:color w:val="auto"/>
                <w:sz w:val="21"/>
                <w:szCs w:val="21"/>
                <w:lang w:val="zh-CN"/>
              </w:rPr>
              <w:t>方案</w:t>
            </w:r>
          </w:p>
        </w:tc>
        <w:tc>
          <w:tcPr>
            <w:tcW w:w="5409" w:type="dxa"/>
            <w:noWrap w:val="0"/>
            <w:vAlign w:val="center"/>
          </w:tcPr>
          <w:p w14:paraId="23CCBC5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每个包只能有一个响应方案。</w:t>
            </w:r>
          </w:p>
        </w:tc>
      </w:tr>
      <w:tr w14:paraId="0DFF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noWrap w:val="0"/>
            <w:vAlign w:val="center"/>
          </w:tcPr>
          <w:p w14:paraId="6574F12A">
            <w:pPr>
              <w:jc w:val="center"/>
              <w:rPr>
                <w:rFonts w:hint="eastAsia" w:ascii="微软雅黑" w:hAnsi="微软雅黑" w:eastAsia="微软雅黑" w:cs="微软雅黑"/>
                <w:color w:val="auto"/>
                <w:kern w:val="0"/>
                <w:sz w:val="21"/>
                <w:szCs w:val="21"/>
              </w:rPr>
            </w:pPr>
          </w:p>
        </w:tc>
        <w:tc>
          <w:tcPr>
            <w:tcW w:w="1560" w:type="dxa"/>
            <w:vMerge w:val="continue"/>
            <w:noWrap w:val="0"/>
            <w:vAlign w:val="center"/>
          </w:tcPr>
          <w:p w14:paraId="74C68747">
            <w:pPr>
              <w:rPr>
                <w:rFonts w:hint="eastAsia" w:ascii="微软雅黑" w:hAnsi="微软雅黑" w:eastAsia="微软雅黑" w:cs="微软雅黑"/>
                <w:color w:val="auto"/>
                <w:kern w:val="0"/>
                <w:sz w:val="21"/>
                <w:szCs w:val="21"/>
              </w:rPr>
            </w:pPr>
          </w:p>
        </w:tc>
        <w:tc>
          <w:tcPr>
            <w:tcW w:w="1984" w:type="dxa"/>
            <w:noWrap w:val="0"/>
            <w:vAlign w:val="center"/>
          </w:tcPr>
          <w:p w14:paraId="3C7F56BA">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sz w:val="21"/>
                <w:szCs w:val="21"/>
              </w:rPr>
              <w:t>报价唯一</w:t>
            </w:r>
          </w:p>
        </w:tc>
        <w:tc>
          <w:tcPr>
            <w:tcW w:w="5409" w:type="dxa"/>
            <w:noWrap w:val="0"/>
            <w:vAlign w:val="center"/>
          </w:tcPr>
          <w:p w14:paraId="014E11C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只能有一个有效报价，不得提交选择性报价。</w:t>
            </w:r>
          </w:p>
        </w:tc>
      </w:tr>
      <w:tr w14:paraId="61FD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75" w:type="dxa"/>
            <w:noWrap w:val="0"/>
            <w:vAlign w:val="center"/>
          </w:tcPr>
          <w:p w14:paraId="31036B9D">
            <w:pPr>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2</w:t>
            </w:r>
          </w:p>
        </w:tc>
        <w:tc>
          <w:tcPr>
            <w:tcW w:w="1560" w:type="dxa"/>
            <w:noWrap w:val="0"/>
            <w:vAlign w:val="center"/>
          </w:tcPr>
          <w:p w14:paraId="5870A3BE">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完整性审查</w:t>
            </w:r>
          </w:p>
        </w:tc>
        <w:tc>
          <w:tcPr>
            <w:tcW w:w="1984" w:type="dxa"/>
            <w:noWrap w:val="0"/>
            <w:vAlign w:val="center"/>
          </w:tcPr>
          <w:p w14:paraId="08DDDFC3">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sz w:val="21"/>
                <w:szCs w:val="21"/>
              </w:rPr>
              <w:t>响应</w:t>
            </w:r>
            <w:r>
              <w:rPr>
                <w:rFonts w:hint="eastAsia" w:ascii="微软雅黑" w:hAnsi="微软雅黑" w:eastAsia="微软雅黑" w:cs="微软雅黑"/>
                <w:color w:val="auto"/>
                <w:sz w:val="21"/>
                <w:szCs w:val="21"/>
                <w:lang w:val="zh-CN"/>
              </w:rPr>
              <w:t>文件份数</w:t>
            </w:r>
          </w:p>
        </w:tc>
        <w:tc>
          <w:tcPr>
            <w:tcW w:w="5409" w:type="dxa"/>
            <w:noWrap w:val="0"/>
            <w:vAlign w:val="center"/>
          </w:tcPr>
          <w:p w14:paraId="3E116DB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电子响应文件数量符合竞争性磋商文件要求。</w:t>
            </w:r>
          </w:p>
        </w:tc>
      </w:tr>
      <w:tr w14:paraId="5ABD4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noWrap w:val="0"/>
            <w:vAlign w:val="center"/>
          </w:tcPr>
          <w:p w14:paraId="33A682DA">
            <w:pPr>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3</w:t>
            </w:r>
          </w:p>
        </w:tc>
        <w:tc>
          <w:tcPr>
            <w:tcW w:w="1560" w:type="dxa"/>
            <w:vMerge w:val="restart"/>
            <w:noWrap w:val="0"/>
            <w:vAlign w:val="center"/>
          </w:tcPr>
          <w:p w14:paraId="52E1E402">
            <w:pPr>
              <w:rPr>
                <w:rFonts w:hint="eastAsia" w:ascii="微软雅黑" w:hAnsi="微软雅黑" w:eastAsia="微软雅黑" w:cs="微软雅黑"/>
                <w:color w:val="auto"/>
                <w:sz w:val="21"/>
                <w:szCs w:val="21"/>
                <w:lang w:val="zh-CN"/>
              </w:rPr>
            </w:pPr>
            <w:r>
              <w:rPr>
                <w:rFonts w:hint="eastAsia" w:ascii="微软雅黑" w:hAnsi="微软雅黑" w:eastAsia="微软雅黑" w:cs="微软雅黑"/>
                <w:color w:val="auto"/>
                <w:kern w:val="0"/>
                <w:sz w:val="21"/>
                <w:szCs w:val="21"/>
              </w:rPr>
              <w:t>响应程度审查</w:t>
            </w:r>
          </w:p>
        </w:tc>
        <w:tc>
          <w:tcPr>
            <w:tcW w:w="1984" w:type="dxa"/>
            <w:vMerge w:val="restart"/>
            <w:noWrap w:val="0"/>
            <w:vAlign w:val="center"/>
          </w:tcPr>
          <w:p w14:paraId="39A2DDAD">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实质性响应</w:t>
            </w:r>
          </w:p>
        </w:tc>
        <w:tc>
          <w:tcPr>
            <w:tcW w:w="5409" w:type="dxa"/>
            <w:noWrap w:val="0"/>
            <w:vAlign w:val="center"/>
          </w:tcPr>
          <w:p w14:paraId="6B9D565B">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本竞争性磋商文件第二篇中（※）号标注的部分。</w:t>
            </w:r>
          </w:p>
        </w:tc>
      </w:tr>
      <w:tr w14:paraId="25FF2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continue"/>
            <w:noWrap w:val="0"/>
            <w:vAlign w:val="center"/>
          </w:tcPr>
          <w:p w14:paraId="339D4233">
            <w:pPr>
              <w:jc w:val="center"/>
              <w:rPr>
                <w:rFonts w:hint="eastAsia" w:ascii="微软雅黑" w:hAnsi="微软雅黑" w:eastAsia="微软雅黑" w:cs="微软雅黑"/>
                <w:color w:val="auto"/>
                <w:kern w:val="0"/>
                <w:sz w:val="21"/>
                <w:szCs w:val="21"/>
              </w:rPr>
            </w:pPr>
          </w:p>
        </w:tc>
        <w:tc>
          <w:tcPr>
            <w:tcW w:w="1560" w:type="dxa"/>
            <w:vMerge w:val="continue"/>
            <w:noWrap w:val="0"/>
            <w:vAlign w:val="center"/>
          </w:tcPr>
          <w:p w14:paraId="0957E040">
            <w:pPr>
              <w:rPr>
                <w:rFonts w:hint="eastAsia" w:ascii="微软雅黑" w:hAnsi="微软雅黑" w:eastAsia="微软雅黑" w:cs="微软雅黑"/>
                <w:color w:val="auto"/>
                <w:kern w:val="0"/>
                <w:sz w:val="21"/>
                <w:szCs w:val="21"/>
              </w:rPr>
            </w:pPr>
          </w:p>
        </w:tc>
        <w:tc>
          <w:tcPr>
            <w:tcW w:w="1984" w:type="dxa"/>
            <w:vMerge w:val="continue"/>
            <w:noWrap w:val="0"/>
            <w:vAlign w:val="center"/>
          </w:tcPr>
          <w:p w14:paraId="4ECF0280">
            <w:pPr>
              <w:rPr>
                <w:rFonts w:hint="eastAsia" w:ascii="微软雅黑" w:hAnsi="微软雅黑" w:eastAsia="微软雅黑" w:cs="微软雅黑"/>
                <w:color w:val="auto"/>
                <w:kern w:val="0"/>
                <w:sz w:val="21"/>
                <w:szCs w:val="21"/>
              </w:rPr>
            </w:pPr>
          </w:p>
        </w:tc>
        <w:tc>
          <w:tcPr>
            <w:tcW w:w="5409" w:type="dxa"/>
            <w:noWrap w:val="0"/>
            <w:vAlign w:val="center"/>
          </w:tcPr>
          <w:p w14:paraId="66065773">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本竞争性磋商文件第三篇中（※）号标注的部分。</w:t>
            </w:r>
          </w:p>
        </w:tc>
      </w:tr>
      <w:tr w14:paraId="5F24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75" w:type="dxa"/>
            <w:vMerge w:val="continue"/>
            <w:noWrap w:val="0"/>
            <w:vAlign w:val="center"/>
          </w:tcPr>
          <w:p w14:paraId="223B8E72">
            <w:pPr>
              <w:jc w:val="center"/>
              <w:rPr>
                <w:rFonts w:hint="eastAsia" w:ascii="微软雅黑" w:hAnsi="微软雅黑" w:eastAsia="微软雅黑" w:cs="微软雅黑"/>
                <w:color w:val="auto"/>
                <w:kern w:val="0"/>
                <w:sz w:val="21"/>
                <w:szCs w:val="21"/>
              </w:rPr>
            </w:pPr>
          </w:p>
        </w:tc>
        <w:tc>
          <w:tcPr>
            <w:tcW w:w="1560" w:type="dxa"/>
            <w:vMerge w:val="continue"/>
            <w:noWrap w:val="0"/>
            <w:vAlign w:val="center"/>
          </w:tcPr>
          <w:p w14:paraId="7F2C4554">
            <w:pPr>
              <w:rPr>
                <w:rFonts w:hint="eastAsia" w:ascii="微软雅黑" w:hAnsi="微软雅黑" w:eastAsia="微软雅黑" w:cs="微软雅黑"/>
                <w:color w:val="auto"/>
                <w:sz w:val="21"/>
                <w:szCs w:val="21"/>
                <w:lang w:val="zh-CN"/>
              </w:rPr>
            </w:pPr>
          </w:p>
        </w:tc>
        <w:tc>
          <w:tcPr>
            <w:tcW w:w="1984" w:type="dxa"/>
            <w:noWrap w:val="0"/>
            <w:vAlign w:val="center"/>
          </w:tcPr>
          <w:p w14:paraId="7C9B8D43">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磋商有效期</w:t>
            </w:r>
          </w:p>
        </w:tc>
        <w:tc>
          <w:tcPr>
            <w:tcW w:w="5409" w:type="dxa"/>
            <w:noWrap w:val="0"/>
            <w:vAlign w:val="center"/>
          </w:tcPr>
          <w:p w14:paraId="11EFB283">
            <w:pP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响应文件及有关承诺文件有效期为提交响应文件截止时间起90天。</w:t>
            </w:r>
          </w:p>
        </w:tc>
      </w:tr>
    </w:tbl>
    <w:p w14:paraId="2C1DF58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w:t>
      </w:r>
    </w:p>
    <w:p w14:paraId="48D2580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澄清有关问题。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F4CAEC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磋商小组要求供应商澄清、说明或者更正响应文件应当以书面形式作出。文件电子化上传。供应商通过书面形式作出的澄清、说明或者更正应当由法定代表人（或其授权代表）或自然人（供应商为自然人）签署或者加盖公章并将澄清等文件扫描为PDF格式，上传至“问题澄清”输入框中的“澄清附件”中。由法定代表人（或其授权代表）或自然人（供应商为自然人）签署或者加盖公章并将澄清等文件扫描为PDF格式。以上签署等文件都要以PDF格式上传到“问题澄清”输入框中的“澄清附件”（澄清附件只允许一个文档上传，所有上传文件都应归到一个PDF文档当中）。</w:t>
      </w:r>
    </w:p>
    <w:p w14:paraId="2331D7C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（五）在磋商过程中磋商的任何一方不得向他人透露与磋商有关的服务资料、价格或其他信息。</w:t>
      </w:r>
    </w:p>
    <w:p w14:paraId="0E38D2D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在磋商过程中，磋商小组可以根据竞争性磋商文件和磋商情况实质性变动采购需求中的服务、商务要求以及合同草案条款，但不得变动竞争性磋商文件中的其他内容。实质性变动的内容，须经采购人代表确认。对竞争性磋商文件作出的实质性变动是竞争性磋商文件的有效组成部分，磋商小组应当及时通知所有参加磋商的供应商。供应商应当按照磋商文件的变动情况和磋商小组的要求以线上形式重新提交响应文件电子档（PDF格式），如供应商通过线上方式提交，还需由法定代表人（或其授权代表）或自然人（供应商为自然人）签署或者加盖公章。由授权代表签字的，应当附法定代表人授权书电子档（PDF格式）。供应商为自然人的，应当由本人签字并附身份证明电子档（PDF格式）。</w:t>
      </w:r>
    </w:p>
    <w:p w14:paraId="6305B8F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（七）供应商在磋商时作出的所有书面承诺须由法定代表人（或其授权代表）或自然人（供应商为自然人）签署或者加盖公章。并将签字后的书面承诺扫描成PDF格式，按要求的方式递交。</w:t>
      </w:r>
    </w:p>
    <w:p w14:paraId="6D68A71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（八）经磋商确定最终采购需求且磋商结束后，磋商小组要求所有参加正式磋商的供应商在规定时间内以线上方式提交最后报价及有关承诺，系统界面会自动提示，供应商须完成以下步骤：</w:t>
      </w:r>
    </w:p>
    <w:p w14:paraId="0464479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①点击“二次报价”按钮，进入二次报价界面。</w:t>
      </w:r>
    </w:p>
    <w:p w14:paraId="3764E45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②在“本轮报价”里输入第二次报价的金额。必须在“报价澄清内容”填写核心产品/主要标的的最终单价（货物类）。如需上传二次报价单价明细表或者其他附件，可以点击“报价附件”→“上传文件”按钮，完成二次报价单价明细表或者其他附件的上传。</w:t>
      </w:r>
    </w:p>
    <w:p w14:paraId="745FE8A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③提交报价，然后完成报价表签章，二次报价就操作成功了。</w:t>
      </w:r>
    </w:p>
    <w:p w14:paraId="6790AE5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注：已提交电子响应文件但未在规定时间内进行最后报价的供应商，视为放弃最后报价，以供应商电子招投标系统中的最后一次报价为准。</w:t>
      </w:r>
    </w:p>
    <w:p w14:paraId="1ED8083C">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磋商小组采用综合评分法对提交最后报价的供应商的响应文件和最后报价（含有效书面承诺）进行综合评分。综合评分法，是指响应文件满足竞争性磋商文件全部实质性要求且按照评审因素的量化指标评审得分最高的供应商为成交候选供应商的评审方法。供应商总得分为价格、服务、商务等评定因素分别按照相应权重值计算分项得分后相加，满分为100分。</w:t>
      </w:r>
    </w:p>
    <w:p w14:paraId="146E3EA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磋商小组各成员独立对每个有效响应（通过资格性审查、符合性审查的供应商）的文件进行评价、打分，然后汇总每个供应商每项评分因素的得分，并根据综合评分情况按照评审得分由高到低顺序推荐3名以上成交候选供应商，并编写评审报告。若供应商的评审得分相同的，按照最后报价由低到高的顺序排列推荐。评审得分且最后报价相同的，按照服务指标优劣顺序排列推荐。以上都相同的，按商务条款的优劣顺序排列推荐。</w:t>
      </w:r>
    </w:p>
    <w:p w14:paraId="256A217D">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96" w:name="_Toc182845845"/>
      <w:bookmarkStart w:id="97" w:name="_Toc76462334"/>
      <w:bookmarkStart w:id="98" w:name="_Toc16296"/>
      <w:r>
        <w:rPr>
          <w:rFonts w:hint="eastAsia" w:ascii="微软雅黑" w:hAnsi="微软雅黑" w:eastAsia="微软雅黑" w:cs="微软雅黑"/>
          <w:color w:val="auto"/>
          <w:sz w:val="24"/>
        </w:rPr>
        <w:t>二、</w:t>
      </w:r>
      <w:bookmarkStart w:id="99" w:name="_Toc102227320"/>
      <w:bookmarkStart w:id="100" w:name="_Toc342913394"/>
      <w:r>
        <w:rPr>
          <w:rFonts w:hint="eastAsia" w:ascii="微软雅黑" w:hAnsi="微软雅黑" w:eastAsia="微软雅黑" w:cs="微软雅黑"/>
          <w:color w:val="auto"/>
          <w:sz w:val="24"/>
        </w:rPr>
        <w:t>评审标准</w:t>
      </w:r>
      <w:bookmarkEnd w:id="96"/>
      <w:bookmarkEnd w:id="97"/>
      <w:bookmarkEnd w:id="98"/>
    </w:p>
    <w:tbl>
      <w:tblPr>
        <w:tblStyle w:val="62"/>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367"/>
        <w:gridCol w:w="1300"/>
        <w:gridCol w:w="4221"/>
        <w:gridCol w:w="1916"/>
      </w:tblGrid>
      <w:tr w14:paraId="3FC3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noWrap w:val="0"/>
            <w:vAlign w:val="center"/>
          </w:tcPr>
          <w:p w14:paraId="113DEF8E">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序号</w:t>
            </w:r>
          </w:p>
        </w:tc>
        <w:tc>
          <w:tcPr>
            <w:tcW w:w="1367" w:type="dxa"/>
            <w:noWrap w:val="0"/>
            <w:vAlign w:val="center"/>
          </w:tcPr>
          <w:p w14:paraId="4384B87E">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评分因素及权重</w:t>
            </w:r>
          </w:p>
        </w:tc>
        <w:tc>
          <w:tcPr>
            <w:tcW w:w="1300" w:type="dxa"/>
            <w:noWrap w:val="0"/>
            <w:vAlign w:val="center"/>
          </w:tcPr>
          <w:p w14:paraId="55D7FA74">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分值</w:t>
            </w:r>
          </w:p>
        </w:tc>
        <w:tc>
          <w:tcPr>
            <w:tcW w:w="4221" w:type="dxa"/>
            <w:noWrap w:val="0"/>
            <w:vAlign w:val="center"/>
          </w:tcPr>
          <w:p w14:paraId="00AB8833">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评分标准</w:t>
            </w:r>
          </w:p>
        </w:tc>
        <w:tc>
          <w:tcPr>
            <w:tcW w:w="1916" w:type="dxa"/>
            <w:noWrap w:val="0"/>
            <w:vAlign w:val="center"/>
          </w:tcPr>
          <w:p w14:paraId="39996F28">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说明</w:t>
            </w:r>
          </w:p>
        </w:tc>
      </w:tr>
      <w:tr w14:paraId="2CE1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noWrap w:val="0"/>
            <w:vAlign w:val="center"/>
          </w:tcPr>
          <w:p w14:paraId="16B21F28">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p>
        </w:tc>
        <w:tc>
          <w:tcPr>
            <w:tcW w:w="1367" w:type="dxa"/>
            <w:noWrap w:val="0"/>
            <w:vAlign w:val="center"/>
          </w:tcPr>
          <w:p w14:paraId="73F5C838">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磋商报价（10%）</w:t>
            </w:r>
          </w:p>
        </w:tc>
        <w:tc>
          <w:tcPr>
            <w:tcW w:w="1300" w:type="dxa"/>
            <w:noWrap w:val="0"/>
            <w:vAlign w:val="center"/>
          </w:tcPr>
          <w:p w14:paraId="5BDF8E2E">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10分</w:t>
            </w:r>
          </w:p>
        </w:tc>
        <w:tc>
          <w:tcPr>
            <w:tcW w:w="4221" w:type="dxa"/>
            <w:noWrap w:val="0"/>
            <w:vAlign w:val="center"/>
          </w:tcPr>
          <w:p w14:paraId="3352501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满足资格性、符合性要求且最后报价最低的报价为磋商基准价，其价格分为满分。其他供应商的价格分统一按照下列公式计算：</w:t>
            </w:r>
          </w:p>
          <w:p w14:paraId="2DB980FA">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磋商报价得分=（磋商基准价/最后磋商报价）×价格权值</w:t>
            </w:r>
          </w:p>
        </w:tc>
        <w:tc>
          <w:tcPr>
            <w:tcW w:w="1916" w:type="dxa"/>
            <w:noWrap w:val="0"/>
            <w:vAlign w:val="center"/>
          </w:tcPr>
          <w:p w14:paraId="35778047">
            <w:pPr>
              <w:spacing w:line="400" w:lineRule="exact"/>
              <w:ind w:firstLine="480" w:firstLineChars="200"/>
              <w:rPr>
                <w:rFonts w:hint="eastAsia" w:ascii="微软雅黑" w:hAnsi="微软雅黑" w:eastAsia="微软雅黑" w:cs="微软雅黑"/>
                <w:color w:val="auto"/>
                <w:sz w:val="24"/>
                <w:szCs w:val="24"/>
              </w:rPr>
            </w:pPr>
          </w:p>
        </w:tc>
      </w:tr>
      <w:tr w14:paraId="4CE8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812" w:type="dxa"/>
            <w:vMerge w:val="restart"/>
            <w:noWrap w:val="0"/>
            <w:vAlign w:val="center"/>
          </w:tcPr>
          <w:p w14:paraId="603425C2">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p>
        </w:tc>
        <w:tc>
          <w:tcPr>
            <w:tcW w:w="1367" w:type="dxa"/>
            <w:vMerge w:val="restart"/>
            <w:noWrap w:val="0"/>
            <w:vAlign w:val="center"/>
          </w:tcPr>
          <w:p w14:paraId="00023561">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服务部分</w:t>
            </w:r>
          </w:p>
          <w:p w14:paraId="40915B94">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（70%）</w:t>
            </w:r>
          </w:p>
        </w:tc>
        <w:tc>
          <w:tcPr>
            <w:tcW w:w="1300" w:type="dxa"/>
            <w:noWrap w:val="0"/>
            <w:vAlign w:val="center"/>
          </w:tcPr>
          <w:p w14:paraId="141A5CE5">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对项目的理解</w:t>
            </w:r>
          </w:p>
          <w:p w14:paraId="76E456EF">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（10分）</w:t>
            </w:r>
          </w:p>
        </w:tc>
        <w:tc>
          <w:tcPr>
            <w:tcW w:w="4221" w:type="dxa"/>
            <w:noWrap w:val="0"/>
            <w:vAlign w:val="center"/>
          </w:tcPr>
          <w:p w14:paraId="7574A77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供应商对本项目及其特点认识清楚，理解把握全过程跟踪审计及项目管理的工作范围、目标、依据及原则，提供相关服务方案。</w:t>
            </w:r>
            <w:r>
              <w:rPr>
                <w:rFonts w:hint="eastAsia" w:ascii="微软雅黑" w:hAnsi="微软雅黑" w:eastAsia="微软雅黑" w:cs="微软雅黑"/>
                <w:color w:val="auto"/>
                <w:sz w:val="24"/>
                <w:szCs w:val="24"/>
              </w:rPr>
              <w:br w:type="textWrapping"/>
            </w:r>
            <w:r>
              <w:rPr>
                <w:rFonts w:hint="eastAsia" w:ascii="微软雅黑" w:hAnsi="微软雅黑" w:eastAsia="微软雅黑" w:cs="微软雅黑"/>
                <w:color w:val="auto"/>
                <w:sz w:val="24"/>
                <w:szCs w:val="24"/>
              </w:rPr>
              <w:t xml:space="preserve">   方案包含上述所有内容，且对各项内容均进行描述的基础上，内容不存在瑕疵得10分；方案内容存在1处瑕疵，得7分；存在2处瑕疵，得4分；存在3处瑕疵得1分；存在4处及以上瑕疵得0分。</w:t>
            </w:r>
          </w:p>
        </w:tc>
        <w:tc>
          <w:tcPr>
            <w:tcW w:w="1916" w:type="dxa"/>
            <w:vMerge w:val="restart"/>
            <w:noWrap w:val="0"/>
            <w:vAlign w:val="center"/>
          </w:tcPr>
          <w:p w14:paraId="74C8F0C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注：方案中所称的“瑕疵”指：</w:t>
            </w:r>
          </w:p>
          <w:p w14:paraId="059B3AF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1.方案出现内容缺项、表述不完整或缺少关键分析点；</w:t>
            </w:r>
          </w:p>
          <w:p w14:paraId="619EDE2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2.缺乏科学合理性，存在逻辑漏洞、常识错误；</w:t>
            </w:r>
          </w:p>
          <w:p w14:paraId="2C6709E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3.表述前后矛盾、无连贯性；</w:t>
            </w:r>
          </w:p>
          <w:p w14:paraId="78A52CC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4.技术方案安排并不适用本项目特性或非专门针对本项目制定，不利于本项目的目的实现；</w:t>
            </w:r>
          </w:p>
          <w:p w14:paraId="0AFC8DF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5.现有技术条件下不可能实现的情形。</w:t>
            </w:r>
          </w:p>
        </w:tc>
      </w:tr>
      <w:tr w14:paraId="6BEE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6" w:hRule="atLeast"/>
          <w:jc w:val="center"/>
        </w:trPr>
        <w:tc>
          <w:tcPr>
            <w:tcW w:w="812" w:type="dxa"/>
            <w:vMerge w:val="continue"/>
            <w:noWrap w:val="0"/>
            <w:vAlign w:val="center"/>
          </w:tcPr>
          <w:p w14:paraId="45108F6A">
            <w:pPr>
              <w:spacing w:line="400" w:lineRule="exact"/>
              <w:ind w:firstLine="480" w:firstLineChars="200"/>
              <w:jc w:val="center"/>
              <w:rPr>
                <w:rFonts w:hint="eastAsia" w:ascii="微软雅黑" w:hAnsi="微软雅黑" w:eastAsia="微软雅黑" w:cs="微软雅黑"/>
                <w:color w:val="auto"/>
                <w:sz w:val="24"/>
                <w:szCs w:val="24"/>
              </w:rPr>
            </w:pPr>
          </w:p>
        </w:tc>
        <w:tc>
          <w:tcPr>
            <w:tcW w:w="1367" w:type="dxa"/>
            <w:vMerge w:val="continue"/>
            <w:noWrap w:val="0"/>
            <w:vAlign w:val="center"/>
          </w:tcPr>
          <w:p w14:paraId="47A62D68">
            <w:pPr>
              <w:spacing w:line="400" w:lineRule="exact"/>
              <w:ind w:firstLine="480" w:firstLineChars="200"/>
              <w:jc w:val="center"/>
              <w:rPr>
                <w:rFonts w:hint="eastAsia" w:ascii="微软雅黑" w:hAnsi="微软雅黑" w:eastAsia="微软雅黑" w:cs="微软雅黑"/>
                <w:color w:val="auto"/>
                <w:sz w:val="24"/>
                <w:szCs w:val="24"/>
              </w:rPr>
            </w:pPr>
          </w:p>
        </w:tc>
        <w:tc>
          <w:tcPr>
            <w:tcW w:w="1300" w:type="dxa"/>
            <w:noWrap w:val="0"/>
            <w:vAlign w:val="center"/>
          </w:tcPr>
          <w:p w14:paraId="050D7568">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工作部署（15分）</w:t>
            </w:r>
          </w:p>
        </w:tc>
        <w:tc>
          <w:tcPr>
            <w:tcW w:w="4221" w:type="dxa"/>
            <w:noWrap w:val="0"/>
            <w:vAlign w:val="center"/>
          </w:tcPr>
          <w:p w14:paraId="05B82F8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全过程跟踪审计及项目管理的工作部署，包括但不限于工作组织机构与分工、工作程序及方法、工作开展具体内容、工作时间要求等。</w:t>
            </w:r>
          </w:p>
          <w:p w14:paraId="7065553C">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方案包含上述所有内容，且对各项内容均进行描述的基础上，内容不存在瑕疵得15分；方案内容存在1处瑕疵，得12分；存在2处瑕疵，得8分；存在3处瑕疵得5分；存在4处及以上瑕疵得0分。</w:t>
            </w:r>
          </w:p>
        </w:tc>
        <w:tc>
          <w:tcPr>
            <w:tcW w:w="1916" w:type="dxa"/>
            <w:vMerge w:val="continue"/>
            <w:noWrap w:val="0"/>
            <w:vAlign w:val="center"/>
          </w:tcPr>
          <w:p w14:paraId="28F00079">
            <w:pPr>
              <w:spacing w:line="400" w:lineRule="exact"/>
              <w:ind w:firstLine="480" w:firstLineChars="200"/>
              <w:rPr>
                <w:rFonts w:hint="eastAsia" w:ascii="微软雅黑" w:hAnsi="微软雅黑" w:eastAsia="微软雅黑" w:cs="微软雅黑"/>
                <w:color w:val="auto"/>
                <w:sz w:val="24"/>
                <w:szCs w:val="24"/>
              </w:rPr>
            </w:pPr>
          </w:p>
        </w:tc>
      </w:tr>
      <w:tr w14:paraId="5BCF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12" w:type="dxa"/>
            <w:vMerge w:val="continue"/>
            <w:noWrap w:val="0"/>
            <w:vAlign w:val="center"/>
          </w:tcPr>
          <w:p w14:paraId="35677CE3">
            <w:pPr>
              <w:spacing w:line="400" w:lineRule="exact"/>
              <w:ind w:firstLine="480" w:firstLineChars="200"/>
              <w:jc w:val="center"/>
              <w:rPr>
                <w:rFonts w:hint="eastAsia" w:ascii="微软雅黑" w:hAnsi="微软雅黑" w:eastAsia="微软雅黑" w:cs="微软雅黑"/>
                <w:color w:val="auto"/>
                <w:sz w:val="24"/>
                <w:szCs w:val="24"/>
              </w:rPr>
            </w:pPr>
          </w:p>
        </w:tc>
        <w:tc>
          <w:tcPr>
            <w:tcW w:w="1367" w:type="dxa"/>
            <w:vMerge w:val="continue"/>
            <w:noWrap w:val="0"/>
            <w:vAlign w:val="center"/>
          </w:tcPr>
          <w:p w14:paraId="219741AB">
            <w:pPr>
              <w:spacing w:line="400" w:lineRule="exact"/>
              <w:ind w:firstLine="480" w:firstLineChars="200"/>
              <w:jc w:val="center"/>
              <w:rPr>
                <w:rFonts w:hint="eastAsia" w:ascii="微软雅黑" w:hAnsi="微软雅黑" w:eastAsia="微软雅黑" w:cs="微软雅黑"/>
                <w:color w:val="auto"/>
                <w:sz w:val="24"/>
                <w:szCs w:val="24"/>
              </w:rPr>
            </w:pPr>
          </w:p>
        </w:tc>
        <w:tc>
          <w:tcPr>
            <w:tcW w:w="1300" w:type="dxa"/>
            <w:noWrap w:val="0"/>
            <w:vAlign w:val="center"/>
          </w:tcPr>
          <w:p w14:paraId="6E7D2D05">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管理制度（15分）</w:t>
            </w:r>
          </w:p>
        </w:tc>
        <w:tc>
          <w:tcPr>
            <w:tcW w:w="4221" w:type="dxa"/>
            <w:noWrap w:val="0"/>
            <w:vAlign w:val="center"/>
          </w:tcPr>
          <w:p w14:paraId="3C9CB74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拟派驻本项目人员配置及管理制度方案，以及工程实施进度计划。</w:t>
            </w:r>
          </w:p>
          <w:p w14:paraId="1C17CDD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方案包含上述所有内容，且对各项内容均进行描述的基础上，内容不存在瑕疵得15分；方案内容存在1处瑕疵，得12分；存在2处瑕疵，得8分；存在3处瑕疵得5分；存在4处及以上瑕疵得0分。</w:t>
            </w:r>
          </w:p>
        </w:tc>
        <w:tc>
          <w:tcPr>
            <w:tcW w:w="1916" w:type="dxa"/>
            <w:vMerge w:val="continue"/>
            <w:noWrap w:val="0"/>
            <w:vAlign w:val="center"/>
          </w:tcPr>
          <w:p w14:paraId="6964CB77">
            <w:pPr>
              <w:spacing w:line="400" w:lineRule="exact"/>
              <w:ind w:firstLine="480" w:firstLineChars="200"/>
              <w:rPr>
                <w:rFonts w:hint="eastAsia" w:ascii="微软雅黑" w:hAnsi="微软雅黑" w:eastAsia="微软雅黑" w:cs="微软雅黑"/>
                <w:color w:val="auto"/>
                <w:sz w:val="24"/>
                <w:szCs w:val="24"/>
              </w:rPr>
            </w:pPr>
          </w:p>
        </w:tc>
      </w:tr>
      <w:tr w14:paraId="29C8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812" w:type="dxa"/>
            <w:vMerge w:val="continue"/>
            <w:tcBorders>
              <w:bottom w:val="single" w:color="auto" w:sz="4" w:space="0"/>
            </w:tcBorders>
            <w:noWrap w:val="0"/>
            <w:vAlign w:val="center"/>
          </w:tcPr>
          <w:p w14:paraId="596B5BE4">
            <w:pPr>
              <w:spacing w:line="400" w:lineRule="exact"/>
              <w:ind w:firstLine="480" w:firstLineChars="200"/>
              <w:jc w:val="center"/>
              <w:rPr>
                <w:rFonts w:hint="eastAsia" w:ascii="微软雅黑" w:hAnsi="微软雅黑" w:eastAsia="微软雅黑" w:cs="微软雅黑"/>
                <w:color w:val="auto"/>
                <w:sz w:val="24"/>
                <w:szCs w:val="24"/>
              </w:rPr>
            </w:pPr>
          </w:p>
        </w:tc>
        <w:tc>
          <w:tcPr>
            <w:tcW w:w="1367" w:type="dxa"/>
            <w:vMerge w:val="continue"/>
            <w:tcBorders>
              <w:bottom w:val="single" w:color="auto" w:sz="4" w:space="0"/>
            </w:tcBorders>
            <w:noWrap w:val="0"/>
            <w:vAlign w:val="center"/>
          </w:tcPr>
          <w:p w14:paraId="395022C1">
            <w:pPr>
              <w:spacing w:line="400" w:lineRule="exact"/>
              <w:ind w:firstLine="480" w:firstLineChars="200"/>
              <w:jc w:val="center"/>
              <w:rPr>
                <w:rFonts w:hint="eastAsia" w:ascii="微软雅黑" w:hAnsi="微软雅黑" w:eastAsia="微软雅黑" w:cs="微软雅黑"/>
                <w:color w:val="auto"/>
                <w:sz w:val="24"/>
                <w:szCs w:val="24"/>
              </w:rPr>
            </w:pPr>
          </w:p>
        </w:tc>
        <w:tc>
          <w:tcPr>
            <w:tcW w:w="1300" w:type="dxa"/>
            <w:tcBorders>
              <w:bottom w:val="single" w:color="auto" w:sz="4" w:space="0"/>
            </w:tcBorders>
            <w:noWrap w:val="0"/>
            <w:vAlign w:val="center"/>
          </w:tcPr>
          <w:p w14:paraId="3A0A5BA7">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质量保证措施</w:t>
            </w:r>
          </w:p>
          <w:p w14:paraId="328E2739">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（15分）</w:t>
            </w:r>
          </w:p>
        </w:tc>
        <w:tc>
          <w:tcPr>
            <w:tcW w:w="4221" w:type="dxa"/>
            <w:tcBorders>
              <w:bottom w:val="single" w:color="auto" w:sz="4" w:space="0"/>
            </w:tcBorders>
            <w:noWrap w:val="0"/>
            <w:vAlign w:val="center"/>
          </w:tcPr>
          <w:p w14:paraId="496D320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有完整有效的复核机制确保跟踪审计服务的成果质量。</w:t>
            </w:r>
            <w:r>
              <w:rPr>
                <w:rFonts w:hint="eastAsia" w:ascii="微软雅黑" w:hAnsi="微软雅黑" w:eastAsia="微软雅黑" w:cs="微软雅黑"/>
                <w:color w:val="auto"/>
                <w:sz w:val="24"/>
                <w:szCs w:val="24"/>
              </w:rPr>
              <w:br w:type="textWrapping"/>
            </w:r>
            <w:r>
              <w:rPr>
                <w:rFonts w:hint="eastAsia" w:ascii="微软雅黑" w:hAnsi="微软雅黑" w:eastAsia="微软雅黑" w:cs="微软雅黑"/>
                <w:color w:val="auto"/>
                <w:sz w:val="24"/>
                <w:szCs w:val="24"/>
              </w:rPr>
              <w:t xml:space="preserve">    方案包含上述所有内容，且对各项内容均进行描述的基础上，内容不存在瑕疵得15分；方案内容存在1处瑕疵，得12分；存在2处瑕疵，得8分；存在3处瑕疵得5分；存在4处及以上瑕疵得0分。</w:t>
            </w:r>
          </w:p>
        </w:tc>
        <w:tc>
          <w:tcPr>
            <w:tcW w:w="1916" w:type="dxa"/>
            <w:vMerge w:val="continue"/>
            <w:tcBorders>
              <w:bottom w:val="single" w:color="auto" w:sz="4" w:space="0"/>
            </w:tcBorders>
            <w:noWrap w:val="0"/>
            <w:vAlign w:val="center"/>
          </w:tcPr>
          <w:p w14:paraId="31EF8CF9">
            <w:pPr>
              <w:spacing w:line="400" w:lineRule="exact"/>
              <w:ind w:firstLine="480" w:firstLineChars="200"/>
              <w:rPr>
                <w:rFonts w:hint="eastAsia" w:ascii="微软雅黑" w:hAnsi="微软雅黑" w:eastAsia="微软雅黑" w:cs="微软雅黑"/>
                <w:color w:val="auto"/>
                <w:sz w:val="24"/>
                <w:szCs w:val="24"/>
              </w:rPr>
            </w:pPr>
          </w:p>
        </w:tc>
      </w:tr>
      <w:tr w14:paraId="7B1E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7" w:hRule="atLeast"/>
          <w:jc w:val="center"/>
        </w:trPr>
        <w:tc>
          <w:tcPr>
            <w:tcW w:w="812" w:type="dxa"/>
            <w:vMerge w:val="continue"/>
            <w:noWrap w:val="0"/>
            <w:vAlign w:val="center"/>
          </w:tcPr>
          <w:p w14:paraId="0E68817E">
            <w:pPr>
              <w:spacing w:line="400" w:lineRule="exact"/>
              <w:ind w:firstLine="480" w:firstLineChars="200"/>
              <w:jc w:val="center"/>
              <w:rPr>
                <w:rFonts w:hint="eastAsia" w:ascii="微软雅黑" w:hAnsi="微软雅黑" w:eastAsia="微软雅黑" w:cs="微软雅黑"/>
                <w:color w:val="auto"/>
                <w:sz w:val="24"/>
                <w:szCs w:val="24"/>
              </w:rPr>
            </w:pPr>
          </w:p>
        </w:tc>
        <w:tc>
          <w:tcPr>
            <w:tcW w:w="1367" w:type="dxa"/>
            <w:vMerge w:val="continue"/>
            <w:noWrap w:val="0"/>
            <w:vAlign w:val="center"/>
          </w:tcPr>
          <w:p w14:paraId="35B5F005">
            <w:pPr>
              <w:spacing w:line="400" w:lineRule="exact"/>
              <w:ind w:firstLine="480" w:firstLineChars="200"/>
              <w:jc w:val="center"/>
              <w:rPr>
                <w:rFonts w:hint="eastAsia" w:ascii="微软雅黑" w:hAnsi="微软雅黑" w:eastAsia="微软雅黑" w:cs="微软雅黑"/>
                <w:color w:val="auto"/>
                <w:sz w:val="24"/>
                <w:szCs w:val="24"/>
              </w:rPr>
            </w:pPr>
          </w:p>
        </w:tc>
        <w:tc>
          <w:tcPr>
            <w:tcW w:w="1300" w:type="dxa"/>
            <w:noWrap w:val="0"/>
            <w:vAlign w:val="center"/>
          </w:tcPr>
          <w:p w14:paraId="1566CEA7">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重点难点分析</w:t>
            </w:r>
          </w:p>
          <w:p w14:paraId="3DA4CC20">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（15分）</w:t>
            </w:r>
          </w:p>
        </w:tc>
        <w:tc>
          <w:tcPr>
            <w:tcW w:w="4221" w:type="dxa"/>
            <w:noWrap w:val="0"/>
            <w:vAlign w:val="center"/>
          </w:tcPr>
          <w:p w14:paraId="46DF484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对重难点进行分析并提出可行、全面、科学、有针对性和可行性的解决方法。</w:t>
            </w:r>
          </w:p>
          <w:p w14:paraId="2E17EC8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方案包含上述所有内容，且对各项内容均进行描述的基础上，内容不存在瑕疵得15分；方案内容存在1处瑕疵，得12分；存在2处瑕疵，得8分；存在3处瑕疵得5分；存在4处及以上瑕疵得0分。</w:t>
            </w:r>
          </w:p>
        </w:tc>
        <w:tc>
          <w:tcPr>
            <w:tcW w:w="1916" w:type="dxa"/>
            <w:vMerge w:val="continue"/>
            <w:noWrap w:val="0"/>
            <w:vAlign w:val="center"/>
          </w:tcPr>
          <w:p w14:paraId="275FAAF0">
            <w:pPr>
              <w:spacing w:line="400" w:lineRule="exact"/>
              <w:ind w:firstLine="480" w:firstLineChars="200"/>
              <w:rPr>
                <w:rFonts w:hint="eastAsia" w:ascii="微软雅黑" w:hAnsi="微软雅黑" w:eastAsia="微软雅黑" w:cs="微软雅黑"/>
                <w:color w:val="auto"/>
                <w:sz w:val="24"/>
                <w:szCs w:val="24"/>
              </w:rPr>
            </w:pPr>
          </w:p>
        </w:tc>
      </w:tr>
      <w:tr w14:paraId="5319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0" w:hRule="atLeast"/>
          <w:jc w:val="center"/>
        </w:trPr>
        <w:tc>
          <w:tcPr>
            <w:tcW w:w="812" w:type="dxa"/>
            <w:vMerge w:val="restart"/>
            <w:noWrap w:val="0"/>
            <w:vAlign w:val="center"/>
          </w:tcPr>
          <w:p w14:paraId="52EBDCDF">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p>
        </w:tc>
        <w:tc>
          <w:tcPr>
            <w:tcW w:w="1367" w:type="dxa"/>
            <w:vMerge w:val="restart"/>
            <w:noWrap w:val="0"/>
            <w:vAlign w:val="center"/>
          </w:tcPr>
          <w:p w14:paraId="25C4A721">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商务部分（20%）</w:t>
            </w:r>
          </w:p>
        </w:tc>
        <w:tc>
          <w:tcPr>
            <w:tcW w:w="1300" w:type="dxa"/>
            <w:noWrap w:val="0"/>
            <w:vAlign w:val="center"/>
          </w:tcPr>
          <w:p w14:paraId="101D21F2">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业绩</w:t>
            </w:r>
          </w:p>
          <w:p w14:paraId="692F8380">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分）</w:t>
            </w:r>
          </w:p>
        </w:tc>
        <w:tc>
          <w:tcPr>
            <w:tcW w:w="4221" w:type="dxa"/>
            <w:noWrap w:val="0"/>
            <w:vAlign w:val="center"/>
          </w:tcPr>
          <w:p w14:paraId="167C72F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2022年1月1日至今（以合同签订时间为准），供应商具有</w:t>
            </w:r>
            <w:r>
              <w:rPr>
                <w:rFonts w:hint="eastAsia" w:ascii="微软雅黑" w:hAnsi="微软雅黑" w:eastAsia="微软雅黑" w:cs="微软雅黑"/>
                <w:color w:val="auto"/>
                <w:sz w:val="24"/>
                <w:szCs w:val="24"/>
                <w:lang w:val="en-US" w:eastAsia="zh-CN"/>
              </w:rPr>
              <w:t>1个类似项目</w:t>
            </w:r>
            <w:r>
              <w:rPr>
                <w:rFonts w:hint="eastAsia" w:ascii="微软雅黑" w:hAnsi="微软雅黑" w:eastAsia="微软雅黑" w:cs="微软雅黑"/>
                <w:color w:val="auto"/>
                <w:sz w:val="24"/>
                <w:szCs w:val="24"/>
              </w:rPr>
              <w:t>全过程造价咨询业绩的得</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分。</w:t>
            </w:r>
          </w:p>
        </w:tc>
        <w:tc>
          <w:tcPr>
            <w:tcW w:w="1916" w:type="dxa"/>
            <w:noWrap w:val="0"/>
            <w:vAlign w:val="center"/>
          </w:tcPr>
          <w:p w14:paraId="632CFF1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供应商须在响应文件提供该业绩的合同协议书，若提供的上述业绩证明材料不能体现合同签订时间</w:t>
            </w:r>
            <w:r>
              <w:rPr>
                <w:rFonts w:hint="eastAsia" w:ascii="微软雅黑" w:hAnsi="微软雅黑" w:eastAsia="微软雅黑" w:cs="微软雅黑"/>
                <w:color w:val="auto"/>
                <w:sz w:val="24"/>
                <w:szCs w:val="24"/>
                <w:lang w:val="en-US" w:eastAsia="zh-CN"/>
              </w:rPr>
              <w:t>等信息的</w:t>
            </w:r>
            <w:r>
              <w:rPr>
                <w:rFonts w:hint="eastAsia" w:ascii="微软雅黑" w:hAnsi="微软雅黑" w:eastAsia="微软雅黑" w:cs="微软雅黑"/>
                <w:color w:val="auto"/>
                <w:sz w:val="24"/>
                <w:szCs w:val="24"/>
              </w:rPr>
              <w:t>还须提供业主证明（包含业主联系人及联系方式）。</w:t>
            </w:r>
          </w:p>
        </w:tc>
      </w:tr>
      <w:tr w14:paraId="165A9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9" w:hRule="atLeast"/>
          <w:jc w:val="center"/>
        </w:trPr>
        <w:tc>
          <w:tcPr>
            <w:tcW w:w="812" w:type="dxa"/>
            <w:vMerge w:val="continue"/>
            <w:noWrap w:val="0"/>
            <w:vAlign w:val="center"/>
          </w:tcPr>
          <w:p w14:paraId="4A279728">
            <w:pPr>
              <w:spacing w:line="400" w:lineRule="exact"/>
              <w:ind w:firstLine="480" w:firstLineChars="200"/>
              <w:jc w:val="center"/>
              <w:rPr>
                <w:rFonts w:hint="eastAsia" w:ascii="微软雅黑" w:hAnsi="微软雅黑" w:eastAsia="微软雅黑" w:cs="微软雅黑"/>
                <w:color w:val="auto"/>
                <w:sz w:val="24"/>
                <w:szCs w:val="24"/>
              </w:rPr>
            </w:pPr>
          </w:p>
        </w:tc>
        <w:tc>
          <w:tcPr>
            <w:tcW w:w="1367" w:type="dxa"/>
            <w:vMerge w:val="continue"/>
            <w:noWrap w:val="0"/>
            <w:vAlign w:val="center"/>
          </w:tcPr>
          <w:p w14:paraId="31397C14">
            <w:pPr>
              <w:spacing w:line="400" w:lineRule="exact"/>
              <w:ind w:firstLine="480" w:firstLineChars="200"/>
              <w:jc w:val="center"/>
              <w:rPr>
                <w:rFonts w:hint="eastAsia" w:ascii="微软雅黑" w:hAnsi="微软雅黑" w:eastAsia="微软雅黑" w:cs="微软雅黑"/>
                <w:color w:val="auto"/>
                <w:sz w:val="24"/>
                <w:szCs w:val="24"/>
              </w:rPr>
            </w:pPr>
          </w:p>
        </w:tc>
        <w:tc>
          <w:tcPr>
            <w:tcW w:w="1300" w:type="dxa"/>
            <w:noWrap w:val="0"/>
            <w:vAlign w:val="center"/>
          </w:tcPr>
          <w:p w14:paraId="4B7DBC87">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人员要求（1</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分）</w:t>
            </w:r>
          </w:p>
        </w:tc>
        <w:tc>
          <w:tcPr>
            <w:tcW w:w="4221" w:type="dxa"/>
            <w:noWrap w:val="0"/>
            <w:vAlign w:val="center"/>
          </w:tcPr>
          <w:p w14:paraId="30FDC29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项目负责人（5分）</w:t>
            </w:r>
          </w:p>
          <w:p w14:paraId="707D3A3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具备一级造价工程师（土木建筑工程专业）执业资格且在供应商本单位注册，同时具备工程类高级及以上技术职称的得5分。</w:t>
            </w:r>
          </w:p>
          <w:p w14:paraId="79EDAD57">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项目组成员（</w:t>
            </w:r>
            <w:r>
              <w:rPr>
                <w:rFonts w:hint="eastAsia" w:ascii="微软雅黑" w:hAnsi="微软雅黑" w:eastAsia="微软雅黑" w:cs="微软雅黑"/>
                <w:color w:val="auto"/>
                <w:sz w:val="24"/>
                <w:szCs w:val="24"/>
                <w:lang w:val="en-US" w:eastAsia="zh-CN"/>
              </w:rPr>
              <w:t>10</w:t>
            </w:r>
            <w:r>
              <w:rPr>
                <w:rFonts w:hint="eastAsia" w:ascii="微软雅黑" w:hAnsi="微软雅黑" w:eastAsia="微软雅黑" w:cs="微软雅黑"/>
                <w:color w:val="auto"/>
                <w:sz w:val="24"/>
                <w:szCs w:val="24"/>
              </w:rPr>
              <w:t>分）</w:t>
            </w:r>
          </w:p>
          <w:p w14:paraId="457587AC">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项目组成员每有一个</w:t>
            </w:r>
            <w:r>
              <w:rPr>
                <w:rFonts w:hint="eastAsia" w:ascii="微软雅黑" w:hAnsi="微软雅黑" w:eastAsia="微软雅黑" w:cs="微软雅黑"/>
                <w:color w:val="auto"/>
                <w:sz w:val="24"/>
                <w:szCs w:val="24"/>
              </w:rPr>
              <w:t>具备一级或二级造价工程师（土木建筑工程专业）执业资格且在供应商本单位注册</w:t>
            </w:r>
            <w:r>
              <w:rPr>
                <w:rFonts w:hint="eastAsia" w:ascii="微软雅黑" w:hAnsi="微软雅黑" w:eastAsia="微软雅黑" w:cs="微软雅黑"/>
                <w:color w:val="auto"/>
                <w:sz w:val="24"/>
                <w:szCs w:val="24"/>
                <w:lang w:val="en-US" w:eastAsia="zh-CN"/>
              </w:rPr>
              <w:t>的得5分，最多得10分</w:t>
            </w:r>
            <w:r>
              <w:rPr>
                <w:rFonts w:hint="eastAsia" w:ascii="微软雅黑" w:hAnsi="微软雅黑" w:eastAsia="微软雅黑" w:cs="微软雅黑"/>
                <w:color w:val="auto"/>
                <w:sz w:val="24"/>
                <w:szCs w:val="24"/>
              </w:rPr>
              <w:t>。</w:t>
            </w:r>
            <w:bookmarkStart w:id="238" w:name="_GoBack"/>
            <w:bookmarkEnd w:id="238"/>
          </w:p>
        </w:tc>
        <w:tc>
          <w:tcPr>
            <w:tcW w:w="1916" w:type="dxa"/>
            <w:noWrap w:val="0"/>
            <w:vAlign w:val="center"/>
          </w:tcPr>
          <w:p w14:paraId="46A56DD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供应商须在响应文件提供提供上述人员的职业资格证书及注册证书。</w:t>
            </w:r>
          </w:p>
        </w:tc>
      </w:tr>
    </w:tbl>
    <w:p w14:paraId="7508ADEE">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1" w:name="_Toc182845846"/>
      <w:bookmarkStart w:id="102" w:name="_Toc76462335"/>
      <w:bookmarkStart w:id="103" w:name="_Toc31215"/>
      <w:r>
        <w:rPr>
          <w:rFonts w:hint="eastAsia" w:ascii="微软雅黑" w:hAnsi="微软雅黑" w:eastAsia="微软雅黑" w:cs="微软雅黑"/>
          <w:color w:val="auto"/>
          <w:sz w:val="24"/>
        </w:rPr>
        <w:t>三、无效响应</w:t>
      </w:r>
      <w:bookmarkEnd w:id="101"/>
      <w:bookmarkEnd w:id="102"/>
      <w:bookmarkEnd w:id="103"/>
    </w:p>
    <w:p w14:paraId="1AF99DB1">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供应商发生以下条款情况之一者，视为无效响应，其响应文件将被拒绝：</w:t>
      </w:r>
    </w:p>
    <w:p w14:paraId="118F2E1F">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（一）供应商不符合规定的资格条件的；</w:t>
      </w:r>
    </w:p>
    <w:p w14:paraId="4E465DCE">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（二）供应商的法定代表人（或其授权代表）或自然人未参加磋商；</w:t>
      </w:r>
    </w:p>
    <w:p w14:paraId="3EE69230">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（三）未按照磋商文件的规定报名和提交磋商保证金的；</w:t>
      </w:r>
    </w:p>
    <w:p w14:paraId="0C548A84">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（四）供应商所提交的响应文件不按“第七篇响应文件编制要求”要求签署或盖章；</w:t>
      </w:r>
    </w:p>
    <w:p w14:paraId="7E6C3C54">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（五）供应商的最后报价超过采购预算或最高限价的；</w:t>
      </w:r>
    </w:p>
    <w:p w14:paraId="7B16D3A0">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（六）法定代表人为同一个人的两个及两个以上法人，母公司、全资子公司及其控股公司，在同一包采购中同时参与磋商；</w:t>
      </w:r>
    </w:p>
    <w:p w14:paraId="427A2D3A">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（七）单位负责人为同一人或者存在直接控股、管理关系的不同供应商，参加同一合同项下的政府采购活动的；</w:t>
      </w:r>
    </w:p>
    <w:p w14:paraId="12C08DF3">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（八）为采购项目提供整体设计、规范编制或者项目管理、监理、检测等服务的供应商，再参加该采购项目的其他采购活动；</w:t>
      </w:r>
    </w:p>
    <w:p w14:paraId="4B2987C0">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（九）供应商磋商有效期不满足竞争性磋商文件要求的；</w:t>
      </w:r>
    </w:p>
    <w:p w14:paraId="500502DC">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（十）供应商响应文件内容有与国家现行法律法规相违背的内容，或附有采购人无法接受的条件；</w:t>
      </w:r>
    </w:p>
    <w:p w14:paraId="29016197">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（十一）法律、法规和竞争性磋商文件规定的其他无效情形。</w:t>
      </w:r>
    </w:p>
    <w:p w14:paraId="1A7B7C8C">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4" w:name="_Toc76462336"/>
      <w:bookmarkStart w:id="105" w:name="_Toc14435"/>
      <w:bookmarkStart w:id="106" w:name="_Toc182845847"/>
      <w:r>
        <w:rPr>
          <w:rFonts w:hint="eastAsia" w:ascii="微软雅黑" w:hAnsi="微软雅黑" w:eastAsia="微软雅黑" w:cs="微软雅黑"/>
          <w:color w:val="auto"/>
          <w:sz w:val="24"/>
        </w:rPr>
        <w:t>四、</w:t>
      </w:r>
      <w:bookmarkEnd w:id="99"/>
      <w:bookmarkEnd w:id="100"/>
      <w:r>
        <w:rPr>
          <w:rFonts w:hint="eastAsia" w:ascii="微软雅黑" w:hAnsi="微软雅黑" w:eastAsia="微软雅黑" w:cs="微软雅黑"/>
          <w:color w:val="auto"/>
          <w:sz w:val="24"/>
        </w:rPr>
        <w:t>采购终止</w:t>
      </w:r>
      <w:bookmarkEnd w:id="104"/>
      <w:bookmarkEnd w:id="105"/>
      <w:bookmarkEnd w:id="106"/>
    </w:p>
    <w:p w14:paraId="38096368">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出现下列情形之一的，采购人或者采购代理机构应当终止竞争性磋商采购活动，发布项目终止公告并说明原因，重新开展采购活动：</w:t>
      </w:r>
    </w:p>
    <w:p w14:paraId="5D6875EC">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（一）因情况变化，不再符合规定的竞争性磋商采购方式适用情形的；</w:t>
      </w:r>
    </w:p>
    <w:p w14:paraId="17223D8A">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14:paraId="7A5835DC">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（三）在采购过程中符合要求的供应商或者报价未超过采购预算的供应商不足3家的，但《政府采购竞争性磋商采购方式管理暂行办法》第二十一条第三款规定的情形除外。</w:t>
      </w:r>
    </w:p>
    <w:p w14:paraId="4B8BC5D1">
      <w:pPr>
        <w:spacing w:line="400" w:lineRule="exact"/>
        <w:ind w:firstLine="480" w:firstLineChars="200"/>
        <w:rPr>
          <w:rFonts w:hint="eastAsia" w:ascii="微软雅黑" w:hAnsi="微软雅黑" w:eastAsia="微软雅黑" w:cs="微软雅黑"/>
          <w:color w:val="auto"/>
          <w:sz w:val="24"/>
          <w:szCs w:val="24"/>
        </w:rPr>
        <w:sectPr>
          <w:pgSz w:w="11907" w:h="16840"/>
          <w:pgMar w:top="1417" w:right="1417" w:bottom="1417" w:left="1417" w:header="964" w:footer="992" w:gutter="0"/>
          <w:pgNumType w:fmt="numberInDash"/>
          <w:cols w:space="720" w:num="1"/>
          <w:docGrid w:linePitch="312" w:charSpace="0"/>
        </w:sectPr>
      </w:pPr>
    </w:p>
    <w:p w14:paraId="0CC4E991">
      <w:pPr>
        <w:pStyle w:val="3"/>
        <w:pageBreakBefore/>
        <w:spacing w:before="0" w:after="0" w:line="360" w:lineRule="auto"/>
        <w:jc w:val="center"/>
        <w:rPr>
          <w:rFonts w:hint="eastAsia" w:ascii="微软雅黑" w:hAnsi="微软雅黑" w:eastAsia="微软雅黑" w:cs="微软雅黑"/>
          <w:b w:val="0"/>
          <w:bCs/>
          <w:color w:val="auto"/>
          <w:sz w:val="36"/>
          <w:szCs w:val="30"/>
        </w:rPr>
      </w:pPr>
      <w:bookmarkStart w:id="107" w:name="_Toc22493"/>
      <w:bookmarkStart w:id="108" w:name="_Toc76462337"/>
      <w:bookmarkStart w:id="109" w:name="_Toc102227313"/>
      <w:r>
        <w:rPr>
          <w:rFonts w:hint="eastAsia" w:ascii="微软雅黑" w:hAnsi="微软雅黑" w:eastAsia="微软雅黑" w:cs="微软雅黑"/>
          <w:b w:val="0"/>
          <w:bCs/>
          <w:color w:val="auto"/>
          <w:sz w:val="36"/>
          <w:szCs w:val="30"/>
        </w:rPr>
        <w:t>第五篇  供应商须知</w:t>
      </w:r>
      <w:bookmarkEnd w:id="107"/>
      <w:bookmarkEnd w:id="108"/>
      <w:bookmarkEnd w:id="109"/>
    </w:p>
    <w:p w14:paraId="51114107">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0" w:name="_Toc76462338"/>
      <w:bookmarkStart w:id="111" w:name="_Toc16608"/>
      <w:bookmarkStart w:id="112" w:name="_Toc342913389"/>
      <w:bookmarkStart w:id="113" w:name="_Toc182845849"/>
      <w:r>
        <w:rPr>
          <w:rFonts w:hint="eastAsia" w:ascii="微软雅黑" w:hAnsi="微软雅黑" w:eastAsia="微软雅黑" w:cs="微软雅黑"/>
          <w:color w:val="auto"/>
          <w:sz w:val="24"/>
        </w:rPr>
        <w:t>一、磋商费用</w:t>
      </w:r>
      <w:bookmarkEnd w:id="110"/>
      <w:bookmarkEnd w:id="111"/>
      <w:bookmarkEnd w:id="112"/>
      <w:bookmarkEnd w:id="113"/>
    </w:p>
    <w:p w14:paraId="05663B05">
      <w:pPr>
        <w:pStyle w:val="168"/>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参与磋商的供应商应承担其编制响应文件与递交响应文件所涉及的一切费用，不论磋商结果如何，采购人和采购代理机构在任何情况下无义务也无责任承担这些费用。</w:t>
      </w:r>
    </w:p>
    <w:p w14:paraId="76941F4D">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4" w:name="_Toc342913391"/>
      <w:bookmarkStart w:id="115" w:name="_Toc76462339"/>
      <w:bookmarkStart w:id="116" w:name="_Toc26549"/>
      <w:bookmarkStart w:id="117" w:name="_Toc182845850"/>
      <w:r>
        <w:rPr>
          <w:rFonts w:hint="eastAsia" w:ascii="微软雅黑" w:hAnsi="微软雅黑" w:eastAsia="微软雅黑" w:cs="微软雅黑"/>
          <w:color w:val="auto"/>
          <w:sz w:val="24"/>
        </w:rPr>
        <w:t>二、竞争性磋商文件</w:t>
      </w:r>
      <w:bookmarkEnd w:id="114"/>
      <w:bookmarkEnd w:id="115"/>
      <w:bookmarkEnd w:id="116"/>
      <w:bookmarkEnd w:id="117"/>
    </w:p>
    <w:p w14:paraId="2919277D">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（一）竞争性磋商文件由采购邀请书、项目服务需求、供应商须知、项目商务需求、磋商程序及方法、评审标准、无效响应和采购终止、供应商须知</w:t>
      </w:r>
      <w:r>
        <w:rPr>
          <w:rFonts w:hint="eastAsia" w:ascii="微软雅黑" w:hAnsi="微软雅黑" w:eastAsia="微软雅黑" w:cs="微软雅黑"/>
          <w:b/>
          <w:color w:val="auto"/>
          <w:sz w:val="24"/>
          <w:szCs w:val="24"/>
        </w:rPr>
        <w:t>、</w:t>
      </w:r>
      <w:r>
        <w:rPr>
          <w:rFonts w:hint="eastAsia" w:ascii="微软雅黑" w:hAnsi="微软雅黑" w:eastAsia="微软雅黑" w:cs="微软雅黑"/>
          <w:color w:val="auto"/>
          <w:sz w:val="24"/>
          <w:szCs w:val="24"/>
        </w:rPr>
        <w:t>政府采购合同</w:t>
      </w:r>
      <w:r>
        <w:rPr>
          <w:rFonts w:hint="eastAsia" w:ascii="微软雅黑" w:hAnsi="微软雅黑" w:eastAsia="微软雅黑" w:cs="微软雅黑"/>
          <w:b/>
          <w:color w:val="auto"/>
          <w:sz w:val="24"/>
          <w:szCs w:val="24"/>
        </w:rPr>
        <w:t>、</w:t>
      </w:r>
      <w:r>
        <w:rPr>
          <w:rFonts w:hint="eastAsia" w:ascii="微软雅黑" w:hAnsi="微软雅黑" w:eastAsia="微软雅黑" w:cs="微软雅黑"/>
          <w:color w:val="auto"/>
          <w:sz w:val="24"/>
          <w:szCs w:val="24"/>
        </w:rPr>
        <w:t>响应文件编制要求七部分组成。</w:t>
      </w:r>
    </w:p>
    <w:p w14:paraId="05CC6C6A">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（二）采购人（或采购代理机构）所作的一切有效的书面通知、修改及补充，都是竞争性磋商文件不可分割的部分。</w:t>
      </w:r>
    </w:p>
    <w:p w14:paraId="2D57565E">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（三）竞争性磋商文件的解释</w:t>
      </w:r>
    </w:p>
    <w:p w14:paraId="3F71B6C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如对竞争性磋商文件有疑问，必须以书面形式在提交响应文件截止时间3个工作日前向采购人（或采购代理机构）要求澄清，采购人（或采购代理机构）可视具体情况做出处理或答复。如供应商未提出疑问，视为完全理解并同意本竞争性磋商文件。一经进入磋商程序，即视为供应商已详细阅读全部文件资料，完全理解竞争性磋商文件所有条款内容并同意放弃对这方面有不明白及误解的权利。</w:t>
      </w:r>
      <w:bookmarkStart w:id="118" w:name="_Toc318159160"/>
      <w:bookmarkStart w:id="119" w:name="_Toc318166429"/>
      <w:bookmarkStart w:id="120" w:name="_Toc318159780"/>
      <w:bookmarkStart w:id="121" w:name="_Toc318159349"/>
    </w:p>
    <w:p w14:paraId="2599531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（四）本竞争性磋商文件中，磋商小组根据与供应商进行磋商可能实质性变动的内容为竞争性磋商文件第二、三、六篇全部内容。</w:t>
      </w:r>
    </w:p>
    <w:p w14:paraId="508B599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（五）评审的依据为竞争性磋商文件和响应文件（含有效的书面承诺）。磋商小组判断响应文件对竞争性磋商文件的响应，仅基于响应文件本身而不靠外部证据。</w:t>
      </w:r>
    </w:p>
    <w:bookmarkEnd w:id="118"/>
    <w:bookmarkEnd w:id="119"/>
    <w:bookmarkEnd w:id="120"/>
    <w:bookmarkEnd w:id="121"/>
    <w:p w14:paraId="3339CB32">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2" w:name="_Toc102227318"/>
      <w:bookmarkStart w:id="123" w:name="_Toc25864"/>
      <w:bookmarkStart w:id="124" w:name="_Toc76462340"/>
      <w:bookmarkStart w:id="125" w:name="_Toc182845851"/>
      <w:bookmarkStart w:id="126" w:name="_Toc342913392"/>
      <w:bookmarkStart w:id="127" w:name="_Toc179714297"/>
      <w:r>
        <w:rPr>
          <w:rFonts w:hint="eastAsia" w:ascii="微软雅黑" w:hAnsi="微软雅黑" w:eastAsia="微软雅黑" w:cs="微软雅黑"/>
          <w:color w:val="auto"/>
          <w:sz w:val="24"/>
        </w:rPr>
        <w:t>三、磋商要求</w:t>
      </w:r>
      <w:bookmarkEnd w:id="122"/>
      <w:bookmarkEnd w:id="123"/>
      <w:bookmarkEnd w:id="124"/>
      <w:bookmarkEnd w:id="125"/>
      <w:bookmarkEnd w:id="126"/>
      <w:bookmarkEnd w:id="127"/>
    </w:p>
    <w:p w14:paraId="75AA5369">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14:paraId="001DEBC0">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1.供应商应当按照竞争性磋商文件的要求编制响应文件，并对竞争性磋商文件提出的要求和条件作出实质性响应，同时应编制完整的页码、目录。</w:t>
      </w:r>
    </w:p>
    <w:p w14:paraId="3F83ED1B">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14:paraId="4484F262">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七篇响应文件编制要求”规定的部分和供应商所作的一切有效补充、修改和承诺等文件组成，供应商应按照“第七篇响应文件编制要求”规定的目录顺序组织编写，也可在基本格式基础上对表格进行扩展，未规定格式的由供应商自定格式。</w:t>
      </w:r>
    </w:p>
    <w:p w14:paraId="49829D8D">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（二）联合体</w:t>
      </w:r>
    </w:p>
    <w:p w14:paraId="318BA99F">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本项目</w:t>
      </w:r>
      <w:r>
        <w:rPr>
          <w:rFonts w:hint="eastAsia" w:ascii="微软雅黑" w:hAnsi="微软雅黑" w:eastAsia="微软雅黑" w:cs="微软雅黑"/>
          <w:color w:val="auto"/>
          <w:sz w:val="24"/>
          <w:szCs w:val="24"/>
          <w:lang w:val="en-US" w:eastAsia="zh-CN"/>
        </w:rPr>
        <w:t>不</w:t>
      </w:r>
      <w:r>
        <w:rPr>
          <w:rFonts w:hint="eastAsia" w:ascii="微软雅黑" w:hAnsi="微软雅黑" w:eastAsia="微软雅黑" w:cs="微软雅黑"/>
          <w:color w:val="auto"/>
          <w:sz w:val="24"/>
          <w:szCs w:val="24"/>
        </w:rPr>
        <w:t>接受联合体参与投标。</w:t>
      </w:r>
    </w:p>
    <w:p w14:paraId="7694004E">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（三）磋商有效期：响应文件及有关承诺文件有效期为提交响应文件截止时间起90天。</w:t>
      </w:r>
    </w:p>
    <w:p w14:paraId="3C894886">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（四）修正错误</w:t>
      </w:r>
    </w:p>
    <w:p w14:paraId="0444ABC0">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1.若供应商所递交的响应文件或最后报价中的价格出现大写金额和小写金额不一致的错误，以大写金额修正为准。</w:t>
      </w:r>
    </w:p>
    <w:p w14:paraId="5B941859">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2.磋商小组按上述修正错误的原则及方法修正供应商的报价，供应商同意并签字确认后，修正后的报价对供应商具有约束作用。如果供应商不接受修正后的价格，将失去成为成交供应商的资格。</w:t>
      </w:r>
    </w:p>
    <w:p w14:paraId="18BAE8BA">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（五）提交响应文件的份数和签署</w:t>
      </w:r>
    </w:p>
    <w:p w14:paraId="01D55849">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 电子响应文件一式一份，递交电子响应文件时请提交通过响应文件制作系统下载的电子加密响应文件。若因系统或CA证书异常原因无法正常解密，供应商须在电子开标室向采购代理机构申请提交电子备份响应文件，电子招投标系统会对电子备份响应文件与电子加密响应文件的一致性进行核验，若供应商操作失误，后果自行负责。</w:t>
      </w:r>
    </w:p>
    <w:p w14:paraId="1166F24D">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2.在电子加密响应文件中，竞争性磋商文件第七篇响应文件格式中规定签署、盖章的地方必须按其规定签署、盖章。</w:t>
      </w:r>
    </w:p>
    <w:p w14:paraId="55456518">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8" w:name="_Toc76462341"/>
      <w:bookmarkStart w:id="129" w:name="_Toc182845852"/>
      <w:bookmarkStart w:id="130" w:name="_Toc4422"/>
      <w:r>
        <w:rPr>
          <w:rFonts w:hint="eastAsia" w:ascii="微软雅黑" w:hAnsi="微软雅黑" w:eastAsia="微软雅黑" w:cs="微软雅黑"/>
          <w:color w:val="auto"/>
          <w:sz w:val="24"/>
        </w:rPr>
        <w:t>四、成交供应商的确认和变更</w:t>
      </w:r>
      <w:bookmarkEnd w:id="128"/>
      <w:bookmarkEnd w:id="129"/>
      <w:bookmarkEnd w:id="130"/>
    </w:p>
    <w:p w14:paraId="0764D9D3">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（一）成交供应商的确认</w:t>
      </w:r>
    </w:p>
    <w:p w14:paraId="11D15B09">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5505030">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（二）成交供应商的变更</w:t>
      </w:r>
    </w:p>
    <w:p w14:paraId="45945775">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成交供应商拒绝与采购人签订合同的，采购人可以按照评标报告推荐的成交候选供应商顺序，确定排名下一位的候选人为成交供应商，也可以重新开展政府采购活动。</w:t>
      </w:r>
    </w:p>
    <w:p w14:paraId="7B7159F6">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1" w:name="_Toc29397"/>
      <w:bookmarkStart w:id="132" w:name="_Toc182845853"/>
      <w:bookmarkStart w:id="133" w:name="_Toc76462342"/>
      <w:bookmarkStart w:id="134" w:name="_Toc102227321"/>
      <w:bookmarkStart w:id="135" w:name="_Toc342913395"/>
      <w:r>
        <w:rPr>
          <w:rFonts w:hint="eastAsia" w:ascii="微软雅黑" w:hAnsi="微软雅黑" w:eastAsia="微软雅黑" w:cs="微软雅黑"/>
          <w:color w:val="auto"/>
          <w:sz w:val="24"/>
        </w:rPr>
        <w:t>五、成交通知</w:t>
      </w:r>
      <w:bookmarkEnd w:id="131"/>
      <w:bookmarkEnd w:id="132"/>
      <w:bookmarkEnd w:id="133"/>
      <w:bookmarkEnd w:id="134"/>
      <w:bookmarkEnd w:id="135"/>
    </w:p>
    <w:p w14:paraId="77C809F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（一）成交供应商确定后，采购代理机构将在重庆市政府采购网（</w:t>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"http://www.cqgp.gov.cn"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www.ccgp-chongqing.gov.cn</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t>）上发布成交结果公告。</w:t>
      </w:r>
    </w:p>
    <w:p w14:paraId="2E6C3EC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（二）结果公告发出同时，采购代理机构将以书面形式发出《成交通知书》。《成交通知书》一经发出即发生法律效力。</w:t>
      </w:r>
    </w:p>
    <w:p w14:paraId="50BDE7E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（三）《成交通知书》将作为签订合同的依据。</w:t>
      </w:r>
    </w:p>
    <w:p w14:paraId="6CCDA771">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6" w:name="_Toc182845854"/>
      <w:bookmarkStart w:id="137" w:name="_Toc25218"/>
      <w:bookmarkStart w:id="138" w:name="_Toc76462343"/>
      <w:r>
        <w:rPr>
          <w:rFonts w:hint="eastAsia" w:ascii="微软雅黑" w:hAnsi="微软雅黑" w:eastAsia="微软雅黑" w:cs="微软雅黑"/>
          <w:color w:val="auto"/>
          <w:sz w:val="24"/>
        </w:rPr>
        <w:t>六、关于质疑和投诉</w:t>
      </w:r>
      <w:bookmarkEnd w:id="136"/>
      <w:bookmarkEnd w:id="137"/>
      <w:bookmarkEnd w:id="138"/>
    </w:p>
    <w:p w14:paraId="26433759">
      <w:pPr>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（一）质疑</w:t>
      </w:r>
    </w:p>
    <w:p w14:paraId="51A5AFB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供应商认为采购文件、采购过程和成交结果使自己的权益收到伤害的，可向采购人或采购代理机构以书面形式提出质疑。</w:t>
      </w:r>
    </w:p>
    <w:p w14:paraId="16F7B0A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提出质疑的应当是参与所质疑项目采购活动的供应商。 </w:t>
      </w:r>
    </w:p>
    <w:p w14:paraId="3EE9F598">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1.质疑时限、内容</w:t>
      </w:r>
    </w:p>
    <w:p w14:paraId="49F06E68">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供应商认为采购文件、采购过程、成交结果使自己的权益受到损害的，可以在知道或者应知其权益受到损害之日起7个工作日内，以书面形式向采购人、采购代理机构提出质疑。</w:t>
      </w:r>
    </w:p>
    <w:p w14:paraId="66FA63AB">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1.2供应商提出质疑应当提交质疑函和必要的证明材料，质疑函应当包括下列内容：</w:t>
      </w:r>
    </w:p>
    <w:p w14:paraId="3D112695">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1.2.1供应商的姓名或者名称、地址、邮编、联系人及联系电话；</w:t>
      </w:r>
    </w:p>
    <w:p w14:paraId="7F2F6EA9">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1.2.2质疑项目的名称、项目号以及采购执行编号；</w:t>
      </w:r>
    </w:p>
    <w:p w14:paraId="246CC25A">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1.2.3具体、明确的质疑事项和与质疑事项相关的请求；</w:t>
      </w:r>
    </w:p>
    <w:p w14:paraId="1EA4E905">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1.2.4事实依据；</w:t>
      </w:r>
    </w:p>
    <w:p w14:paraId="4A23F8F4">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1.2.5必要的法律依据；</w:t>
      </w:r>
    </w:p>
    <w:p w14:paraId="56B19480">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1.2.6提出质疑的日期；</w:t>
      </w:r>
    </w:p>
    <w:p w14:paraId="018AF320">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1.2.7营业执照（或事业单位法人证书，或个体工商户营业执照或有效的自然人身份证明）复印件；</w:t>
      </w:r>
    </w:p>
    <w:p w14:paraId="64F418C9">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1.2.8法定代表人授权委托书原件、法定代表人身份证复印件和其授权代表的身份证复印件（供应商为自然人的提供自然人身份证复印件）；</w:t>
      </w:r>
    </w:p>
    <w:p w14:paraId="3A88A726">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1.3供应商为自然人的，质疑函应当由本人签字；供应商为法人或者其他组织的，质疑函应当由法定代表人、主要负责人，或者其授权代表签字或者盖章，并加盖公章。</w:t>
      </w:r>
    </w:p>
    <w:p w14:paraId="4052ACC5">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2.质疑答复</w:t>
      </w:r>
    </w:p>
    <w:p w14:paraId="58BC8405">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采购人、采购代理机构应当在收到供应商的书面质疑后七个工作日内作出答复，并以书面形式通知质疑供应商和其他有关供应商。</w:t>
      </w:r>
    </w:p>
    <w:p w14:paraId="44E1C001">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3.其他</w:t>
      </w:r>
    </w:p>
    <w:p w14:paraId="5D8A5097">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3.1供应商应按照《政府采购质疑和投诉办法》（财政部令第94号）及相关法律法规要求，在法定质疑期内一次性提出针对同一采购程序环节的质疑。</w:t>
      </w:r>
    </w:p>
    <w:p w14:paraId="520D298E">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3.2质疑函范本可在财政部门户网站和中国政府采购网下载。</w:t>
      </w:r>
    </w:p>
    <w:p w14:paraId="7624C345">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（二）投诉</w:t>
      </w:r>
    </w:p>
    <w:p w14:paraId="338B25B2">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1.供应商对采购人、采购代理机构的答复不满意，或者采购人、采购代理机构未在规定时间内作出答复的，可以在答复期满后15个工作日内按照相关法律法规向财政部门提起投诉。</w:t>
      </w:r>
    </w:p>
    <w:p w14:paraId="43734881">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2.供应商应按照《政府采购质疑和投诉办法》（财政部令第94号）及相关法律法规要求递交投诉书和必要的证明材料。投诉书范本可在财政部门户网站和中国政府采购网下载。</w:t>
      </w:r>
    </w:p>
    <w:p w14:paraId="56DAB763">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14ABC696">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4.在确定受理投诉后，财政部门自受理投诉之日起30个工作日内（需要检验、检测、鉴定、专家评审以及需要投诉人补正材料的，所需时间不计算在投诉处理期限内）对投诉事项做出处理决定。</w:t>
      </w:r>
    </w:p>
    <w:p w14:paraId="6847778F">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9" w:name="_Toc76462344"/>
      <w:bookmarkStart w:id="140" w:name="_Toc182845855"/>
      <w:bookmarkStart w:id="141" w:name="_Toc16610"/>
      <w:r>
        <w:rPr>
          <w:rFonts w:hint="eastAsia" w:ascii="微软雅黑" w:hAnsi="微软雅黑" w:eastAsia="微软雅黑" w:cs="微软雅黑"/>
          <w:color w:val="auto"/>
          <w:sz w:val="24"/>
        </w:rPr>
        <w:t>七、采购代理服务费</w:t>
      </w:r>
      <w:bookmarkEnd w:id="139"/>
      <w:bookmarkEnd w:id="140"/>
      <w:bookmarkEnd w:id="141"/>
    </w:p>
    <w:p w14:paraId="77BC9D3A">
      <w:pPr>
        <w:snapToGrid w:val="0"/>
        <w:spacing w:line="400" w:lineRule="exact"/>
        <w:ind w:firstLine="480" w:firstLineChars="200"/>
        <w:rPr>
          <w:rFonts w:hint="eastAsia" w:ascii="微软雅黑" w:hAnsi="微软雅黑" w:eastAsia="微软雅黑" w:cs="微软雅黑"/>
          <w:color w:val="auto"/>
          <w:sz w:val="24"/>
        </w:rPr>
      </w:pPr>
      <w:bookmarkStart w:id="142" w:name="OLE_LINK8"/>
      <w:bookmarkStart w:id="143" w:name="OLE_LINK7"/>
      <w:r>
        <w:rPr>
          <w:rFonts w:hint="eastAsia" w:ascii="微软雅黑" w:hAnsi="微软雅黑" w:eastAsia="微软雅黑" w:cs="微软雅黑"/>
          <w:color w:val="auto"/>
          <w:sz w:val="24"/>
        </w:rPr>
        <w:t>（一）本项目由成交供应商在成交结果公示后向采购代理机构缴纳采购代理服务费，采购代理服务费按如下标准执行:</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759B4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noWrap w:val="0"/>
            <w:vAlign w:val="top"/>
          </w:tcPr>
          <w:p w14:paraId="3DC4B8EB">
            <w:pPr>
              <w:snapToGrid w:val="0"/>
              <w:spacing w:line="400" w:lineRule="exact"/>
              <w:ind w:firstLine="1440" w:firstLineChars="6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-5715</wp:posOffset>
                      </wp:positionV>
                      <wp:extent cx="635" cy="635"/>
                      <wp:effectExtent l="0" t="0" r="0" b="0"/>
                      <wp:wrapNone/>
                      <wp:docPr id="1" name="直线 5"/>
                      <wp:cNvGraphicFramePr/>
                      <a:graphic xmlns:a="http://schemas.openxmlformats.org/drawingml/2006/main">
                        <a:graphicData uri="http://schemas.microsoft.com/office/word/2010/wordprocessingShape">
                          <wps:wsp>
                            <wps:cNvCnPr/>
                            <wps:spPr>
                              <a:xfrm>
                                <a:off x="0" y="0"/>
                                <a:ext cx="63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8.95pt;margin-top:-0.45pt;height:0.05pt;width:0.05pt;z-index:251659264;mso-width-relative:page;mso-height-relative:page;" filled="f" stroked="t" coordsize="21600,21600" o:allowincell="f" o:gfxdata="UEsDBAoAAAAAAIdO4kAAAAAAAAAAAAAAAAAEAAAAZHJzL1BLAwQUAAAACACHTuJAOhZXG9QAAAAH&#10;AQAADwAAAGRycy9kb3ducmV2LnhtbE2PT0/DMAzF70j7DpEncZm2pEOCUZruMOiNCwPE1WtMW61x&#10;uib7A58ec4KT35Ofnn8u1hffqxONsQtsIVsYUMR1cB03Ft5eq/kKVEzIDvvAZOGLIqzLyVWBuQtn&#10;fqHTNjVKSjjmaKFNaci1jnVLHuMiDMSy+wyjxyR2bLQb8SzlvtdLY261x47lQosDbVqq99ujtxCr&#10;dzpU37N6Zj5umkDLw+PzE1p7Pc3MA6hEl/QXhl98QYdSmHbhyC6q3sI8u7uXqAgZshcvr+xErECX&#10;hf7PX/4AUEsDBBQAAAAIAIdO4kB5oVBd4wEAANkDAAAOAAAAZHJzL2Uyb0RvYy54bWytU82O0zAQ&#10;viPxDpbvNG1RVxA13cOW5YKgEvAAU9tJLPlPHrdpn4XX4MSFx9nXYOyELuxeetgcnPF45vN834zX&#10;tydr2FFF1N41fDGbc6ac8FK7ruHfv92/eccZJnASjHeq4WeF/Hbz+tV6CLVa+t4bqSIjEIf1EBre&#10;pxTqqkLRKws480E5Omx9tJBoG7tKRhgI3ZpqOZ/fVIOPMkQvFCJ5t+MhnxDjNYC+bbVQWy8OVrk0&#10;okZlIBEl7HVAvinVtq0S6UvbokrMNJyYprLSJWTv81pt1lB3EUKvxVQCXFPCE04WtKNLL1BbSMAO&#10;UT+DslpEj75NM+FtNRIpihCLxfyJNl97CKpwIakxXETHl4MVn4+7yLSkSeDMgaWGP/z4+fDrN1tl&#10;bYaANYXcuV2cdhh2MRM9tdHmP1Fgp6Ln+aKnOiUmyHnzdsWZIH82KL96TAsR00flLctGw412mSjU&#10;cPyEaQz9G5LdxrGh4e9XywwINHUtdZtMG6hydF3JRW+0vNfG5AyM3f7ORHaE3PnyTSX8F5Yv2QL2&#10;Y1w5ymFQ9wrkBydZOgfSxNFT4LkEqyRnRtHLyVaJTKDNNZHE3jgSIWs6qpitvZdn6sAhRN31pMSi&#10;VJlPqONFsmk680j9uy9Ijy9y8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6Flcb1AAAAAcBAAAP&#10;AAAAAAAAAAEAIAAAACIAAABkcnMvZG93bnJldi54bWxQSwECFAAUAAAACACHTuJAeaFQXeMBAADZ&#10;AwAADgAAAAAAAAABACAAAAAjAQAAZHJzL2Uyb0RvYy54bWxQSwUGAAAAAAYABgBZAQAAeAUAAAAA&#10;">
                      <v:fill on="f" focussize="0,0"/>
                      <v:stroke color="#000000" joinstyle="round"/>
                      <v:imagedata o:title=""/>
                      <o:lock v:ext="edit" aspectratio="f"/>
                    </v:line>
                  </w:pict>
                </mc:Fallback>
              </mc:AlternateContent>
            </w:r>
            <w:r>
              <w:rPr>
                <w:rFonts w:hint="eastAsia" w:ascii="微软雅黑" w:hAnsi="微软雅黑" w:eastAsia="微软雅黑" w:cs="微软雅黑"/>
                <w:color w:val="auto"/>
                <w:sz w:val="24"/>
              </w:rPr>
              <w:t>招标类型</w:t>
            </w:r>
          </w:p>
          <w:p w14:paraId="6C6394CF">
            <w:pPr>
              <w:snapToGrid w:val="0"/>
              <w:spacing w:line="4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中标金额（万元）</w:t>
            </w:r>
          </w:p>
        </w:tc>
        <w:tc>
          <w:tcPr>
            <w:tcW w:w="2273" w:type="dxa"/>
            <w:noWrap w:val="0"/>
            <w:vAlign w:val="center"/>
          </w:tcPr>
          <w:p w14:paraId="2DB8A896">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货物招标</w:t>
            </w:r>
          </w:p>
        </w:tc>
        <w:tc>
          <w:tcPr>
            <w:tcW w:w="2273" w:type="dxa"/>
            <w:noWrap w:val="0"/>
            <w:vAlign w:val="center"/>
          </w:tcPr>
          <w:p w14:paraId="0C968F5A">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服务招标</w:t>
            </w:r>
          </w:p>
        </w:tc>
        <w:tc>
          <w:tcPr>
            <w:tcW w:w="2272" w:type="dxa"/>
            <w:noWrap w:val="0"/>
            <w:vAlign w:val="center"/>
          </w:tcPr>
          <w:p w14:paraId="469F8F86">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工程招标</w:t>
            </w:r>
          </w:p>
        </w:tc>
      </w:tr>
      <w:tr w14:paraId="2212C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4BDA58B7">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100以下</w:t>
            </w:r>
          </w:p>
        </w:tc>
        <w:tc>
          <w:tcPr>
            <w:tcW w:w="2273" w:type="dxa"/>
            <w:noWrap w:val="0"/>
            <w:vAlign w:val="center"/>
          </w:tcPr>
          <w:p w14:paraId="46C4F045">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1.5%</w:t>
            </w:r>
          </w:p>
        </w:tc>
        <w:tc>
          <w:tcPr>
            <w:tcW w:w="2273" w:type="dxa"/>
            <w:noWrap w:val="0"/>
            <w:vAlign w:val="center"/>
          </w:tcPr>
          <w:p w14:paraId="61DC53F9">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1.5%</w:t>
            </w:r>
          </w:p>
        </w:tc>
        <w:tc>
          <w:tcPr>
            <w:tcW w:w="2272" w:type="dxa"/>
            <w:noWrap w:val="0"/>
            <w:vAlign w:val="center"/>
          </w:tcPr>
          <w:p w14:paraId="3E779103">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1.0%</w:t>
            </w:r>
          </w:p>
        </w:tc>
      </w:tr>
      <w:tr w14:paraId="59292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117E0D24">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100-500</w:t>
            </w:r>
          </w:p>
        </w:tc>
        <w:tc>
          <w:tcPr>
            <w:tcW w:w="2273" w:type="dxa"/>
            <w:noWrap w:val="0"/>
            <w:vAlign w:val="center"/>
          </w:tcPr>
          <w:p w14:paraId="1B370854">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w:t>
            </w:r>
          </w:p>
        </w:tc>
        <w:tc>
          <w:tcPr>
            <w:tcW w:w="2273" w:type="dxa"/>
            <w:noWrap w:val="0"/>
            <w:vAlign w:val="center"/>
          </w:tcPr>
          <w:p w14:paraId="57428508">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0.8%</w:t>
            </w:r>
          </w:p>
        </w:tc>
        <w:tc>
          <w:tcPr>
            <w:tcW w:w="2272" w:type="dxa"/>
            <w:noWrap w:val="0"/>
            <w:vAlign w:val="center"/>
          </w:tcPr>
          <w:p w14:paraId="2FE12731">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0.7%</w:t>
            </w:r>
          </w:p>
        </w:tc>
      </w:tr>
      <w:tr w14:paraId="31ED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69BAB9D1">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500-1000</w:t>
            </w:r>
          </w:p>
        </w:tc>
        <w:tc>
          <w:tcPr>
            <w:tcW w:w="2273" w:type="dxa"/>
            <w:noWrap w:val="0"/>
            <w:vAlign w:val="center"/>
          </w:tcPr>
          <w:p w14:paraId="2D8969D2">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0.8%</w:t>
            </w:r>
          </w:p>
        </w:tc>
        <w:tc>
          <w:tcPr>
            <w:tcW w:w="2273" w:type="dxa"/>
            <w:noWrap w:val="0"/>
            <w:vAlign w:val="center"/>
          </w:tcPr>
          <w:p w14:paraId="06343A7F">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0.45%</w:t>
            </w:r>
          </w:p>
        </w:tc>
        <w:tc>
          <w:tcPr>
            <w:tcW w:w="2272" w:type="dxa"/>
            <w:noWrap w:val="0"/>
            <w:vAlign w:val="center"/>
          </w:tcPr>
          <w:p w14:paraId="2D137920">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0.55%</w:t>
            </w:r>
          </w:p>
        </w:tc>
      </w:tr>
      <w:tr w14:paraId="3D56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59908819">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1000-5000</w:t>
            </w:r>
          </w:p>
        </w:tc>
        <w:tc>
          <w:tcPr>
            <w:tcW w:w="2273" w:type="dxa"/>
            <w:noWrap w:val="0"/>
            <w:vAlign w:val="center"/>
          </w:tcPr>
          <w:p w14:paraId="75196E87">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0.5%</w:t>
            </w:r>
          </w:p>
        </w:tc>
        <w:tc>
          <w:tcPr>
            <w:tcW w:w="2273" w:type="dxa"/>
            <w:noWrap w:val="0"/>
            <w:vAlign w:val="center"/>
          </w:tcPr>
          <w:p w14:paraId="5F0954DF">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0.25%</w:t>
            </w:r>
          </w:p>
        </w:tc>
        <w:tc>
          <w:tcPr>
            <w:tcW w:w="2272" w:type="dxa"/>
            <w:noWrap w:val="0"/>
            <w:vAlign w:val="center"/>
          </w:tcPr>
          <w:p w14:paraId="6ED4D414">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0.35%</w:t>
            </w:r>
          </w:p>
        </w:tc>
      </w:tr>
      <w:tr w14:paraId="61F4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271F3E2D">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5000-10000</w:t>
            </w:r>
          </w:p>
        </w:tc>
        <w:tc>
          <w:tcPr>
            <w:tcW w:w="2273" w:type="dxa"/>
            <w:noWrap w:val="0"/>
            <w:vAlign w:val="center"/>
          </w:tcPr>
          <w:p w14:paraId="63F54D34">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0.25%</w:t>
            </w:r>
          </w:p>
        </w:tc>
        <w:tc>
          <w:tcPr>
            <w:tcW w:w="2273" w:type="dxa"/>
            <w:noWrap w:val="0"/>
            <w:vAlign w:val="center"/>
          </w:tcPr>
          <w:p w14:paraId="6B0A60EF">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0.1%</w:t>
            </w:r>
          </w:p>
        </w:tc>
        <w:tc>
          <w:tcPr>
            <w:tcW w:w="2272" w:type="dxa"/>
            <w:noWrap w:val="0"/>
            <w:vAlign w:val="center"/>
          </w:tcPr>
          <w:p w14:paraId="719C2B51">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0.2%</w:t>
            </w:r>
          </w:p>
        </w:tc>
      </w:tr>
      <w:tr w14:paraId="6F3A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6982939B">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10000-100000</w:t>
            </w:r>
          </w:p>
        </w:tc>
        <w:tc>
          <w:tcPr>
            <w:tcW w:w="2273" w:type="dxa"/>
            <w:noWrap w:val="0"/>
            <w:vAlign w:val="center"/>
          </w:tcPr>
          <w:p w14:paraId="1DFEC9EE">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0.05%</w:t>
            </w:r>
          </w:p>
        </w:tc>
        <w:tc>
          <w:tcPr>
            <w:tcW w:w="2273" w:type="dxa"/>
            <w:noWrap w:val="0"/>
            <w:vAlign w:val="center"/>
          </w:tcPr>
          <w:p w14:paraId="29696344">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0.05%</w:t>
            </w:r>
          </w:p>
        </w:tc>
        <w:tc>
          <w:tcPr>
            <w:tcW w:w="2272" w:type="dxa"/>
            <w:noWrap w:val="0"/>
            <w:vAlign w:val="center"/>
          </w:tcPr>
          <w:p w14:paraId="0CF5CFDA">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0.05%</w:t>
            </w:r>
          </w:p>
        </w:tc>
      </w:tr>
    </w:tbl>
    <w:p w14:paraId="0F4336C7">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注：采购代理服务收费按差额定率累进法计算。例如：某服务采购代理业务成交金额为500万元，计算采购代理服务收费额如下：</w:t>
      </w:r>
    </w:p>
    <w:p w14:paraId="5430C571">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100万元×1.5%=1.5万元</w:t>
      </w:r>
    </w:p>
    <w:p w14:paraId="7DCF7BA2">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（500-100）万元×0.8%=3.2万元</w:t>
      </w:r>
    </w:p>
    <w:p w14:paraId="18BB2AFD">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合计收费=1.5+3.2=4.7（万元）</w:t>
      </w:r>
    </w:p>
    <w:bookmarkEnd w:id="142"/>
    <w:bookmarkEnd w:id="143"/>
    <w:p w14:paraId="4D9DD9EC">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4" w:name="_Toc7737"/>
      <w:bookmarkStart w:id="145" w:name="_Toc182845856"/>
      <w:bookmarkStart w:id="146" w:name="_Toc76462345"/>
      <w:r>
        <w:rPr>
          <w:rFonts w:hint="eastAsia" w:ascii="微软雅黑" w:hAnsi="微软雅黑" w:eastAsia="微软雅黑" w:cs="微软雅黑"/>
          <w:color w:val="auto"/>
          <w:sz w:val="24"/>
        </w:rPr>
        <w:t>八、交易服务费</w:t>
      </w:r>
      <w:bookmarkEnd w:id="144"/>
      <w:bookmarkEnd w:id="145"/>
      <w:bookmarkEnd w:id="146"/>
    </w:p>
    <w:p w14:paraId="078AC8F7">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供应商成交后</w:t>
      </w:r>
      <w:r>
        <w:rPr>
          <w:rFonts w:hint="eastAsia" w:ascii="微软雅黑" w:hAnsi="微软雅黑" w:eastAsia="微软雅黑" w:cs="微软雅黑"/>
          <w:color w:val="auto"/>
          <w:sz w:val="24"/>
        </w:rPr>
        <w:t>向“重庆联合产权交易所集团股份有限公司”缴纳交易服务费，服务费的收取标准按“渝发改收费〔2023〕115号”文件标准执行。</w:t>
      </w:r>
    </w:p>
    <w:p w14:paraId="3F57655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重庆市公共资源交易中心咨询电话：023-63625633</w:t>
      </w:r>
    </w:p>
    <w:p w14:paraId="1361F96D">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7" w:name="_Toc102227322"/>
      <w:bookmarkStart w:id="148" w:name="_Toc23231"/>
      <w:bookmarkStart w:id="149" w:name="_Toc76462346"/>
      <w:bookmarkStart w:id="150" w:name="_Toc342913396"/>
      <w:bookmarkStart w:id="151" w:name="_Toc182845857"/>
      <w:bookmarkStart w:id="152" w:name="_Toc11641055"/>
      <w:bookmarkStart w:id="153" w:name="_Toc12789059"/>
      <w:r>
        <w:rPr>
          <w:rFonts w:hint="eastAsia" w:ascii="微软雅黑" w:hAnsi="微软雅黑" w:eastAsia="微软雅黑" w:cs="微软雅黑"/>
          <w:color w:val="auto"/>
          <w:sz w:val="24"/>
        </w:rPr>
        <w:t>九、签订</w:t>
      </w:r>
      <w:bookmarkEnd w:id="147"/>
      <w:r>
        <w:rPr>
          <w:rFonts w:hint="eastAsia" w:ascii="微软雅黑" w:hAnsi="微软雅黑" w:eastAsia="微软雅黑" w:cs="微软雅黑"/>
          <w:color w:val="auto"/>
          <w:sz w:val="24"/>
        </w:rPr>
        <w:t>合同</w:t>
      </w:r>
      <w:bookmarkEnd w:id="148"/>
      <w:bookmarkEnd w:id="149"/>
      <w:bookmarkEnd w:id="150"/>
      <w:bookmarkEnd w:id="151"/>
    </w:p>
    <w:p w14:paraId="45D66979">
      <w:pPr>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rPr>
        <w:t>采购人原则上应在成交通知书发出之日起二十日内和成交供应商签订政府采购合同，无正当理由不得拒绝或拖延合同签订</w:t>
      </w:r>
      <w:r>
        <w:rPr>
          <w:rFonts w:hint="eastAsia" w:ascii="微软雅黑" w:hAnsi="微软雅黑" w:eastAsia="微软雅黑" w:cs="微软雅黑"/>
          <w:color w:val="auto"/>
          <w:sz w:val="24"/>
          <w:szCs w:val="24"/>
        </w:rPr>
        <w:t>。所签订的合同不得对竞争性磋商文件和供应商的响应文件作实质性修改。其他未尽事宜由采购人和成交供应商在采购合同中详细约定。</w:t>
      </w:r>
    </w:p>
    <w:p w14:paraId="4B7F1E0F">
      <w:pPr>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rPr>
        <w:t>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2CC455E4">
      <w:pPr>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（三）竞争性磋商文件、供应商的响应文件及澄清文件等，均为签订政府采购合同的依据。</w:t>
      </w:r>
    </w:p>
    <w:p w14:paraId="075A2216">
      <w:pPr>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（四）合同生效条款由供需双方约定，法律、行政法规规定应当办理批准、登记等手续后生效的合同，依照其规定。</w:t>
      </w:r>
    </w:p>
    <w:p w14:paraId="01D1FE1D">
      <w:pPr>
        <w:spacing w:line="400" w:lineRule="exact"/>
        <w:ind w:firstLine="360" w:firstLineChars="15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（五）合同原则上应按照《重庆市政府采购合同》签订，相关单位要求适用合同通用格式版本的，应按其要求另行签订其他合同。</w:t>
      </w:r>
    </w:p>
    <w:p w14:paraId="0899B872">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4" w:name="_Toc182845858"/>
      <w:bookmarkStart w:id="155" w:name="_Toc11705"/>
      <w:r>
        <w:rPr>
          <w:rFonts w:hint="eastAsia" w:ascii="微软雅黑" w:hAnsi="微软雅黑" w:eastAsia="微软雅黑" w:cs="微软雅黑"/>
          <w:color w:val="auto"/>
          <w:sz w:val="24"/>
        </w:rPr>
        <w:t>十、项目验收</w:t>
      </w:r>
      <w:bookmarkEnd w:id="154"/>
      <w:bookmarkEnd w:id="155"/>
    </w:p>
    <w:p w14:paraId="355D4AF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合同执行完毕，采购人或采购代理机构原则上应在7个工作日内组织履约情况验收，不得无故拖延或附加额外条件。</w:t>
      </w:r>
    </w:p>
    <w:p w14:paraId="71C1E26C">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18581"/>
      <w:bookmarkStart w:id="157" w:name="_Toc76462347"/>
      <w:bookmarkStart w:id="158" w:name="_Toc14780"/>
      <w:bookmarkStart w:id="159" w:name="_Toc182845859"/>
      <w:r>
        <w:rPr>
          <w:rFonts w:hint="eastAsia" w:ascii="微软雅黑" w:hAnsi="微软雅黑" w:eastAsia="微软雅黑" w:cs="微软雅黑"/>
          <w:color w:val="auto"/>
          <w:sz w:val="24"/>
        </w:rPr>
        <w:t>十一、政府采购信用融资</w:t>
      </w:r>
      <w:bookmarkEnd w:id="156"/>
      <w:bookmarkEnd w:id="157"/>
      <w:bookmarkEnd w:id="158"/>
      <w:bookmarkEnd w:id="159"/>
    </w:p>
    <w:p w14:paraId="7812D22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参与重庆市政府采购活动，成为成交供应商，并与采购人签订政府采购合同后，可按照重庆市政府采购支持中小企业信用融资办法的规定，向开展政府采购信用融资业务的银行申请贷款。具体内容详见重庆市政府采购网“信用融资”信息专栏。</w:t>
      </w:r>
    </w:p>
    <w:p w14:paraId="5CAE311C">
      <w:pPr>
        <w:pStyle w:val="3"/>
        <w:spacing w:before="0" w:after="0" w:line="360" w:lineRule="auto"/>
        <w:jc w:val="center"/>
        <w:rPr>
          <w:rFonts w:hint="eastAsia" w:ascii="微软雅黑" w:hAnsi="微软雅黑" w:eastAsia="微软雅黑" w:cs="微软雅黑"/>
          <w:b w:val="0"/>
          <w:color w:val="auto"/>
          <w:sz w:val="36"/>
          <w:szCs w:val="30"/>
        </w:rPr>
      </w:pPr>
      <w:r>
        <w:rPr>
          <w:rFonts w:hint="eastAsia" w:ascii="微软雅黑" w:hAnsi="微软雅黑" w:eastAsia="微软雅黑" w:cs="微软雅黑"/>
          <w:color w:val="auto"/>
          <w:sz w:val="36"/>
          <w:szCs w:val="30"/>
        </w:rPr>
        <w:br w:type="page"/>
      </w:r>
      <w:bookmarkStart w:id="160" w:name="_Toc29780"/>
      <w:bookmarkStart w:id="161" w:name="_Toc76462348"/>
      <w:r>
        <w:rPr>
          <w:rFonts w:hint="eastAsia" w:ascii="微软雅黑" w:hAnsi="微软雅黑" w:eastAsia="微软雅黑" w:cs="微软雅黑"/>
          <w:b w:val="0"/>
          <w:color w:val="auto"/>
          <w:sz w:val="36"/>
          <w:szCs w:val="30"/>
        </w:rPr>
        <w:t xml:space="preserve">第六篇  </w:t>
      </w:r>
      <w:bookmarkEnd w:id="152"/>
      <w:bookmarkEnd w:id="153"/>
      <w:r>
        <w:rPr>
          <w:rFonts w:hint="eastAsia" w:ascii="微软雅黑" w:hAnsi="微软雅黑" w:eastAsia="微软雅黑" w:cs="微软雅黑"/>
          <w:b w:val="0"/>
          <w:color w:val="auto"/>
          <w:sz w:val="36"/>
          <w:szCs w:val="30"/>
        </w:rPr>
        <w:t>政府采购合同</w:t>
      </w:r>
      <w:bookmarkEnd w:id="160"/>
      <w:bookmarkEnd w:id="161"/>
    </w:p>
    <w:p w14:paraId="2E39E13D">
      <w:pPr>
        <w:widowControl/>
        <w:spacing w:before="100" w:beforeAutospacing="1" w:after="100" w:afterAutospacing="1" w:line="600" w:lineRule="exact"/>
        <w:ind w:firstLine="520" w:firstLineChars="100"/>
        <w:jc w:val="center"/>
        <w:rPr>
          <w:rFonts w:ascii="仿宋" w:hAnsi="仿宋" w:eastAsia="仿宋" w:cs="仿宋"/>
          <w:b/>
          <w:bCs/>
          <w:color w:val="auto"/>
          <w:kern w:val="0"/>
          <w:sz w:val="52"/>
          <w:szCs w:val="52"/>
        </w:rPr>
      </w:pPr>
      <w:bookmarkStart w:id="162" w:name="_Hlt41879464"/>
      <w:bookmarkEnd w:id="162"/>
      <w:bookmarkStart w:id="163" w:name="_Toc76462349"/>
      <w:r>
        <w:rPr>
          <w:rFonts w:hint="eastAsia" w:ascii="仿宋" w:hAnsi="仿宋" w:eastAsia="仿宋" w:cs="仿宋"/>
          <w:b/>
          <w:bCs/>
          <w:color w:val="auto"/>
          <w:kern w:val="0"/>
          <w:sz w:val="52"/>
          <w:szCs w:val="52"/>
        </w:rPr>
        <w:t>建设工程施工阶段造价过程控制</w:t>
      </w:r>
    </w:p>
    <w:p w14:paraId="5520CB4B">
      <w:pPr>
        <w:widowControl/>
        <w:spacing w:before="100" w:beforeAutospacing="1" w:after="100" w:afterAutospacing="1" w:line="600" w:lineRule="exact"/>
        <w:ind w:firstLine="520" w:firstLineChars="100"/>
        <w:jc w:val="center"/>
        <w:rPr>
          <w:rFonts w:ascii="仿宋" w:hAnsi="仿宋" w:eastAsia="仿宋" w:cs="仿宋"/>
          <w:b/>
          <w:bCs/>
          <w:color w:val="auto"/>
          <w:kern w:val="0"/>
          <w:sz w:val="52"/>
          <w:szCs w:val="52"/>
        </w:rPr>
      </w:pPr>
      <w:r>
        <w:rPr>
          <w:rFonts w:hint="eastAsia" w:ascii="仿宋" w:hAnsi="仿宋" w:eastAsia="仿宋" w:cs="仿宋"/>
          <w:b/>
          <w:bCs/>
          <w:color w:val="auto"/>
          <w:kern w:val="0"/>
          <w:sz w:val="52"/>
          <w:szCs w:val="52"/>
        </w:rPr>
        <w:t>合同书</w:t>
      </w:r>
    </w:p>
    <w:p w14:paraId="69997C5A">
      <w:pPr>
        <w:spacing w:line="500" w:lineRule="exact"/>
        <w:rPr>
          <w:rFonts w:ascii="仿宋" w:hAnsi="仿宋" w:eastAsia="仿宋" w:cs="仿宋"/>
          <w:color w:val="auto"/>
          <w:sz w:val="28"/>
          <w:szCs w:val="28"/>
        </w:rPr>
      </w:pPr>
    </w:p>
    <w:p w14:paraId="103930F6">
      <w:pPr>
        <w:spacing w:line="700" w:lineRule="exact"/>
        <w:rPr>
          <w:rFonts w:ascii="仿宋" w:hAnsi="仿宋" w:eastAsia="仿宋" w:cs="仿宋"/>
          <w:color w:val="auto"/>
          <w:sz w:val="28"/>
          <w:szCs w:val="28"/>
        </w:rPr>
      </w:pPr>
    </w:p>
    <w:p w14:paraId="7DA1C659">
      <w:pPr>
        <w:spacing w:line="700" w:lineRule="exact"/>
        <w:rPr>
          <w:rFonts w:ascii="仿宋" w:hAnsi="仿宋" w:eastAsia="仿宋" w:cs="仿宋"/>
          <w:color w:val="auto"/>
          <w:sz w:val="28"/>
          <w:szCs w:val="28"/>
        </w:rPr>
      </w:pPr>
    </w:p>
    <w:p w14:paraId="34E4D0CF">
      <w:pPr>
        <w:spacing w:line="700" w:lineRule="exact"/>
        <w:rPr>
          <w:rFonts w:ascii="仿宋" w:hAnsi="仿宋" w:eastAsia="仿宋" w:cs="仿宋"/>
          <w:color w:val="auto"/>
          <w:sz w:val="28"/>
          <w:szCs w:val="28"/>
        </w:rPr>
      </w:pPr>
    </w:p>
    <w:p w14:paraId="6901B3AD">
      <w:pPr>
        <w:spacing w:line="700" w:lineRule="exact"/>
        <w:rPr>
          <w:rFonts w:ascii="仿宋" w:hAnsi="仿宋" w:eastAsia="仿宋" w:cs="仿宋"/>
          <w:color w:val="auto"/>
          <w:sz w:val="28"/>
          <w:szCs w:val="28"/>
        </w:rPr>
      </w:pPr>
    </w:p>
    <w:p w14:paraId="33DE5707">
      <w:pPr>
        <w:spacing w:line="700" w:lineRule="exact"/>
        <w:rPr>
          <w:rFonts w:ascii="仿宋" w:hAnsi="仿宋" w:eastAsia="仿宋" w:cs="仿宋"/>
          <w:color w:val="auto"/>
          <w:sz w:val="28"/>
          <w:szCs w:val="28"/>
        </w:rPr>
      </w:pPr>
    </w:p>
    <w:p w14:paraId="02E4ACE4">
      <w:pPr>
        <w:spacing w:line="360" w:lineRule="auto"/>
        <w:ind w:left="1600" w:hanging="1600" w:hangingChars="500"/>
        <w:rPr>
          <w:rFonts w:hint="eastAsia" w:ascii="仿宋" w:hAnsi="仿宋" w:eastAsia="仿宋" w:cs="仿宋"/>
          <w:b/>
          <w:color w:val="auto"/>
          <w:sz w:val="32"/>
          <w:szCs w:val="32"/>
          <w:u w:val="single"/>
          <w:lang w:eastAsia="zh-CN"/>
        </w:rPr>
      </w:pPr>
      <w:r>
        <w:rPr>
          <w:rFonts w:hint="eastAsia" w:ascii="仿宋" w:hAnsi="仿宋" w:eastAsia="仿宋" w:cs="仿宋"/>
          <w:b/>
          <w:color w:val="auto"/>
          <w:sz w:val="32"/>
          <w:szCs w:val="32"/>
        </w:rPr>
        <w:t xml:space="preserve">项目名称: </w:t>
      </w:r>
      <w:r>
        <w:rPr>
          <w:rFonts w:hint="eastAsia" w:ascii="仿宋" w:hAnsi="仿宋" w:eastAsia="仿宋" w:cs="仿宋"/>
          <w:b/>
          <w:color w:val="auto"/>
          <w:sz w:val="32"/>
          <w:szCs w:val="32"/>
          <w:u w:val="single"/>
          <w:lang w:eastAsia="zh-CN"/>
        </w:rPr>
        <w:t>九龙污水隧道及上游污水管网溯源整治工程造价全过程控制服务</w:t>
      </w:r>
    </w:p>
    <w:p w14:paraId="2A9E8A95">
      <w:pPr>
        <w:tabs>
          <w:tab w:val="right" w:pos="8306"/>
        </w:tabs>
        <w:spacing w:line="700" w:lineRule="exact"/>
        <w:rPr>
          <w:rFonts w:hint="eastAsia" w:ascii="仿宋" w:hAnsi="仿宋" w:eastAsia="仿宋" w:cs="仿宋"/>
          <w:b/>
          <w:color w:val="auto"/>
          <w:sz w:val="32"/>
          <w:szCs w:val="32"/>
        </w:rPr>
      </w:pPr>
      <w:r>
        <w:rPr>
          <w:rFonts w:ascii="仿宋" w:hAnsi="仿宋" w:eastAsia="仿宋" w:cs="仿宋"/>
          <w:b/>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1007110</wp:posOffset>
                </wp:positionH>
                <wp:positionV relativeFrom="paragraph">
                  <wp:posOffset>426720</wp:posOffset>
                </wp:positionV>
                <wp:extent cx="4019550" cy="4445"/>
                <wp:effectExtent l="0" t="4445" r="6350" b="10160"/>
                <wp:wrapNone/>
                <wp:docPr id="3" name="Line 9"/>
                <wp:cNvGraphicFramePr/>
                <a:graphic xmlns:a="http://schemas.openxmlformats.org/drawingml/2006/main">
                  <a:graphicData uri="http://schemas.microsoft.com/office/word/2010/wordprocessingShape">
                    <wps:wsp>
                      <wps:cNvCnPr>
                        <a:cxnSpLocks noChangeShapeType="1"/>
                      </wps:cNvCnPr>
                      <wps:spPr bwMode="auto">
                        <a:xfrm>
                          <a:off x="0" y="0"/>
                          <a:ext cx="4019550" cy="4445"/>
                        </a:xfrm>
                        <a:prstGeom prst="line">
                          <a:avLst/>
                        </a:prstGeom>
                        <a:noFill/>
                        <a:ln w="9525">
                          <a:solidFill>
                            <a:srgbClr val="000000"/>
                          </a:solidFill>
                          <a:round/>
                        </a:ln>
                        <a:effectLst/>
                      </wps:spPr>
                      <wps:bodyPr/>
                    </wps:wsp>
                  </a:graphicData>
                </a:graphic>
              </wp:anchor>
            </w:drawing>
          </mc:Choice>
          <mc:Fallback>
            <w:pict>
              <v:line id="Line 9" o:spid="_x0000_s1026" o:spt="20" style="position:absolute;left:0pt;margin-left:79.3pt;margin-top:33.6pt;height:0.35pt;width:316.5pt;z-index:251661312;mso-width-relative:page;mso-height-relative:page;" filled="f" stroked="t" coordsize="21600,21600" o:gfxdata="UEsDBAoAAAAAAIdO4kAAAAAAAAAAAAAAAAAEAAAAZHJzL1BLAwQUAAAACACHTuJA9UODytYAAAAJ&#10;AQAADwAAAGRycy9kb3ducmV2LnhtbE2PvU7DQBCEeyTe4bRINBE52wgnMT6nANzREEC0G99iW/j2&#10;HN/lB56eTQXlzH6anSnXJzeoA02h92wgnSegiBtve24NvL3WN0tQISJbHDyTgW8KsK4uL0osrD/y&#10;Cx02sVUSwqFAA12MY6F1aDpyGOZ+JJbbp58cRpFTq+2ERwl3g86SJNcOe5YPHY700FHztdk7A6F+&#10;p139M2tmycdt6ynbPT4/oTHXV2lyDyrSKf7BcK4v1aGSTlu/ZxvUIPpumQtqIF9koARYrFIxtmdj&#10;Bboq9f8F1S9QSwMEFAAAAAgAh07iQOMqAmbRAQAAsAMAAA4AAABkcnMvZTJvRG9jLnhtbK1TwY7a&#10;MBC9V+o/WL6XACVViQh7AG0vtEXa7QcYxyFWbY/lMQT+vmMnsN3tZQ/NwfJ4Zt7MezNZPVysYWcV&#10;UIOr+Wwy5Uw5CY12x5r/en789JUzjMI1woBTNb8q5A/rjx9Wva/UHDowjQqMQBxWva95F6OvigJl&#10;p6zACXjlyNlCsCKSGY5FE0RP6NYU8+n0S9FDaHwAqRDpdTs4+YgY3gMIbaul2oI8WeXigBqUEZEo&#10;Yac98nXutm2VjD/bFlVkpubENOaTitD9kM5ivRLVMQjfaTm2IN7TwhtOVmhHRe9QWxEFOwX9D5TV&#10;MgBCGycSbDEQyYoQi9n0jTZPnfAqcyGp0d9Fx/8HK3+c94HppuafOXPC0sB32im2TMr0HisK2Lh9&#10;SNzkxT35HcjfyBxsOuGOKnf4fPWUNksZxauUZKAn/EP/HRqKEacIWaZLG2yCJAHYJU/jep+GukQm&#10;6XExnS3LkgYlybdYLMpcQFS3XB8wflNgWbrU3FDbGVucdxhTL6K6haRSDh61MXnexrG+5styXuYE&#10;BKOb5ExhGI6HjQnsLNLG5G+s+yoswMk1QxHjUp7KyzZWvhEfJDxAc92Hmzo0yNzbuHRpU/62s4Yv&#10;P9r6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PVDg8rWAAAACQEAAA8AAAAAAAAAAQAgAAAAIgAA&#10;AGRycy9kb3ducmV2LnhtbFBLAQIUABQAAAAIAIdO4kDjKgJm0QEAALADAAAOAAAAAAAAAAEAIAAA&#10;ACUBAABkcnMvZTJvRG9jLnhtbFBLBQYAAAAABgAGAFkBAABoBQAAAAA=&#10;">
                <v:fill on="f" focussize="0,0"/>
                <v:stroke color="#000000" joinstyle="round"/>
                <v:imagedata o:title=""/>
                <o:lock v:ext="edit" aspectratio="f"/>
              </v:line>
            </w:pict>
          </mc:Fallback>
        </mc:AlternateContent>
      </w:r>
      <w:r>
        <w:rPr>
          <w:rFonts w:hint="eastAsia" w:ascii="仿宋" w:hAnsi="仿宋" w:eastAsia="仿宋" w:cs="仿宋"/>
          <w:b/>
          <w:color w:val="auto"/>
          <w:sz w:val="32"/>
          <w:szCs w:val="32"/>
        </w:rPr>
        <w:t>委 托 人: 重庆市九龙坡区住房和城乡建设委员会</w:t>
      </w:r>
    </w:p>
    <w:p w14:paraId="366FB5EC">
      <w:pPr>
        <w:keepNext w:val="0"/>
        <w:keepLines w:val="0"/>
        <w:pageBreakBefore w:val="0"/>
        <w:widowControl w:val="0"/>
        <w:tabs>
          <w:tab w:val="right" w:pos="8306"/>
        </w:tabs>
        <w:kinsoku/>
        <w:wordWrap/>
        <w:overflowPunct/>
        <w:topLinePunct w:val="0"/>
        <w:autoSpaceDE/>
        <w:autoSpaceDN/>
        <w:bidi w:val="0"/>
        <w:adjustRightInd/>
        <w:snapToGrid/>
        <w:spacing w:line="700" w:lineRule="exact"/>
        <w:ind w:left="1600" w:leftChars="0" w:hanging="1600" w:hangingChars="500"/>
        <w:textAlignment w:val="auto"/>
        <w:rPr>
          <w:rFonts w:hint="default" w:ascii="仿宋" w:hAnsi="仿宋" w:eastAsia="仿宋" w:cs="仿宋"/>
          <w:b/>
          <w:color w:val="auto"/>
          <w:sz w:val="32"/>
          <w:szCs w:val="32"/>
          <w:u w:val="single"/>
          <w:lang w:val="en-US" w:eastAsia="zh-CN"/>
        </w:rPr>
      </w:pPr>
      <w:r>
        <w:rPr>
          <w:rFonts w:hint="eastAsia" w:ascii="仿宋" w:hAnsi="仿宋" w:eastAsia="仿宋" w:cs="仿宋"/>
          <w:b/>
          <w:color w:val="auto"/>
          <w:sz w:val="32"/>
          <w:szCs w:val="32"/>
          <w:lang w:val="en-US" w:eastAsia="zh-CN"/>
        </w:rPr>
        <w:t>代 建</w:t>
      </w:r>
      <w:r>
        <w:rPr>
          <w:rFonts w:hint="eastAsia" w:ascii="仿宋" w:hAnsi="仿宋" w:eastAsia="仿宋" w:cs="仿宋"/>
          <w:b/>
          <w:color w:val="auto"/>
          <w:sz w:val="32"/>
          <w:szCs w:val="32"/>
        </w:rPr>
        <w:t xml:space="preserve"> 人</w:t>
      </w:r>
      <w:r>
        <w:rPr>
          <w:rFonts w:hint="eastAsia" w:ascii="仿宋" w:hAnsi="仿宋" w:eastAsia="仿宋" w:cs="仿宋"/>
          <w:b/>
          <w:color w:val="auto"/>
          <w:sz w:val="32"/>
          <w:szCs w:val="32"/>
          <w:lang w:eastAsia="zh-CN"/>
        </w:rPr>
        <w:t>：</w:t>
      </w:r>
      <w:r>
        <w:rPr>
          <w:rFonts w:hint="eastAsia" w:ascii="仿宋" w:hAnsi="仿宋" w:eastAsia="仿宋" w:cs="仿宋"/>
          <w:b/>
          <w:color w:val="auto"/>
          <w:sz w:val="32"/>
          <w:szCs w:val="32"/>
          <w:u w:val="single"/>
        </w:rPr>
        <w:t>重庆</w:t>
      </w:r>
      <w:r>
        <w:rPr>
          <w:rFonts w:hint="eastAsia" w:ascii="仿宋" w:hAnsi="仿宋" w:eastAsia="仿宋" w:cs="仿宋"/>
          <w:b/>
          <w:color w:val="auto"/>
          <w:sz w:val="32"/>
          <w:szCs w:val="32"/>
          <w:u w:val="single"/>
          <w:lang w:val="en-US" w:eastAsia="zh-CN"/>
        </w:rPr>
        <w:t xml:space="preserve">九龙新城建设发展有限公司（原重庆桃花溪建设项目管理有限公司）     </w:t>
      </w:r>
    </w:p>
    <w:p w14:paraId="03A652C6">
      <w:pPr>
        <w:spacing w:line="700" w:lineRule="exact"/>
        <w:rPr>
          <w:rFonts w:hint="eastAsia" w:ascii="仿宋" w:hAnsi="仿宋" w:eastAsia="仿宋" w:cs="仿宋"/>
          <w:b/>
          <w:color w:val="auto"/>
          <w:sz w:val="32"/>
          <w:szCs w:val="32"/>
          <w:lang w:eastAsia="zh-CN"/>
        </w:rPr>
      </w:pPr>
      <w:r>
        <w:rPr>
          <w:rFonts w:ascii="仿宋" w:hAnsi="仿宋" w:eastAsia="仿宋" w:cs="仿宋"/>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1028700</wp:posOffset>
                </wp:positionH>
                <wp:positionV relativeFrom="paragraph">
                  <wp:posOffset>426085</wp:posOffset>
                </wp:positionV>
                <wp:extent cx="4019550" cy="1905"/>
                <wp:effectExtent l="0" t="0" r="0" b="0"/>
                <wp:wrapNone/>
                <wp:docPr id="2" name="Line 8"/>
                <wp:cNvGraphicFramePr/>
                <a:graphic xmlns:a="http://schemas.openxmlformats.org/drawingml/2006/main">
                  <a:graphicData uri="http://schemas.microsoft.com/office/word/2010/wordprocessingShape">
                    <wps:wsp>
                      <wps:cNvCnPr>
                        <a:cxnSpLocks noChangeShapeType="1"/>
                      </wps:cNvCnPr>
                      <wps:spPr bwMode="auto">
                        <a:xfrm>
                          <a:off x="0" y="0"/>
                          <a:ext cx="4019550" cy="1905"/>
                        </a:xfrm>
                        <a:prstGeom prst="line">
                          <a:avLst/>
                        </a:prstGeom>
                        <a:noFill/>
                        <a:ln w="9525">
                          <a:solidFill>
                            <a:srgbClr val="000000"/>
                          </a:solidFill>
                          <a:round/>
                        </a:ln>
                        <a:effectLst/>
                      </wps:spPr>
                      <wps:bodyPr/>
                    </wps:wsp>
                  </a:graphicData>
                </a:graphic>
              </wp:anchor>
            </w:drawing>
          </mc:Choice>
          <mc:Fallback>
            <w:pict>
              <v:line id="Line 8" o:spid="_x0000_s1026" o:spt="20" style="position:absolute;left:0pt;margin-left:81pt;margin-top:33.55pt;height:0.15pt;width:316.5pt;z-index:251660288;mso-width-relative:page;mso-height-relative:page;" filled="f" stroked="t" coordsize="21600,21600" o:gfxdata="UEsDBAoAAAAAAIdO4kAAAAAAAAAAAAAAAAAEAAAAZHJzL1BLAwQUAAAACACHTuJAADvX39YAAAAJ&#10;AQAADwAAAGRycy9kb3ducmV2LnhtbE2PvU7DQBCEeyTe4bRINBE524ADxucUgDuaBBDtxrfYFr49&#10;x3f5gadnU0E5s6PZb8rl0Q1qT1PoPRtI5wko4sbbnlsDb6/11R2oEJEtDp7JwDcFWFbnZyUW1h94&#10;Rft1bJWUcCjQQBfjWGgdmo4chrkfieX26SeHUeTUajvhQcrdoLMkybXDnuVDhyM9dtR8rXfOQKjf&#10;aVv/zJpZ8nHdesq2Ty/PaMzlRZo8gIp0jH9hOOELOlTCtPE7tkENovNMtkQD+SIFJYHF/a0Ym5Nx&#10;A7oq9f8F1S9QSwMEFAAAAAgAh07iQD+RcyHRAQAAsAMAAA4AAABkcnMvZTJvRG9jLnhtbK1TwW7b&#10;MAy9D9g/CLovdoJ5aIw4PSToLtkWoN0HKLIcC5NEQVRi5+9HyUm2dpce5oMgiuQj3yO9ehytYWcV&#10;UINr+HxWcqachFa7Y8N/vjx9euAMo3CtMOBUwy8K+eP644fV4Gu1gB5MqwIjEIf14Bvex+jrokDZ&#10;KytwBl45cnYQrIhkhmPRBjEQujXFoiy/FAOE1geQCpFet5OTXxHDewCh67RUW5Anq1ycUIMyIhIl&#10;7LVHvs7ddp2S8UfXoYrMNJyYxnxSEbof0lmsV6I+BuF7La8tiPe08IaTFdpR0TvUVkTBTkH/A2W1&#10;DIDQxZkEW0xEsiLEYl6+0ea5F15lLiQ1+rvo+P9g5ffzPjDdNnzBmROWBr7TTrGHpMzgsaaAjduH&#10;xE2O7tnvQP5C5mDTC3dUucOXi6e0ecooXqUkAz3hH4Zv0FKMOEXIMo1dsAmSBGBjnsblPg01Ribp&#10;8XM5X1YVDUqSb74sq1xA1LdcHzB+VWBZujTcUNsZW5x3GFMvor6FpFIOnrQxed7GsaHhy2pR5QQE&#10;o9vkTGEYjoeNCews0sbk71r3VViAk2unIsalPJWX7Vr5RnyS8ADtZR9u6tAgc2/XpUub8redNfzz&#10;o6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A719/WAAAACQEAAA8AAAAAAAAAAQAgAAAAIgAA&#10;AGRycy9kb3ducmV2LnhtbFBLAQIUABQAAAAIAIdO4kA/kXMh0QEAALADAAAOAAAAAAAAAAEAIAAA&#10;ACUBAABkcnMvZTJvRG9jLnhtbFBLBQYAAAAABgAGAFkBAABoBQAAAAA=&#10;">
                <v:fill on="f" focussize="0,0"/>
                <v:stroke color="#000000" joinstyle="round"/>
                <v:imagedata o:title=""/>
                <o:lock v:ext="edit" aspectratio="f"/>
              </v:line>
            </w:pict>
          </mc:Fallback>
        </mc:AlternateContent>
      </w:r>
      <w:r>
        <w:rPr>
          <w:rFonts w:hint="eastAsia" w:ascii="仿宋" w:hAnsi="仿宋" w:eastAsia="仿宋" w:cs="仿宋"/>
          <w:b/>
          <w:color w:val="auto"/>
          <w:sz w:val="32"/>
          <w:szCs w:val="32"/>
        </w:rPr>
        <w:t>咨</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rPr>
        <w:t>询 人:</w:t>
      </w:r>
      <w:r>
        <w:rPr>
          <w:rFonts w:hint="eastAsia" w:ascii="仿宋" w:hAnsi="仿宋" w:eastAsia="仿宋" w:cs="仿宋"/>
          <w:b/>
          <w:color w:val="auto"/>
          <w:sz w:val="32"/>
          <w:szCs w:val="32"/>
          <w:lang w:val="en-US" w:eastAsia="zh-CN"/>
        </w:rPr>
        <w:t xml:space="preserve">  </w:t>
      </w:r>
    </w:p>
    <w:p w14:paraId="6EB679BD">
      <w:pPr>
        <w:widowControl/>
        <w:spacing w:before="100" w:beforeAutospacing="1" w:after="100" w:afterAutospacing="1" w:line="700" w:lineRule="exact"/>
        <w:jc w:val="center"/>
        <w:rPr>
          <w:rFonts w:ascii="仿宋" w:hAnsi="仿宋" w:eastAsia="仿宋" w:cs="仿宋"/>
          <w:b/>
          <w:color w:val="auto"/>
          <w:kern w:val="0"/>
          <w:sz w:val="32"/>
          <w:szCs w:val="32"/>
        </w:rPr>
      </w:pPr>
    </w:p>
    <w:p w14:paraId="64C43C93">
      <w:pPr>
        <w:widowControl/>
        <w:spacing w:before="100" w:beforeAutospacing="1" w:after="100" w:afterAutospacing="1" w:line="500" w:lineRule="exact"/>
        <w:jc w:val="left"/>
        <w:rPr>
          <w:rFonts w:ascii="仿宋" w:hAnsi="仿宋" w:eastAsia="仿宋" w:cs="仿宋"/>
          <w:color w:val="auto"/>
          <w:kern w:val="0"/>
          <w:sz w:val="28"/>
          <w:szCs w:val="28"/>
        </w:rPr>
      </w:pPr>
    </w:p>
    <w:p w14:paraId="7ECF2716">
      <w:pPr>
        <w:widowControl/>
        <w:spacing w:before="100" w:beforeAutospacing="1" w:after="100" w:afterAutospacing="1" w:line="500" w:lineRule="exact"/>
        <w:jc w:val="center"/>
        <w:rPr>
          <w:rFonts w:ascii="仿宋" w:hAnsi="仿宋" w:eastAsia="仿宋" w:cs="仿宋"/>
          <w:b/>
          <w:bCs/>
          <w:color w:val="auto"/>
          <w:kern w:val="0"/>
          <w:sz w:val="28"/>
          <w:szCs w:val="28"/>
        </w:rPr>
        <w:sectPr>
          <w:headerReference r:id="rId11" w:type="default"/>
          <w:footerReference r:id="rId12" w:type="even"/>
          <w:pgSz w:w="11906" w:h="16838"/>
          <w:pgMar w:top="1701" w:right="1474" w:bottom="1701" w:left="1588" w:header="851" w:footer="992" w:gutter="0"/>
          <w:pgNumType w:fmt="numberInDash"/>
          <w:cols w:space="720" w:num="1"/>
          <w:docGrid w:type="linesAndChars" w:linePitch="312" w:charSpace="0"/>
        </w:sectPr>
      </w:pPr>
    </w:p>
    <w:p w14:paraId="545B040A">
      <w:pPr>
        <w:widowControl/>
        <w:spacing w:before="100" w:beforeAutospacing="1" w:after="100" w:afterAutospacing="1" w:line="500" w:lineRule="exact"/>
        <w:ind w:firstLine="1800" w:firstLineChars="643"/>
        <w:jc w:val="left"/>
        <w:rPr>
          <w:rFonts w:ascii="仿宋" w:hAnsi="仿宋" w:eastAsia="仿宋" w:cs="仿宋"/>
          <w:color w:val="auto"/>
          <w:kern w:val="0"/>
          <w:sz w:val="52"/>
          <w:szCs w:val="52"/>
        </w:rPr>
      </w:pPr>
      <w:r>
        <w:rPr>
          <w:rFonts w:hint="eastAsia" w:ascii="仿宋" w:hAnsi="仿宋" w:eastAsia="仿宋" w:cs="仿宋"/>
          <w:b/>
          <w:bCs/>
          <w:color w:val="auto"/>
          <w:kern w:val="0"/>
          <w:sz w:val="28"/>
          <w:szCs w:val="28"/>
        </w:rPr>
        <w:t>第一部分　建设工程施工阶段造价过程控制合同</w:t>
      </w:r>
    </w:p>
    <w:p w14:paraId="68DCA64B">
      <w:pPr>
        <w:spacing w:line="360" w:lineRule="auto"/>
        <w:ind w:firstLine="980" w:firstLineChars="350"/>
        <w:rPr>
          <w:rFonts w:ascii="仿宋" w:hAnsi="仿宋" w:eastAsia="仿宋" w:cs="仿宋"/>
          <w:color w:val="auto"/>
          <w:kern w:val="0"/>
          <w:sz w:val="28"/>
          <w:szCs w:val="28"/>
        </w:rPr>
      </w:pPr>
      <w:r>
        <w:rPr>
          <w:rFonts w:hint="eastAsia" w:ascii="仿宋" w:hAnsi="仿宋" w:eastAsia="仿宋" w:cs="仿宋"/>
          <w:color w:val="auto"/>
          <w:kern w:val="0"/>
          <w:sz w:val="28"/>
          <w:szCs w:val="28"/>
        </w:rPr>
        <w:t>重庆市九龙坡区住房和城乡建设委员会（以下简称“委托人”）</w:t>
      </w:r>
      <w:r>
        <w:rPr>
          <w:rFonts w:hint="eastAsia" w:ascii="仿宋" w:hAnsi="仿宋" w:eastAsia="仿宋" w:cs="仿宋"/>
          <w:color w:val="auto"/>
          <w:kern w:val="0"/>
          <w:sz w:val="28"/>
          <w:szCs w:val="28"/>
          <w:lang w:eastAsia="zh-CN"/>
        </w:rPr>
        <w:t>、重庆</w:t>
      </w:r>
      <w:r>
        <w:rPr>
          <w:rFonts w:hint="eastAsia" w:ascii="仿宋" w:hAnsi="仿宋" w:eastAsia="仿宋" w:cs="仿宋"/>
          <w:color w:val="auto"/>
          <w:kern w:val="0"/>
          <w:sz w:val="28"/>
          <w:szCs w:val="28"/>
          <w:lang w:val="en-US" w:eastAsia="zh-CN"/>
        </w:rPr>
        <w:t>九龙新城建设发展有限公司（原重庆桃花溪建设项目管理有限公司）</w:t>
      </w:r>
      <w:r>
        <w:rPr>
          <w:rFonts w:hint="eastAsia" w:ascii="仿宋" w:hAnsi="仿宋" w:eastAsia="仿宋" w:cs="仿宋"/>
          <w:color w:val="auto"/>
          <w:kern w:val="0"/>
          <w:sz w:val="28"/>
          <w:szCs w:val="28"/>
        </w:rPr>
        <w:t>（以下简称“</w:t>
      </w:r>
      <w:r>
        <w:rPr>
          <w:rFonts w:hint="eastAsia" w:ascii="仿宋" w:hAnsi="仿宋" w:eastAsia="仿宋" w:cs="仿宋"/>
          <w:color w:val="auto"/>
          <w:kern w:val="0"/>
          <w:sz w:val="28"/>
          <w:szCs w:val="28"/>
          <w:lang w:val="en-US" w:eastAsia="zh-CN"/>
        </w:rPr>
        <w:t>代建人</w:t>
      </w:r>
      <w:r>
        <w:rPr>
          <w:rFonts w:hint="eastAsia" w:ascii="仿宋" w:hAnsi="仿宋" w:eastAsia="仿宋" w:cs="仿宋"/>
          <w:color w:val="auto"/>
          <w:kern w:val="0"/>
          <w:sz w:val="28"/>
          <w:szCs w:val="28"/>
        </w:rPr>
        <w:t>”）与</w:t>
      </w:r>
      <w:r>
        <w:rPr>
          <w:rFonts w:hint="eastAsia" w:ascii="仿宋" w:hAnsi="仿宋" w:eastAsia="仿宋" w:cs="仿宋"/>
          <w:color w:val="auto"/>
          <w:kern w:val="0"/>
          <w:sz w:val="28"/>
          <w:szCs w:val="28"/>
          <w:u w:val="single"/>
          <w:lang w:val="en-US" w:eastAsia="zh-CN"/>
        </w:rPr>
        <w:t xml:space="preserve">        </w:t>
      </w:r>
      <w:r>
        <w:rPr>
          <w:rFonts w:hint="eastAsia" w:ascii="仿宋" w:hAnsi="仿宋" w:eastAsia="仿宋" w:cs="仿宋"/>
          <w:color w:val="auto"/>
          <w:kern w:val="0"/>
          <w:sz w:val="28"/>
          <w:szCs w:val="28"/>
        </w:rPr>
        <w:t>（以下简称“咨询人”）经过双方协商一致，签订本合同。</w:t>
      </w:r>
    </w:p>
    <w:p w14:paraId="2126CE7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第一条</w:t>
      </w:r>
      <w:r>
        <w:rPr>
          <w:rFonts w:hint="eastAsia" w:ascii="仿宋" w:hAnsi="仿宋" w:eastAsia="仿宋" w:cs="仿宋"/>
          <w:color w:val="auto"/>
          <w:kern w:val="0"/>
          <w:sz w:val="28"/>
          <w:szCs w:val="28"/>
        </w:rPr>
        <w:t>委托人委托咨询人为以下项目提供建设工程施工阶段全过程控制服务：</w:t>
      </w:r>
    </w:p>
    <w:p w14:paraId="4AE56FBA">
      <w:pPr>
        <w:numPr>
          <w:ilvl w:val="0"/>
          <w:numId w:val="15"/>
        </w:numPr>
        <w:spacing w:line="360" w:lineRule="auto"/>
        <w:ind w:firstLine="560"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项目名称：</w:t>
      </w:r>
      <w:r>
        <w:rPr>
          <w:rFonts w:hint="eastAsia" w:ascii="仿宋" w:hAnsi="仿宋" w:eastAsia="仿宋" w:cs="仿宋"/>
          <w:color w:val="auto"/>
          <w:kern w:val="0"/>
          <w:sz w:val="28"/>
          <w:szCs w:val="28"/>
          <w:lang w:eastAsia="zh-CN"/>
        </w:rPr>
        <w:t>九龙污水隧道及上游污水管网溯源整治工程造价全过程控制服务</w:t>
      </w:r>
    </w:p>
    <w:p w14:paraId="4193E044">
      <w:pPr>
        <w:numPr>
          <w:ilvl w:val="0"/>
          <w:numId w:val="15"/>
        </w:numPr>
        <w:spacing w:line="360" w:lineRule="auto"/>
        <w:ind w:firstLine="560" w:firstLineChars="200"/>
        <w:rPr>
          <w:rFonts w:ascii="仿宋" w:hAnsi="仿宋" w:eastAsia="仿宋" w:cs="仿宋"/>
          <w:color w:val="auto"/>
          <w:kern w:val="0"/>
          <w:sz w:val="28"/>
          <w:szCs w:val="28"/>
          <w:u w:val="single"/>
        </w:rPr>
      </w:pPr>
      <w:r>
        <w:rPr>
          <w:rFonts w:hint="eastAsia" w:ascii="仿宋" w:hAnsi="仿宋" w:eastAsia="仿宋" w:cs="仿宋"/>
          <w:color w:val="auto"/>
          <w:kern w:val="0"/>
          <w:sz w:val="28"/>
          <w:szCs w:val="28"/>
        </w:rPr>
        <w:t>服务类别：施工阶段过程造价控制</w:t>
      </w:r>
    </w:p>
    <w:p w14:paraId="574D76A2">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3、工作内容：完成本项目施工阶段全过程造价控制服务，包括施工阶段、竣（完）工阶段的全过程造价咨询工作（施工方案经济评价与优化、设计变更的经济分析、参与施工阶段的现场计量、现场签证、新增项目的价格审核、建筑材料认（审）价、提供工程索赔和反索赔咨询、审核资金使用计划、进度款）、出具结算审核报告、配合结算审计阶段的工作等与造价控制有关的其他全过程造价咨询服务工作。</w:t>
      </w:r>
    </w:p>
    <w:p w14:paraId="2709A00F">
      <w:pPr>
        <w:spacing w:line="360" w:lineRule="auto"/>
        <w:ind w:firstLine="560"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4、建设规模：本项目为实施九龙污水隧道及上游污水管网溯源整治，一是改造建设DN150~DN1500污水管网及配套设施共约 30.7公里；二是污水管涵修复病害共约20.5公里，同时整治污水管涵相关配套设施。</w:t>
      </w:r>
    </w:p>
    <w:p w14:paraId="56B8FD6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第二条</w:t>
      </w:r>
      <w:r>
        <w:rPr>
          <w:rFonts w:hint="eastAsia" w:ascii="仿宋" w:hAnsi="仿宋" w:eastAsia="仿宋" w:cs="仿宋"/>
          <w:color w:val="auto"/>
          <w:kern w:val="0"/>
          <w:sz w:val="28"/>
          <w:szCs w:val="28"/>
        </w:rPr>
        <w:t>本合同的措词和用语与所属建设工程施工阶段全程控制合同条件及有关附件同义。</w:t>
      </w:r>
    </w:p>
    <w:p w14:paraId="4DD3E98D">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第三条</w:t>
      </w:r>
      <w:r>
        <w:rPr>
          <w:rFonts w:hint="eastAsia" w:ascii="仿宋" w:hAnsi="仿宋" w:eastAsia="仿宋" w:cs="仿宋"/>
          <w:color w:val="auto"/>
          <w:kern w:val="0"/>
          <w:sz w:val="28"/>
          <w:szCs w:val="28"/>
        </w:rPr>
        <w:t>下列文件均为本合同的组成部分：</w:t>
      </w:r>
    </w:p>
    <w:p w14:paraId="76235895">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1．建设工程施工阶段全过程控制合同标准条件；</w:t>
      </w:r>
    </w:p>
    <w:p w14:paraId="3DC6F7EC">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2．建设工程施工阶段全过程控制合同专用条件；</w:t>
      </w:r>
    </w:p>
    <w:p w14:paraId="43B382EB">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3．建设工程施工阶段全过程控制的任务和要求等合同附件；</w:t>
      </w:r>
    </w:p>
    <w:p w14:paraId="6EB66213">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4. 建设工程施工阶段全过程控制合同执行中共同签署的补充与修正文件。</w:t>
      </w:r>
    </w:p>
    <w:p w14:paraId="71EAEB46">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第四条</w:t>
      </w:r>
      <w:r>
        <w:rPr>
          <w:rFonts w:hint="eastAsia" w:ascii="仿宋" w:hAnsi="仿宋" w:eastAsia="仿宋" w:cs="仿宋"/>
          <w:color w:val="auto"/>
          <w:kern w:val="0"/>
          <w:sz w:val="28"/>
          <w:szCs w:val="28"/>
        </w:rPr>
        <w:t>咨询人同意按照本合同的规定，承担本合同专用条件中议定范围内的建设工程施工阶段全过程控制业务。</w:t>
      </w:r>
    </w:p>
    <w:p w14:paraId="62B3D93B">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第五条</w:t>
      </w:r>
      <w:r>
        <w:rPr>
          <w:rFonts w:hint="eastAsia" w:ascii="仿宋" w:hAnsi="仿宋" w:eastAsia="仿宋" w:cs="仿宋"/>
          <w:color w:val="auto"/>
          <w:kern w:val="0"/>
          <w:sz w:val="28"/>
          <w:szCs w:val="28"/>
        </w:rPr>
        <w:t>委托人同意按照本合同规定的期限、方式、币种、额度向咨询人支付酬金。</w:t>
      </w:r>
    </w:p>
    <w:p w14:paraId="4D96BDCD">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第六条</w:t>
      </w:r>
      <w:r>
        <w:rPr>
          <w:rFonts w:hint="eastAsia" w:ascii="仿宋" w:hAnsi="仿宋" w:eastAsia="仿宋" w:cs="仿宋"/>
          <w:color w:val="auto"/>
          <w:kern w:val="0"/>
          <w:sz w:val="28"/>
          <w:szCs w:val="28"/>
        </w:rPr>
        <w:t>本合同的建设工程施工阶段全过程控制业务自</w:t>
      </w:r>
      <w:r>
        <w:rPr>
          <w:rFonts w:hint="eastAsia" w:ascii="仿宋" w:hAnsi="仿宋" w:eastAsia="仿宋" w:cs="仿宋"/>
          <w:color w:val="auto"/>
          <w:kern w:val="0"/>
          <w:sz w:val="28"/>
          <w:szCs w:val="28"/>
          <w:u w:val="single"/>
        </w:rPr>
        <w:t xml:space="preserve">  </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u w:val="single"/>
        </w:rPr>
        <w:t xml:space="preserve">  </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u w:val="single"/>
        </w:rPr>
        <w:t xml:space="preserve">  </w:t>
      </w:r>
      <w:r>
        <w:rPr>
          <w:rFonts w:hint="eastAsia" w:ascii="仿宋" w:hAnsi="仿宋" w:eastAsia="仿宋" w:cs="仿宋"/>
          <w:color w:val="auto"/>
          <w:kern w:val="0"/>
          <w:sz w:val="28"/>
          <w:szCs w:val="28"/>
        </w:rPr>
        <w:t>日或自委托人书面通知之日起开始实施，至工程竣工，委托人提交全部结算资料并接受审计部门审计后完成。</w:t>
      </w:r>
    </w:p>
    <w:p w14:paraId="55CEB521">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第七条</w:t>
      </w:r>
      <w:r>
        <w:rPr>
          <w:rFonts w:hint="eastAsia" w:ascii="仿宋" w:hAnsi="仿宋" w:eastAsia="仿宋" w:cs="仿宋"/>
          <w:color w:val="auto"/>
          <w:kern w:val="0"/>
          <w:sz w:val="28"/>
          <w:szCs w:val="28"/>
        </w:rPr>
        <w:t>本合同经委托人、咨询人双方盖章后生效，委托人授权签署合同。</w:t>
      </w:r>
    </w:p>
    <w:p w14:paraId="6A1AA00A">
      <w:pPr>
        <w:spacing w:line="360" w:lineRule="auto"/>
        <w:ind w:firstLine="560"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本合同一式</w:t>
      </w:r>
      <w:r>
        <w:rPr>
          <w:rFonts w:hint="eastAsia" w:ascii="仿宋" w:hAnsi="仿宋" w:eastAsia="仿宋" w:cs="仿宋"/>
          <w:color w:val="auto"/>
          <w:kern w:val="0"/>
          <w:sz w:val="28"/>
          <w:szCs w:val="28"/>
          <w:u w:val="single"/>
        </w:rPr>
        <w:t>陆</w:t>
      </w:r>
      <w:r>
        <w:rPr>
          <w:rFonts w:hint="eastAsia" w:ascii="仿宋" w:hAnsi="仿宋" w:eastAsia="仿宋" w:cs="仿宋"/>
          <w:color w:val="auto"/>
          <w:kern w:val="0"/>
          <w:sz w:val="28"/>
          <w:szCs w:val="28"/>
        </w:rPr>
        <w:t>份，委托人</w:t>
      </w:r>
      <w:r>
        <w:rPr>
          <w:rFonts w:hint="eastAsia" w:ascii="仿宋" w:hAnsi="仿宋" w:eastAsia="仿宋" w:cs="仿宋"/>
          <w:color w:val="auto"/>
          <w:kern w:val="0"/>
          <w:sz w:val="28"/>
          <w:szCs w:val="28"/>
          <w:u w:val="single"/>
        </w:rPr>
        <w:t>叁</w:t>
      </w:r>
      <w:r>
        <w:rPr>
          <w:rFonts w:hint="eastAsia" w:ascii="仿宋" w:hAnsi="仿宋" w:eastAsia="仿宋" w:cs="仿宋"/>
          <w:color w:val="auto"/>
          <w:kern w:val="0"/>
          <w:sz w:val="28"/>
          <w:szCs w:val="28"/>
        </w:rPr>
        <w:t>份，咨询人</w:t>
      </w:r>
      <w:r>
        <w:rPr>
          <w:rFonts w:hint="eastAsia" w:ascii="仿宋" w:hAnsi="仿宋" w:eastAsia="仿宋" w:cs="仿宋"/>
          <w:color w:val="auto"/>
          <w:kern w:val="0"/>
          <w:sz w:val="28"/>
          <w:szCs w:val="28"/>
          <w:u w:val="single"/>
        </w:rPr>
        <w:t>叁</w:t>
      </w:r>
      <w:r>
        <w:rPr>
          <w:rFonts w:hint="eastAsia" w:ascii="仿宋" w:hAnsi="仿宋" w:eastAsia="仿宋" w:cs="仿宋"/>
          <w:color w:val="auto"/>
          <w:kern w:val="0"/>
          <w:sz w:val="28"/>
          <w:szCs w:val="28"/>
        </w:rPr>
        <w:t>份，具有同等法律效力。</w:t>
      </w:r>
    </w:p>
    <w:p w14:paraId="11E79BC8">
      <w:pPr>
        <w:spacing w:line="360" w:lineRule="auto"/>
        <w:ind w:firstLine="560" w:firstLineChars="200"/>
        <w:rPr>
          <w:rFonts w:hint="eastAsia" w:ascii="仿宋" w:hAnsi="仿宋" w:eastAsia="仿宋" w:cs="仿宋"/>
          <w:color w:val="auto"/>
          <w:kern w:val="0"/>
          <w:sz w:val="28"/>
          <w:szCs w:val="28"/>
        </w:rPr>
      </w:pPr>
    </w:p>
    <w:p w14:paraId="37570FAB">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1307C1CE">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548C694E">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20B6FC4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4A34D3CA">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07D7508A">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00DBBBF0">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6B9B919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0FBB8FA2">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3B2E177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57468C7B">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0A48B42C">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7BE544F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61845C8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2A14A9EC">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5D5D9E16">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32CBAAC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rPr>
      </w:pPr>
    </w:p>
    <w:p w14:paraId="061465C6">
      <w:pPr>
        <w:rPr>
          <w:rFonts w:hint="eastAsia" w:ascii="仿宋" w:hAnsi="仿宋" w:eastAsia="仿宋" w:cs="仿宋"/>
          <w:color w:val="auto"/>
          <w:kern w:val="0"/>
          <w:sz w:val="28"/>
          <w:szCs w:val="28"/>
          <w:lang w:eastAsia="zh-CN"/>
        </w:rPr>
      </w:pPr>
      <w:r>
        <w:rPr>
          <w:rFonts w:hint="eastAsia" w:ascii="仿宋" w:hAnsi="仿宋" w:eastAsia="仿宋" w:cs="仿宋"/>
          <w:color w:val="auto"/>
          <w:kern w:val="0"/>
          <w:sz w:val="28"/>
          <w:szCs w:val="28"/>
          <w:lang w:eastAsia="zh-CN"/>
        </w:rPr>
        <w:br w:type="page"/>
      </w:r>
    </w:p>
    <w:p w14:paraId="421B3CC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kern w:val="0"/>
          <w:sz w:val="28"/>
          <w:szCs w:val="28"/>
          <w:lang w:eastAsia="zh-CN"/>
        </w:rPr>
      </w:pPr>
      <w:r>
        <w:rPr>
          <w:rFonts w:hint="eastAsia" w:ascii="仿宋" w:hAnsi="仿宋" w:eastAsia="仿宋" w:cs="仿宋"/>
          <w:color w:val="auto"/>
          <w:kern w:val="0"/>
          <w:sz w:val="28"/>
          <w:szCs w:val="28"/>
          <w:lang w:eastAsia="zh-CN"/>
        </w:rPr>
        <w:t>（</w:t>
      </w:r>
      <w:r>
        <w:rPr>
          <w:rFonts w:hint="eastAsia" w:ascii="仿宋" w:hAnsi="仿宋" w:eastAsia="仿宋" w:cs="仿宋"/>
          <w:color w:val="auto"/>
          <w:kern w:val="0"/>
          <w:sz w:val="28"/>
          <w:szCs w:val="28"/>
          <w:lang w:val="en-US" w:eastAsia="zh-CN"/>
        </w:rPr>
        <w:t>以下为签署页</w:t>
      </w:r>
      <w:r>
        <w:rPr>
          <w:rFonts w:hint="eastAsia" w:ascii="仿宋" w:hAnsi="仿宋" w:eastAsia="仿宋" w:cs="仿宋"/>
          <w:color w:val="auto"/>
          <w:kern w:val="0"/>
          <w:sz w:val="28"/>
          <w:szCs w:val="28"/>
          <w:lang w:eastAsia="zh-CN"/>
        </w:rPr>
        <w:t>）</w:t>
      </w:r>
    </w:p>
    <w:p w14:paraId="0018E7DB">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sz w:val="28"/>
          <w:szCs w:val="28"/>
        </w:rPr>
      </w:pPr>
      <w:r>
        <w:rPr>
          <w:rFonts w:hint="eastAsia" w:ascii="仿宋" w:hAnsi="仿宋" w:eastAsia="仿宋" w:cs="仿宋"/>
          <w:color w:val="auto"/>
          <w:kern w:val="0"/>
          <w:sz w:val="28"/>
          <w:szCs w:val="28"/>
        </w:rPr>
        <w:t xml:space="preserve">委　托　人：（盖章）                </w:t>
      </w:r>
      <w:r>
        <w:rPr>
          <w:rFonts w:hint="eastAsia" w:ascii="仿宋" w:hAnsi="仿宋" w:eastAsia="仿宋" w:cs="仿宋"/>
          <w:color w:val="auto"/>
          <w:kern w:val="0"/>
          <w:sz w:val="28"/>
          <w:szCs w:val="28"/>
          <w:lang w:val="en-US" w:eastAsia="zh-CN"/>
        </w:rPr>
        <w:t xml:space="preserve">代 建 </w:t>
      </w:r>
      <w:r>
        <w:rPr>
          <w:rFonts w:hint="eastAsia" w:ascii="仿宋" w:hAnsi="仿宋" w:eastAsia="仿宋" w:cs="仿宋"/>
          <w:color w:val="auto"/>
          <w:kern w:val="0"/>
          <w:sz w:val="28"/>
          <w:szCs w:val="28"/>
        </w:rPr>
        <w:t xml:space="preserve">人： （盖章）                 </w:t>
      </w:r>
    </w:p>
    <w:p w14:paraId="5678B74E">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left="6064" w:leftChars="266" w:hanging="5320" w:hangingChars="1900"/>
        <w:jc w:val="left"/>
        <w:textAlignment w:val="auto"/>
        <w:rPr>
          <w:rFonts w:hint="default" w:ascii="仿宋" w:hAnsi="仿宋" w:eastAsia="仿宋" w:cs="仿宋"/>
          <w:color w:val="auto"/>
          <w:kern w:val="0"/>
          <w:sz w:val="28"/>
          <w:szCs w:val="28"/>
          <w:lang w:val="en-US" w:eastAsia="zh-CN"/>
        </w:rPr>
      </w:pPr>
      <w:r>
        <w:rPr>
          <w:rFonts w:hint="eastAsia" w:ascii="仿宋" w:hAnsi="仿宋" w:eastAsia="仿宋" w:cs="仿宋"/>
          <w:color w:val="auto"/>
          <w:kern w:val="0"/>
          <w:sz w:val="28"/>
          <w:szCs w:val="28"/>
        </w:rPr>
        <w:t>重庆市九龙坡区住房和城乡建设委员会   重庆</w:t>
      </w:r>
      <w:r>
        <w:rPr>
          <w:rFonts w:hint="eastAsia" w:ascii="仿宋" w:hAnsi="仿宋" w:eastAsia="仿宋" w:cs="仿宋"/>
          <w:color w:val="auto"/>
          <w:kern w:val="0"/>
          <w:sz w:val="28"/>
          <w:szCs w:val="28"/>
          <w:lang w:val="en-US" w:eastAsia="zh-CN"/>
        </w:rPr>
        <w:t>九龙新城建设发展有限公司（原重庆桃花溪建设项目管理有限公司）</w:t>
      </w:r>
    </w:p>
    <w:p w14:paraId="3F9818E7">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560" w:firstLineChars="200"/>
        <w:jc w:val="left"/>
        <w:textAlignment w:val="auto"/>
        <w:rPr>
          <w:rFonts w:ascii="仿宋" w:hAnsi="仿宋" w:eastAsia="仿宋" w:cs="仿宋"/>
          <w:color w:val="auto"/>
          <w:kern w:val="0"/>
          <w:sz w:val="28"/>
          <w:szCs w:val="28"/>
        </w:rPr>
      </w:pPr>
      <w:r>
        <w:rPr>
          <w:rFonts w:hint="eastAsia" w:ascii="仿宋" w:hAnsi="仿宋" w:eastAsia="仿宋" w:cs="仿宋"/>
          <w:color w:val="auto"/>
          <w:kern w:val="0"/>
          <w:sz w:val="28"/>
          <w:szCs w:val="28"/>
        </w:rPr>
        <w:t>法定代表人(签章)或　　　　   　      法定代表人(签章)或</w:t>
      </w:r>
    </w:p>
    <w:p w14:paraId="63478A83">
      <w:pPr>
        <w:keepNext w:val="0"/>
        <w:keepLines w:val="0"/>
        <w:pageBreakBefore w:val="0"/>
        <w:widowControl/>
        <w:kinsoku/>
        <w:wordWrap/>
        <w:overflowPunct/>
        <w:topLinePunct w:val="0"/>
        <w:autoSpaceDE/>
        <w:autoSpaceDN/>
        <w:bidi w:val="0"/>
        <w:adjustRightInd/>
        <w:snapToGrid/>
        <w:spacing w:before="100" w:beforeAutospacing="1" w:after="100" w:afterAutospacing="1" w:line="500" w:lineRule="exact"/>
        <w:ind w:firstLine="560" w:firstLineChars="200"/>
        <w:jc w:val="left"/>
        <w:textAlignment w:val="auto"/>
        <w:rPr>
          <w:rFonts w:ascii="仿宋" w:hAnsi="仿宋" w:eastAsia="仿宋" w:cs="仿宋"/>
          <w:color w:val="auto"/>
          <w:kern w:val="0"/>
          <w:sz w:val="28"/>
          <w:szCs w:val="28"/>
        </w:rPr>
      </w:pPr>
      <w:r>
        <w:rPr>
          <w:rFonts w:hint="eastAsia" w:ascii="仿宋" w:hAnsi="仿宋" w:eastAsia="仿宋" w:cs="仿宋"/>
          <w:color w:val="auto"/>
          <w:kern w:val="0"/>
          <w:sz w:val="28"/>
          <w:szCs w:val="28"/>
        </w:rPr>
        <w:t>委托代理人(签字)：　　　　   　      委托代理人(签字)：</w:t>
      </w:r>
    </w:p>
    <w:p w14:paraId="42F77616">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kern w:val="0"/>
          <w:sz w:val="28"/>
          <w:szCs w:val="28"/>
        </w:rPr>
      </w:pPr>
      <w:r>
        <w:rPr>
          <w:rFonts w:hint="eastAsia" w:ascii="仿宋" w:hAnsi="仿宋" w:eastAsia="仿宋" w:cs="仿宋"/>
          <w:color w:val="auto"/>
          <w:kern w:val="0"/>
          <w:sz w:val="28"/>
          <w:szCs w:val="28"/>
        </w:rPr>
        <w:t>经 办 人：                           经 办 人：</w:t>
      </w:r>
    </w:p>
    <w:p w14:paraId="5748B04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kern w:val="0"/>
          <w:sz w:val="28"/>
          <w:szCs w:val="28"/>
        </w:rPr>
      </w:pPr>
      <w:r>
        <w:rPr>
          <w:rFonts w:hint="eastAsia" w:ascii="仿宋" w:hAnsi="仿宋" w:eastAsia="仿宋" w:cs="仿宋"/>
          <w:color w:val="auto"/>
          <w:kern w:val="0"/>
          <w:sz w:val="28"/>
          <w:szCs w:val="28"/>
        </w:rPr>
        <w:t>电    话： 　　　                    电　　话：</w:t>
      </w:r>
    </w:p>
    <w:p w14:paraId="2E183E4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kern w:val="0"/>
          <w:sz w:val="28"/>
          <w:szCs w:val="28"/>
        </w:rPr>
      </w:pPr>
      <w:r>
        <w:rPr>
          <w:rFonts w:hint="eastAsia" w:ascii="仿宋" w:hAnsi="仿宋" w:eastAsia="仿宋" w:cs="仿宋"/>
          <w:color w:val="auto"/>
          <w:kern w:val="0"/>
          <w:sz w:val="28"/>
          <w:szCs w:val="28"/>
        </w:rPr>
        <w:t>通讯地址：                           通讯地址：</w:t>
      </w:r>
    </w:p>
    <w:p w14:paraId="2FA46C0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s="仿宋"/>
          <w:color w:val="auto"/>
          <w:kern w:val="0"/>
          <w:sz w:val="28"/>
          <w:szCs w:val="28"/>
          <w:lang w:val="en-US" w:eastAsia="zh-CN"/>
        </w:rPr>
      </w:pPr>
    </w:p>
    <w:p w14:paraId="382E5671">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咨询人：（盖章）</w:t>
      </w:r>
    </w:p>
    <w:p w14:paraId="40C547D2">
      <w:pPr>
        <w:ind w:firstLine="560" w:firstLineChars="200"/>
        <w:rPr>
          <w:rFonts w:hint="eastAsia" w:ascii="仿宋" w:hAnsi="仿宋" w:eastAsia="仿宋" w:cs="仿宋"/>
          <w:color w:val="auto"/>
          <w:kern w:val="0"/>
          <w:sz w:val="28"/>
          <w:szCs w:val="28"/>
          <w:highlight w:val="none"/>
          <w:lang w:val="en-US" w:eastAsia="zh-CN"/>
        </w:rPr>
      </w:pPr>
    </w:p>
    <w:p w14:paraId="5270A637">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法定代表人(签章)或</w:t>
      </w:r>
    </w:p>
    <w:p w14:paraId="7776A5FE">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委托代理人(签字)：</w:t>
      </w:r>
    </w:p>
    <w:p w14:paraId="15E1074C">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经 办 人：</w:t>
      </w:r>
    </w:p>
    <w:p w14:paraId="260DFA65">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开户银行：</w:t>
      </w:r>
    </w:p>
    <w:p w14:paraId="0959C3BE">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账    号：</w:t>
      </w:r>
    </w:p>
    <w:p w14:paraId="5A30FBEA">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电　　话：</w:t>
      </w:r>
    </w:p>
    <w:p w14:paraId="39F7A7D1">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通讯地址：</w:t>
      </w:r>
    </w:p>
    <w:p w14:paraId="064EA601">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 xml:space="preserve">                                签约日期:  年   月   日</w:t>
      </w:r>
    </w:p>
    <w:p w14:paraId="1C6E2E62">
      <w:pPr>
        <w:widowControl/>
        <w:spacing w:before="100" w:beforeAutospacing="1" w:after="100" w:afterAutospacing="1" w:line="360" w:lineRule="auto"/>
        <w:ind w:firstLine="5600" w:firstLineChars="2000"/>
        <w:rPr>
          <w:rFonts w:ascii="仿宋" w:hAnsi="仿宋" w:eastAsia="仿宋" w:cs="仿宋"/>
          <w:b/>
          <w:color w:val="auto"/>
          <w:kern w:val="0"/>
          <w:sz w:val="28"/>
          <w:szCs w:val="28"/>
        </w:rPr>
        <w:sectPr>
          <w:footerReference r:id="rId13" w:type="default"/>
          <w:pgSz w:w="11906" w:h="16838"/>
          <w:pgMar w:top="1134" w:right="907" w:bottom="1134" w:left="907" w:header="851" w:footer="992" w:gutter="0"/>
          <w:pgNumType w:fmt="numberInDash"/>
          <w:cols w:space="720" w:num="1"/>
          <w:docGrid w:type="linesAndChars" w:linePitch="312" w:charSpace="0"/>
        </w:sectPr>
      </w:pPr>
    </w:p>
    <w:p w14:paraId="7EFB9F32">
      <w:pPr>
        <w:widowControl/>
        <w:spacing w:before="100" w:beforeAutospacing="1" w:after="100" w:afterAutospacing="1" w:line="360" w:lineRule="auto"/>
        <w:jc w:val="center"/>
        <w:rPr>
          <w:rFonts w:ascii="仿宋" w:hAnsi="仿宋" w:eastAsia="仿宋" w:cs="仿宋"/>
          <w:b/>
          <w:color w:val="auto"/>
          <w:kern w:val="0"/>
          <w:sz w:val="28"/>
          <w:szCs w:val="28"/>
        </w:rPr>
      </w:pPr>
      <w:r>
        <w:rPr>
          <w:rFonts w:hint="eastAsia" w:ascii="仿宋" w:hAnsi="仿宋" w:eastAsia="仿宋" w:cs="仿宋"/>
          <w:b/>
          <w:color w:val="auto"/>
          <w:kern w:val="0"/>
          <w:sz w:val="28"/>
          <w:szCs w:val="28"/>
        </w:rPr>
        <w:t>第二部</w:t>
      </w:r>
      <w:r>
        <w:rPr>
          <w:rFonts w:hint="eastAsia" w:ascii="仿宋" w:hAnsi="仿宋" w:eastAsia="仿宋" w:cs="仿宋"/>
          <w:b/>
          <w:bCs/>
          <w:color w:val="auto"/>
          <w:kern w:val="0"/>
          <w:sz w:val="28"/>
          <w:szCs w:val="28"/>
        </w:rPr>
        <w:t>分</w:t>
      </w:r>
      <w:r>
        <w:rPr>
          <w:rFonts w:hint="eastAsia" w:ascii="仿宋" w:hAnsi="仿宋" w:eastAsia="仿宋" w:cs="仿宋"/>
          <w:b/>
          <w:color w:val="auto"/>
          <w:kern w:val="0"/>
          <w:sz w:val="28"/>
          <w:szCs w:val="28"/>
        </w:rPr>
        <w:t>　合同标准条件</w:t>
      </w:r>
    </w:p>
    <w:p w14:paraId="323BF24A">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一、词语定义、适用语言和法律、法规</w:t>
      </w:r>
    </w:p>
    <w:p w14:paraId="3BE95099">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第一条</w:t>
      </w:r>
      <w:r>
        <w:rPr>
          <w:rFonts w:hint="eastAsia" w:ascii="仿宋" w:hAnsi="仿宋" w:eastAsia="仿宋" w:cs="仿宋"/>
          <w:color w:val="auto"/>
          <w:kern w:val="0"/>
          <w:sz w:val="28"/>
          <w:szCs w:val="28"/>
        </w:rPr>
        <w:t>　下列名词和用语，除上下文另有规定外具有如下含义。</w:t>
      </w:r>
    </w:p>
    <w:p w14:paraId="519128E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1、“委托人”是指委托建设工程施工阶段全过程控制业务和聘用建设工程施工阶段全过程控制咨询人的一方，以及其合法继承人。</w:t>
      </w:r>
    </w:p>
    <w:p w14:paraId="57A437D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2、“咨询人”是指承担建设工程施工阶段全过程控制业务和建设工程施工阶段全过程控制咨询责任的一方，以及其合法继承人。</w:t>
      </w:r>
    </w:p>
    <w:p w14:paraId="374FE5B0">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3、“第三人”是指除委托人、咨询人以外与本咨询业务有关的当事人。</w:t>
      </w:r>
    </w:p>
    <w:p w14:paraId="1100F6B1">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4、“日”是指任何一天零时至第二天零时的时间段。</w:t>
      </w:r>
    </w:p>
    <w:p w14:paraId="536DE1A5">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第二条</w:t>
      </w:r>
      <w:r>
        <w:rPr>
          <w:rFonts w:hint="eastAsia" w:ascii="仿宋" w:hAnsi="仿宋" w:eastAsia="仿宋" w:cs="仿宋"/>
          <w:color w:val="auto"/>
          <w:kern w:val="0"/>
          <w:sz w:val="28"/>
          <w:szCs w:val="28"/>
        </w:rPr>
        <w:t>　建设工程施工阶段全过程控制合同适用的是中国的法律、法规，以及专用条件中议定的部门规章、工程造价有关计价办法和规定或项目所在地的地方法规、规定。</w:t>
      </w:r>
    </w:p>
    <w:p w14:paraId="40FF2760">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第三条</w:t>
      </w:r>
      <w:r>
        <w:rPr>
          <w:rFonts w:hint="eastAsia" w:ascii="仿宋" w:hAnsi="仿宋" w:eastAsia="仿宋" w:cs="仿宋"/>
          <w:color w:val="auto"/>
          <w:kern w:val="0"/>
          <w:sz w:val="28"/>
          <w:szCs w:val="28"/>
        </w:rPr>
        <w:t>　建设工程施工阶段全过程控制合同的书写、解释和说明，以汉语为主导语言。当不同语言文本发生不同解释时，以汉语合同文本为准。</w:t>
      </w:r>
    </w:p>
    <w:p w14:paraId="039493E6">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二、咨询人的义务</w:t>
      </w:r>
    </w:p>
    <w:p w14:paraId="2475477A">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第四条</w:t>
      </w:r>
      <w:r>
        <w:rPr>
          <w:rFonts w:hint="eastAsia" w:ascii="仿宋" w:hAnsi="仿宋" w:eastAsia="仿宋" w:cs="仿宋"/>
          <w:color w:val="auto"/>
          <w:kern w:val="0"/>
          <w:sz w:val="28"/>
          <w:szCs w:val="28"/>
        </w:rPr>
        <w:t>　向委托人提供与建设工程施工阶段全过程控制咨询业务有关的资料，包括工程造价咨询的资质证书及承担本合同业务的专业人员名单、咨询工作计划等，并按合同专用条件中约定的范围实施咨询业务。</w:t>
      </w:r>
    </w:p>
    <w:p w14:paraId="6ACDC8C0">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第五条</w:t>
      </w:r>
      <w:r>
        <w:rPr>
          <w:rFonts w:hint="eastAsia" w:ascii="仿宋" w:hAnsi="仿宋" w:eastAsia="仿宋" w:cs="仿宋"/>
          <w:color w:val="auto"/>
          <w:kern w:val="0"/>
          <w:sz w:val="28"/>
          <w:szCs w:val="28"/>
        </w:rPr>
        <w:t>　咨询人在履行本合同期间，向委托人提供的服务包括正常服务。</w:t>
      </w:r>
    </w:p>
    <w:p w14:paraId="106EC8B9">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 xml:space="preserve"> “正常服务”是指双方在专用条件中约定的建设工程施工阶段全过程控制咨询工作。</w:t>
      </w:r>
    </w:p>
    <w:p w14:paraId="729E250A">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第六条</w:t>
      </w:r>
      <w:r>
        <w:rPr>
          <w:rFonts w:hint="eastAsia" w:ascii="仿宋" w:hAnsi="仿宋" w:eastAsia="仿宋" w:cs="仿宋"/>
          <w:color w:val="auto"/>
          <w:kern w:val="0"/>
          <w:sz w:val="28"/>
          <w:szCs w:val="28"/>
        </w:rPr>
        <w:t>　在履行合同期间或合同规定期限内，不得泄露与本合同规定业务活动有关的保密资料。</w:t>
      </w:r>
    </w:p>
    <w:p w14:paraId="5A2B248B">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三、委托人的义务</w:t>
      </w:r>
    </w:p>
    <w:p w14:paraId="64569458">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第七条</w:t>
      </w:r>
      <w:r>
        <w:rPr>
          <w:rFonts w:hint="eastAsia" w:ascii="仿宋" w:hAnsi="仿宋" w:eastAsia="仿宋" w:cs="仿宋"/>
          <w:color w:val="auto"/>
          <w:kern w:val="0"/>
          <w:sz w:val="28"/>
          <w:szCs w:val="28"/>
        </w:rPr>
        <w:t>　委托人应负责与本建设工程施工阶段全过程控制业务有关的第三人的协调，为咨询人工作提供外部条件。</w:t>
      </w:r>
    </w:p>
    <w:p w14:paraId="370073A3">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第八条</w:t>
      </w:r>
      <w:r>
        <w:rPr>
          <w:rFonts w:hint="eastAsia" w:ascii="仿宋" w:hAnsi="仿宋" w:eastAsia="仿宋" w:cs="仿宋"/>
          <w:color w:val="auto"/>
          <w:kern w:val="0"/>
          <w:sz w:val="28"/>
          <w:szCs w:val="28"/>
        </w:rPr>
        <w:t>　委托人应当在约定的时间内，免费向咨询人提供与本项目咨询业务有关的资料。</w:t>
      </w:r>
    </w:p>
    <w:p w14:paraId="7B3953B6">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第九条</w:t>
      </w:r>
      <w:r>
        <w:rPr>
          <w:rFonts w:hint="eastAsia" w:ascii="仿宋" w:hAnsi="仿宋" w:eastAsia="仿宋" w:cs="仿宋"/>
          <w:color w:val="auto"/>
          <w:kern w:val="0"/>
          <w:sz w:val="28"/>
          <w:szCs w:val="28"/>
        </w:rPr>
        <w:t>　委托人应当在约定的时间内就咨询人书面提交并要求做出答复的事宜做出书面答复。咨询人要求第三人提供有关资料时，委托人应负责转达及资料转送。</w:t>
      </w:r>
    </w:p>
    <w:p w14:paraId="7C76CC7F">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第十条</w:t>
      </w:r>
      <w:r>
        <w:rPr>
          <w:rFonts w:hint="eastAsia" w:ascii="仿宋" w:hAnsi="仿宋" w:eastAsia="仿宋" w:cs="仿宋"/>
          <w:color w:val="auto"/>
          <w:kern w:val="0"/>
          <w:sz w:val="28"/>
          <w:szCs w:val="28"/>
        </w:rPr>
        <w:t>　委托人应当授权胜任本咨询业务的代表，负责与咨询人联系。</w:t>
      </w:r>
    </w:p>
    <w:p w14:paraId="1BB1E8E5">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四、咨询人的权利</w:t>
      </w:r>
    </w:p>
    <w:p w14:paraId="15BFCB45">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第十一条</w:t>
      </w:r>
      <w:r>
        <w:rPr>
          <w:rFonts w:hint="eastAsia" w:ascii="仿宋" w:hAnsi="仿宋" w:eastAsia="仿宋" w:cs="仿宋"/>
          <w:color w:val="auto"/>
          <w:kern w:val="0"/>
          <w:sz w:val="28"/>
          <w:szCs w:val="28"/>
        </w:rPr>
        <w:t>　委托人在委托的建设工程施工阶段全过程控制业务范围内，授予咨询人以下权利：</w:t>
      </w:r>
    </w:p>
    <w:p w14:paraId="64E7B81F">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1、咨询人在审核过程中，如委托人提供的资料不明确时可向委托人提出书面报告。</w:t>
      </w:r>
    </w:p>
    <w:p w14:paraId="430B5848">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2、咨询人在审核过程中，有权对第三人提出与本审核业务有关的问题进行核对或查问。</w:t>
      </w:r>
    </w:p>
    <w:p w14:paraId="701C96C9">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3、咨询人在审核过程中，有到工程现场勘察的权利。</w:t>
      </w:r>
    </w:p>
    <w:p w14:paraId="7C2DBA12">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五、委托人的权利</w:t>
      </w:r>
    </w:p>
    <w:p w14:paraId="6F4C65A8">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第十二条</w:t>
      </w:r>
      <w:r>
        <w:rPr>
          <w:rFonts w:hint="eastAsia" w:ascii="仿宋" w:hAnsi="仿宋" w:eastAsia="仿宋" w:cs="仿宋"/>
          <w:color w:val="auto"/>
          <w:kern w:val="0"/>
          <w:sz w:val="28"/>
          <w:szCs w:val="28"/>
        </w:rPr>
        <w:t>　委托人有下列权利：</w:t>
      </w:r>
    </w:p>
    <w:p w14:paraId="63ED5CE5">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1、委托人有权向咨询人询问工作进展情况及相关的内容。</w:t>
      </w:r>
    </w:p>
    <w:p w14:paraId="54C8874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2、委托人有权阐述对具体问题的意见和建议。</w:t>
      </w:r>
    </w:p>
    <w:p w14:paraId="1DC18486">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3、当委托人认定咨询人委派的咨询专业人员不按咨询合同履行其职责，或与第三人串通给委托人造成经济损失的，委托人有权要求更换咨询专业人员，调整合同范围直至终止合同并要求咨询人承担相应的赔偿责任。</w:t>
      </w:r>
    </w:p>
    <w:p w14:paraId="3C5320C8">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六、咨询人的责任</w:t>
      </w:r>
    </w:p>
    <w:p w14:paraId="70347B1D">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第十三条</w:t>
      </w:r>
      <w:r>
        <w:rPr>
          <w:rFonts w:hint="eastAsia" w:ascii="仿宋" w:hAnsi="仿宋" w:eastAsia="仿宋" w:cs="仿宋"/>
          <w:color w:val="auto"/>
          <w:kern w:val="0"/>
          <w:sz w:val="28"/>
          <w:szCs w:val="28"/>
        </w:rPr>
        <w:t>　咨询人的责任期即建设工程施工阶段全过程控制合同有效期。如因非咨询人的责任造成进度的推迟或延误而超过约定的日期，双方应进一步约定相应延长合同有效期。</w:t>
      </w:r>
    </w:p>
    <w:p w14:paraId="4E2D8EE5">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第十四条</w:t>
      </w:r>
      <w:r>
        <w:rPr>
          <w:rFonts w:hint="eastAsia" w:ascii="仿宋" w:hAnsi="仿宋" w:eastAsia="仿宋" w:cs="仿宋"/>
          <w:color w:val="auto"/>
          <w:kern w:val="0"/>
          <w:sz w:val="28"/>
          <w:szCs w:val="28"/>
        </w:rPr>
        <w:t>　咨询人责任期内，应当履行建设工程施工阶段全过程控制合同中约定的义务，因咨询人的过失造成的经济损失，应当向委托人进行赔偿。</w:t>
      </w:r>
    </w:p>
    <w:p w14:paraId="07ADF284">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第十五条</w:t>
      </w:r>
      <w:r>
        <w:rPr>
          <w:rFonts w:hint="eastAsia" w:ascii="仿宋" w:hAnsi="仿宋" w:eastAsia="仿宋" w:cs="仿宋"/>
          <w:color w:val="auto"/>
          <w:kern w:val="0"/>
          <w:sz w:val="28"/>
          <w:szCs w:val="28"/>
        </w:rPr>
        <w:t>　咨询人对委托人或第三人所提出的问题不能及时核对或答复，导致合同不能全部或部分履行，咨询人应承担责任。</w:t>
      </w:r>
    </w:p>
    <w:p w14:paraId="44DA0E18">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第十六条</w:t>
      </w:r>
      <w:r>
        <w:rPr>
          <w:rFonts w:hint="eastAsia" w:ascii="仿宋" w:hAnsi="仿宋" w:eastAsia="仿宋" w:cs="仿宋"/>
          <w:color w:val="auto"/>
          <w:kern w:val="0"/>
          <w:sz w:val="28"/>
          <w:szCs w:val="28"/>
        </w:rPr>
        <w:t>　咨询人向委托人提出赔偿要求不能成立时，则应补偿由于该赔偿或其他要求所导致委托人的各种费用的支出。</w:t>
      </w:r>
    </w:p>
    <w:p w14:paraId="4BB50788">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七、委托人的责任</w:t>
      </w:r>
    </w:p>
    <w:p w14:paraId="294DF61E">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第十七条</w:t>
      </w:r>
      <w:r>
        <w:rPr>
          <w:rFonts w:hint="eastAsia" w:ascii="仿宋" w:hAnsi="仿宋" w:eastAsia="仿宋" w:cs="仿宋"/>
          <w:color w:val="auto"/>
          <w:kern w:val="0"/>
          <w:sz w:val="28"/>
          <w:szCs w:val="28"/>
        </w:rPr>
        <w:t>　委托人应当履行建设工程施工阶段全过程控制合同约定的义务，如有违反则应当承担违约责任，赔偿给咨询人造成的损失。</w:t>
      </w:r>
    </w:p>
    <w:p w14:paraId="0D901030">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八、合同生效，变更与终止</w:t>
      </w:r>
    </w:p>
    <w:p w14:paraId="1618A83B">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第十八条</w:t>
      </w:r>
      <w:r>
        <w:rPr>
          <w:rFonts w:hint="eastAsia" w:ascii="仿宋" w:hAnsi="仿宋" w:eastAsia="仿宋" w:cs="仿宋"/>
          <w:color w:val="auto"/>
          <w:kern w:val="0"/>
          <w:sz w:val="28"/>
          <w:szCs w:val="28"/>
        </w:rPr>
        <w:t>　本合同自双方盖章之日起生效。</w:t>
      </w:r>
    </w:p>
    <w:p w14:paraId="74572356">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第十九条</w:t>
      </w:r>
      <w:r>
        <w:rPr>
          <w:rFonts w:hint="eastAsia" w:ascii="仿宋" w:hAnsi="仿宋" w:eastAsia="仿宋" w:cs="仿宋"/>
          <w:color w:val="auto"/>
          <w:kern w:val="0"/>
          <w:sz w:val="28"/>
          <w:szCs w:val="28"/>
        </w:rPr>
        <w:t>　由于委托人或第三人的原因使咨询人工作受到阻碍或延误以致增加了工作量或持续时间，则咨询人应当将此情况与可能产生的影响</w:t>
      </w:r>
      <w:r>
        <w:rPr>
          <w:rFonts w:hint="eastAsia" w:ascii="仿宋" w:hAnsi="仿宋" w:eastAsia="仿宋" w:cs="仿宋"/>
          <w:color w:val="auto"/>
          <w:kern w:val="0"/>
          <w:sz w:val="28"/>
          <w:szCs w:val="28"/>
          <w:u w:val="single"/>
        </w:rPr>
        <w:t>5</w:t>
      </w:r>
      <w:r>
        <w:rPr>
          <w:rFonts w:hint="eastAsia" w:ascii="仿宋" w:hAnsi="仿宋" w:eastAsia="仿宋" w:cs="仿宋"/>
          <w:color w:val="auto"/>
          <w:kern w:val="0"/>
          <w:sz w:val="28"/>
          <w:szCs w:val="28"/>
        </w:rPr>
        <w:t>个工作日内书面通知委托人,经双方协商一致，完成建设工程施工阶段全过程控制工作的时间应当相应延长。</w:t>
      </w:r>
    </w:p>
    <w:p w14:paraId="4836E10D">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第二十条</w:t>
      </w:r>
      <w:r>
        <w:rPr>
          <w:rFonts w:hint="eastAsia" w:ascii="仿宋" w:hAnsi="仿宋" w:eastAsia="仿宋" w:cs="仿宋"/>
          <w:color w:val="auto"/>
          <w:kern w:val="0"/>
          <w:sz w:val="28"/>
          <w:szCs w:val="28"/>
        </w:rPr>
        <w:t>　当事人一方要求变更或解除合同时，则应当在14日前通知对方；因变更或解除合同使一方遭受损失的，应由责任方负责赔偿。</w:t>
      </w:r>
    </w:p>
    <w:p w14:paraId="7E12DB5D">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第二十一条</w:t>
      </w:r>
      <w:r>
        <w:rPr>
          <w:rFonts w:hint="eastAsia" w:ascii="仿宋" w:hAnsi="仿宋" w:eastAsia="仿宋" w:cs="仿宋"/>
          <w:color w:val="auto"/>
          <w:kern w:val="0"/>
          <w:sz w:val="28"/>
          <w:szCs w:val="28"/>
        </w:rPr>
        <w:t>　咨询人由于委托方原因暂停或终止执行建设工程施工阶段全过程控制业务，由此而增加的恢复执行建设工程施工阶段全过程控制业务的工作，经双方一致同意，有权得到额外的时间。</w:t>
      </w:r>
    </w:p>
    <w:p w14:paraId="492244F8">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第二十二条</w:t>
      </w:r>
      <w:r>
        <w:rPr>
          <w:rFonts w:hint="eastAsia" w:ascii="仿宋" w:hAnsi="仿宋" w:eastAsia="仿宋" w:cs="仿宋"/>
          <w:color w:val="auto"/>
          <w:kern w:val="0"/>
          <w:sz w:val="28"/>
          <w:szCs w:val="28"/>
        </w:rPr>
        <w:t>　变更或解除合同的通知或协议应当采取书面形式，新的协议未达成之前，原合同仍然有效。</w:t>
      </w:r>
    </w:p>
    <w:p w14:paraId="0F6D6F1F">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九、咨询业务的酬金</w:t>
      </w:r>
    </w:p>
    <w:p w14:paraId="3A79DD52">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第二十三条</w:t>
      </w:r>
      <w:r>
        <w:rPr>
          <w:rFonts w:hint="eastAsia" w:ascii="仿宋" w:hAnsi="仿宋" w:eastAsia="仿宋" w:cs="仿宋"/>
          <w:color w:val="auto"/>
          <w:kern w:val="0"/>
          <w:sz w:val="28"/>
          <w:szCs w:val="28"/>
        </w:rPr>
        <w:t>　建设工程施工阶段全过程控制业务的酬金，按照建设工程施工阶段全过程控制合同专用条件约定的方法计取，并按约定的时间和数额支付。</w:t>
      </w:r>
    </w:p>
    <w:p w14:paraId="0952F33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第二十四条</w:t>
      </w:r>
      <w:r>
        <w:rPr>
          <w:rFonts w:hint="eastAsia" w:ascii="仿宋" w:hAnsi="仿宋" w:eastAsia="仿宋" w:cs="仿宋"/>
          <w:color w:val="auto"/>
          <w:kern w:val="0"/>
          <w:sz w:val="28"/>
          <w:szCs w:val="28"/>
        </w:rPr>
        <w:t>　如果委托人在规定的支付期限内由于自身的原因未支付建设工程施工阶段全过程控制业务酬金，自规定支付之日起，应当向咨询人补偿应支付的酬金利息。利息额按规定支付期限最后一日银行活期存款利率乘以拖欠酬金时间计算。</w:t>
      </w:r>
    </w:p>
    <w:p w14:paraId="6D07BC16">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第二十五条</w:t>
      </w:r>
      <w:r>
        <w:rPr>
          <w:rFonts w:hint="eastAsia" w:ascii="仿宋" w:hAnsi="仿宋" w:eastAsia="仿宋" w:cs="仿宋"/>
          <w:color w:val="auto"/>
          <w:kern w:val="0"/>
          <w:sz w:val="28"/>
          <w:szCs w:val="28"/>
        </w:rPr>
        <w:t>　如果委托人对咨询人提交的支付通知书中酬金或部分酬金项目提出异议，应当在收到支付通知书七日内向咨询人发出异议的通知。</w:t>
      </w:r>
    </w:p>
    <w:p w14:paraId="23B535E4">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第二十六条</w:t>
      </w:r>
      <w:r>
        <w:rPr>
          <w:rFonts w:hint="eastAsia" w:ascii="仿宋" w:hAnsi="仿宋" w:eastAsia="仿宋" w:cs="仿宋"/>
          <w:color w:val="auto"/>
          <w:kern w:val="0"/>
          <w:sz w:val="28"/>
          <w:szCs w:val="28"/>
        </w:rPr>
        <w:t>　以人民币支付建设工程施工阶段全过程控制业务酬金。</w:t>
      </w:r>
    </w:p>
    <w:p w14:paraId="37BE8ADE">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十、其他</w:t>
      </w:r>
    </w:p>
    <w:p w14:paraId="309C32DA">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第二十七条</w:t>
      </w:r>
      <w:r>
        <w:rPr>
          <w:rFonts w:hint="eastAsia" w:ascii="仿宋" w:hAnsi="仿宋" w:eastAsia="仿宋" w:cs="仿宋"/>
          <w:color w:val="auto"/>
          <w:kern w:val="0"/>
          <w:sz w:val="28"/>
          <w:szCs w:val="28"/>
        </w:rPr>
        <w:t>　因建设工程施工阶段全过程控制业务的需要，咨询人在合同约定外的外出考察，经委托人书面同意，其所需费用由委托人负责。</w:t>
      </w:r>
    </w:p>
    <w:p w14:paraId="77602AD5">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第二十八条</w:t>
      </w:r>
      <w:r>
        <w:rPr>
          <w:rFonts w:hint="eastAsia" w:ascii="仿宋" w:hAnsi="仿宋" w:eastAsia="仿宋" w:cs="仿宋"/>
          <w:color w:val="auto"/>
          <w:kern w:val="0"/>
          <w:sz w:val="28"/>
          <w:szCs w:val="28"/>
        </w:rPr>
        <w:t>　咨询人如需外聘专家协助，在委托的建设工程施工阶段全过程控制业务范围内其费用由咨询人承担；在委托的建设工程施工阶段全过程控制业务范围以外经委托人认可其费用由委托人承担。</w:t>
      </w:r>
    </w:p>
    <w:p w14:paraId="3CC2B18E">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第二十九条</w:t>
      </w:r>
      <w:r>
        <w:rPr>
          <w:rFonts w:hint="eastAsia" w:ascii="仿宋" w:hAnsi="仿宋" w:eastAsia="仿宋" w:cs="仿宋"/>
          <w:color w:val="auto"/>
          <w:kern w:val="0"/>
          <w:sz w:val="28"/>
          <w:szCs w:val="28"/>
        </w:rPr>
        <w:t>　未经对方的书面同意，各方均不得转让合同约定的权利和义务。</w:t>
      </w:r>
    </w:p>
    <w:p w14:paraId="7062E561">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第三十条</w:t>
      </w:r>
      <w:r>
        <w:rPr>
          <w:rFonts w:hint="eastAsia" w:ascii="仿宋" w:hAnsi="仿宋" w:eastAsia="仿宋" w:cs="仿宋"/>
          <w:color w:val="auto"/>
          <w:kern w:val="0"/>
          <w:sz w:val="28"/>
          <w:szCs w:val="28"/>
        </w:rPr>
        <w:t>　除委托人书面同意外，咨询人及咨询专业人员不应接受建设工程施工阶段全过程控制合同约定以外的与建设工程施工阶段全过程控制咨询项目有关的任何报酬。</w:t>
      </w:r>
    </w:p>
    <w:p w14:paraId="4E880167">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咨询人不得参与可能与合同规定的与委托人利益相冲突的任何活动。</w:t>
      </w:r>
    </w:p>
    <w:p w14:paraId="26FCCC6B">
      <w:pPr>
        <w:spacing w:line="360" w:lineRule="auto"/>
        <w:ind w:firstLine="560" w:firstLineChars="200"/>
        <w:rPr>
          <w:rFonts w:ascii="仿宋" w:hAnsi="仿宋" w:eastAsia="仿宋" w:cs="仿宋"/>
          <w:b/>
          <w:color w:val="auto"/>
          <w:kern w:val="0"/>
          <w:sz w:val="28"/>
          <w:szCs w:val="28"/>
        </w:rPr>
      </w:pPr>
      <w:r>
        <w:rPr>
          <w:rFonts w:hint="eastAsia" w:ascii="仿宋" w:hAnsi="仿宋" w:eastAsia="仿宋" w:cs="仿宋"/>
          <w:b/>
          <w:color w:val="auto"/>
          <w:kern w:val="0"/>
          <w:sz w:val="28"/>
          <w:szCs w:val="28"/>
        </w:rPr>
        <w:t>十一、合同争议的解决</w:t>
      </w:r>
    </w:p>
    <w:p w14:paraId="2E72B0F4">
      <w:pPr>
        <w:spacing w:line="360" w:lineRule="auto"/>
        <w:ind w:firstLine="560" w:firstLineChars="200"/>
        <w:rPr>
          <w:rFonts w:ascii="仿宋" w:hAnsi="仿宋" w:eastAsia="仿宋" w:cs="仿宋"/>
          <w:color w:val="auto"/>
          <w:kern w:val="0"/>
          <w:sz w:val="28"/>
          <w:szCs w:val="28"/>
        </w:rPr>
      </w:pPr>
      <w:r>
        <w:rPr>
          <w:rFonts w:hint="eastAsia" w:ascii="仿宋" w:hAnsi="仿宋" w:eastAsia="仿宋" w:cs="仿宋"/>
          <w:b/>
          <w:color w:val="auto"/>
          <w:kern w:val="0"/>
          <w:sz w:val="28"/>
          <w:szCs w:val="28"/>
        </w:rPr>
        <w:t>第三十一条</w:t>
      </w:r>
      <w:r>
        <w:rPr>
          <w:rFonts w:hint="eastAsia" w:ascii="仿宋" w:hAnsi="仿宋" w:eastAsia="仿宋" w:cs="仿宋"/>
          <w:color w:val="auto"/>
          <w:kern w:val="0"/>
          <w:sz w:val="28"/>
          <w:szCs w:val="28"/>
        </w:rPr>
        <w:t>　因违约或终止合同而引起的损失和损害的赔偿，委托人与咨询人之间应当协商解决；如未能达成一致，可提交有关主管部门调解；协商或调解不成的，提交委托方所在地有管辖权的人民法院诉讼解决。</w:t>
      </w:r>
    </w:p>
    <w:p w14:paraId="3549EF1B">
      <w:pPr>
        <w:widowControl/>
        <w:spacing w:before="100" w:beforeAutospacing="1" w:after="100" w:afterAutospacing="1" w:line="360" w:lineRule="auto"/>
        <w:jc w:val="center"/>
        <w:rPr>
          <w:rFonts w:ascii="仿宋" w:hAnsi="仿宋" w:eastAsia="仿宋" w:cs="仿宋"/>
          <w:b/>
          <w:bCs/>
          <w:color w:val="auto"/>
          <w:kern w:val="0"/>
          <w:sz w:val="28"/>
          <w:szCs w:val="28"/>
        </w:rPr>
      </w:pPr>
      <w:r>
        <w:rPr>
          <w:rFonts w:hint="eastAsia" w:ascii="仿宋" w:hAnsi="仿宋" w:eastAsia="仿宋" w:cs="仿宋"/>
          <w:b/>
          <w:bCs/>
          <w:color w:val="auto"/>
          <w:kern w:val="0"/>
          <w:sz w:val="28"/>
          <w:szCs w:val="28"/>
        </w:rPr>
        <w:br w:type="page"/>
      </w:r>
      <w:r>
        <w:rPr>
          <w:rFonts w:hint="eastAsia" w:ascii="仿宋" w:hAnsi="仿宋" w:eastAsia="仿宋" w:cs="仿宋"/>
          <w:b/>
          <w:bCs/>
          <w:color w:val="auto"/>
          <w:kern w:val="0"/>
          <w:sz w:val="28"/>
          <w:szCs w:val="28"/>
        </w:rPr>
        <w:t>第三部分合同专用条件</w:t>
      </w:r>
    </w:p>
    <w:p w14:paraId="4ADF3D3D">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第一条</w:t>
      </w:r>
      <w:r>
        <w:rPr>
          <w:rFonts w:hint="eastAsia" w:ascii="仿宋" w:hAnsi="仿宋" w:eastAsia="仿宋" w:cs="仿宋"/>
          <w:color w:val="auto"/>
          <w:sz w:val="28"/>
          <w:szCs w:val="28"/>
        </w:rPr>
        <w:t>　本合同适用的法律、法规及工程造价计价办法和规定：</w:t>
      </w:r>
    </w:p>
    <w:p w14:paraId="6F085EC3">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中华人民共和国建筑法》、《中华人民共和国招标投标法》、《中华人民共和国民法典》、《中华人民共和国政府采购法》、《中华人民共和国审计法》、《建设项目全过程造价咨询规程》以及国家现行的其它建设项目施工、验收规范、规程、质量检验标准相关法规等；</w:t>
      </w:r>
    </w:p>
    <w:p w14:paraId="2FF62995">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2、重庆市现行预算定额指标及相应配套文件；</w:t>
      </w:r>
    </w:p>
    <w:p w14:paraId="05BDCBDE">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3、根据《重庆市建筑安装工程设计概算编制办法》（CQGSBF-JA—2021）；</w:t>
      </w:r>
    </w:p>
    <w:p w14:paraId="2F22FBC7">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4、重庆市城乡建设委员会关于《重庆市建设工程工程量计算规则》；</w:t>
      </w:r>
    </w:p>
    <w:p w14:paraId="582C7463">
      <w:pPr>
        <w:snapToGrid w:val="0"/>
        <w:spacing w:line="52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5、工程相关的设计文本、图纸、批件、有效合同及相关基础、技术资料等。</w:t>
      </w:r>
    </w:p>
    <w:p w14:paraId="1675D981">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第二条</w:t>
      </w:r>
      <w:r>
        <w:rPr>
          <w:rFonts w:hint="eastAsia" w:ascii="仿宋" w:hAnsi="仿宋" w:eastAsia="仿宋" w:cs="仿宋"/>
          <w:color w:val="auto"/>
          <w:sz w:val="28"/>
          <w:szCs w:val="28"/>
        </w:rPr>
        <w:t>建设工程施工阶段全过程控制业务范围：</w:t>
      </w:r>
    </w:p>
    <w:p w14:paraId="15E1DA16">
      <w:pPr>
        <w:spacing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rPr>
        <w:t>1、本工程咨询范围：参与施工阶段的现场计量、现场签证；政府要求的设计变更的造价审查和施工方案优化及经济比选；新增工程的组价计价、单价控制价的审核；本工程全部合同履行过程中需备案与审核的价款支付，工程索赔的处理；建筑材料认（审）价、工程进度款审核、专业分包造价控制、有关工程造价信息及法规等咨询；完工后的结算审核等与造价控制有关的其他服务工作。</w:t>
      </w:r>
    </w:p>
    <w:p w14:paraId="5EB1D1AD">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2、审核业务范围</w:t>
      </w:r>
    </w:p>
    <w:p w14:paraId="4D8B9FF8">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（1）督促项目业主严格执行基本建设程序及基本建设管理制度。</w:t>
      </w:r>
    </w:p>
    <w:p w14:paraId="10B342DC">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（2）负责工程施工合同及合同变更的咨询，并协助项目业主进行合同履行管理。</w:t>
      </w:r>
    </w:p>
    <w:p w14:paraId="4ED08E62">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（3）派人常驻施工现场进行必要的监管，参与工程洽谈、现场计量、隐藏工程收方、变更、签证的审查与确认，有效控制与审定项目建安工程投资、设备投资、待摊投资和其它投资等建设成本。</w:t>
      </w:r>
    </w:p>
    <w:p w14:paraId="2D32E7D5">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施工期中工程造价的控制、控制，包括中间计量的审查,严格控制工程进度款的支付，主要材料、设备的选购及定价审核，编制及审核施工图材料清单.参与材料、设备供应厂家的考察及与供应商价格的谈判等。</w:t>
      </w:r>
    </w:p>
    <w:p w14:paraId="7802067E">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工程进度周（月）报、变更、签证、现场收方及计量、与投资控制相关的审查与确认的工作流程为：施工单位申报→监理单位对技术方面审查及确认→控制单位对经济方面审查及确认→业主（代理业主）单位审查及确认。</w:t>
      </w:r>
    </w:p>
    <w:p w14:paraId="65DC6C45">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（5）对施工过程中上报的施工方案进行严格审查，对方案的经济变动情况提出书面建议。</w:t>
      </w:r>
    </w:p>
    <w:p w14:paraId="2D2440D7">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（6）督促项目业主对重大设计变更必须按规定程序报原审批部门批准。</w:t>
      </w:r>
    </w:p>
    <w:p w14:paraId="15D0A6C0">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（7）根据相应调整的造价控制目标，及时、准确地向委托人提供造价控制动态分析报告。</w:t>
      </w:r>
    </w:p>
    <w:p w14:paraId="425AC55A">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（8）编制审查依据及对工程造价进行监控和提供有关工程造价信息。</w:t>
      </w:r>
    </w:p>
    <w:p w14:paraId="06E5596F">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（9）审查项目竣工结算，形成完整的结算报表并出具项目竣工结算审查报告，在提供齐全的竣工资料后60个工作日内完成审查工作，咨询人应对审查结果负责。</w:t>
      </w:r>
    </w:p>
    <w:p w14:paraId="18DFD6F2">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（10）对单项工程的变更、洽商、签证、会议纪要等资料主动进行收集和分类归档，资料管理及时、完整。</w:t>
      </w:r>
    </w:p>
    <w:p w14:paraId="4130677B">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（11）不得泄露控制过程知悉的国家机密和商业秘密。</w:t>
      </w:r>
    </w:p>
    <w:p w14:paraId="69AF8997">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（12）咨询人须配合业主完成审计。</w:t>
      </w:r>
    </w:p>
    <w:p w14:paraId="5911698C">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（13）委托人委托的与本合同范围内相关的其他工作。</w:t>
      </w:r>
    </w:p>
    <w:p w14:paraId="0DE0ED18">
      <w:pPr>
        <w:pStyle w:val="55"/>
        <w:spacing w:before="0" w:beforeAutospacing="0" w:after="0" w:afterAutospacing="0" w:line="360" w:lineRule="auto"/>
        <w:ind w:firstLine="560" w:firstLineChars="200"/>
        <w:rPr>
          <w:rFonts w:ascii="仿宋" w:hAnsi="仿宋" w:eastAsia="仿宋" w:cs="仿宋"/>
          <w:color w:val="auto"/>
          <w:sz w:val="28"/>
          <w:szCs w:val="28"/>
          <w:u w:val="single"/>
        </w:rPr>
      </w:pPr>
      <w:r>
        <w:rPr>
          <w:rFonts w:hint="eastAsia" w:ascii="仿宋" w:hAnsi="仿宋" w:eastAsia="仿宋" w:cs="仿宋"/>
          <w:b/>
          <w:color w:val="auto"/>
          <w:sz w:val="28"/>
          <w:szCs w:val="28"/>
        </w:rPr>
        <w:t>第三条</w:t>
      </w:r>
      <w:r>
        <w:rPr>
          <w:rFonts w:hint="eastAsia" w:ascii="仿宋" w:hAnsi="仿宋" w:eastAsia="仿宋" w:cs="仿宋"/>
          <w:color w:val="auto"/>
          <w:sz w:val="28"/>
          <w:szCs w:val="28"/>
        </w:rPr>
        <w:t>　委托人应及时提供咨询人所需的项目有关资料。</w:t>
      </w:r>
    </w:p>
    <w:p w14:paraId="03E87CDB">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第四条</w:t>
      </w:r>
      <w:r>
        <w:rPr>
          <w:rFonts w:hint="eastAsia" w:ascii="仿宋" w:hAnsi="仿宋" w:eastAsia="仿宋" w:cs="仿宋"/>
          <w:color w:val="auto"/>
          <w:sz w:val="28"/>
          <w:szCs w:val="28"/>
        </w:rPr>
        <w:t>　委托人应在</w:t>
      </w:r>
      <w:r>
        <w:rPr>
          <w:rFonts w:hint="eastAsia" w:ascii="仿宋" w:hAnsi="仿宋" w:eastAsia="仿宋" w:cs="仿宋"/>
          <w:color w:val="auto"/>
          <w:sz w:val="28"/>
          <w:szCs w:val="28"/>
          <w:u w:val="single"/>
        </w:rPr>
        <w:t xml:space="preserve"> 10 </w:t>
      </w:r>
      <w:r>
        <w:rPr>
          <w:rFonts w:hint="eastAsia" w:ascii="仿宋" w:hAnsi="仿宋" w:eastAsia="仿宋" w:cs="仿宋"/>
          <w:color w:val="auto"/>
          <w:sz w:val="28"/>
          <w:szCs w:val="28"/>
        </w:rPr>
        <w:t>个工作日内对咨询人书面提交并要求做出答复的事宜做出书面答复。</w:t>
      </w:r>
    </w:p>
    <w:p w14:paraId="3B9FB2DB">
      <w:pPr>
        <w:pStyle w:val="55"/>
        <w:spacing w:before="0" w:beforeAutospacing="0" w:after="0" w:afterAutospacing="0" w:line="600" w:lineRule="exact"/>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第五条</w:t>
      </w:r>
      <w:r>
        <w:rPr>
          <w:rFonts w:hint="eastAsia" w:ascii="仿宋" w:hAnsi="仿宋" w:eastAsia="仿宋" w:cs="仿宋"/>
          <w:color w:val="auto"/>
          <w:sz w:val="28"/>
          <w:szCs w:val="28"/>
        </w:rPr>
        <w:t>咨询人在其责任期内如果失职，同意按以下办法承担责任，</w:t>
      </w:r>
    </w:p>
    <w:p w14:paraId="5B5D24DB">
      <w:pPr>
        <w:widowControl/>
        <w:adjustRightInd w:val="0"/>
        <w:snapToGrid w:val="0"/>
        <w:spacing w:line="60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1、按照附件二《</w:t>
      </w:r>
      <w:r>
        <w:rPr>
          <w:rFonts w:hint="eastAsia" w:ascii="仿宋" w:hAnsi="仿宋" w:eastAsia="仿宋" w:cs="仿宋"/>
          <w:bCs/>
          <w:color w:val="auto"/>
          <w:sz w:val="28"/>
          <w:szCs w:val="28"/>
        </w:rPr>
        <w:t>控制合同违约责任附加协议条款</w:t>
      </w:r>
      <w:r>
        <w:rPr>
          <w:rFonts w:hint="eastAsia" w:ascii="仿宋" w:hAnsi="仿宋" w:eastAsia="仿宋" w:cs="仿宋"/>
          <w:color w:val="auto"/>
          <w:sz w:val="28"/>
          <w:szCs w:val="28"/>
        </w:rPr>
        <w:t>》约定的违约责任条款，承担相应违约责任。</w:t>
      </w:r>
    </w:p>
    <w:p w14:paraId="3C72F2CF">
      <w:pPr>
        <w:widowControl/>
        <w:adjustRightInd w:val="0"/>
        <w:snapToGrid w:val="0"/>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sz w:val="28"/>
          <w:szCs w:val="28"/>
        </w:rPr>
        <w:t>2、按下列办法接受扣除相应比例酬金并承担因此而造成的经济损失；若因此而给委托人造成损失的，咨询人负责赔偿：</w:t>
      </w:r>
    </w:p>
    <w:p w14:paraId="1F5DF0AA">
      <w:pPr>
        <w:widowControl/>
        <w:adjustRightInd w:val="0"/>
        <w:snapToGrid w:val="0"/>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（1）审计机关（或单位）审减金额在咨询人结算审核结果的5%（含5%）范围内，属于合理误差范围，对咨询人酬金的收取不产生影响；</w:t>
      </w:r>
    </w:p>
    <w:p w14:paraId="391982AA">
      <w:pPr>
        <w:widowControl/>
        <w:adjustRightInd w:val="0"/>
        <w:snapToGrid w:val="0"/>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（2）审计机关（或单位）审减金额在咨询人结算审核结果的5%至8%（含8%）范围内，委托人有权扣除咨询人10%的酬金；</w:t>
      </w:r>
    </w:p>
    <w:p w14:paraId="7EEFCC4B">
      <w:pPr>
        <w:widowControl/>
        <w:adjustRightInd w:val="0"/>
        <w:snapToGrid w:val="0"/>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（3）审计机关（或单位）审减金额在咨询人结算审核结果的8%至10%（含10%）范围内，委托人有权扣除咨询人20%的酬金；</w:t>
      </w:r>
    </w:p>
    <w:p w14:paraId="4F9A0733">
      <w:pPr>
        <w:widowControl/>
        <w:adjustRightInd w:val="0"/>
        <w:snapToGrid w:val="0"/>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4）审计机关（或单位）审减金额在咨询人结算审核结果的10%至20%（含20%）范围内，委托人有权扣除咨询人20%的酬金，如果咨询人被扣除的酬金不足以补偿给委托人造成的经济损失的，咨询人应赔偿甲方的经济损失；</w:t>
      </w:r>
    </w:p>
    <w:p w14:paraId="1684F8D8">
      <w:pPr>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5）审计机关（或单位）审减金额在咨询人结算审核结果的20%以上，委托人有权扣除咨询人20%的酬金，且要求咨询人退还已付酬金并支付赔偿金，不足以补偿给委托人造成经济损失的，咨询人应赔偿委托人的经济损失，将咨询人计入九龙坡区中介机构黑名单并抄报市级相关主管部门；</w:t>
      </w:r>
    </w:p>
    <w:p w14:paraId="15E87E94">
      <w:pPr>
        <w:spacing w:line="360" w:lineRule="auto"/>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第六条</w:t>
      </w:r>
      <w:r>
        <w:rPr>
          <w:rFonts w:hint="eastAsia" w:ascii="仿宋" w:hAnsi="仿宋" w:eastAsia="仿宋" w:cs="仿宋"/>
          <w:color w:val="auto"/>
          <w:sz w:val="28"/>
          <w:szCs w:val="28"/>
        </w:rPr>
        <w:t>　委托人同意按以下的计算方法、支付时间与金额，支付咨询人的审核业务酬金，全部费用在项目成本中列支：</w:t>
      </w:r>
    </w:p>
    <w:p w14:paraId="10890CBA">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1．本工程造价全过程控制（含结算审核）的审核业务酬金根据《重庆市建筑安装工程设计概算编制办法》（CQGSBF-JA—2021）</w:t>
      </w:r>
      <w:r>
        <w:rPr>
          <w:rFonts w:hint="eastAsia" w:ascii="仿宋" w:hAnsi="仿宋" w:eastAsia="仿宋" w:cs="仿宋"/>
          <w:color w:val="auto"/>
          <w:kern w:val="0"/>
          <w:sz w:val="28"/>
          <w:szCs w:val="28"/>
        </w:rPr>
        <w:t>文件附表</w:t>
      </w:r>
      <w:r>
        <w:rPr>
          <w:rFonts w:hint="eastAsia" w:ascii="仿宋" w:hAnsi="仿宋" w:eastAsia="仿宋" w:cs="仿宋"/>
          <w:color w:val="auto"/>
          <w:kern w:val="0"/>
          <w:sz w:val="28"/>
          <w:szCs w:val="28"/>
          <w:lang w:val="en-US" w:eastAsia="zh-CN"/>
        </w:rPr>
        <w:t>17</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工程造价咨询费参考费用标准</w:t>
      </w:r>
      <w:r>
        <w:rPr>
          <w:rFonts w:hint="eastAsia" w:ascii="仿宋" w:hAnsi="仿宋" w:eastAsia="仿宋" w:cs="仿宋"/>
          <w:color w:val="auto"/>
          <w:kern w:val="0"/>
          <w:sz w:val="28"/>
          <w:szCs w:val="28"/>
        </w:rPr>
        <w:t>”规定的第</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项的规定为原则</w:t>
      </w:r>
      <w:r>
        <w:rPr>
          <w:rFonts w:hint="eastAsia" w:ascii="仿宋" w:hAnsi="仿宋" w:eastAsia="仿宋" w:cs="仿宋"/>
          <w:color w:val="auto"/>
          <w:sz w:val="28"/>
          <w:szCs w:val="28"/>
        </w:rPr>
        <w:t>。审核业务酬金暂根据相应项目</w:t>
      </w:r>
      <w:r>
        <w:rPr>
          <w:rFonts w:hint="eastAsia" w:ascii="仿宋" w:hAnsi="仿宋" w:eastAsia="仿宋" w:cs="仿宋"/>
          <w:color w:val="auto"/>
          <w:sz w:val="28"/>
          <w:szCs w:val="28"/>
          <w:lang w:val="en-US" w:eastAsia="zh-CN"/>
        </w:rPr>
        <w:t>建安费</w:t>
      </w:r>
      <w:r>
        <w:rPr>
          <w:rFonts w:hint="eastAsia" w:ascii="仿宋" w:hAnsi="仿宋" w:eastAsia="仿宋" w:cs="仿宋"/>
          <w:color w:val="auto"/>
          <w:sz w:val="28"/>
          <w:szCs w:val="28"/>
          <w:u w:val="single"/>
          <w:lang w:val="en-US" w:eastAsia="zh-CN"/>
        </w:rPr>
        <w:t>12833.52万元</w:t>
      </w:r>
      <w:r>
        <w:rPr>
          <w:rFonts w:hint="eastAsia" w:ascii="仿宋" w:hAnsi="仿宋" w:eastAsia="仿宋" w:cs="仿宋"/>
          <w:color w:val="auto"/>
          <w:sz w:val="28"/>
          <w:szCs w:val="28"/>
        </w:rPr>
        <w:t>为基数测算。</w:t>
      </w:r>
    </w:p>
    <w:p w14:paraId="1AD73DA5">
      <w:pPr>
        <w:spacing w:line="360" w:lineRule="auto"/>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2．最终结算费用=九龙坡区财政局或审计局审定的建筑工程安装费作为计费基数按照《重庆市建筑安装工程设计概算编制办法》(COGSBF-JA-2021)文件计算出的费用x</w:t>
      </w:r>
      <w:r>
        <w:rPr>
          <w:rFonts w:hint="eastAsia" w:ascii="仿宋" w:hAnsi="仿宋" w:eastAsia="仿宋" w:cs="仿宋"/>
          <w:color w:val="auto"/>
          <w:sz w:val="28"/>
          <w:szCs w:val="28"/>
          <w:lang w:eastAsia="zh-CN"/>
        </w:rPr>
        <w:t>成交取费比例</w:t>
      </w:r>
      <w:r>
        <w:rPr>
          <w:rFonts w:hint="eastAsia" w:ascii="仿宋" w:hAnsi="仿宋" w:eastAsia="仿宋" w:cs="仿宋"/>
          <w:color w:val="auto"/>
          <w:sz w:val="28"/>
          <w:szCs w:val="28"/>
        </w:rPr>
        <w:t>。若结算费用超过暂定磋商总金额时，以暂定磋商总金额结算，若未超过暂定磋商总金额时，以实际金额结算。</w:t>
      </w:r>
    </w:p>
    <w:p w14:paraId="6C88E911">
      <w:pPr>
        <w:tabs>
          <w:tab w:val="left" w:pos="1260"/>
          <w:tab w:val="left" w:pos="1440"/>
        </w:tabs>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审核业务酬金分三次支付：</w:t>
      </w:r>
    </w:p>
    <w:p w14:paraId="22D39F5A">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工程开工后按工程进度每月进行支付，咨询费用进度款=工程当期进度审定完成的工程建安费产值金额/暂定工程建安费合同总金额*暂定咨询合同金额*70%。</w:t>
      </w:r>
    </w:p>
    <w:p w14:paraId="6AFA31FD">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2</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工程全部竣工验收合格后，若审定建筑安装工程费对应的咨询费大于合同金额则支付至暂定合同金额的80%，若审核金额小于合同金额的80%，则按实际审核金额的的80%进行支付。</w:t>
      </w:r>
    </w:p>
    <w:p w14:paraId="63F4C611">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完成九龙坡区财政局或审计局决算审计后，支付至决算价的100%。</w:t>
      </w:r>
    </w:p>
    <w:p w14:paraId="08A22888">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每次支付前，咨询人需提供真实合规的发票。</w:t>
      </w:r>
    </w:p>
    <w:p w14:paraId="790E4747">
      <w:pPr>
        <w:spacing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rPr>
        <w:t>3、</w:t>
      </w:r>
      <w:r>
        <w:rPr>
          <w:rFonts w:hint="eastAsia" w:ascii="仿宋" w:hAnsi="仿宋" w:eastAsia="仿宋" w:cs="仿宋"/>
          <w:color w:val="auto"/>
          <w:sz w:val="28"/>
          <w:szCs w:val="28"/>
          <w:u w:val="single"/>
        </w:rPr>
        <w:t>预算审核费用（若有），按上述约定费用标准计算，并在咨询人完成竣工结算审核并向委托人提交全过程审核报告时支付。</w:t>
      </w:r>
    </w:p>
    <w:p w14:paraId="389604D0">
      <w:pPr>
        <w:pStyle w:val="37"/>
        <w:spacing w:line="500" w:lineRule="exact"/>
        <w:rPr>
          <w:rFonts w:ascii="仿宋" w:hAnsi="仿宋" w:eastAsia="仿宋" w:cs="仿宋"/>
          <w:color w:val="auto"/>
          <w:sz w:val="28"/>
          <w:szCs w:val="28"/>
        </w:rPr>
      </w:pPr>
      <w:r>
        <w:rPr>
          <w:rFonts w:hint="eastAsia" w:ascii="仿宋" w:hAnsi="仿宋" w:eastAsia="仿宋" w:cs="仿宋"/>
          <w:color w:val="auto"/>
          <w:sz w:val="28"/>
          <w:szCs w:val="28"/>
        </w:rPr>
        <w:t>4、支付酬金之前需咨询人提供合法有效的增值税发票，否则委托人有权顺延付款时间。</w:t>
      </w:r>
    </w:p>
    <w:p w14:paraId="768F51EF">
      <w:pPr>
        <w:pStyle w:val="55"/>
        <w:spacing w:before="0" w:beforeAutospacing="0" w:after="0" w:afterAutospacing="0"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单位名称: 重庆市九龙坡区住房和城乡建设委员会  </w:t>
      </w:r>
    </w:p>
    <w:p w14:paraId="48E66940">
      <w:pPr>
        <w:pStyle w:val="55"/>
        <w:spacing w:before="0" w:beforeAutospacing="0" w:after="0" w:afterAutospacing="0"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u w:val="single"/>
        </w:rPr>
        <w:t>纳税人识别号：11500107009292855T</w:t>
      </w:r>
    </w:p>
    <w:p w14:paraId="05BC7BEC">
      <w:pPr>
        <w:pStyle w:val="55"/>
        <w:spacing w:before="0" w:beforeAutospacing="0" w:after="0" w:afterAutospacing="0"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地址：重庆市九龙坡区直港大道建设大厦13楼     电话：61577224 </w:t>
      </w:r>
    </w:p>
    <w:p w14:paraId="18BB2DE2">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u w:val="single"/>
        </w:rPr>
        <w:t>开户行及账号：</w:t>
      </w:r>
    </w:p>
    <w:p w14:paraId="02AAD94D">
      <w:pPr>
        <w:tabs>
          <w:tab w:val="left" w:pos="1260"/>
          <w:tab w:val="left" w:pos="1440"/>
        </w:tabs>
        <w:spacing w:line="360" w:lineRule="auto"/>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第七条</w:t>
      </w:r>
      <w:r>
        <w:rPr>
          <w:rFonts w:hint="eastAsia" w:ascii="仿宋" w:hAnsi="仿宋" w:eastAsia="仿宋" w:cs="仿宋"/>
          <w:color w:val="auto"/>
          <w:sz w:val="28"/>
          <w:szCs w:val="28"/>
        </w:rPr>
        <w:t>　双方同意用人民币以转账方式支付酬金。</w:t>
      </w:r>
    </w:p>
    <w:p w14:paraId="35AA8356">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咨询人的开户银行及账号</w:t>
      </w:r>
    </w:p>
    <w:p w14:paraId="0E69C0C3">
      <w:pPr>
        <w:pStyle w:val="55"/>
        <w:spacing w:before="0" w:beforeAutospacing="0" w:after="0" w:afterAutospacing="0" w:line="360" w:lineRule="auto"/>
        <w:ind w:firstLine="560"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开户银行：</w:t>
      </w:r>
    </w:p>
    <w:p w14:paraId="07D870EC">
      <w:pPr>
        <w:pStyle w:val="55"/>
        <w:spacing w:before="0" w:beforeAutospacing="0" w:after="0" w:afterAutospacing="0" w:line="360" w:lineRule="auto"/>
        <w:ind w:firstLine="560"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账    号：</w:t>
      </w:r>
    </w:p>
    <w:p w14:paraId="635EC4CC">
      <w:pPr>
        <w:pStyle w:val="55"/>
        <w:spacing w:before="0" w:beforeAutospacing="0" w:after="0" w:afterAutospacing="0" w:line="360" w:lineRule="auto"/>
        <w:ind w:firstLine="560" w:firstLineChars="200"/>
        <w:rPr>
          <w:rFonts w:ascii="仿宋" w:hAnsi="仿宋" w:eastAsia="仿宋" w:cs="仿宋"/>
          <w:b/>
          <w:bCs/>
          <w:color w:val="auto"/>
          <w:sz w:val="28"/>
          <w:szCs w:val="28"/>
          <w:u w:val="single"/>
        </w:rPr>
      </w:pPr>
      <w:r>
        <w:rPr>
          <w:rFonts w:hint="eastAsia" w:ascii="仿宋" w:hAnsi="仿宋" w:eastAsia="仿宋" w:cs="仿宋"/>
          <w:b/>
          <w:bCs/>
          <w:color w:val="auto"/>
          <w:sz w:val="28"/>
          <w:szCs w:val="28"/>
        </w:rPr>
        <w:t>开户名：</w:t>
      </w:r>
    </w:p>
    <w:p w14:paraId="66106E87">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b/>
          <w:color w:val="auto"/>
          <w:sz w:val="28"/>
          <w:szCs w:val="28"/>
        </w:rPr>
        <w:t>第八条</w:t>
      </w:r>
      <w:r>
        <w:rPr>
          <w:rFonts w:hint="eastAsia" w:ascii="仿宋" w:hAnsi="仿宋" w:eastAsia="仿宋" w:cs="仿宋"/>
          <w:color w:val="auto"/>
          <w:sz w:val="28"/>
          <w:szCs w:val="28"/>
        </w:rPr>
        <w:t>　建设工程施工阶段全过程控制合同在履行过程中发生争议，委托人与咨询人应及时协商解决；如未能达成一致，可提交有关主管部门调解；协商或调解不成的，按下列第</w:t>
      </w:r>
      <w:r>
        <w:rPr>
          <w:rFonts w:hint="eastAsia" w:ascii="仿宋" w:hAnsi="仿宋" w:eastAsia="仿宋" w:cs="仿宋"/>
          <w:color w:val="auto"/>
          <w:sz w:val="28"/>
          <w:szCs w:val="28"/>
          <w:u w:val="single"/>
        </w:rPr>
        <w:t>　（二）　</w:t>
      </w:r>
      <w:r>
        <w:rPr>
          <w:rFonts w:hint="eastAsia" w:ascii="仿宋" w:hAnsi="仿宋" w:eastAsia="仿宋" w:cs="仿宋"/>
          <w:color w:val="auto"/>
          <w:sz w:val="28"/>
          <w:szCs w:val="28"/>
        </w:rPr>
        <w:t>种方式解决：</w:t>
      </w:r>
    </w:p>
    <w:p w14:paraId="5D925A85">
      <w:pPr>
        <w:pStyle w:val="55"/>
        <w:spacing w:before="0" w:beforeAutospacing="0" w:after="0" w:afterAutospacing="0"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（一）提交重庆仲裁委员会仲裁；</w:t>
      </w:r>
    </w:p>
    <w:p w14:paraId="033049B4">
      <w:pPr>
        <w:pStyle w:val="55"/>
        <w:spacing w:before="0" w:beforeAutospacing="0" w:after="0" w:afterAutospacing="0"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（二）依法向委托人住所地人民法院起诉。</w:t>
      </w:r>
    </w:p>
    <w:p w14:paraId="68B19F06">
      <w:pPr>
        <w:pStyle w:val="55"/>
        <w:spacing w:before="0" w:beforeAutospacing="0" w:after="0" w:afterAutospacing="0" w:line="600" w:lineRule="exact"/>
        <w:ind w:firstLine="560" w:firstLineChars="200"/>
        <w:rPr>
          <w:rFonts w:ascii="仿宋" w:hAnsi="仿宋" w:eastAsia="仿宋" w:cs="仿宋"/>
          <w:color w:val="auto"/>
          <w:sz w:val="28"/>
          <w:szCs w:val="28"/>
        </w:rPr>
      </w:pPr>
      <w:r>
        <w:rPr>
          <w:rFonts w:hint="eastAsia" w:ascii="仿宋" w:hAnsi="仿宋" w:eastAsia="仿宋" w:cs="仿宋"/>
          <w:b/>
          <w:bCs/>
          <w:color w:val="auto"/>
          <w:sz w:val="28"/>
          <w:szCs w:val="28"/>
        </w:rPr>
        <w:t>第九条</w:t>
      </w:r>
      <w:r>
        <w:rPr>
          <w:rFonts w:hint="eastAsia" w:ascii="仿宋" w:hAnsi="仿宋" w:eastAsia="仿宋" w:cs="仿宋"/>
          <w:color w:val="auto"/>
          <w:sz w:val="28"/>
          <w:szCs w:val="28"/>
        </w:rPr>
        <w:t>通知与送达</w:t>
      </w:r>
    </w:p>
    <w:p w14:paraId="2B8E6190">
      <w:pPr>
        <w:pStyle w:val="55"/>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委托人通信地址：九龙坡区直港大道建设大厦13楼管线科</w:t>
      </w:r>
    </w:p>
    <w:p w14:paraId="69DCDD0A">
      <w:pPr>
        <w:pStyle w:val="55"/>
        <w:spacing w:line="60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           联系电话：</w:t>
      </w:r>
      <w:r>
        <w:rPr>
          <w:rFonts w:hint="eastAsia" w:ascii="仿宋" w:hAnsi="仿宋" w:eastAsia="仿宋" w:cs="仿宋"/>
          <w:color w:val="auto"/>
          <w:sz w:val="28"/>
          <w:szCs w:val="28"/>
          <w:lang w:val="en-US" w:eastAsia="zh-CN"/>
        </w:rPr>
        <w:t xml:space="preserve"> </w:t>
      </w:r>
    </w:p>
    <w:p w14:paraId="139F406F">
      <w:pPr>
        <w:pStyle w:val="55"/>
        <w:spacing w:line="60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代建人通信地址：</w:t>
      </w:r>
    </w:p>
    <w:p w14:paraId="7F2E689C">
      <w:pPr>
        <w:pStyle w:val="55"/>
        <w:spacing w:line="6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联系人：           联系电话：</w:t>
      </w:r>
    </w:p>
    <w:p w14:paraId="50D1DF4A">
      <w:pPr>
        <w:pStyle w:val="55"/>
        <w:spacing w:line="60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咨询人通信地址：</w:t>
      </w:r>
      <w:r>
        <w:rPr>
          <w:rFonts w:hint="eastAsia" w:ascii="仿宋" w:hAnsi="仿宋" w:eastAsia="仿宋" w:cs="仿宋"/>
          <w:color w:val="auto"/>
          <w:sz w:val="28"/>
          <w:szCs w:val="28"/>
          <w:lang w:val="en-US" w:eastAsia="zh-CN"/>
        </w:rPr>
        <w:t xml:space="preserve"> </w:t>
      </w:r>
    </w:p>
    <w:p w14:paraId="4A5F9B2E">
      <w:pPr>
        <w:pStyle w:val="55"/>
        <w:spacing w:line="60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          联系电话：</w:t>
      </w:r>
    </w:p>
    <w:p w14:paraId="203516C0">
      <w:pPr>
        <w:pStyle w:val="55"/>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双方在履行本合同过程中所发出的通知、函件、文件等，可直接送达，也可邮寄，邮寄应以邮政特快专递按本合同所列通信地址寄发。按照本合同约定的送达地址进行送达的，由任何人签收均视为当事人签收。受送达人拒收的，不影响送达的效力。从发出之日起第五日视为收到。一方通讯地址发生变动的，应当提前书面通知对方，否则原通讯地址仍有效，按原地址寄发的文件视为成功送达。</w:t>
      </w:r>
    </w:p>
    <w:p w14:paraId="6A7D1D6D">
      <w:pPr>
        <w:pStyle w:val="55"/>
        <w:spacing w:before="0" w:beforeAutospacing="0" w:after="0" w:afterAutospacing="0"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双方因履行本合同产生争议的，上述送达地址亦作为司法机关在包括但不限于一审、二审、再审、执行等司法诉讼程序或仲裁机构在仲裁程序中向双方送达通知、法律文书的有效送达地址。</w:t>
      </w:r>
    </w:p>
    <w:p w14:paraId="1305E36B">
      <w:pPr>
        <w:pStyle w:val="55"/>
        <w:spacing w:before="0" w:beforeAutospacing="0" w:after="0" w:afterAutospacing="0" w:line="600" w:lineRule="exact"/>
        <w:rPr>
          <w:rFonts w:ascii="仿宋" w:hAnsi="仿宋" w:eastAsia="仿宋" w:cs="仿宋"/>
          <w:color w:val="auto"/>
          <w:sz w:val="28"/>
          <w:szCs w:val="28"/>
        </w:rPr>
      </w:pPr>
    </w:p>
    <w:p w14:paraId="278DA1D7">
      <w:pPr>
        <w:pStyle w:val="55"/>
        <w:spacing w:before="0" w:beforeAutospacing="0" w:after="0" w:afterAutospacing="0" w:line="600" w:lineRule="exact"/>
        <w:rPr>
          <w:rFonts w:ascii="仿宋" w:hAnsi="仿宋" w:eastAsia="仿宋" w:cs="仿宋"/>
          <w:color w:val="auto"/>
          <w:sz w:val="28"/>
          <w:szCs w:val="28"/>
        </w:rPr>
      </w:pPr>
      <w:r>
        <w:rPr>
          <w:rFonts w:hint="eastAsia" w:ascii="仿宋" w:hAnsi="仿宋" w:eastAsia="仿宋" w:cs="仿宋"/>
          <w:color w:val="auto"/>
          <w:sz w:val="28"/>
          <w:szCs w:val="28"/>
        </w:rPr>
        <w:t xml:space="preserve">    附件一：建设工程施工阶段全过程控制的任务和要求</w:t>
      </w:r>
    </w:p>
    <w:p w14:paraId="454ADFB6">
      <w:pPr>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附件二：跟踪审核合同违约责任附加协议条款</w:t>
      </w:r>
    </w:p>
    <w:p w14:paraId="06660474">
      <w:pPr>
        <w:pStyle w:val="55"/>
        <w:spacing w:before="0" w:beforeAutospacing="0" w:after="0" w:afterAutospacing="0" w:line="600" w:lineRule="exact"/>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附件三：廉洁公约</w:t>
      </w:r>
    </w:p>
    <w:p w14:paraId="39643E2A">
      <w:pPr>
        <w:pStyle w:val="55"/>
        <w:spacing w:before="0" w:beforeAutospacing="0" w:after="0" w:afterAutospacing="0" w:line="600" w:lineRule="exact"/>
        <w:ind w:firstLine="560" w:firstLineChars="200"/>
        <w:rPr>
          <w:rFonts w:ascii="仿宋" w:hAnsi="仿宋" w:eastAsia="仿宋" w:cs="仿宋"/>
          <w:color w:val="auto"/>
          <w:sz w:val="28"/>
          <w:szCs w:val="28"/>
        </w:rPr>
      </w:pPr>
    </w:p>
    <w:p w14:paraId="28D0AD4A">
      <w:pPr>
        <w:pStyle w:val="55"/>
        <w:spacing w:before="0" w:beforeAutospacing="0" w:after="0" w:afterAutospacing="0" w:line="600" w:lineRule="exact"/>
        <w:ind w:firstLine="560" w:firstLineChars="200"/>
        <w:rPr>
          <w:rFonts w:ascii="仿宋" w:hAnsi="仿宋" w:eastAsia="仿宋" w:cs="仿宋"/>
          <w:color w:val="auto"/>
          <w:sz w:val="28"/>
          <w:szCs w:val="28"/>
        </w:rPr>
      </w:pPr>
    </w:p>
    <w:p w14:paraId="26B614E5">
      <w:pPr>
        <w:pStyle w:val="55"/>
        <w:spacing w:before="0" w:beforeAutospacing="0" w:after="0" w:afterAutospacing="0" w:line="600" w:lineRule="exact"/>
        <w:ind w:firstLine="560" w:firstLineChars="200"/>
        <w:rPr>
          <w:rFonts w:ascii="仿宋" w:hAnsi="仿宋" w:eastAsia="仿宋" w:cs="仿宋"/>
          <w:color w:val="auto"/>
          <w:sz w:val="28"/>
          <w:szCs w:val="28"/>
        </w:rPr>
      </w:pPr>
    </w:p>
    <w:p w14:paraId="0C2B9D67">
      <w:pPr>
        <w:pStyle w:val="55"/>
        <w:spacing w:before="0" w:beforeAutospacing="0" w:after="0" w:afterAutospacing="0" w:line="600" w:lineRule="exact"/>
        <w:ind w:firstLine="560" w:firstLineChars="200"/>
        <w:rPr>
          <w:rFonts w:ascii="仿宋" w:hAnsi="仿宋" w:eastAsia="仿宋" w:cs="仿宋"/>
          <w:color w:val="auto"/>
          <w:sz w:val="28"/>
          <w:szCs w:val="28"/>
        </w:rPr>
      </w:pPr>
    </w:p>
    <w:p w14:paraId="3C9762EA">
      <w:pPr>
        <w:pStyle w:val="55"/>
        <w:spacing w:before="0" w:beforeAutospacing="0" w:after="0" w:afterAutospacing="0" w:line="600" w:lineRule="exact"/>
        <w:ind w:firstLine="560" w:firstLineChars="200"/>
        <w:rPr>
          <w:rFonts w:ascii="仿宋" w:hAnsi="仿宋" w:eastAsia="仿宋" w:cs="仿宋"/>
          <w:color w:val="auto"/>
          <w:sz w:val="28"/>
          <w:szCs w:val="28"/>
        </w:rPr>
      </w:pPr>
    </w:p>
    <w:p w14:paraId="769E7242">
      <w:pPr>
        <w:pStyle w:val="55"/>
        <w:spacing w:before="0" w:beforeAutospacing="0" w:after="0" w:afterAutospacing="0" w:line="600" w:lineRule="exact"/>
        <w:rPr>
          <w:rFonts w:ascii="仿宋" w:hAnsi="仿宋" w:eastAsia="仿宋" w:cs="仿宋"/>
          <w:color w:val="auto"/>
          <w:sz w:val="28"/>
          <w:szCs w:val="28"/>
        </w:rPr>
      </w:pPr>
    </w:p>
    <w:p w14:paraId="7E2FF39C">
      <w:pPr>
        <w:pStyle w:val="55"/>
        <w:spacing w:before="0" w:beforeAutospacing="0" w:after="0" w:afterAutospacing="0" w:line="600" w:lineRule="exact"/>
        <w:rPr>
          <w:rFonts w:ascii="仿宋" w:hAnsi="仿宋" w:eastAsia="仿宋" w:cs="仿宋"/>
          <w:color w:val="auto"/>
          <w:sz w:val="28"/>
          <w:szCs w:val="28"/>
        </w:rPr>
      </w:pPr>
    </w:p>
    <w:p w14:paraId="7219210C">
      <w:pPr>
        <w:pStyle w:val="55"/>
        <w:spacing w:before="0" w:beforeAutospacing="0" w:after="0" w:afterAutospacing="0" w:line="600" w:lineRule="exact"/>
        <w:rPr>
          <w:rFonts w:ascii="仿宋" w:hAnsi="仿宋" w:eastAsia="仿宋" w:cs="仿宋"/>
          <w:color w:val="auto"/>
          <w:sz w:val="28"/>
          <w:szCs w:val="28"/>
        </w:rPr>
      </w:pPr>
    </w:p>
    <w:p w14:paraId="34D01420">
      <w:pPr>
        <w:pStyle w:val="55"/>
        <w:spacing w:before="0" w:beforeAutospacing="0" w:after="0" w:afterAutospacing="0" w:line="600" w:lineRule="exact"/>
        <w:rPr>
          <w:rFonts w:ascii="仿宋" w:hAnsi="仿宋" w:eastAsia="仿宋" w:cs="仿宋"/>
          <w:color w:val="auto"/>
          <w:sz w:val="28"/>
          <w:szCs w:val="28"/>
        </w:rPr>
      </w:pPr>
    </w:p>
    <w:p w14:paraId="43682994">
      <w:pPr>
        <w:pStyle w:val="55"/>
        <w:spacing w:before="0" w:beforeAutospacing="0" w:after="0" w:afterAutospacing="0" w:line="600" w:lineRule="exact"/>
        <w:rPr>
          <w:rFonts w:ascii="仿宋" w:hAnsi="仿宋" w:eastAsia="仿宋" w:cs="仿宋"/>
          <w:color w:val="auto"/>
          <w:sz w:val="28"/>
          <w:szCs w:val="28"/>
        </w:rPr>
      </w:pPr>
    </w:p>
    <w:p w14:paraId="22C48A88">
      <w:pPr>
        <w:spacing w:line="600" w:lineRule="exact"/>
        <w:rPr>
          <w:rFonts w:ascii="仿宋" w:hAnsi="仿宋" w:eastAsia="仿宋" w:cs="仿宋"/>
          <w:b/>
          <w:bCs/>
          <w:color w:val="auto"/>
          <w:kern w:val="44"/>
          <w:sz w:val="32"/>
          <w:szCs w:val="32"/>
        </w:rPr>
      </w:pPr>
      <w:r>
        <w:rPr>
          <w:rFonts w:hint="eastAsia" w:ascii="仿宋" w:hAnsi="仿宋" w:eastAsia="仿宋" w:cs="仿宋"/>
          <w:b/>
          <w:bCs/>
          <w:color w:val="auto"/>
          <w:kern w:val="44"/>
          <w:sz w:val="32"/>
          <w:szCs w:val="32"/>
        </w:rPr>
        <w:br w:type="page"/>
      </w:r>
      <w:r>
        <w:rPr>
          <w:rFonts w:hint="eastAsia" w:ascii="仿宋" w:hAnsi="仿宋" w:eastAsia="仿宋" w:cs="仿宋"/>
          <w:b/>
          <w:bCs/>
          <w:color w:val="auto"/>
          <w:kern w:val="44"/>
          <w:sz w:val="32"/>
          <w:szCs w:val="32"/>
        </w:rPr>
        <w:t>附件一：</w:t>
      </w:r>
    </w:p>
    <w:p w14:paraId="4AA38574">
      <w:pPr>
        <w:spacing w:line="600" w:lineRule="exact"/>
        <w:jc w:val="center"/>
        <w:rPr>
          <w:rFonts w:ascii="仿宋" w:hAnsi="仿宋" w:eastAsia="仿宋" w:cs="仿宋"/>
          <w:b/>
          <w:color w:val="auto"/>
          <w:sz w:val="36"/>
          <w:szCs w:val="36"/>
        </w:rPr>
      </w:pPr>
      <w:r>
        <w:rPr>
          <w:rFonts w:hint="eastAsia" w:ascii="仿宋" w:hAnsi="仿宋" w:eastAsia="仿宋" w:cs="仿宋"/>
          <w:b/>
          <w:color w:val="auto"/>
          <w:kern w:val="0"/>
          <w:sz w:val="36"/>
          <w:szCs w:val="36"/>
        </w:rPr>
        <w:t>建设工程施工阶段全过程控制</w:t>
      </w:r>
      <w:r>
        <w:rPr>
          <w:rFonts w:hint="eastAsia" w:ascii="仿宋" w:hAnsi="仿宋" w:eastAsia="仿宋" w:cs="仿宋"/>
          <w:b/>
          <w:color w:val="auto"/>
          <w:sz w:val="36"/>
          <w:szCs w:val="36"/>
        </w:rPr>
        <w:t>的任务和要求</w:t>
      </w:r>
    </w:p>
    <w:p w14:paraId="08E09180">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工程建设项目全过程控制包括了对项目决策、设计、施工图预算、招投标文件、合同、签证、变更、材料设备价格、索赔、隐蔽工程、施工单位结算书的量、价、费的审核等环节的经济活动及参与单位的相关经济行为进行全面、全程的审核。全过程控制阶段包括了前期审核、施工阶段审核、竣工结算阶段审核、后续服务及回访阶段和配合审计阶段。</w:t>
      </w:r>
    </w:p>
    <w:p w14:paraId="1874B859">
      <w:pPr>
        <w:widowControl/>
        <w:spacing w:line="600" w:lineRule="exact"/>
        <w:ind w:firstLine="560" w:firstLineChars="200"/>
        <w:jc w:val="left"/>
        <w:rPr>
          <w:rFonts w:ascii="仿宋" w:hAnsi="仿宋" w:eastAsia="仿宋" w:cs="仿宋"/>
          <w:b/>
          <w:color w:val="auto"/>
          <w:kern w:val="0"/>
          <w:sz w:val="28"/>
          <w:szCs w:val="28"/>
        </w:rPr>
      </w:pPr>
      <w:r>
        <w:rPr>
          <w:rFonts w:hint="eastAsia" w:ascii="仿宋" w:hAnsi="仿宋" w:eastAsia="仿宋" w:cs="仿宋"/>
          <w:b/>
          <w:color w:val="auto"/>
          <w:kern w:val="0"/>
          <w:sz w:val="28"/>
          <w:szCs w:val="28"/>
        </w:rPr>
        <w:t>一、任务</w:t>
      </w:r>
    </w:p>
    <w:p w14:paraId="465E3A89">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1、前期审核的主要任务</w:t>
      </w:r>
    </w:p>
    <w:p w14:paraId="3A32B184">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参与招标文件的讨论工作，编制并提交控制方案。</w:t>
      </w:r>
    </w:p>
    <w:p w14:paraId="23A48A4D">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2、施工阶段的主要任务</w:t>
      </w:r>
    </w:p>
    <w:p w14:paraId="3D96F92B">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1）审核施工图的预算，并按委托人的要求提供各项经济技术指标和测算资料；</w:t>
      </w:r>
    </w:p>
    <w:p w14:paraId="0CEBE596">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2）参与施工合同讨论、谈判及审核：参与合同讨论、谈判，并提出合理化的建议；审核合同文本是否标准，合同形式是否违法违规，相关条款是否齐全等；</w:t>
      </w:r>
    </w:p>
    <w:p w14:paraId="64674FDE">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3）根据施工承包合同价、进度计划，编制工程现金流量图表、用款计划书；编制并审核工程进度款，审核每月完成工程量及进度款的真实性和与工程施工形象进度的一致性，保障进度款按合同约定支付，杜绝提前支付或超支现象的发生。</w:t>
      </w:r>
    </w:p>
    <w:p w14:paraId="0662C9A9">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4）参与及审核主要材料、大型设备的选购及定价：编制及审核施工图材料清单，参与材料、设备供应厂家的考察及与供应商价格的谈判，以及对材料、设备的合理定价或认质核价提出建议意见；</w:t>
      </w:r>
    </w:p>
    <w:p w14:paraId="5B76C7C1">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5）参与隐蔽工程的收方、计量以及用材质量进行现场签证验收；</w:t>
      </w:r>
    </w:p>
    <w:p w14:paraId="00D05354">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6）对工程变更进行签证确认：审核变更是否按申报、论证、审批的程序进行，提供工程变更预算的预估，并对施工单位编制的变更预算进行审核；</w:t>
      </w:r>
    </w:p>
    <w:p w14:paraId="3E00B22B">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7）编制或审核预算：合同中暂估价、暂列金额等的施工图预算审核；</w:t>
      </w:r>
    </w:p>
    <w:p w14:paraId="05E7AB9C">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8）进行合同、支付台账、变更及签证、材料核价台账和索赔管理，以及各单项工程结算相关资料的收集与管理工作；</w:t>
      </w:r>
    </w:p>
    <w:p w14:paraId="53B0A134">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9）</w:t>
      </w:r>
      <w:r>
        <w:rPr>
          <w:rFonts w:hint="eastAsia" w:ascii="仿宋" w:hAnsi="仿宋" w:eastAsia="仿宋" w:cs="仿宋"/>
          <w:color w:val="auto"/>
          <w:sz w:val="28"/>
          <w:szCs w:val="28"/>
        </w:rPr>
        <w:t>定期参加每周工地例会和其它</w:t>
      </w:r>
      <w:r>
        <w:rPr>
          <w:rFonts w:hint="eastAsia" w:ascii="仿宋" w:hAnsi="仿宋" w:eastAsia="仿宋" w:cs="仿宋"/>
          <w:color w:val="auto"/>
          <w:kern w:val="0"/>
          <w:sz w:val="28"/>
          <w:szCs w:val="28"/>
        </w:rPr>
        <w:t>与造价控制有关的工程会议，并配合会议纪要的出具；</w:t>
      </w:r>
    </w:p>
    <w:p w14:paraId="30E03848">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10) 按时向委托方提供咨询工作周、月（期）报表。负责对承包人报送的每月（期）完成工程中期进度款支付月（期）报表进行审核，并提供当月（期）付款建议书；</w:t>
      </w:r>
    </w:p>
    <w:p w14:paraId="1FAEC042">
      <w:pPr>
        <w:widowControl/>
        <w:spacing w:line="600" w:lineRule="exact"/>
        <w:ind w:firstLine="420" w:firstLineChars="15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 xml:space="preserve"> 11）承发包方提出索赔时，依据承发包合同，提供咨询意见；</w:t>
      </w:r>
    </w:p>
    <w:p w14:paraId="43DED0AD">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12）协助业主及时审核因设计变更现场签证等发生的费用，相应调整造价控制目标，并向业主提供造价控制动态分析报告。</w:t>
      </w:r>
    </w:p>
    <w:p w14:paraId="43382614">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3、竣工结(决)算阶段的主要任务</w:t>
      </w:r>
    </w:p>
    <w:p w14:paraId="5D42DCBE">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1）工程结算审核</w:t>
      </w:r>
    </w:p>
    <w:p w14:paraId="40125067">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及时核定分阶段完工的单位工程结算；会同业主办理工程竣工结算，提供完整的结算报告及各项费用汇总表。</w:t>
      </w:r>
    </w:p>
    <w:p w14:paraId="2D6B5D4A">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主要审核合同约定的承包范围内工程量是否全部完工，设计变更、材料改代和现场签证手续是否完整，取费是否准确，工程结算是否按工程合同条款的约定办理等内容，出具项目竣工结算审核报告（含概算、结算对比分析表，以及超概原因说明等）；配合审计机关审计工作。</w:t>
      </w:r>
    </w:p>
    <w:p w14:paraId="69D8C147">
      <w:pPr>
        <w:widowControl/>
        <w:tabs>
          <w:tab w:val="left" w:pos="420"/>
        </w:tabs>
        <w:spacing w:line="600" w:lineRule="exact"/>
        <w:ind w:firstLine="48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2）配合工程竣工财务决算审核</w:t>
      </w:r>
    </w:p>
    <w:p w14:paraId="7F8AD277">
      <w:pPr>
        <w:widowControl/>
        <w:tabs>
          <w:tab w:val="left" w:pos="420"/>
        </w:tabs>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主要配合审核竣工决算的完整性、真实性和合法性，资金来源及到位情况，工程结算经过审核后工程款支付情况，支付是否合法合理，以及配合财务编制决算报表。</w:t>
      </w:r>
    </w:p>
    <w:p w14:paraId="40A20146">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4、后续服务及回访阶段的主要任务</w:t>
      </w:r>
    </w:p>
    <w:p w14:paraId="44761724">
      <w:pPr>
        <w:widowControl/>
        <w:spacing w:line="600" w:lineRule="exact"/>
        <w:ind w:firstLine="420" w:firstLineChars="15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提供在建设工程施工阶段全过程控制过程中造价控制相关的人工材料设备等造价信息和其他咨询服务。</w:t>
      </w:r>
    </w:p>
    <w:p w14:paraId="193451B0">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5、配合审计阶段的主要任务</w:t>
      </w:r>
    </w:p>
    <w:p w14:paraId="2438F5CE">
      <w:pPr>
        <w:widowControl/>
        <w:spacing w:line="60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在全过程控制过程中，按审计的要求和标准建立健全工程施工过程中必须完善和建立的各项制度，做到工程结束，各项资料等能满足审计的要求，待审计机构进场时，密切配合审计工作，为审计提供必要的问题解答等工作。</w:t>
      </w:r>
    </w:p>
    <w:p w14:paraId="313FD706">
      <w:pPr>
        <w:spacing w:line="600" w:lineRule="exact"/>
        <w:ind w:firstLine="546" w:firstLineChars="195"/>
        <w:rPr>
          <w:rFonts w:ascii="仿宋" w:hAnsi="仿宋" w:eastAsia="仿宋" w:cs="仿宋"/>
          <w:b/>
          <w:color w:val="auto"/>
          <w:sz w:val="28"/>
          <w:szCs w:val="28"/>
        </w:rPr>
      </w:pPr>
      <w:r>
        <w:rPr>
          <w:rFonts w:hint="eastAsia" w:ascii="仿宋" w:hAnsi="仿宋" w:eastAsia="仿宋" w:cs="仿宋"/>
          <w:b/>
          <w:color w:val="auto"/>
          <w:sz w:val="28"/>
          <w:szCs w:val="28"/>
        </w:rPr>
        <w:t>二、要求</w:t>
      </w:r>
    </w:p>
    <w:p w14:paraId="18D77FDC">
      <w:pPr>
        <w:spacing w:line="600" w:lineRule="exact"/>
        <w:rPr>
          <w:rFonts w:ascii="仿宋" w:hAnsi="仿宋" w:eastAsia="仿宋" w:cs="仿宋"/>
          <w:color w:val="auto"/>
          <w:sz w:val="28"/>
          <w:szCs w:val="28"/>
        </w:rPr>
      </w:pPr>
      <w:r>
        <w:rPr>
          <w:rFonts w:hint="eastAsia" w:ascii="仿宋" w:hAnsi="仿宋" w:eastAsia="仿宋" w:cs="仿宋"/>
          <w:color w:val="auto"/>
          <w:sz w:val="28"/>
          <w:szCs w:val="28"/>
        </w:rPr>
        <w:t xml:space="preserve">    1、编制及审核成果必须在规定的时间内提交；其成果必须要有编制人（为本单位注册的造价工程师）和审核人员（为本单位注册的造价工程师）签字，编制单位审核鉴章，力求准确、完整，其误差率不能超过±5%，且成果文件（含计算底稿）及最终结果文件以书面原件与相应电子文档（刻录光盘）提交，数量可根据需求提供；成果文件要求字迹清晰整齐，数字准确，各相关数据必须吻合一致，且相互有明确的索引及标识。</w:t>
      </w:r>
    </w:p>
    <w:p w14:paraId="36F849A9">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2、不同的单项工程中相同的工程子目的单价相同，相同材料价格单价相同。</w:t>
      </w:r>
    </w:p>
    <w:p w14:paraId="1C8D21B3">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3、提供单位工程的工程造价指标分析文件（工程量清单及组价阶段和工程结算）。</w:t>
      </w:r>
    </w:p>
    <w:p w14:paraId="567EF6AF">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4、编制及审核成果必须加盖执业章及审核单位公章。</w:t>
      </w:r>
    </w:p>
    <w:p w14:paraId="05EB35BF">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5、编制及审核成果中必须要有审核说明（包括审核的内容、审核的依据等相关内容）及单位工程汇总表，结果均保留到以“元”为单位。</w:t>
      </w:r>
    </w:p>
    <w:p w14:paraId="5B01A7B4">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6、咨询人在审核编制过程中，计量和计价时采用广联达软件或鹏业软件。</w:t>
      </w:r>
    </w:p>
    <w:p w14:paraId="2C5E2F57">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7、咨询人应根据本工程的专业特点要求成立相应符合资格要求的控制项目小组，小组成员应为咨询人的正式员工。项目小组成员的变动和调换必须事前征得委托人(或本工程代建单位)的书面同意。</w:t>
      </w:r>
    </w:p>
    <w:p w14:paraId="40C20B5B">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项目小组负责人，项目小组主要成员详见下表，项目小组负责人及成员必须安排在本项目上(服务于本项目的成员不得少于人（名单详见后附表），根据施工进度及专业需要陆续进场。)，项目负责人须出席涉及工程的每个重要会议，咨询人参与工程的人员数量必须满足工程的需要。</w:t>
      </w:r>
    </w:p>
    <w:p w14:paraId="517EFFA0">
      <w:pPr>
        <w:spacing w:line="6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8、咨询人必须按委托人要求每周或月向委托人提交编审工作情况汇报材料（包括编审内容、编审进展情况、编审过程中的问题以及建议意见等）。</w:t>
      </w:r>
    </w:p>
    <w:p w14:paraId="5F5B258F">
      <w:pPr>
        <w:spacing w:line="600" w:lineRule="exact"/>
        <w:ind w:firstLine="560" w:firstLineChars="200"/>
        <w:rPr>
          <w:rFonts w:ascii="仿宋" w:hAnsi="仿宋" w:eastAsia="仿宋" w:cs="仿宋"/>
          <w:color w:val="auto"/>
          <w:kern w:val="0"/>
          <w:sz w:val="28"/>
          <w:szCs w:val="28"/>
        </w:rPr>
      </w:pPr>
      <w:r>
        <w:rPr>
          <w:rFonts w:hint="eastAsia" w:ascii="仿宋" w:hAnsi="仿宋" w:eastAsia="仿宋" w:cs="仿宋"/>
          <w:color w:val="auto"/>
          <w:sz w:val="28"/>
          <w:szCs w:val="28"/>
        </w:rPr>
        <w:t>9、</w:t>
      </w:r>
      <w:r>
        <w:rPr>
          <w:rFonts w:hint="eastAsia" w:ascii="仿宋" w:hAnsi="仿宋" w:eastAsia="仿宋" w:cs="仿宋"/>
          <w:color w:val="auto"/>
          <w:kern w:val="0"/>
          <w:sz w:val="28"/>
          <w:szCs w:val="28"/>
        </w:rPr>
        <w:t>咨询人对本工程所有信息保密。</w:t>
      </w:r>
    </w:p>
    <w:p w14:paraId="6004A890">
      <w:pPr>
        <w:spacing w:line="600" w:lineRule="exact"/>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10、凡委托人要求增加的与本工程相关的工作，咨询人应无条件接受并立即实施，相关费用双方另行协商。</w:t>
      </w:r>
    </w:p>
    <w:p w14:paraId="780F0A49">
      <w:pPr>
        <w:spacing w:line="600" w:lineRule="exact"/>
        <w:ind w:firstLine="560" w:firstLineChars="200"/>
        <w:rPr>
          <w:rFonts w:ascii="仿宋" w:hAnsi="仿宋" w:eastAsia="仿宋" w:cs="仿宋"/>
          <w:color w:val="auto"/>
          <w:kern w:val="0"/>
          <w:sz w:val="28"/>
          <w:szCs w:val="28"/>
        </w:rPr>
      </w:pPr>
      <w:bookmarkStart w:id="164" w:name="_Toc282518032"/>
      <w:bookmarkStart w:id="165" w:name="_Toc282515639"/>
      <w:bookmarkStart w:id="166" w:name="_Toc282515234"/>
      <w:r>
        <w:rPr>
          <w:rFonts w:hint="eastAsia" w:ascii="仿宋" w:hAnsi="仿宋" w:eastAsia="仿宋" w:cs="仿宋"/>
          <w:color w:val="auto"/>
          <w:kern w:val="0"/>
          <w:sz w:val="28"/>
          <w:szCs w:val="28"/>
        </w:rPr>
        <w:t>11、项目小组工作人员名单</w:t>
      </w:r>
      <w:bookmarkEnd w:id="164"/>
      <w:bookmarkEnd w:id="165"/>
      <w:bookmarkEnd w:id="166"/>
    </w:p>
    <w:tbl>
      <w:tblPr>
        <w:tblStyle w:val="62"/>
        <w:tblpPr w:vertAnchor="text" w:horzAnchor="margin" w:tblpXSpec="center" w:tblpY="515"/>
        <w:tblW w:w="0" w:type="auto"/>
        <w:tblInd w:w="0" w:type="dxa"/>
        <w:tblLayout w:type="fixed"/>
        <w:tblCellMar>
          <w:top w:w="0" w:type="dxa"/>
          <w:left w:w="0" w:type="dxa"/>
          <w:bottom w:w="0" w:type="dxa"/>
          <w:right w:w="0" w:type="dxa"/>
        </w:tblCellMar>
      </w:tblPr>
      <w:tblGrid>
        <w:gridCol w:w="626"/>
        <w:gridCol w:w="1140"/>
        <w:gridCol w:w="1216"/>
        <w:gridCol w:w="1662"/>
        <w:gridCol w:w="1134"/>
        <w:gridCol w:w="1824"/>
        <w:gridCol w:w="1725"/>
      </w:tblGrid>
      <w:tr w14:paraId="50189F45">
        <w:tblPrEx>
          <w:tblCellMar>
            <w:top w:w="0" w:type="dxa"/>
            <w:left w:w="0" w:type="dxa"/>
            <w:bottom w:w="0" w:type="dxa"/>
            <w:right w:w="0" w:type="dxa"/>
          </w:tblCellMar>
        </w:tblPrEx>
        <w:trPr>
          <w:trHeight w:val="773" w:hRule="atLeast"/>
        </w:trPr>
        <w:tc>
          <w:tcPr>
            <w:tcW w:w="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68EEB4">
            <w:pPr>
              <w:jc w:val="center"/>
              <w:rPr>
                <w:rFonts w:ascii="仿宋" w:hAnsi="仿宋" w:eastAsia="仿宋" w:cs="仿宋"/>
                <w:color w:val="auto"/>
              </w:rPr>
            </w:pPr>
            <w:r>
              <w:rPr>
                <w:rFonts w:hint="eastAsia" w:ascii="仿宋" w:hAnsi="仿宋" w:eastAsia="仿宋" w:cs="仿宋"/>
                <w:color w:val="auto"/>
              </w:rPr>
              <w:t>序号</w:t>
            </w:r>
          </w:p>
        </w:tc>
        <w:tc>
          <w:tcPr>
            <w:tcW w:w="11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A97F49">
            <w:pPr>
              <w:jc w:val="center"/>
              <w:rPr>
                <w:rFonts w:ascii="仿宋" w:hAnsi="仿宋" w:eastAsia="仿宋" w:cs="仿宋"/>
                <w:color w:val="auto"/>
              </w:rPr>
            </w:pPr>
            <w:r>
              <w:rPr>
                <w:rFonts w:hint="eastAsia" w:ascii="仿宋" w:hAnsi="仿宋" w:eastAsia="仿宋" w:cs="仿宋"/>
                <w:color w:val="auto"/>
              </w:rPr>
              <w:t>工作人员姓名</w:t>
            </w:r>
          </w:p>
        </w:tc>
        <w:tc>
          <w:tcPr>
            <w:tcW w:w="121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98F251">
            <w:pPr>
              <w:jc w:val="center"/>
              <w:rPr>
                <w:rFonts w:ascii="仿宋" w:hAnsi="仿宋" w:eastAsia="仿宋" w:cs="仿宋"/>
                <w:color w:val="auto"/>
              </w:rPr>
            </w:pPr>
            <w:r>
              <w:rPr>
                <w:rFonts w:hint="eastAsia" w:ascii="仿宋" w:hAnsi="仿宋" w:eastAsia="仿宋" w:cs="仿宋"/>
                <w:color w:val="auto"/>
              </w:rPr>
              <w:t>职称</w:t>
            </w:r>
          </w:p>
        </w:tc>
        <w:tc>
          <w:tcPr>
            <w:tcW w:w="16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65A361">
            <w:pPr>
              <w:jc w:val="center"/>
              <w:rPr>
                <w:rFonts w:ascii="仿宋" w:hAnsi="仿宋" w:eastAsia="仿宋" w:cs="仿宋"/>
                <w:color w:val="auto"/>
              </w:rPr>
            </w:pPr>
            <w:r>
              <w:rPr>
                <w:rFonts w:hint="eastAsia" w:ascii="仿宋" w:hAnsi="仿宋" w:eastAsia="仿宋" w:cs="仿宋"/>
                <w:color w:val="auto"/>
              </w:rPr>
              <w:t>注册/执业资格</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367662">
            <w:pPr>
              <w:jc w:val="center"/>
              <w:rPr>
                <w:rFonts w:ascii="仿宋" w:hAnsi="仿宋" w:eastAsia="仿宋" w:cs="仿宋"/>
                <w:color w:val="auto"/>
              </w:rPr>
            </w:pPr>
            <w:r>
              <w:rPr>
                <w:rFonts w:hint="eastAsia" w:ascii="仿宋" w:hAnsi="仿宋" w:eastAsia="仿宋" w:cs="仿宋"/>
                <w:color w:val="auto"/>
              </w:rPr>
              <w:t>职务</w:t>
            </w:r>
          </w:p>
        </w:tc>
        <w:tc>
          <w:tcPr>
            <w:tcW w:w="18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092D35">
            <w:pPr>
              <w:jc w:val="center"/>
              <w:rPr>
                <w:rFonts w:ascii="仿宋" w:hAnsi="仿宋" w:eastAsia="仿宋" w:cs="仿宋"/>
                <w:color w:val="auto"/>
              </w:rPr>
            </w:pPr>
            <w:r>
              <w:rPr>
                <w:rFonts w:hint="eastAsia" w:ascii="仿宋" w:hAnsi="仿宋" w:eastAsia="仿宋" w:cs="仿宋"/>
                <w:color w:val="auto"/>
              </w:rPr>
              <w:t>基本职责</w:t>
            </w:r>
          </w:p>
        </w:tc>
        <w:tc>
          <w:tcPr>
            <w:tcW w:w="17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13D902">
            <w:pPr>
              <w:jc w:val="center"/>
              <w:rPr>
                <w:rFonts w:ascii="仿宋" w:hAnsi="仿宋" w:eastAsia="仿宋" w:cs="仿宋"/>
                <w:color w:val="auto"/>
              </w:rPr>
            </w:pPr>
            <w:r>
              <w:rPr>
                <w:rFonts w:hint="eastAsia" w:ascii="仿宋" w:hAnsi="仿宋" w:eastAsia="仿宋" w:cs="仿宋"/>
                <w:color w:val="auto"/>
              </w:rPr>
              <w:t>联系方式</w:t>
            </w:r>
          </w:p>
        </w:tc>
      </w:tr>
      <w:tr w14:paraId="4363A5B5">
        <w:tblPrEx>
          <w:tblCellMar>
            <w:top w:w="0" w:type="dxa"/>
            <w:left w:w="0" w:type="dxa"/>
            <w:bottom w:w="0" w:type="dxa"/>
            <w:right w:w="0" w:type="dxa"/>
          </w:tblCellMar>
        </w:tblPrEx>
        <w:trPr>
          <w:trHeight w:val="482" w:hRule="atLeast"/>
        </w:trPr>
        <w:tc>
          <w:tcPr>
            <w:tcW w:w="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3D19CA">
            <w:pPr>
              <w:jc w:val="center"/>
              <w:rPr>
                <w:rFonts w:ascii="仿宋" w:hAnsi="仿宋" w:eastAsia="仿宋" w:cs="仿宋"/>
                <w:color w:val="auto"/>
              </w:rPr>
            </w:pPr>
            <w:r>
              <w:rPr>
                <w:rFonts w:hint="eastAsia" w:ascii="仿宋" w:hAnsi="仿宋" w:eastAsia="仿宋" w:cs="仿宋"/>
                <w:color w:val="auto"/>
              </w:rPr>
              <w:t>1</w:t>
            </w:r>
          </w:p>
        </w:tc>
        <w:tc>
          <w:tcPr>
            <w:tcW w:w="11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31FAFC">
            <w:pPr>
              <w:jc w:val="center"/>
              <w:rPr>
                <w:rFonts w:hint="eastAsia" w:ascii="仿宋" w:hAnsi="仿宋" w:eastAsia="仿宋" w:cs="仿宋"/>
                <w:color w:val="auto"/>
                <w:lang w:eastAsia="zh-CN"/>
              </w:rPr>
            </w:pPr>
          </w:p>
        </w:tc>
        <w:tc>
          <w:tcPr>
            <w:tcW w:w="121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CCF3FC">
            <w:pPr>
              <w:jc w:val="center"/>
              <w:rPr>
                <w:rFonts w:ascii="仿宋" w:hAnsi="仿宋" w:eastAsia="仿宋" w:cs="仿宋"/>
                <w:color w:val="auto"/>
              </w:rPr>
            </w:pPr>
          </w:p>
        </w:tc>
        <w:tc>
          <w:tcPr>
            <w:tcW w:w="16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62571D">
            <w:pPr>
              <w:jc w:val="center"/>
              <w:rPr>
                <w:rFonts w:ascii="仿宋" w:hAnsi="仿宋" w:eastAsia="仿宋" w:cs="仿宋"/>
                <w:color w:val="auto"/>
              </w:rPr>
            </w:pP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F96CBB">
            <w:pPr>
              <w:jc w:val="center"/>
              <w:rPr>
                <w:rFonts w:ascii="仿宋" w:hAnsi="仿宋" w:eastAsia="仿宋" w:cs="仿宋"/>
                <w:color w:val="auto"/>
              </w:rPr>
            </w:pPr>
          </w:p>
        </w:tc>
        <w:tc>
          <w:tcPr>
            <w:tcW w:w="18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BF0C8C">
            <w:pPr>
              <w:jc w:val="center"/>
              <w:rPr>
                <w:rFonts w:ascii="仿宋" w:hAnsi="仿宋" w:eastAsia="仿宋" w:cs="仿宋"/>
                <w:color w:val="auto"/>
              </w:rPr>
            </w:pPr>
          </w:p>
        </w:tc>
        <w:tc>
          <w:tcPr>
            <w:tcW w:w="17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769362">
            <w:pPr>
              <w:jc w:val="center"/>
              <w:rPr>
                <w:rFonts w:hint="default" w:ascii="仿宋" w:hAnsi="仿宋" w:eastAsia="仿宋" w:cs="仿宋"/>
                <w:color w:val="auto"/>
                <w:lang w:val="en-US" w:eastAsia="zh-CN"/>
              </w:rPr>
            </w:pPr>
          </w:p>
        </w:tc>
      </w:tr>
      <w:tr w14:paraId="768390CE">
        <w:tblPrEx>
          <w:tblCellMar>
            <w:top w:w="0" w:type="dxa"/>
            <w:left w:w="0" w:type="dxa"/>
            <w:bottom w:w="0" w:type="dxa"/>
            <w:right w:w="0" w:type="dxa"/>
          </w:tblCellMar>
        </w:tblPrEx>
        <w:trPr>
          <w:trHeight w:val="568" w:hRule="atLeast"/>
        </w:trPr>
        <w:tc>
          <w:tcPr>
            <w:tcW w:w="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9B778B">
            <w:pPr>
              <w:jc w:val="center"/>
              <w:rPr>
                <w:rFonts w:hint="eastAsia" w:ascii="仿宋" w:hAnsi="仿宋" w:eastAsia="仿宋" w:cs="仿宋"/>
                <w:color w:val="auto"/>
                <w:lang w:eastAsia="zh-CN"/>
              </w:rPr>
            </w:pPr>
            <w:r>
              <w:rPr>
                <w:rFonts w:hint="eastAsia" w:ascii="仿宋" w:hAnsi="仿宋" w:eastAsia="仿宋" w:cs="仿宋"/>
                <w:color w:val="auto"/>
                <w:lang w:val="en-US" w:eastAsia="zh-CN"/>
              </w:rPr>
              <w:t>2</w:t>
            </w:r>
          </w:p>
        </w:tc>
        <w:tc>
          <w:tcPr>
            <w:tcW w:w="11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BC7DC2">
            <w:pPr>
              <w:jc w:val="center"/>
              <w:rPr>
                <w:rFonts w:hint="default" w:ascii="仿宋" w:hAnsi="仿宋" w:eastAsia="仿宋" w:cs="仿宋"/>
                <w:color w:val="auto"/>
                <w:lang w:val="en-US" w:eastAsia="zh-CN"/>
              </w:rPr>
            </w:pPr>
          </w:p>
        </w:tc>
        <w:tc>
          <w:tcPr>
            <w:tcW w:w="121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778400">
            <w:pPr>
              <w:jc w:val="center"/>
              <w:rPr>
                <w:rFonts w:hint="default" w:ascii="仿宋" w:hAnsi="仿宋" w:eastAsia="仿宋" w:cs="仿宋"/>
                <w:color w:val="auto"/>
                <w:lang w:val="en-US" w:eastAsia="zh-CN"/>
              </w:rPr>
            </w:pPr>
          </w:p>
        </w:tc>
        <w:tc>
          <w:tcPr>
            <w:tcW w:w="16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447497">
            <w:pPr>
              <w:jc w:val="center"/>
              <w:rPr>
                <w:rFonts w:hint="default" w:ascii="仿宋" w:hAnsi="仿宋" w:eastAsia="仿宋" w:cs="仿宋"/>
                <w:color w:val="auto"/>
                <w:lang w:val="en-US" w:eastAsia="zh-CN"/>
              </w:rPr>
            </w:pP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478B4D">
            <w:pPr>
              <w:jc w:val="center"/>
              <w:rPr>
                <w:rFonts w:hint="default" w:ascii="仿宋" w:hAnsi="仿宋" w:eastAsia="仿宋" w:cs="仿宋"/>
                <w:color w:val="auto"/>
                <w:lang w:val="en-US" w:eastAsia="zh-CN"/>
              </w:rPr>
            </w:pPr>
          </w:p>
        </w:tc>
        <w:tc>
          <w:tcPr>
            <w:tcW w:w="18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53C677">
            <w:pPr>
              <w:jc w:val="center"/>
              <w:rPr>
                <w:rFonts w:hint="default" w:ascii="仿宋" w:hAnsi="仿宋" w:eastAsia="仿宋" w:cs="仿宋"/>
                <w:color w:val="auto"/>
                <w:lang w:val="en-US" w:eastAsia="zh-CN"/>
              </w:rPr>
            </w:pPr>
          </w:p>
        </w:tc>
        <w:tc>
          <w:tcPr>
            <w:tcW w:w="17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77FAB1">
            <w:pPr>
              <w:jc w:val="center"/>
              <w:rPr>
                <w:rFonts w:hint="default" w:ascii="仿宋" w:hAnsi="仿宋" w:eastAsia="仿宋" w:cs="仿宋"/>
                <w:color w:val="auto"/>
                <w:lang w:val="en-US" w:eastAsia="zh-CN"/>
              </w:rPr>
            </w:pPr>
          </w:p>
        </w:tc>
      </w:tr>
    </w:tbl>
    <w:p w14:paraId="01474789">
      <w:pPr>
        <w:spacing w:line="360" w:lineRule="auto"/>
        <w:outlineLvl w:val="1"/>
        <w:rPr>
          <w:rFonts w:ascii="仿宋" w:hAnsi="仿宋" w:eastAsia="仿宋" w:cs="仿宋"/>
          <w:b/>
          <w:color w:val="auto"/>
          <w:sz w:val="24"/>
        </w:rPr>
      </w:pPr>
    </w:p>
    <w:p w14:paraId="1330DAB9">
      <w:pPr>
        <w:spacing w:line="360" w:lineRule="auto"/>
        <w:ind w:left="2185" w:leftChars="285" w:hanging="1387" w:hangingChars="578"/>
        <w:outlineLvl w:val="1"/>
        <w:rPr>
          <w:rFonts w:ascii="仿宋" w:hAnsi="仿宋" w:eastAsia="仿宋" w:cs="仿宋"/>
          <w:b/>
          <w:color w:val="auto"/>
          <w:sz w:val="24"/>
        </w:rPr>
      </w:pPr>
    </w:p>
    <w:p w14:paraId="015B9EDA">
      <w:pPr>
        <w:spacing w:line="360" w:lineRule="auto"/>
        <w:ind w:left="2185" w:leftChars="285" w:hanging="1387" w:hangingChars="578"/>
        <w:outlineLvl w:val="1"/>
        <w:rPr>
          <w:rFonts w:ascii="仿宋" w:hAnsi="仿宋" w:eastAsia="仿宋" w:cs="仿宋"/>
          <w:b/>
          <w:color w:val="auto"/>
          <w:sz w:val="24"/>
        </w:rPr>
      </w:pPr>
    </w:p>
    <w:p w14:paraId="17757BB1">
      <w:pPr>
        <w:keepNext/>
        <w:keepLines/>
        <w:spacing w:before="340" w:after="330" w:line="360" w:lineRule="exact"/>
        <w:outlineLvl w:val="0"/>
        <w:rPr>
          <w:rFonts w:ascii="仿宋_GB2312" w:hAnsi="宋体" w:eastAsia="仿宋_GB2312"/>
          <w:b/>
          <w:bCs/>
          <w:color w:val="auto"/>
          <w:kern w:val="44"/>
          <w:sz w:val="32"/>
          <w:szCs w:val="32"/>
        </w:rPr>
      </w:pPr>
      <w:r>
        <w:rPr>
          <w:rFonts w:hint="eastAsia" w:ascii="仿宋_GB2312" w:hAnsi="宋体" w:eastAsia="仿宋_GB2312"/>
          <w:b/>
          <w:bCs/>
          <w:color w:val="auto"/>
          <w:kern w:val="44"/>
          <w:sz w:val="32"/>
          <w:szCs w:val="32"/>
        </w:rPr>
        <w:br w:type="page"/>
      </w:r>
      <w:r>
        <w:rPr>
          <w:rFonts w:hint="eastAsia" w:ascii="仿宋_GB2312" w:hAnsi="宋体" w:eastAsia="仿宋_GB2312"/>
          <w:b/>
          <w:bCs/>
          <w:color w:val="auto"/>
          <w:kern w:val="44"/>
          <w:sz w:val="32"/>
          <w:szCs w:val="32"/>
        </w:rPr>
        <w:t>附件二、跟踪审核合同违约责任附加协议条款</w:t>
      </w:r>
    </w:p>
    <w:p w14:paraId="6BF3ED46">
      <w:pPr>
        <w:widowControl/>
        <w:spacing w:line="600" w:lineRule="exact"/>
        <w:ind w:firstLine="480" w:firstLineChars="200"/>
        <w:jc w:val="left"/>
        <w:rPr>
          <w:rFonts w:ascii="方正仿宋_GBK" w:hAnsi="宋体" w:eastAsia="方正仿宋_GBK" w:cs="宋体"/>
          <w:color w:val="auto"/>
          <w:kern w:val="0"/>
          <w:sz w:val="28"/>
          <w:szCs w:val="28"/>
        </w:rPr>
      </w:pPr>
      <w:r>
        <w:rPr>
          <w:rFonts w:hint="eastAsia" w:ascii="仿宋_GB2312" w:hAnsi="宋体" w:eastAsia="仿宋_GB2312"/>
          <w:color w:val="auto"/>
          <w:sz w:val="24"/>
          <w:szCs w:val="21"/>
        </w:rPr>
        <w:t>一、</w:t>
      </w:r>
      <w:r>
        <w:rPr>
          <w:rFonts w:hint="eastAsia" w:ascii="方正仿宋_GBK" w:hAnsi="宋体" w:eastAsia="方正仿宋_GBK" w:cs="宋体"/>
          <w:color w:val="auto"/>
          <w:kern w:val="0"/>
          <w:sz w:val="28"/>
          <w:szCs w:val="28"/>
        </w:rPr>
        <w:t>咨询人应全过程、全方位地参与工程造价的跟踪审核、控制，对工程洽谈、现场计量、现场收方、变更、签证等事宜进行监督和审核，若由于咨询人的不履行职责、不当履行职责、咨询不力、责任心不强等原因给工程造成损失、停工、延期等问题，委托人有权更换咨询人员包括项目负责人，直至终止合同，清退咨询人，并要求咨询人承担相应的赔偿责任或连带赔偿责任。</w:t>
      </w:r>
    </w:p>
    <w:p w14:paraId="36B3D58C">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二、因咨询人原因，跟踪审核合同终止后，委托人不再支付任何费用，咨询人不能以任何理由向委托人提出补偿和赔偿，且咨询人还应按本合同约定继续承担相应的违约责任。</w:t>
      </w:r>
    </w:p>
    <w:p w14:paraId="560552A1">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三、咨询人违约金支付细则</w:t>
      </w:r>
    </w:p>
    <w:p w14:paraId="0CDA04AF">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（一）咨询人必须按照合同要求配备人员，如咨询人未经委托人批准，擅自更换项目负责人、常驻现场咨询人员或其他咨询人员，委托人将对咨询人进行处罚。擅自更换项目负责人，处咨询人</w:t>
      </w:r>
      <w:r>
        <w:rPr>
          <w:rFonts w:ascii="方正仿宋_GBK" w:hAnsi="宋体" w:eastAsia="方正仿宋_GBK" w:cs="宋体"/>
          <w:color w:val="auto"/>
          <w:kern w:val="0"/>
          <w:sz w:val="28"/>
          <w:szCs w:val="28"/>
          <w:u w:val="single"/>
        </w:rPr>
        <w:t xml:space="preserve"> 5000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次违约金；擅自更换常驻现场负责人（项目副经理），处咨询人</w:t>
      </w:r>
      <w:r>
        <w:rPr>
          <w:rFonts w:ascii="方正仿宋_GBK" w:hAnsi="宋体" w:eastAsia="方正仿宋_GBK" w:cs="宋体"/>
          <w:color w:val="auto"/>
          <w:kern w:val="0"/>
          <w:sz w:val="28"/>
          <w:szCs w:val="28"/>
          <w:u w:val="single"/>
        </w:rPr>
        <w:t xml:space="preserve"> 3000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次违约金；擅自更换常驻现场咨询人员，处咨询人</w:t>
      </w:r>
      <w:r>
        <w:rPr>
          <w:rFonts w:ascii="方正仿宋_GBK" w:hAnsi="宋体" w:eastAsia="方正仿宋_GBK" w:cs="宋体"/>
          <w:color w:val="auto"/>
          <w:kern w:val="0"/>
          <w:sz w:val="28"/>
          <w:szCs w:val="28"/>
          <w:u w:val="single"/>
        </w:rPr>
        <w:t>2000</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次违约金；擅自更换其他咨询人员，处咨询人</w:t>
      </w:r>
      <w:r>
        <w:rPr>
          <w:rFonts w:ascii="方正仿宋_GBK" w:hAnsi="宋体" w:eastAsia="方正仿宋_GBK" w:cs="宋体"/>
          <w:color w:val="auto"/>
          <w:kern w:val="0"/>
          <w:sz w:val="28"/>
          <w:szCs w:val="28"/>
          <w:u w:val="single"/>
        </w:rPr>
        <w:t xml:space="preserve"> 1000</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次违约金。如咨询人员不称职，委托人提出要求更换，咨询人必须在当天更换相关人员。若不及时更换，则按每人</w:t>
      </w:r>
      <w:r>
        <w:rPr>
          <w:rFonts w:hint="eastAsia" w:ascii="方正仿宋_GBK" w:hAnsi="宋体" w:eastAsia="方正仿宋_GBK" w:cs="宋体"/>
          <w:color w:val="auto"/>
          <w:kern w:val="0"/>
          <w:sz w:val="28"/>
          <w:szCs w:val="28"/>
          <w:u w:val="single"/>
        </w:rPr>
        <w:t>1</w:t>
      </w:r>
      <w:r>
        <w:rPr>
          <w:rFonts w:ascii="方正仿宋_GBK" w:hAnsi="宋体" w:eastAsia="方正仿宋_GBK" w:cs="宋体"/>
          <w:color w:val="auto"/>
          <w:kern w:val="0"/>
          <w:sz w:val="28"/>
          <w:szCs w:val="28"/>
          <w:u w:val="single"/>
        </w:rPr>
        <w:t xml:space="preserve">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天向委托人支付违约金。</w:t>
      </w:r>
    </w:p>
    <w:p w14:paraId="0BE36E52">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（二）咨询人委派的项目负责人及常驻现场人员须按照合同约定的时间要求驻现场办公，到场时间计算以咨询人委派人员到委托人项目部考勤为准，如咨询人员月驻场时间未达合同约定的</w:t>
      </w:r>
      <w:r>
        <w:rPr>
          <w:rFonts w:ascii="方正仿宋_GBK" w:hAnsi="宋体" w:eastAsia="方正仿宋_GBK" w:cs="宋体"/>
          <w:color w:val="auto"/>
          <w:kern w:val="0"/>
          <w:sz w:val="28"/>
          <w:szCs w:val="28"/>
        </w:rPr>
        <w:t>70%</w:t>
      </w:r>
      <w:r>
        <w:rPr>
          <w:rFonts w:hint="eastAsia" w:ascii="方正仿宋_GBK" w:hAnsi="宋体" w:eastAsia="方正仿宋_GBK" w:cs="宋体"/>
          <w:color w:val="auto"/>
          <w:kern w:val="0"/>
          <w:sz w:val="28"/>
          <w:szCs w:val="28"/>
        </w:rPr>
        <w:t>，则视为不称职，除按前述约定支付违约金外，委托人提出要求更换，咨询人必须在当天更换相关人员。若不及时更换而现场无咨询人员的</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则按每人</w:t>
      </w:r>
      <w:r>
        <w:rPr>
          <w:rFonts w:ascii="方正仿宋_GBK" w:hAnsi="宋体" w:eastAsia="方正仿宋_GBK" w:cs="宋体"/>
          <w:color w:val="auto"/>
          <w:kern w:val="0"/>
          <w:sz w:val="28"/>
          <w:szCs w:val="28"/>
          <w:u w:val="single"/>
        </w:rPr>
        <w:t xml:space="preserve"> 1000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天向委托人支付违约金。</w:t>
      </w:r>
    </w:p>
    <w:p w14:paraId="68F03A45">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三）咨询人委派的项目负责人及常驻现场人员须按照合同约定及委托人现场管理需求参加项目相关会议，项目负责人需参加委托人项目负责人（及项目负责人以上领导）主持的或委托人通知咨询人项目负责人参加的会议，每缺席一次，处咨询人</w:t>
      </w:r>
      <w:r>
        <w:rPr>
          <w:rFonts w:ascii="方正仿宋_GBK" w:hAnsi="宋体" w:eastAsia="方正仿宋_GBK" w:cs="宋体"/>
          <w:color w:val="auto"/>
          <w:kern w:val="0"/>
          <w:sz w:val="28"/>
          <w:szCs w:val="28"/>
          <w:u w:val="single"/>
        </w:rPr>
        <w:t xml:space="preserve"> 500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次违约金；咨询人委派的其他项目人员，每缺席一次项目会议，处咨询人</w:t>
      </w:r>
      <w:r>
        <w:rPr>
          <w:rFonts w:ascii="方正仿宋_GBK" w:hAnsi="宋体" w:eastAsia="方正仿宋_GBK" w:cs="宋体"/>
          <w:color w:val="auto"/>
          <w:kern w:val="0"/>
          <w:sz w:val="28"/>
          <w:szCs w:val="28"/>
          <w:u w:val="single"/>
        </w:rPr>
        <w:t xml:space="preserve"> 100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次违约金；咨询人项目负责人缺席相关会议达</w:t>
      </w:r>
      <w:r>
        <w:rPr>
          <w:rFonts w:ascii="方正仿宋_GBK" w:hAnsi="宋体" w:eastAsia="方正仿宋_GBK" w:cs="宋体"/>
          <w:color w:val="auto"/>
          <w:kern w:val="0"/>
          <w:sz w:val="28"/>
          <w:szCs w:val="28"/>
          <w:u w:val="single"/>
        </w:rPr>
        <w:t xml:space="preserve"> 2 </w:t>
      </w:r>
      <w:r>
        <w:rPr>
          <w:rFonts w:hint="eastAsia" w:ascii="方正仿宋_GBK" w:hAnsi="宋体" w:eastAsia="方正仿宋_GBK" w:cs="宋体"/>
          <w:color w:val="auto"/>
          <w:kern w:val="0"/>
          <w:sz w:val="28"/>
          <w:szCs w:val="28"/>
        </w:rPr>
        <w:t>次，咨询人其他人员缺席会议达</w:t>
      </w:r>
      <w:r>
        <w:rPr>
          <w:rFonts w:ascii="方正仿宋_GBK" w:hAnsi="宋体" w:eastAsia="方正仿宋_GBK" w:cs="宋体"/>
          <w:color w:val="auto"/>
          <w:kern w:val="0"/>
          <w:sz w:val="28"/>
          <w:szCs w:val="28"/>
        </w:rPr>
        <w:t>3</w:t>
      </w:r>
      <w:r>
        <w:rPr>
          <w:rFonts w:hint="eastAsia" w:ascii="方正仿宋_GBK" w:hAnsi="宋体" w:eastAsia="方正仿宋_GBK" w:cs="宋体"/>
          <w:color w:val="auto"/>
          <w:kern w:val="0"/>
          <w:sz w:val="28"/>
          <w:szCs w:val="28"/>
        </w:rPr>
        <w:t>次，视为该咨询人员不称职。</w:t>
      </w:r>
    </w:p>
    <w:p w14:paraId="5C4C3B92">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（四）无论工作日或节假日，咨询人必须安排足够的在岗咨询人员以确保工程施工的正常进行，如因咨询人员不到位或不足影响委托方管理工作或施工进行，处咨询人</w:t>
      </w:r>
      <w:r>
        <w:rPr>
          <w:rFonts w:ascii="方正仿宋_GBK" w:hAnsi="宋体" w:eastAsia="方正仿宋_GBK" w:cs="宋体"/>
          <w:color w:val="auto"/>
          <w:kern w:val="0"/>
          <w:sz w:val="28"/>
          <w:szCs w:val="28"/>
          <w:u w:val="single"/>
        </w:rPr>
        <w:t xml:space="preserve"> 2000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/次的违约金。</w:t>
      </w:r>
    </w:p>
    <w:p w14:paraId="1E2A3DE4">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（五）咨询人员在上岗时应佩戴上岗证，上岗证上应注明姓名和岗位，如发现上岗时没有佩戴上岗证，处以</w:t>
      </w:r>
      <w:r>
        <w:rPr>
          <w:rFonts w:ascii="方正仿宋_GBK" w:hAnsi="宋体" w:eastAsia="方正仿宋_GBK" w:cs="宋体"/>
          <w:color w:val="auto"/>
          <w:kern w:val="0"/>
          <w:sz w:val="28"/>
          <w:szCs w:val="28"/>
          <w:u w:val="single"/>
        </w:rPr>
        <w:t xml:space="preserve"> 50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人·次的违约金。</w:t>
      </w:r>
    </w:p>
    <w:p w14:paraId="2A2F8C9C">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（六）咨询人出现下列情况之一者，发生一次扣减其酬金</w:t>
      </w:r>
      <w:r>
        <w:rPr>
          <w:rFonts w:hint="eastAsia" w:ascii="方正仿宋_GBK" w:hAnsi="宋体" w:eastAsia="方正仿宋_GBK" w:cs="宋体"/>
          <w:color w:val="auto"/>
          <w:kern w:val="0"/>
          <w:sz w:val="28"/>
          <w:szCs w:val="28"/>
          <w:u w:val="single"/>
        </w:rPr>
        <w:t>1</w:t>
      </w:r>
      <w:r>
        <w:rPr>
          <w:rFonts w:ascii="方正仿宋_GBK" w:hAnsi="宋体" w:eastAsia="方正仿宋_GBK" w:cs="宋体"/>
          <w:color w:val="auto"/>
          <w:kern w:val="0"/>
          <w:sz w:val="28"/>
          <w:szCs w:val="28"/>
          <w:u w:val="single"/>
        </w:rPr>
        <w:t xml:space="preserve">000 </w:t>
      </w:r>
      <w:r>
        <w:rPr>
          <w:rFonts w:hint="eastAsia" w:ascii="方正仿宋_GBK" w:hAnsi="宋体" w:eastAsia="方正仿宋_GBK" w:cs="宋体"/>
          <w:color w:val="auto"/>
          <w:kern w:val="0"/>
          <w:sz w:val="28"/>
          <w:szCs w:val="28"/>
        </w:rPr>
        <w:t>元，发生两次扣减酬金</w:t>
      </w:r>
      <w:r>
        <w:rPr>
          <w:rFonts w:hint="eastAsia" w:ascii="方正仿宋_GBK" w:hAnsi="宋体" w:eastAsia="方正仿宋_GBK" w:cs="宋体"/>
          <w:color w:val="auto"/>
          <w:kern w:val="0"/>
          <w:sz w:val="28"/>
          <w:szCs w:val="28"/>
          <w:u w:val="single"/>
        </w:rPr>
        <w:t>3</w:t>
      </w:r>
      <w:r>
        <w:rPr>
          <w:rFonts w:ascii="方正仿宋_GBK" w:hAnsi="宋体" w:eastAsia="方正仿宋_GBK" w:cs="宋体"/>
          <w:color w:val="auto"/>
          <w:kern w:val="0"/>
          <w:sz w:val="28"/>
          <w:szCs w:val="28"/>
          <w:u w:val="single"/>
        </w:rPr>
        <w:t xml:space="preserve">000  </w:t>
      </w:r>
      <w:r>
        <w:rPr>
          <w:rFonts w:hint="eastAsia" w:ascii="方正仿宋_GBK" w:hAnsi="宋体" w:eastAsia="方正仿宋_GBK" w:cs="宋体"/>
          <w:color w:val="auto"/>
          <w:kern w:val="0"/>
          <w:sz w:val="28"/>
          <w:szCs w:val="28"/>
        </w:rPr>
        <w:t>元，发生三次及以上，委托人有权单方面终止合同，并令咨询人立即退场，工程项目另行处理，由此给委托人造成的一切直接损失或间接损失，咨询人应负责相应赔偿。</w:t>
      </w:r>
    </w:p>
    <w:p w14:paraId="660071E7">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1</w:t>
      </w:r>
      <w:r>
        <w:rPr>
          <w:rFonts w:hint="eastAsia" w:ascii="方正仿宋_GBK" w:hAnsi="宋体" w:eastAsia="方正仿宋_GBK" w:cs="宋体"/>
          <w:color w:val="auto"/>
          <w:kern w:val="0"/>
          <w:sz w:val="28"/>
          <w:szCs w:val="28"/>
        </w:rPr>
        <w:t>、咨询人派驻现场的咨询人员不能满足工程跟踪审核要求；</w:t>
      </w:r>
    </w:p>
    <w:p w14:paraId="3E48BDAE">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2</w:t>
      </w:r>
      <w:r>
        <w:rPr>
          <w:rFonts w:hint="eastAsia" w:ascii="方正仿宋_GBK" w:hAnsi="宋体" w:eastAsia="方正仿宋_GBK" w:cs="宋体"/>
          <w:color w:val="auto"/>
          <w:kern w:val="0"/>
          <w:sz w:val="28"/>
          <w:szCs w:val="28"/>
        </w:rPr>
        <w:t>、按委托人要求更换后仍不能胜任其职责；</w:t>
      </w:r>
    </w:p>
    <w:p w14:paraId="38DB3B47">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3</w:t>
      </w:r>
      <w:r>
        <w:rPr>
          <w:rFonts w:hint="eastAsia" w:ascii="方正仿宋_GBK" w:hAnsi="宋体" w:eastAsia="方正仿宋_GBK" w:cs="宋体"/>
          <w:color w:val="auto"/>
          <w:kern w:val="0"/>
          <w:sz w:val="28"/>
          <w:szCs w:val="28"/>
        </w:rPr>
        <w:t>、咨询人不按批准的实施细则实施跟踪审核且巳产生不良后果的；</w:t>
      </w:r>
    </w:p>
    <w:p w14:paraId="145562AD">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跟踪审核时效：咨询人审核、咨询应按时间节点提交造价审核分析成果、咨询工作月（周）报、竣工结算报告等。有下列情况之一，发生一次扣减其酬金</w:t>
      </w:r>
      <w:r>
        <w:rPr>
          <w:rFonts w:ascii="方正仿宋_GBK" w:hAnsi="宋体" w:eastAsia="方正仿宋_GBK" w:cs="宋体"/>
          <w:color w:val="auto"/>
          <w:kern w:val="0"/>
          <w:sz w:val="28"/>
          <w:szCs w:val="28"/>
          <w:u w:val="single"/>
        </w:rPr>
        <w:t xml:space="preserve"> 1000 </w:t>
      </w:r>
      <w:r>
        <w:rPr>
          <w:rFonts w:hint="eastAsia" w:ascii="方正仿宋_GBK" w:hAnsi="宋体" w:eastAsia="方正仿宋_GBK" w:cs="宋体"/>
          <w:color w:val="auto"/>
          <w:kern w:val="0"/>
          <w:sz w:val="28"/>
          <w:szCs w:val="28"/>
        </w:rPr>
        <w:t>元，发生两次扣减酬金</w:t>
      </w:r>
      <w:r>
        <w:rPr>
          <w:rFonts w:ascii="方正仿宋_GBK" w:hAnsi="宋体" w:eastAsia="方正仿宋_GBK" w:cs="宋体"/>
          <w:color w:val="auto"/>
          <w:kern w:val="0"/>
          <w:sz w:val="28"/>
          <w:szCs w:val="28"/>
          <w:u w:val="single"/>
        </w:rPr>
        <w:t xml:space="preserve"> 3000 </w:t>
      </w:r>
      <w:r>
        <w:rPr>
          <w:rFonts w:hint="eastAsia" w:ascii="方正仿宋_GBK" w:hAnsi="宋体" w:eastAsia="方正仿宋_GBK" w:cs="宋体"/>
          <w:color w:val="auto"/>
          <w:kern w:val="0"/>
          <w:sz w:val="28"/>
          <w:szCs w:val="28"/>
        </w:rPr>
        <w:t>元，发生三次及以上，委托人有权单方面终止合同，并令咨询人立即退场，工程项目另行处理，由此给委托人造成的一切直接损失或间接损失，咨询人应负责相应赔偿。</w:t>
      </w:r>
    </w:p>
    <w:p w14:paraId="0B56902A">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1</w:t>
      </w:r>
      <w:r>
        <w:rPr>
          <w:rFonts w:hint="eastAsia" w:ascii="方正仿宋_GBK" w:hAnsi="宋体" w:eastAsia="方正仿宋_GBK" w:cs="宋体"/>
          <w:color w:val="auto"/>
          <w:kern w:val="0"/>
          <w:sz w:val="28"/>
          <w:szCs w:val="28"/>
        </w:rPr>
        <w:t>、未按时提交或未提交造价审核分析成果；</w:t>
      </w:r>
    </w:p>
    <w:p w14:paraId="084CBD30">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2</w:t>
      </w:r>
      <w:r>
        <w:rPr>
          <w:rFonts w:hint="eastAsia" w:ascii="方正仿宋_GBK" w:hAnsi="宋体" w:eastAsia="方正仿宋_GBK" w:cs="宋体"/>
          <w:color w:val="auto"/>
          <w:kern w:val="0"/>
          <w:sz w:val="28"/>
          <w:szCs w:val="28"/>
        </w:rPr>
        <w:t>、未按时完成审核、咨询工作，包括进度款审核、签证、材料核价等；</w:t>
      </w:r>
    </w:p>
    <w:p w14:paraId="08A4C67E">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3</w:t>
      </w:r>
      <w:r>
        <w:rPr>
          <w:rFonts w:hint="eastAsia" w:ascii="方正仿宋_GBK" w:hAnsi="宋体" w:eastAsia="方正仿宋_GBK" w:cs="宋体"/>
          <w:color w:val="auto"/>
          <w:kern w:val="0"/>
          <w:sz w:val="28"/>
          <w:szCs w:val="28"/>
        </w:rPr>
        <w:t>、未按时提交月（周）报；</w:t>
      </w:r>
    </w:p>
    <w:p w14:paraId="37284FEB">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4</w:t>
      </w:r>
      <w:r>
        <w:rPr>
          <w:rFonts w:hint="eastAsia" w:ascii="方正仿宋_GBK" w:hAnsi="宋体" w:eastAsia="方正仿宋_GBK" w:cs="宋体"/>
          <w:color w:val="auto"/>
          <w:kern w:val="0"/>
          <w:sz w:val="28"/>
          <w:szCs w:val="28"/>
        </w:rPr>
        <w:t>、未按时提交竣工结算报告；</w:t>
      </w:r>
    </w:p>
    <w:p w14:paraId="531ED190">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5</w:t>
      </w:r>
      <w:r>
        <w:rPr>
          <w:rFonts w:hint="eastAsia" w:ascii="方正仿宋_GBK" w:hAnsi="宋体" w:eastAsia="方正仿宋_GBK" w:cs="宋体"/>
          <w:color w:val="auto"/>
          <w:kern w:val="0"/>
          <w:sz w:val="28"/>
          <w:szCs w:val="28"/>
        </w:rPr>
        <w:t>、未按要求提交安排完成的其他相关造价工作。</w:t>
      </w:r>
    </w:p>
    <w:p w14:paraId="2C5548A2">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（八）组织管理：咨询人应按要求制定实施方案，按合同约定进行组织管理、造价咨询组织管理等，有下列情况之一，发现一次处以咨询人</w:t>
      </w:r>
      <w:r>
        <w:rPr>
          <w:rFonts w:ascii="方正仿宋_GBK" w:hAnsi="宋体" w:eastAsia="方正仿宋_GBK" w:cs="宋体"/>
          <w:color w:val="auto"/>
          <w:kern w:val="0"/>
          <w:sz w:val="28"/>
          <w:szCs w:val="28"/>
          <w:u w:val="single"/>
        </w:rPr>
        <w:t xml:space="preserve"> 1000</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次的违约金。</w:t>
      </w:r>
    </w:p>
    <w:p w14:paraId="5FAFA898">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1</w:t>
      </w:r>
      <w:r>
        <w:rPr>
          <w:rFonts w:hint="eastAsia" w:ascii="方正仿宋_GBK" w:hAnsi="宋体" w:eastAsia="方正仿宋_GBK" w:cs="宋体"/>
          <w:color w:val="auto"/>
          <w:kern w:val="0"/>
          <w:sz w:val="28"/>
          <w:szCs w:val="28"/>
        </w:rPr>
        <w:t>、未制定跟踪审核组织实施方案；</w:t>
      </w:r>
    </w:p>
    <w:p w14:paraId="24D4DDEA">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2</w:t>
      </w:r>
      <w:r>
        <w:rPr>
          <w:rFonts w:hint="eastAsia" w:ascii="方正仿宋_GBK" w:hAnsi="宋体" w:eastAsia="方正仿宋_GBK" w:cs="宋体"/>
          <w:color w:val="auto"/>
          <w:kern w:val="0"/>
          <w:sz w:val="28"/>
          <w:szCs w:val="28"/>
        </w:rPr>
        <w:t>、按规范要求应该在场人员而现场无咨询人的专业工程师；</w:t>
      </w:r>
    </w:p>
    <w:p w14:paraId="6F8DB8B5">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3</w:t>
      </w:r>
      <w:r>
        <w:rPr>
          <w:rFonts w:hint="eastAsia" w:ascii="方正仿宋_GBK" w:hAnsi="宋体" w:eastAsia="方正仿宋_GBK" w:cs="宋体"/>
          <w:color w:val="auto"/>
          <w:kern w:val="0"/>
          <w:sz w:val="28"/>
          <w:szCs w:val="28"/>
        </w:rPr>
        <w:t>、审核、咨询不到位，不尽职，未达到委托方管理要求。</w:t>
      </w:r>
    </w:p>
    <w:p w14:paraId="74C12534">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（九）过程控制管理：咨询人应按要求进行过程管理，有下列情况之一，发现一次处以咨询人</w:t>
      </w:r>
      <w:r>
        <w:rPr>
          <w:rFonts w:ascii="方正仿宋_GBK" w:hAnsi="宋体" w:eastAsia="方正仿宋_GBK" w:cs="宋体"/>
          <w:color w:val="auto"/>
          <w:kern w:val="0"/>
          <w:sz w:val="28"/>
          <w:szCs w:val="28"/>
          <w:u w:val="single"/>
        </w:rPr>
        <w:t xml:space="preserve"> 2000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次的违约金。</w:t>
      </w:r>
    </w:p>
    <w:p w14:paraId="4EE213D2">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1</w:t>
      </w:r>
      <w:r>
        <w:rPr>
          <w:rFonts w:hint="eastAsia" w:ascii="方正仿宋_GBK" w:hAnsi="宋体" w:eastAsia="方正仿宋_GBK" w:cs="宋体"/>
          <w:color w:val="auto"/>
          <w:kern w:val="0"/>
          <w:sz w:val="28"/>
          <w:szCs w:val="28"/>
        </w:rPr>
        <w:t>、材料核价不准确；</w:t>
      </w:r>
    </w:p>
    <w:p w14:paraId="2BEAC34A">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2</w:t>
      </w:r>
      <w:r>
        <w:rPr>
          <w:rFonts w:hint="eastAsia" w:ascii="方正仿宋_GBK" w:hAnsi="宋体" w:eastAsia="方正仿宋_GBK" w:cs="宋体"/>
          <w:color w:val="auto"/>
          <w:kern w:val="0"/>
          <w:sz w:val="28"/>
          <w:szCs w:val="28"/>
        </w:rPr>
        <w:t>、未按规范和要求对工程变更进行签证确认、对工程变更预算进行预估以及对施工单位编制的变更预算进行审核；</w:t>
      </w:r>
    </w:p>
    <w:p w14:paraId="1782945E">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4</w:t>
      </w:r>
      <w:r>
        <w:rPr>
          <w:rFonts w:hint="eastAsia" w:ascii="方正仿宋_GBK" w:hAnsi="宋体" w:eastAsia="方正仿宋_GBK" w:cs="宋体"/>
          <w:color w:val="auto"/>
          <w:kern w:val="0"/>
          <w:sz w:val="28"/>
          <w:szCs w:val="28"/>
        </w:rPr>
        <w:t>、未对施工过程中上报的施工方案进行严格审查以及未对方案的经济变动情况提出建议书；</w:t>
      </w:r>
    </w:p>
    <w:p w14:paraId="233CD094">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5</w:t>
      </w:r>
      <w:r>
        <w:rPr>
          <w:rFonts w:hint="eastAsia" w:ascii="方正仿宋_GBK" w:hAnsi="宋体" w:eastAsia="方正仿宋_GBK" w:cs="宋体"/>
          <w:color w:val="auto"/>
          <w:kern w:val="0"/>
          <w:sz w:val="28"/>
          <w:szCs w:val="28"/>
        </w:rPr>
        <w:t>、未参与工程的收方、计量及进行现场签证验收；</w:t>
      </w:r>
    </w:p>
    <w:p w14:paraId="2FEDB8B1">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6</w:t>
      </w:r>
      <w:r>
        <w:rPr>
          <w:rFonts w:hint="eastAsia" w:ascii="方正仿宋_GBK" w:hAnsi="宋体" w:eastAsia="方正仿宋_GBK" w:cs="宋体"/>
          <w:color w:val="auto"/>
          <w:kern w:val="0"/>
          <w:sz w:val="28"/>
          <w:szCs w:val="28"/>
        </w:rPr>
        <w:t>、未按要求参与审核主要材料、设备的选购及定价，编制及审核施工图材料清单</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参与材料、设备供应厂家的考察及与供应商价格的谈判；</w:t>
      </w:r>
    </w:p>
    <w:p w14:paraId="5FEC2203">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（十）审核质量考核：咨询人应建立质量管理与保证体系，确保审核评价质量、动态分析质量、审减比率、月（周）报质量等对不符合要求的资料不得签字，不准与施工单位串通</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弄虚作假，如有违反</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处咨询人</w:t>
      </w:r>
      <w:r>
        <w:rPr>
          <w:rFonts w:ascii="方正仿宋_GBK" w:hAnsi="宋体" w:eastAsia="方正仿宋_GBK" w:cs="宋体"/>
          <w:color w:val="auto"/>
          <w:kern w:val="0"/>
          <w:sz w:val="28"/>
          <w:szCs w:val="28"/>
        </w:rPr>
        <w:t>2000</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次的违约金，累计三次更换审核人员。有下列情况之一，发现一次处以咨询人</w:t>
      </w:r>
      <w:r>
        <w:rPr>
          <w:rFonts w:ascii="方正仿宋_GBK" w:hAnsi="宋体" w:eastAsia="方正仿宋_GBK" w:cs="宋体"/>
          <w:color w:val="auto"/>
          <w:kern w:val="0"/>
          <w:sz w:val="28"/>
          <w:szCs w:val="28"/>
          <w:u w:val="single"/>
        </w:rPr>
        <w:t xml:space="preserve">1000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次的违约金。</w:t>
      </w:r>
    </w:p>
    <w:p w14:paraId="4DC59AA0">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1</w:t>
      </w:r>
      <w:r>
        <w:rPr>
          <w:rFonts w:hint="eastAsia" w:ascii="方正仿宋_GBK" w:hAnsi="宋体" w:eastAsia="方正仿宋_GBK" w:cs="宋体"/>
          <w:color w:val="auto"/>
          <w:kern w:val="0"/>
          <w:sz w:val="28"/>
          <w:szCs w:val="28"/>
        </w:rPr>
        <w:t>、未建立跟踪审核的管理和保证体系；</w:t>
      </w:r>
    </w:p>
    <w:p w14:paraId="694B0C1E">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2</w:t>
      </w:r>
      <w:r>
        <w:rPr>
          <w:rFonts w:hint="eastAsia" w:ascii="方正仿宋_GBK" w:hAnsi="宋体" w:eastAsia="方正仿宋_GBK" w:cs="宋体"/>
          <w:color w:val="auto"/>
          <w:kern w:val="0"/>
          <w:sz w:val="28"/>
          <w:szCs w:val="28"/>
        </w:rPr>
        <w:t>、对动态分析报告不及时或不准确，或对存在问题的原因未作分析；</w:t>
      </w:r>
    </w:p>
    <w:p w14:paraId="7B749C65">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3</w:t>
      </w:r>
      <w:r>
        <w:rPr>
          <w:rFonts w:hint="eastAsia" w:ascii="方正仿宋_GBK" w:hAnsi="宋体" w:eastAsia="方正仿宋_GBK" w:cs="宋体"/>
          <w:color w:val="auto"/>
          <w:kern w:val="0"/>
          <w:sz w:val="28"/>
          <w:szCs w:val="28"/>
        </w:rPr>
        <w:t>、出具工程审核资料出现严重数据错误；</w:t>
      </w:r>
    </w:p>
    <w:p w14:paraId="5B666E71">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4</w:t>
      </w:r>
      <w:r>
        <w:rPr>
          <w:rFonts w:hint="eastAsia" w:ascii="方正仿宋_GBK" w:hAnsi="宋体" w:eastAsia="方正仿宋_GBK" w:cs="宋体"/>
          <w:color w:val="auto"/>
          <w:kern w:val="0"/>
          <w:sz w:val="28"/>
          <w:szCs w:val="28"/>
        </w:rPr>
        <w:t>、发现问题未及时向业主报告。</w:t>
      </w:r>
    </w:p>
    <w:p w14:paraId="36CDDB51">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（十一）档案管理：咨询人应按规范要求进行咨询过程档案管理，确保档案齐备、完整等，有下列情况之一，发现一次处以咨询人</w:t>
      </w:r>
      <w:r>
        <w:rPr>
          <w:rFonts w:ascii="方正仿宋_GBK" w:hAnsi="宋体" w:eastAsia="方正仿宋_GBK" w:cs="宋体"/>
          <w:color w:val="auto"/>
          <w:kern w:val="0"/>
          <w:sz w:val="28"/>
          <w:szCs w:val="28"/>
          <w:u w:val="single"/>
        </w:rPr>
        <w:t xml:space="preserve"> 1000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次的违约金。</w:t>
      </w:r>
    </w:p>
    <w:p w14:paraId="0DBE481C">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1</w:t>
      </w:r>
      <w:r>
        <w:rPr>
          <w:rFonts w:hint="eastAsia" w:ascii="方正仿宋_GBK" w:hAnsi="宋体" w:eastAsia="方正仿宋_GBK" w:cs="宋体"/>
          <w:color w:val="auto"/>
          <w:kern w:val="0"/>
          <w:sz w:val="28"/>
          <w:szCs w:val="28"/>
        </w:rPr>
        <w:t>、对单项工程的变更、洽商、签证、会议纪要等资料未按规范要求进行收集和分类归档，资料管理不完整、及时；</w:t>
      </w:r>
    </w:p>
    <w:p w14:paraId="03610897">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2</w:t>
      </w:r>
      <w:r>
        <w:rPr>
          <w:rFonts w:hint="eastAsia" w:ascii="方正仿宋_GBK" w:hAnsi="宋体" w:eastAsia="方正仿宋_GBK" w:cs="宋体"/>
          <w:color w:val="auto"/>
          <w:kern w:val="0"/>
          <w:sz w:val="28"/>
          <w:szCs w:val="28"/>
        </w:rPr>
        <w:t>、未按要求对合同、工程款支付、变更、签证和材料核价、索赔等分别建立台帐；</w:t>
      </w:r>
    </w:p>
    <w:p w14:paraId="4FFB590B">
      <w:pPr>
        <w:widowControl/>
        <w:spacing w:line="600" w:lineRule="exact"/>
        <w:ind w:firstLine="560" w:firstLineChars="200"/>
        <w:jc w:val="left"/>
        <w:rPr>
          <w:rFonts w:ascii="方正仿宋_GBK" w:hAnsi="宋体" w:eastAsia="方正仿宋_GBK" w:cs="宋体"/>
          <w:color w:val="auto"/>
          <w:kern w:val="0"/>
          <w:sz w:val="28"/>
          <w:szCs w:val="28"/>
        </w:rPr>
      </w:pPr>
      <w:r>
        <w:rPr>
          <w:rFonts w:ascii="方正仿宋_GBK" w:hAnsi="宋体" w:eastAsia="方正仿宋_GBK" w:cs="宋体"/>
          <w:color w:val="auto"/>
          <w:kern w:val="0"/>
          <w:sz w:val="28"/>
          <w:szCs w:val="28"/>
        </w:rPr>
        <w:t>3</w:t>
      </w:r>
      <w:r>
        <w:rPr>
          <w:rFonts w:hint="eastAsia" w:ascii="方正仿宋_GBK" w:hAnsi="宋体" w:eastAsia="方正仿宋_GBK" w:cs="宋体"/>
          <w:color w:val="auto"/>
          <w:kern w:val="0"/>
          <w:sz w:val="28"/>
          <w:szCs w:val="28"/>
        </w:rPr>
        <w:t>、未记录工作日志或者记录不真实、完整。</w:t>
      </w:r>
    </w:p>
    <w:p w14:paraId="62976224">
      <w:pPr>
        <w:widowControl/>
        <w:spacing w:line="600" w:lineRule="exact"/>
        <w:ind w:firstLine="560" w:firstLineChars="200"/>
        <w:jc w:val="left"/>
        <w:rPr>
          <w:rFonts w:ascii="方正仿宋_GBK" w:hAnsi="宋体" w:eastAsia="方正仿宋_GBK" w:cs="宋体"/>
          <w:color w:val="auto"/>
          <w:kern w:val="0"/>
          <w:sz w:val="28"/>
          <w:szCs w:val="28"/>
        </w:rPr>
      </w:pPr>
      <w:r>
        <w:rPr>
          <w:rFonts w:hint="eastAsia" w:ascii="方正仿宋_GBK" w:hAnsi="宋体" w:eastAsia="方正仿宋_GBK" w:cs="宋体"/>
          <w:color w:val="auto"/>
          <w:kern w:val="0"/>
          <w:sz w:val="28"/>
          <w:szCs w:val="28"/>
        </w:rPr>
        <w:t>（十二）咨询人员应加强廉政教育，不得向承包人收取加班费或其他任何钱物，否则发现一次处以咨询人</w:t>
      </w:r>
      <w:r>
        <w:rPr>
          <w:rFonts w:ascii="方正仿宋_GBK" w:hAnsi="宋体" w:eastAsia="方正仿宋_GBK" w:cs="宋体"/>
          <w:color w:val="auto"/>
          <w:kern w:val="0"/>
          <w:sz w:val="28"/>
          <w:szCs w:val="28"/>
          <w:u w:val="single"/>
        </w:rPr>
        <w:t xml:space="preserve">  3000   </w:t>
      </w:r>
      <w:r>
        <w:rPr>
          <w:rFonts w:hint="eastAsia" w:ascii="方正仿宋_GBK" w:hAnsi="宋体" w:eastAsia="方正仿宋_GBK" w:cs="宋体"/>
          <w:color w:val="auto"/>
          <w:kern w:val="0"/>
          <w:sz w:val="28"/>
          <w:szCs w:val="28"/>
        </w:rPr>
        <w:t>元</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人</w:t>
      </w:r>
      <w:r>
        <w:rPr>
          <w:rFonts w:ascii="方正仿宋_GBK" w:hAnsi="宋体" w:eastAsia="方正仿宋_GBK" w:cs="宋体"/>
          <w:color w:val="auto"/>
          <w:kern w:val="0"/>
          <w:sz w:val="28"/>
          <w:szCs w:val="28"/>
        </w:rPr>
        <w:t>.</w:t>
      </w:r>
      <w:r>
        <w:rPr>
          <w:rFonts w:hint="eastAsia" w:ascii="方正仿宋_GBK" w:hAnsi="宋体" w:eastAsia="方正仿宋_GBK" w:cs="宋体"/>
          <w:color w:val="auto"/>
          <w:kern w:val="0"/>
          <w:sz w:val="28"/>
          <w:szCs w:val="28"/>
        </w:rPr>
        <w:t>次的违约金，并没收相关钱物，发现两次，更换相关人员，情节严重将移交司法机关处理。</w:t>
      </w:r>
    </w:p>
    <w:p w14:paraId="39099B31">
      <w:pPr>
        <w:spacing w:line="360" w:lineRule="auto"/>
        <w:ind w:left="2185" w:leftChars="285" w:hanging="1387" w:hangingChars="578"/>
        <w:outlineLvl w:val="1"/>
        <w:rPr>
          <w:rFonts w:ascii="仿宋" w:hAnsi="仿宋" w:eastAsia="仿宋" w:cs="仿宋"/>
          <w:b/>
          <w:color w:val="auto"/>
          <w:sz w:val="24"/>
        </w:rPr>
      </w:pPr>
    </w:p>
    <w:p w14:paraId="5F712E0D">
      <w:pPr>
        <w:rPr>
          <w:rFonts w:ascii="仿宋" w:hAnsi="仿宋" w:eastAsia="仿宋" w:cs="仿宋"/>
          <w:b/>
          <w:bCs/>
          <w:color w:val="auto"/>
          <w:kern w:val="44"/>
          <w:sz w:val="32"/>
          <w:szCs w:val="32"/>
        </w:rPr>
      </w:pPr>
    </w:p>
    <w:p w14:paraId="6358262C">
      <w:pPr>
        <w:pStyle w:val="24"/>
        <w:rPr>
          <w:color w:val="auto"/>
        </w:rPr>
        <w:sectPr>
          <w:pgSz w:w="11906" w:h="16838"/>
          <w:pgMar w:top="1134" w:right="907" w:bottom="1134" w:left="907" w:header="851" w:footer="992" w:gutter="0"/>
          <w:pgNumType w:fmt="numberInDash"/>
          <w:cols w:space="720" w:num="1"/>
          <w:docGrid w:type="linesAndChars" w:linePitch="312" w:charSpace="0"/>
        </w:sectPr>
      </w:pPr>
    </w:p>
    <w:p w14:paraId="1688C48C">
      <w:pPr>
        <w:keepNext/>
        <w:keepLines/>
        <w:spacing w:before="340" w:after="330" w:line="360" w:lineRule="exact"/>
        <w:jc w:val="left"/>
        <w:outlineLvl w:val="0"/>
        <w:rPr>
          <w:rFonts w:hint="eastAsia" w:ascii="仿宋_GB2312" w:hAnsi="宋体" w:eastAsia="仿宋_GB2312"/>
          <w:b/>
          <w:bCs/>
          <w:color w:val="auto"/>
          <w:kern w:val="44"/>
          <w:sz w:val="32"/>
          <w:szCs w:val="32"/>
          <w:lang w:val="en-US" w:eastAsia="zh-CN"/>
        </w:rPr>
      </w:pPr>
      <w:r>
        <w:rPr>
          <w:rFonts w:hint="eastAsia" w:ascii="仿宋_GB2312" w:hAnsi="宋体" w:eastAsia="仿宋_GB2312"/>
          <w:b/>
          <w:bCs/>
          <w:color w:val="auto"/>
          <w:kern w:val="44"/>
          <w:sz w:val="32"/>
          <w:szCs w:val="32"/>
        </w:rPr>
        <w:t>附件</w:t>
      </w:r>
      <w:r>
        <w:rPr>
          <w:rFonts w:hint="eastAsia" w:ascii="仿宋_GB2312" w:hAnsi="宋体" w:eastAsia="仿宋_GB2312"/>
          <w:b/>
          <w:bCs/>
          <w:color w:val="auto"/>
          <w:kern w:val="44"/>
          <w:sz w:val="32"/>
          <w:szCs w:val="32"/>
          <w:lang w:val="en-US" w:eastAsia="zh-CN"/>
        </w:rPr>
        <w:t>三</w:t>
      </w:r>
      <w:r>
        <w:rPr>
          <w:rFonts w:hint="eastAsia" w:ascii="仿宋_GB2312" w:hAnsi="宋体" w:eastAsia="仿宋_GB2312"/>
          <w:b/>
          <w:bCs/>
          <w:color w:val="auto"/>
          <w:kern w:val="44"/>
          <w:sz w:val="32"/>
          <w:szCs w:val="32"/>
        </w:rPr>
        <w:t>、</w:t>
      </w:r>
      <w:r>
        <w:rPr>
          <w:rFonts w:hint="eastAsia" w:ascii="仿宋_GB2312" w:hAnsi="宋体" w:eastAsia="仿宋_GB2312"/>
          <w:b/>
          <w:bCs/>
          <w:color w:val="auto"/>
          <w:kern w:val="44"/>
          <w:sz w:val="32"/>
          <w:szCs w:val="32"/>
          <w:lang w:val="en-US" w:eastAsia="zh-CN"/>
        </w:rPr>
        <w:t xml:space="preserve">                   廉洁公约</w:t>
      </w:r>
    </w:p>
    <w:p w14:paraId="21013BAA">
      <w:pPr>
        <w:pStyle w:val="5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80" w:lineRule="exact"/>
        <w:ind w:firstLine="0"/>
        <w:textAlignment w:val="auto"/>
        <w:rPr>
          <w:rFonts w:hint="eastAsia" w:ascii="仿宋_GB2312" w:hAnsi="新宋体" w:eastAsia="方正仿宋_GBK"/>
          <w:color w:val="auto"/>
          <w:sz w:val="28"/>
          <w:szCs w:val="28"/>
        </w:rPr>
      </w:pPr>
      <w:r>
        <w:rPr>
          <w:rFonts w:hint="eastAsia" w:ascii="方正仿宋_GBK" w:eastAsia="方正仿宋_GBK"/>
          <w:color w:val="auto"/>
          <w:sz w:val="32"/>
          <w:szCs w:val="32"/>
          <w:lang w:val="en-US" w:eastAsia="zh-CN"/>
        </w:rPr>
        <w:t>委托人</w:t>
      </w:r>
      <w:r>
        <w:rPr>
          <w:rFonts w:ascii="方正仿宋_GBK" w:eastAsia="方正仿宋_GBK"/>
          <w:color w:val="auto"/>
          <w:sz w:val="32"/>
          <w:szCs w:val="32"/>
        </w:rPr>
        <w:t>：</w:t>
      </w:r>
      <w:r>
        <w:rPr>
          <w:rFonts w:hint="eastAsia" w:ascii="方正仿宋_GBK" w:eastAsia="方正仿宋_GBK"/>
          <w:color w:val="auto"/>
          <w:sz w:val="32"/>
          <w:szCs w:val="32"/>
          <w:u w:val="single"/>
          <w:lang w:val="en-US" w:eastAsia="zh-CN"/>
        </w:rPr>
        <w:t>重庆市九龙坡区住房和城乡建设委员会</w:t>
      </w:r>
    </w:p>
    <w:p w14:paraId="6A7DB277">
      <w:pPr>
        <w:rPr>
          <w:rFonts w:hint="eastAsia" w:ascii="方正仿宋_GBK" w:hAnsi="??" w:eastAsia="方正仿宋_GBK"/>
          <w:color w:val="auto"/>
          <w:sz w:val="32"/>
          <w:szCs w:val="32"/>
          <w:u w:val="single"/>
          <w:lang w:eastAsia="zh-CN"/>
        </w:rPr>
      </w:pPr>
      <w:r>
        <w:rPr>
          <w:rFonts w:hint="eastAsia" w:ascii="方正仿宋_GBK" w:eastAsia="方正仿宋_GBK"/>
          <w:color w:val="auto"/>
          <w:sz w:val="32"/>
          <w:szCs w:val="32"/>
          <w:lang w:val="en-US" w:eastAsia="zh-CN"/>
        </w:rPr>
        <w:t>代建人</w:t>
      </w:r>
      <w:r>
        <w:rPr>
          <w:rFonts w:hint="eastAsia" w:ascii="方正仿宋_GBK" w:eastAsia="方正仿宋_GBK"/>
          <w:color w:val="auto"/>
          <w:sz w:val="32"/>
          <w:szCs w:val="32"/>
        </w:rPr>
        <w:t>：</w:t>
      </w:r>
      <w:r>
        <w:rPr>
          <w:rFonts w:hint="eastAsia" w:ascii="方正仿宋_GBK" w:hAnsi="??" w:eastAsia="方正仿宋_GBK"/>
          <w:color w:val="auto"/>
          <w:sz w:val="32"/>
          <w:szCs w:val="32"/>
          <w:u w:val="single"/>
          <w:lang w:eastAsia="zh-CN"/>
        </w:rPr>
        <w:t>重庆九龙新城建设发展有限公司（重庆桃花溪建设项目管理有限公司）</w:t>
      </w:r>
    </w:p>
    <w:p w14:paraId="01854418">
      <w:pPr>
        <w:pStyle w:val="17"/>
        <w:keepNext w:val="0"/>
        <w:keepLines w:val="0"/>
        <w:pageBreakBefore w:val="0"/>
        <w:widowControl w:val="0"/>
        <w:kinsoku/>
        <w:wordWrap/>
        <w:overflowPunct/>
        <w:topLinePunct w:val="0"/>
        <w:autoSpaceDE/>
        <w:autoSpaceDN/>
        <w:bidi w:val="0"/>
        <w:adjustRightInd/>
        <w:snapToGrid/>
        <w:ind w:left="0"/>
        <w:jc w:val="left"/>
        <w:textAlignment w:val="auto"/>
        <w:rPr>
          <w:rFonts w:hint="default" w:ascii="方正仿宋_GBK" w:hAnsi="Times New Roman" w:eastAsia="方正仿宋_GBK" w:cs="Times New Roman"/>
          <w:color w:val="auto"/>
          <w:kern w:val="2"/>
          <w:sz w:val="32"/>
          <w:szCs w:val="32"/>
          <w:u w:val="single"/>
          <w:lang w:val="en-US" w:eastAsia="zh-CN" w:bidi="ar-SA"/>
        </w:rPr>
      </w:pPr>
      <w:r>
        <w:rPr>
          <w:rFonts w:hint="eastAsia" w:ascii="方正仿宋_GBK" w:hAnsi="Times New Roman" w:eastAsia="方正仿宋_GBK" w:cs="Times New Roman"/>
          <w:color w:val="auto"/>
          <w:kern w:val="2"/>
          <w:sz w:val="32"/>
          <w:szCs w:val="32"/>
          <w:lang w:val="en-US" w:eastAsia="zh-CN" w:bidi="ar-SA"/>
        </w:rPr>
        <w:t>咨询人：</w:t>
      </w:r>
      <w:r>
        <w:rPr>
          <w:rFonts w:hint="eastAsia" w:cs="Times New Roman"/>
          <w:color w:val="auto"/>
          <w:kern w:val="2"/>
          <w:sz w:val="32"/>
          <w:szCs w:val="32"/>
          <w:u w:val="single"/>
          <w:lang w:val="en-US" w:eastAsia="zh-CN" w:bidi="ar-SA"/>
        </w:rPr>
        <w:t xml:space="preserve">                          </w:t>
      </w:r>
    </w:p>
    <w:p w14:paraId="2AD89928">
      <w:pPr>
        <w:ind w:firstLine="640" w:firstLineChars="200"/>
        <w:rPr>
          <w:rFonts w:ascii="方正仿宋_GBK" w:eastAsia="方正仿宋_GBK"/>
          <w:color w:val="auto"/>
          <w:sz w:val="32"/>
          <w:szCs w:val="32"/>
        </w:rPr>
      </w:pPr>
      <w:r>
        <w:rPr>
          <w:rFonts w:hint="eastAsia" w:ascii="方正仿宋_GBK" w:eastAsia="方正仿宋_GBK"/>
          <w:color w:val="auto"/>
          <w:sz w:val="32"/>
          <w:szCs w:val="32"/>
          <w:lang w:val="en-US" w:eastAsia="zh-CN"/>
        </w:rPr>
        <w:t>甲乙</w:t>
      </w:r>
      <w:r>
        <w:rPr>
          <w:rFonts w:ascii="方正仿宋_GBK" w:eastAsia="方正仿宋_GBK"/>
          <w:color w:val="auto"/>
          <w:sz w:val="32"/>
          <w:szCs w:val="32"/>
        </w:rPr>
        <w:t>双方承诺</w:t>
      </w:r>
      <w:r>
        <w:rPr>
          <w:rFonts w:hint="eastAsia" w:ascii="方正仿宋_GBK" w:eastAsia="方正仿宋_GBK"/>
          <w:color w:val="auto"/>
          <w:sz w:val="32"/>
          <w:szCs w:val="32"/>
        </w:rPr>
        <w:t>严格</w:t>
      </w:r>
      <w:r>
        <w:rPr>
          <w:rFonts w:ascii="方正仿宋_GBK" w:eastAsia="方正仿宋_GBK"/>
          <w:color w:val="auto"/>
          <w:sz w:val="32"/>
          <w:szCs w:val="32"/>
        </w:rPr>
        <w:t>遵守</w:t>
      </w:r>
      <w:r>
        <w:rPr>
          <w:rFonts w:hint="eastAsia" w:ascii="方正仿宋_GBK" w:eastAsia="方正仿宋_GBK"/>
          <w:color w:val="auto"/>
          <w:sz w:val="32"/>
          <w:szCs w:val="32"/>
        </w:rPr>
        <w:t>中央</w:t>
      </w:r>
      <w:r>
        <w:rPr>
          <w:rFonts w:ascii="方正仿宋_GBK" w:eastAsia="方正仿宋_GBK"/>
          <w:color w:val="auto"/>
          <w:sz w:val="32"/>
          <w:szCs w:val="32"/>
        </w:rPr>
        <w:t>、</w:t>
      </w:r>
      <w:r>
        <w:rPr>
          <w:rFonts w:hint="eastAsia" w:ascii="方正仿宋_GBK" w:eastAsia="方正仿宋_GBK"/>
          <w:color w:val="auto"/>
          <w:sz w:val="32"/>
          <w:szCs w:val="32"/>
        </w:rPr>
        <w:t>重庆</w:t>
      </w:r>
      <w:r>
        <w:rPr>
          <w:rFonts w:ascii="方正仿宋_GBK" w:eastAsia="方正仿宋_GBK"/>
          <w:color w:val="auto"/>
          <w:sz w:val="32"/>
          <w:szCs w:val="32"/>
        </w:rPr>
        <w:t>市</w:t>
      </w:r>
      <w:r>
        <w:rPr>
          <w:rFonts w:hint="eastAsia" w:ascii="方正仿宋_GBK" w:eastAsia="方正仿宋_GBK"/>
          <w:color w:val="auto"/>
          <w:sz w:val="32"/>
          <w:szCs w:val="32"/>
        </w:rPr>
        <w:t>、九龙坡</w:t>
      </w:r>
      <w:r>
        <w:rPr>
          <w:rFonts w:ascii="方正仿宋_GBK" w:eastAsia="方正仿宋_GBK"/>
          <w:color w:val="auto"/>
          <w:sz w:val="32"/>
          <w:szCs w:val="32"/>
        </w:rPr>
        <w:t>区</w:t>
      </w:r>
      <w:r>
        <w:rPr>
          <w:rFonts w:hint="eastAsia" w:ascii="方正仿宋_GBK" w:eastAsia="方正仿宋_GBK"/>
          <w:color w:val="auto"/>
          <w:sz w:val="32"/>
          <w:szCs w:val="32"/>
        </w:rPr>
        <w:t>有关政策法规</w:t>
      </w:r>
      <w:r>
        <w:rPr>
          <w:rFonts w:ascii="方正仿宋_GBK" w:eastAsia="方正仿宋_GBK"/>
          <w:color w:val="auto"/>
          <w:sz w:val="32"/>
          <w:szCs w:val="32"/>
        </w:rPr>
        <w:t>，</w:t>
      </w:r>
      <w:r>
        <w:rPr>
          <w:rFonts w:hint="eastAsia" w:ascii="方正仿宋_GBK" w:eastAsia="方正仿宋_GBK"/>
          <w:color w:val="auto"/>
          <w:sz w:val="32"/>
          <w:szCs w:val="32"/>
        </w:rPr>
        <w:t>正确</w:t>
      </w:r>
      <w:r>
        <w:rPr>
          <w:rFonts w:ascii="方正仿宋_GBK" w:eastAsia="方正仿宋_GBK"/>
          <w:color w:val="auto"/>
          <w:sz w:val="32"/>
          <w:szCs w:val="32"/>
        </w:rPr>
        <w:t>行使</w:t>
      </w:r>
      <w:r>
        <w:rPr>
          <w:rFonts w:hint="eastAsia" w:ascii="方正仿宋_GBK" w:eastAsia="方正仿宋_GBK"/>
          <w:color w:val="auto"/>
          <w:sz w:val="32"/>
          <w:szCs w:val="32"/>
        </w:rPr>
        <w:t>职务</w:t>
      </w:r>
      <w:r>
        <w:rPr>
          <w:rFonts w:ascii="方正仿宋_GBK" w:eastAsia="方正仿宋_GBK"/>
          <w:color w:val="auto"/>
          <w:sz w:val="32"/>
          <w:szCs w:val="32"/>
        </w:rPr>
        <w:t>职权，清正廉洁，</w:t>
      </w:r>
      <w:r>
        <w:rPr>
          <w:rFonts w:hint="eastAsia" w:ascii="方正仿宋_GBK" w:eastAsia="方正仿宋_GBK"/>
          <w:color w:val="auto"/>
          <w:sz w:val="32"/>
          <w:szCs w:val="32"/>
        </w:rPr>
        <w:t>反对</w:t>
      </w:r>
      <w:r>
        <w:rPr>
          <w:rFonts w:ascii="方正仿宋_GBK" w:eastAsia="方正仿宋_GBK"/>
          <w:color w:val="auto"/>
          <w:sz w:val="32"/>
          <w:szCs w:val="32"/>
        </w:rPr>
        <w:t>任何滥用职权</w:t>
      </w:r>
      <w:r>
        <w:rPr>
          <w:rFonts w:hint="eastAsia" w:ascii="方正仿宋_GBK" w:eastAsia="方正仿宋_GBK"/>
          <w:color w:val="auto"/>
          <w:sz w:val="32"/>
          <w:szCs w:val="32"/>
        </w:rPr>
        <w:t>、</w:t>
      </w:r>
      <w:r>
        <w:rPr>
          <w:rFonts w:ascii="方正仿宋_GBK" w:eastAsia="方正仿宋_GBK"/>
          <w:color w:val="auto"/>
          <w:sz w:val="32"/>
          <w:szCs w:val="32"/>
        </w:rPr>
        <w:t>谋取私利的行为</w:t>
      </w:r>
      <w:r>
        <w:rPr>
          <w:rFonts w:hint="eastAsia" w:ascii="方正仿宋_GBK" w:eastAsia="方正仿宋_GBK"/>
          <w:color w:val="auto"/>
          <w:sz w:val="32"/>
          <w:szCs w:val="32"/>
        </w:rPr>
        <w:t>。</w:t>
      </w:r>
    </w:p>
    <w:p w14:paraId="2A7015C5">
      <w:pPr>
        <w:ind w:firstLine="640" w:firstLineChars="200"/>
        <w:rPr>
          <w:rFonts w:ascii="方正黑体_GBK" w:eastAsia="方正黑体_GBK"/>
          <w:color w:val="auto"/>
          <w:sz w:val="32"/>
          <w:szCs w:val="32"/>
        </w:rPr>
      </w:pPr>
      <w:r>
        <w:rPr>
          <w:rFonts w:hint="eastAsia" w:ascii="方正黑体_GBK" w:eastAsia="方正黑体_GBK"/>
          <w:color w:val="auto"/>
          <w:sz w:val="32"/>
          <w:szCs w:val="32"/>
        </w:rPr>
        <w:t>一、加强廉洁教育</w:t>
      </w:r>
    </w:p>
    <w:p w14:paraId="1C4A08BF">
      <w:pPr>
        <w:ind w:firstLine="640" w:firstLineChars="200"/>
        <w:rPr>
          <w:rFonts w:ascii="方正仿宋_GBK" w:eastAsia="方正仿宋_GBK"/>
          <w:color w:val="auto"/>
          <w:sz w:val="32"/>
          <w:szCs w:val="32"/>
        </w:rPr>
      </w:pPr>
      <w:r>
        <w:rPr>
          <w:rFonts w:hint="eastAsia" w:ascii="方正仿宋_GBK" w:eastAsia="方正仿宋_GBK"/>
          <w:color w:val="auto"/>
          <w:sz w:val="32"/>
          <w:szCs w:val="32"/>
        </w:rPr>
        <w:t>合作</w:t>
      </w:r>
      <w:r>
        <w:rPr>
          <w:rFonts w:ascii="方正仿宋_GBK" w:eastAsia="方正仿宋_GBK"/>
          <w:color w:val="auto"/>
          <w:sz w:val="32"/>
          <w:szCs w:val="32"/>
        </w:rPr>
        <w:t>过程中，</w:t>
      </w:r>
      <w:r>
        <w:rPr>
          <w:rFonts w:hint="eastAsia" w:ascii="方正仿宋_GBK" w:eastAsia="方正仿宋_GBK"/>
          <w:color w:val="auto"/>
          <w:sz w:val="32"/>
          <w:szCs w:val="32"/>
        </w:rPr>
        <w:t>双方可通过多渠道多方式，对</w:t>
      </w:r>
      <w:r>
        <w:rPr>
          <w:rFonts w:ascii="方正仿宋_GBK" w:eastAsia="方正仿宋_GBK"/>
          <w:color w:val="auto"/>
          <w:sz w:val="32"/>
          <w:szCs w:val="32"/>
        </w:rPr>
        <w:t>工作人员</w:t>
      </w:r>
      <w:r>
        <w:rPr>
          <w:rFonts w:hint="eastAsia" w:ascii="方正仿宋_GBK" w:eastAsia="方正仿宋_GBK"/>
          <w:color w:val="auto"/>
          <w:sz w:val="32"/>
          <w:szCs w:val="32"/>
        </w:rPr>
        <w:t>积极开展</w:t>
      </w:r>
      <w:r>
        <w:rPr>
          <w:rFonts w:ascii="方正仿宋_GBK" w:eastAsia="方正仿宋_GBK"/>
          <w:color w:val="auto"/>
          <w:sz w:val="32"/>
          <w:szCs w:val="32"/>
        </w:rPr>
        <w:t>廉洁</w:t>
      </w:r>
      <w:r>
        <w:rPr>
          <w:rFonts w:hint="eastAsia" w:ascii="方正仿宋_GBK" w:eastAsia="方正仿宋_GBK"/>
          <w:color w:val="auto"/>
          <w:sz w:val="32"/>
          <w:szCs w:val="32"/>
        </w:rPr>
        <w:t>教育。</w:t>
      </w:r>
    </w:p>
    <w:p w14:paraId="1E76F7A7">
      <w:pPr>
        <w:ind w:firstLine="640" w:firstLineChars="200"/>
        <w:rPr>
          <w:rFonts w:ascii="方正黑体_GBK" w:eastAsia="方正黑体_GBK"/>
          <w:color w:val="auto"/>
          <w:sz w:val="32"/>
          <w:szCs w:val="32"/>
        </w:rPr>
      </w:pPr>
      <w:r>
        <w:rPr>
          <w:rFonts w:hint="eastAsia" w:ascii="方正黑体_GBK" w:eastAsia="方正黑体_GBK"/>
          <w:color w:val="auto"/>
          <w:sz w:val="32"/>
          <w:szCs w:val="32"/>
        </w:rPr>
        <w:t>二</w:t>
      </w:r>
      <w:r>
        <w:rPr>
          <w:rFonts w:ascii="方正黑体_GBK" w:eastAsia="方正黑体_GBK"/>
          <w:color w:val="auto"/>
          <w:sz w:val="32"/>
          <w:szCs w:val="32"/>
        </w:rPr>
        <w:t>、严守廉洁纪律</w:t>
      </w:r>
    </w:p>
    <w:p w14:paraId="1C8B30E8">
      <w:pPr>
        <w:ind w:firstLine="640" w:firstLineChars="200"/>
        <w:rPr>
          <w:rFonts w:ascii="方正仿宋_GBK" w:eastAsia="方正仿宋_GBK"/>
          <w:color w:val="auto"/>
          <w:sz w:val="32"/>
          <w:szCs w:val="32"/>
        </w:rPr>
      </w:pPr>
      <w:r>
        <w:rPr>
          <w:rFonts w:ascii="方正仿宋_GBK" w:eastAsia="方正仿宋_GBK"/>
          <w:color w:val="auto"/>
          <w:sz w:val="32"/>
          <w:szCs w:val="32"/>
        </w:rPr>
        <w:t>双方</w:t>
      </w:r>
      <w:r>
        <w:rPr>
          <w:rFonts w:hint="eastAsia" w:ascii="方正仿宋_GBK" w:eastAsia="方正仿宋_GBK"/>
          <w:color w:val="auto"/>
          <w:sz w:val="32"/>
          <w:szCs w:val="32"/>
        </w:rPr>
        <w:t>承诺</w:t>
      </w:r>
      <w:r>
        <w:rPr>
          <w:rFonts w:ascii="方正仿宋_GBK" w:eastAsia="方正仿宋_GBK"/>
          <w:color w:val="auto"/>
          <w:sz w:val="32"/>
          <w:szCs w:val="32"/>
        </w:rPr>
        <w:t>强化</w:t>
      </w:r>
      <w:r>
        <w:rPr>
          <w:rFonts w:hint="eastAsia" w:ascii="方正仿宋_GBK" w:eastAsia="方正仿宋_GBK"/>
          <w:color w:val="auto"/>
          <w:sz w:val="32"/>
          <w:szCs w:val="32"/>
        </w:rPr>
        <w:t>日常廉洁</w:t>
      </w:r>
      <w:r>
        <w:rPr>
          <w:rFonts w:ascii="方正仿宋_GBK" w:eastAsia="方正仿宋_GBK"/>
          <w:color w:val="auto"/>
          <w:sz w:val="32"/>
          <w:szCs w:val="32"/>
        </w:rPr>
        <w:t>纪律</w:t>
      </w:r>
      <w:r>
        <w:rPr>
          <w:rFonts w:hint="eastAsia" w:ascii="方正仿宋_GBK" w:eastAsia="方正仿宋_GBK"/>
          <w:color w:val="auto"/>
          <w:sz w:val="32"/>
          <w:szCs w:val="32"/>
        </w:rPr>
        <w:t>管理</w:t>
      </w:r>
      <w:r>
        <w:rPr>
          <w:rFonts w:ascii="方正仿宋_GBK" w:eastAsia="方正仿宋_GBK"/>
          <w:color w:val="auto"/>
          <w:sz w:val="32"/>
          <w:szCs w:val="32"/>
        </w:rPr>
        <w:t>，</w:t>
      </w:r>
      <w:r>
        <w:rPr>
          <w:rFonts w:hint="eastAsia" w:ascii="方正仿宋_GBK" w:eastAsia="方正仿宋_GBK"/>
          <w:color w:val="auto"/>
          <w:sz w:val="32"/>
          <w:szCs w:val="32"/>
        </w:rPr>
        <w:t>禁止各方</w:t>
      </w:r>
      <w:r>
        <w:rPr>
          <w:rFonts w:ascii="方正仿宋_GBK" w:eastAsia="方正仿宋_GBK"/>
          <w:color w:val="auto"/>
          <w:sz w:val="32"/>
          <w:szCs w:val="32"/>
        </w:rPr>
        <w:t>工作人员</w:t>
      </w:r>
      <w:r>
        <w:rPr>
          <w:rFonts w:hint="eastAsia" w:ascii="方正仿宋_GBK" w:eastAsia="方正仿宋_GBK"/>
          <w:color w:val="auto"/>
          <w:sz w:val="32"/>
          <w:szCs w:val="32"/>
        </w:rPr>
        <w:t>在合作期间存在</w:t>
      </w:r>
      <w:r>
        <w:rPr>
          <w:rFonts w:ascii="方正仿宋_GBK" w:eastAsia="方正仿宋_GBK"/>
          <w:color w:val="auto"/>
          <w:sz w:val="32"/>
          <w:szCs w:val="32"/>
        </w:rPr>
        <w:t>以下行为：</w:t>
      </w:r>
    </w:p>
    <w:p w14:paraId="0DACDAFE">
      <w:pPr>
        <w:ind w:firstLine="640" w:firstLineChars="200"/>
        <w:rPr>
          <w:rFonts w:ascii="方正仿宋_GBK" w:eastAsia="方正仿宋_GBK"/>
          <w:color w:val="auto"/>
          <w:sz w:val="32"/>
          <w:szCs w:val="32"/>
        </w:rPr>
      </w:pPr>
      <w:r>
        <w:rPr>
          <w:rFonts w:hint="eastAsia" w:ascii="方正仿宋_GBK" w:eastAsia="方正仿宋_GBK"/>
          <w:color w:val="auto"/>
          <w:sz w:val="32"/>
          <w:szCs w:val="32"/>
        </w:rPr>
        <w:t>（一）收受可能</w:t>
      </w:r>
      <w:r>
        <w:rPr>
          <w:rFonts w:ascii="方正仿宋_GBK" w:eastAsia="方正仿宋_GBK"/>
          <w:color w:val="auto"/>
          <w:sz w:val="32"/>
          <w:szCs w:val="32"/>
        </w:rPr>
        <w:t>影响公正履行职务的</w:t>
      </w:r>
      <w:r>
        <w:rPr>
          <w:rFonts w:hint="eastAsia" w:ascii="方正仿宋_GBK" w:eastAsia="方正仿宋_GBK"/>
          <w:color w:val="auto"/>
          <w:sz w:val="32"/>
          <w:szCs w:val="32"/>
        </w:rPr>
        <w:t>礼品</w:t>
      </w:r>
      <w:r>
        <w:rPr>
          <w:rFonts w:ascii="方正仿宋_GBK" w:eastAsia="方正仿宋_GBK"/>
          <w:color w:val="auto"/>
          <w:sz w:val="32"/>
          <w:szCs w:val="32"/>
        </w:rPr>
        <w:t>、</w:t>
      </w:r>
      <w:r>
        <w:rPr>
          <w:rFonts w:hint="eastAsia" w:ascii="方正仿宋_GBK" w:eastAsia="方正仿宋_GBK"/>
          <w:color w:val="auto"/>
          <w:sz w:val="32"/>
          <w:szCs w:val="32"/>
        </w:rPr>
        <w:t>礼金</w:t>
      </w:r>
      <w:r>
        <w:rPr>
          <w:rFonts w:ascii="方正仿宋_GBK" w:eastAsia="方正仿宋_GBK"/>
          <w:color w:val="auto"/>
          <w:sz w:val="32"/>
          <w:szCs w:val="32"/>
        </w:rPr>
        <w:t>、消费卡和有价</w:t>
      </w:r>
      <w:r>
        <w:rPr>
          <w:rFonts w:hint="eastAsia" w:ascii="方正仿宋_GBK" w:eastAsia="方正仿宋_GBK"/>
          <w:color w:val="auto"/>
          <w:sz w:val="32"/>
          <w:szCs w:val="32"/>
        </w:rPr>
        <w:t>证券</w:t>
      </w:r>
      <w:r>
        <w:rPr>
          <w:rFonts w:ascii="方正仿宋_GBK" w:eastAsia="方正仿宋_GBK"/>
          <w:color w:val="auto"/>
          <w:sz w:val="32"/>
          <w:szCs w:val="32"/>
        </w:rPr>
        <w:t>、股权、其他金融产品等财物</w:t>
      </w:r>
      <w:r>
        <w:rPr>
          <w:rFonts w:hint="eastAsia" w:ascii="方正仿宋_GBK" w:eastAsia="方正仿宋_GBK"/>
          <w:color w:val="auto"/>
          <w:sz w:val="32"/>
          <w:szCs w:val="32"/>
        </w:rPr>
        <w:t>。</w:t>
      </w:r>
    </w:p>
    <w:p w14:paraId="7EC5824E">
      <w:pPr>
        <w:ind w:firstLine="640" w:firstLineChars="200"/>
        <w:rPr>
          <w:rFonts w:ascii="方正仿宋_GBK" w:eastAsia="方正仿宋_GBK"/>
          <w:color w:val="auto"/>
          <w:sz w:val="32"/>
          <w:szCs w:val="32"/>
        </w:rPr>
      </w:pPr>
      <w:r>
        <w:rPr>
          <w:rFonts w:hint="eastAsia" w:ascii="方正仿宋_GBK" w:eastAsia="方正仿宋_GBK"/>
          <w:color w:val="auto"/>
          <w:sz w:val="32"/>
          <w:szCs w:val="32"/>
        </w:rPr>
        <w:t>（二）借用钱款</w:t>
      </w:r>
      <w:r>
        <w:rPr>
          <w:rFonts w:ascii="方正仿宋_GBK" w:eastAsia="方正仿宋_GBK"/>
          <w:color w:val="auto"/>
          <w:sz w:val="32"/>
          <w:szCs w:val="32"/>
        </w:rPr>
        <w:t>、住房、车辆等</w:t>
      </w:r>
      <w:r>
        <w:rPr>
          <w:rFonts w:hint="eastAsia" w:ascii="方正仿宋_GBK" w:eastAsia="方正仿宋_GBK"/>
          <w:color w:val="auto"/>
          <w:sz w:val="32"/>
          <w:szCs w:val="32"/>
        </w:rPr>
        <w:t>。</w:t>
      </w:r>
    </w:p>
    <w:p w14:paraId="24DF94FA">
      <w:pPr>
        <w:ind w:firstLine="630"/>
        <w:rPr>
          <w:rFonts w:ascii="方正仿宋_GBK" w:eastAsia="方正仿宋_GBK"/>
          <w:color w:val="auto"/>
          <w:sz w:val="32"/>
          <w:szCs w:val="32"/>
        </w:rPr>
      </w:pPr>
      <w:r>
        <w:rPr>
          <w:rFonts w:hint="eastAsia" w:ascii="方正仿宋_GBK" w:eastAsia="方正仿宋_GBK"/>
          <w:color w:val="auto"/>
          <w:sz w:val="32"/>
          <w:szCs w:val="32"/>
        </w:rPr>
        <w:t>（三）接受</w:t>
      </w:r>
      <w:r>
        <w:rPr>
          <w:rFonts w:ascii="方正仿宋_GBK" w:eastAsia="方正仿宋_GBK"/>
          <w:color w:val="auto"/>
          <w:sz w:val="32"/>
          <w:szCs w:val="32"/>
        </w:rPr>
        <w:t>、提供可能影响</w:t>
      </w:r>
      <w:r>
        <w:rPr>
          <w:rFonts w:hint="eastAsia" w:ascii="方正仿宋_GBK" w:eastAsia="方正仿宋_GBK"/>
          <w:color w:val="auto"/>
          <w:sz w:val="32"/>
          <w:szCs w:val="32"/>
        </w:rPr>
        <w:t>公正履行</w:t>
      </w:r>
      <w:r>
        <w:rPr>
          <w:rFonts w:ascii="方正仿宋_GBK" w:eastAsia="方正仿宋_GBK"/>
          <w:color w:val="auto"/>
          <w:sz w:val="32"/>
          <w:szCs w:val="32"/>
        </w:rPr>
        <w:t>职务的宴请或者旅游、</w:t>
      </w:r>
      <w:r>
        <w:rPr>
          <w:rFonts w:hint="eastAsia" w:ascii="方正仿宋_GBK" w:eastAsia="方正仿宋_GBK"/>
          <w:color w:val="auto"/>
          <w:sz w:val="32"/>
          <w:szCs w:val="32"/>
        </w:rPr>
        <w:t>健身</w:t>
      </w:r>
      <w:r>
        <w:rPr>
          <w:rFonts w:ascii="方正仿宋_GBK" w:eastAsia="方正仿宋_GBK"/>
          <w:color w:val="auto"/>
          <w:sz w:val="32"/>
          <w:szCs w:val="32"/>
        </w:rPr>
        <w:t>、</w:t>
      </w:r>
      <w:r>
        <w:rPr>
          <w:rFonts w:hint="eastAsia" w:ascii="方正仿宋_GBK" w:eastAsia="方正仿宋_GBK"/>
          <w:color w:val="auto"/>
          <w:sz w:val="32"/>
          <w:szCs w:val="32"/>
        </w:rPr>
        <w:t>娱乐</w:t>
      </w:r>
      <w:r>
        <w:rPr>
          <w:rFonts w:ascii="方正仿宋_GBK" w:eastAsia="方正仿宋_GBK"/>
          <w:color w:val="auto"/>
          <w:sz w:val="32"/>
          <w:szCs w:val="32"/>
        </w:rPr>
        <w:t>等活动安排</w:t>
      </w:r>
      <w:r>
        <w:rPr>
          <w:rFonts w:hint="eastAsia" w:ascii="方正仿宋_GBK" w:eastAsia="方正仿宋_GBK"/>
          <w:color w:val="auto"/>
          <w:sz w:val="32"/>
          <w:szCs w:val="32"/>
        </w:rPr>
        <w:t>。</w:t>
      </w:r>
    </w:p>
    <w:p w14:paraId="61F673B4">
      <w:pPr>
        <w:ind w:firstLine="630"/>
        <w:rPr>
          <w:rFonts w:ascii="方正仿宋_GBK" w:eastAsia="方正仿宋_GBK"/>
          <w:color w:val="auto"/>
          <w:sz w:val="32"/>
          <w:szCs w:val="32"/>
        </w:rPr>
      </w:pPr>
      <w:r>
        <w:rPr>
          <w:rFonts w:hint="eastAsia" w:ascii="方正仿宋_GBK" w:eastAsia="方正仿宋_GBK"/>
          <w:color w:val="auto"/>
          <w:sz w:val="32"/>
          <w:szCs w:val="32"/>
        </w:rPr>
        <w:t>（四）以</w:t>
      </w:r>
      <w:r>
        <w:rPr>
          <w:rFonts w:ascii="方正仿宋_GBK" w:eastAsia="方正仿宋_GBK"/>
          <w:color w:val="auto"/>
          <w:sz w:val="32"/>
          <w:szCs w:val="32"/>
        </w:rPr>
        <w:t>考察、学习、培训、研讨、招商</w:t>
      </w:r>
      <w:r>
        <w:rPr>
          <w:rFonts w:hint="eastAsia" w:ascii="方正仿宋_GBK" w:eastAsia="方正仿宋_GBK"/>
          <w:color w:val="auto"/>
          <w:sz w:val="32"/>
          <w:szCs w:val="32"/>
        </w:rPr>
        <w:t>、</w:t>
      </w:r>
      <w:r>
        <w:rPr>
          <w:rFonts w:ascii="方正仿宋_GBK" w:eastAsia="方正仿宋_GBK"/>
          <w:color w:val="auto"/>
          <w:sz w:val="32"/>
          <w:szCs w:val="32"/>
        </w:rPr>
        <w:t>参展等名义变相公款旅游</w:t>
      </w:r>
      <w:r>
        <w:rPr>
          <w:rFonts w:hint="eastAsia" w:ascii="方正仿宋_GBK" w:eastAsia="方正仿宋_GBK"/>
          <w:color w:val="auto"/>
          <w:sz w:val="32"/>
          <w:szCs w:val="32"/>
        </w:rPr>
        <w:t>。</w:t>
      </w:r>
    </w:p>
    <w:p w14:paraId="15777446">
      <w:pPr>
        <w:ind w:firstLine="630"/>
        <w:rPr>
          <w:rFonts w:ascii="方正仿宋_GBK" w:eastAsia="方正仿宋_GBK"/>
          <w:color w:val="auto"/>
          <w:sz w:val="32"/>
          <w:szCs w:val="32"/>
        </w:rPr>
      </w:pPr>
      <w:r>
        <w:rPr>
          <w:rFonts w:hint="eastAsia" w:ascii="方正仿宋_GBK" w:eastAsia="方正仿宋_GBK"/>
          <w:color w:val="auto"/>
          <w:sz w:val="32"/>
          <w:szCs w:val="32"/>
        </w:rPr>
        <w:t>（五）利用</w:t>
      </w:r>
      <w:r>
        <w:rPr>
          <w:rFonts w:ascii="方正仿宋_GBK" w:eastAsia="方正仿宋_GBK"/>
          <w:color w:val="auto"/>
          <w:sz w:val="32"/>
          <w:szCs w:val="32"/>
        </w:rPr>
        <w:t>职权或职务上的影响为本人的配偶、子女及其配偶等亲属和其他特定关系人谋取利益。</w:t>
      </w:r>
    </w:p>
    <w:p w14:paraId="393258E2">
      <w:pPr>
        <w:ind w:firstLine="630"/>
        <w:rPr>
          <w:rFonts w:ascii="方正仿宋_GBK" w:eastAsia="方正仿宋_GBK"/>
          <w:color w:val="auto"/>
          <w:sz w:val="32"/>
          <w:szCs w:val="32"/>
        </w:rPr>
      </w:pPr>
      <w:r>
        <w:rPr>
          <w:rFonts w:hint="eastAsia" w:ascii="方正仿宋_GBK" w:eastAsia="方正仿宋_GBK"/>
          <w:color w:val="auto"/>
          <w:sz w:val="32"/>
          <w:szCs w:val="32"/>
        </w:rPr>
        <w:t>（六）纵容</w:t>
      </w:r>
      <w:r>
        <w:rPr>
          <w:rFonts w:ascii="方正仿宋_GBK" w:eastAsia="方正仿宋_GBK"/>
          <w:color w:val="auto"/>
          <w:sz w:val="32"/>
          <w:szCs w:val="32"/>
        </w:rPr>
        <w:t>、默许配偶、子女及其</w:t>
      </w:r>
      <w:r>
        <w:rPr>
          <w:rFonts w:hint="eastAsia" w:ascii="方正仿宋_GBK" w:eastAsia="方正仿宋_GBK"/>
          <w:color w:val="auto"/>
          <w:sz w:val="32"/>
          <w:szCs w:val="32"/>
        </w:rPr>
        <w:t>配偶</w:t>
      </w:r>
      <w:r>
        <w:rPr>
          <w:rFonts w:ascii="方正仿宋_GBK" w:eastAsia="方正仿宋_GBK"/>
          <w:color w:val="auto"/>
          <w:sz w:val="32"/>
          <w:szCs w:val="32"/>
        </w:rPr>
        <w:t>等亲属、</w:t>
      </w:r>
      <w:r>
        <w:rPr>
          <w:rFonts w:hint="eastAsia" w:ascii="方正仿宋_GBK" w:eastAsia="方正仿宋_GBK"/>
          <w:color w:val="auto"/>
          <w:sz w:val="32"/>
          <w:szCs w:val="32"/>
        </w:rPr>
        <w:t>身边</w:t>
      </w:r>
      <w:r>
        <w:rPr>
          <w:rFonts w:ascii="方正仿宋_GBK" w:eastAsia="方正仿宋_GBK"/>
          <w:color w:val="auto"/>
          <w:sz w:val="32"/>
          <w:szCs w:val="32"/>
        </w:rPr>
        <w:t>工作人员和其他特定关系人利用</w:t>
      </w:r>
      <w:r>
        <w:rPr>
          <w:rFonts w:hint="eastAsia" w:ascii="方正仿宋_GBK" w:eastAsia="方正仿宋_GBK"/>
          <w:color w:val="auto"/>
          <w:sz w:val="32"/>
          <w:szCs w:val="32"/>
        </w:rPr>
        <w:t>甲乙</w:t>
      </w:r>
      <w:r>
        <w:rPr>
          <w:rFonts w:ascii="方正仿宋_GBK" w:eastAsia="方正仿宋_GBK"/>
          <w:color w:val="auto"/>
          <w:sz w:val="32"/>
          <w:szCs w:val="32"/>
        </w:rPr>
        <w:t>双方工作人员</w:t>
      </w:r>
      <w:r>
        <w:rPr>
          <w:rFonts w:hint="eastAsia" w:ascii="方正仿宋_GBK" w:eastAsia="方正仿宋_GBK"/>
          <w:color w:val="auto"/>
          <w:sz w:val="32"/>
          <w:szCs w:val="32"/>
        </w:rPr>
        <w:t>（含</w:t>
      </w:r>
      <w:r>
        <w:rPr>
          <w:rFonts w:ascii="方正仿宋_GBK" w:eastAsia="方正仿宋_GBK"/>
          <w:color w:val="auto"/>
          <w:sz w:val="32"/>
          <w:szCs w:val="32"/>
        </w:rPr>
        <w:t>领导干部</w:t>
      </w:r>
      <w:r>
        <w:rPr>
          <w:rFonts w:hint="eastAsia" w:ascii="方正仿宋_GBK" w:eastAsia="方正仿宋_GBK"/>
          <w:color w:val="auto"/>
          <w:sz w:val="32"/>
          <w:szCs w:val="32"/>
        </w:rPr>
        <w:t>）</w:t>
      </w:r>
      <w:r>
        <w:rPr>
          <w:rFonts w:ascii="方正仿宋_GBK" w:eastAsia="方正仿宋_GBK"/>
          <w:color w:val="auto"/>
          <w:sz w:val="32"/>
          <w:szCs w:val="32"/>
        </w:rPr>
        <w:t>本人</w:t>
      </w:r>
      <w:r>
        <w:rPr>
          <w:rFonts w:hint="eastAsia" w:ascii="方正仿宋_GBK" w:eastAsia="方正仿宋_GBK"/>
          <w:color w:val="auto"/>
          <w:sz w:val="32"/>
          <w:szCs w:val="32"/>
        </w:rPr>
        <w:t>职权</w:t>
      </w:r>
      <w:r>
        <w:rPr>
          <w:rFonts w:ascii="方正仿宋_GBK" w:eastAsia="方正仿宋_GBK"/>
          <w:color w:val="auto"/>
          <w:sz w:val="32"/>
          <w:szCs w:val="32"/>
        </w:rPr>
        <w:t>或职务上的影响谋取私利。</w:t>
      </w:r>
    </w:p>
    <w:p w14:paraId="69E9516B">
      <w:pPr>
        <w:ind w:firstLine="630"/>
        <w:rPr>
          <w:rFonts w:ascii="方正仿宋_GBK" w:eastAsia="方正仿宋_GBK"/>
          <w:color w:val="auto"/>
          <w:sz w:val="32"/>
          <w:szCs w:val="32"/>
        </w:rPr>
      </w:pPr>
      <w:r>
        <w:rPr>
          <w:rFonts w:hint="eastAsia" w:ascii="方正仿宋_GBK" w:eastAsia="方正仿宋_GBK"/>
          <w:color w:val="auto"/>
          <w:sz w:val="32"/>
          <w:szCs w:val="32"/>
        </w:rPr>
        <w:t>（七）违反中央、</w:t>
      </w:r>
      <w:r>
        <w:rPr>
          <w:rFonts w:ascii="方正仿宋_GBK" w:eastAsia="方正仿宋_GBK"/>
          <w:color w:val="auto"/>
          <w:sz w:val="32"/>
          <w:szCs w:val="32"/>
        </w:rPr>
        <w:t>市</w:t>
      </w:r>
      <w:r>
        <w:rPr>
          <w:rFonts w:hint="eastAsia" w:ascii="方正仿宋_GBK" w:eastAsia="方正仿宋_GBK"/>
          <w:color w:val="auto"/>
          <w:sz w:val="32"/>
          <w:szCs w:val="32"/>
        </w:rPr>
        <w:t>、</w:t>
      </w:r>
      <w:r>
        <w:rPr>
          <w:rFonts w:ascii="方正仿宋_GBK" w:eastAsia="方正仿宋_GBK"/>
          <w:color w:val="auto"/>
          <w:sz w:val="32"/>
          <w:szCs w:val="32"/>
        </w:rPr>
        <w:t>区有关公务接待管理</w:t>
      </w:r>
      <w:r>
        <w:rPr>
          <w:rFonts w:hint="eastAsia" w:ascii="方正仿宋_GBK" w:eastAsia="方正仿宋_GBK"/>
          <w:color w:val="auto"/>
          <w:sz w:val="32"/>
          <w:szCs w:val="32"/>
        </w:rPr>
        <w:t>规定</w:t>
      </w:r>
      <w:r>
        <w:rPr>
          <w:rFonts w:ascii="方正仿宋_GBK" w:eastAsia="方正仿宋_GBK"/>
          <w:color w:val="auto"/>
          <w:sz w:val="32"/>
          <w:szCs w:val="32"/>
        </w:rPr>
        <w:t>，超标准、超范围接待或借机大吃大喝</w:t>
      </w:r>
      <w:r>
        <w:rPr>
          <w:rFonts w:hint="eastAsia" w:ascii="方正仿宋_GBK" w:eastAsia="方正仿宋_GBK"/>
          <w:color w:val="auto"/>
          <w:sz w:val="32"/>
          <w:szCs w:val="32"/>
        </w:rPr>
        <w:t>。</w:t>
      </w:r>
    </w:p>
    <w:p w14:paraId="4F248BE6">
      <w:pPr>
        <w:ind w:firstLine="630"/>
        <w:rPr>
          <w:rFonts w:ascii="方正仿宋_GBK" w:eastAsia="方正仿宋_GBK"/>
          <w:color w:val="auto"/>
          <w:sz w:val="32"/>
          <w:szCs w:val="32"/>
        </w:rPr>
      </w:pPr>
      <w:r>
        <w:rPr>
          <w:rFonts w:hint="eastAsia" w:ascii="方正仿宋_GBK" w:eastAsia="方正仿宋_GBK"/>
          <w:color w:val="auto"/>
          <w:sz w:val="32"/>
          <w:szCs w:val="32"/>
        </w:rPr>
        <w:t>（八）到</w:t>
      </w:r>
      <w:r>
        <w:rPr>
          <w:rFonts w:ascii="方正仿宋_GBK" w:eastAsia="方正仿宋_GBK"/>
          <w:color w:val="auto"/>
          <w:sz w:val="32"/>
          <w:szCs w:val="32"/>
        </w:rPr>
        <w:t>禁止召开会议的风景</w:t>
      </w:r>
      <w:r>
        <w:rPr>
          <w:rFonts w:hint="eastAsia" w:ascii="方正仿宋_GBK" w:eastAsia="方正仿宋_GBK"/>
          <w:color w:val="auto"/>
          <w:sz w:val="32"/>
          <w:szCs w:val="32"/>
        </w:rPr>
        <w:t>名胜</w:t>
      </w:r>
      <w:r>
        <w:rPr>
          <w:rFonts w:ascii="方正仿宋_GBK" w:eastAsia="方正仿宋_GBK"/>
          <w:color w:val="auto"/>
          <w:sz w:val="32"/>
          <w:szCs w:val="32"/>
        </w:rPr>
        <w:t>区</w:t>
      </w:r>
      <w:r>
        <w:rPr>
          <w:rFonts w:hint="eastAsia" w:ascii="方正仿宋_GBK" w:eastAsia="方正仿宋_GBK"/>
          <w:color w:val="auto"/>
          <w:sz w:val="32"/>
          <w:szCs w:val="32"/>
        </w:rPr>
        <w:t>开</w:t>
      </w:r>
      <w:r>
        <w:rPr>
          <w:rFonts w:ascii="方正仿宋_GBK" w:eastAsia="方正仿宋_GBK"/>
          <w:color w:val="auto"/>
          <w:sz w:val="32"/>
          <w:szCs w:val="32"/>
        </w:rPr>
        <w:t>会</w:t>
      </w:r>
      <w:r>
        <w:rPr>
          <w:rFonts w:hint="eastAsia" w:ascii="方正仿宋_GBK" w:eastAsia="方正仿宋_GBK"/>
          <w:color w:val="auto"/>
          <w:sz w:val="32"/>
          <w:szCs w:val="32"/>
        </w:rPr>
        <w:t>。</w:t>
      </w:r>
    </w:p>
    <w:p w14:paraId="0463EFF6">
      <w:pPr>
        <w:ind w:firstLine="630"/>
        <w:rPr>
          <w:rFonts w:ascii="方正仿宋_GBK" w:eastAsia="方正仿宋_GBK"/>
          <w:color w:val="auto"/>
          <w:sz w:val="32"/>
          <w:szCs w:val="32"/>
        </w:rPr>
      </w:pPr>
      <w:r>
        <w:rPr>
          <w:rFonts w:hint="eastAsia" w:ascii="方正仿宋_GBK" w:eastAsia="方正仿宋_GBK"/>
          <w:color w:val="auto"/>
          <w:sz w:val="32"/>
          <w:szCs w:val="32"/>
        </w:rPr>
        <w:t>（九）干预</w:t>
      </w:r>
      <w:r>
        <w:rPr>
          <w:rFonts w:ascii="方正仿宋_GBK" w:eastAsia="方正仿宋_GBK"/>
          <w:color w:val="auto"/>
          <w:sz w:val="32"/>
          <w:szCs w:val="32"/>
        </w:rPr>
        <w:t>和插手建设工程项目承发包、土地使用</w:t>
      </w:r>
      <w:r>
        <w:rPr>
          <w:rFonts w:hint="eastAsia" w:ascii="方正仿宋_GBK" w:eastAsia="方正仿宋_GBK"/>
          <w:color w:val="auto"/>
          <w:sz w:val="32"/>
          <w:szCs w:val="32"/>
        </w:rPr>
        <w:t>权</w:t>
      </w:r>
      <w:r>
        <w:rPr>
          <w:rFonts w:ascii="方正仿宋_GBK" w:eastAsia="方正仿宋_GBK"/>
          <w:color w:val="auto"/>
          <w:sz w:val="32"/>
          <w:szCs w:val="32"/>
        </w:rPr>
        <w:t>出让、采购、房地产开发与经营、矿产资源开发利用、中介机构服务等</w:t>
      </w:r>
      <w:r>
        <w:rPr>
          <w:rFonts w:hint="eastAsia" w:ascii="方正仿宋_GBK" w:eastAsia="方正仿宋_GBK"/>
          <w:color w:val="auto"/>
          <w:sz w:val="32"/>
          <w:szCs w:val="32"/>
        </w:rPr>
        <w:t>。</w:t>
      </w:r>
    </w:p>
    <w:p w14:paraId="33137A15">
      <w:pPr>
        <w:ind w:firstLine="630"/>
        <w:rPr>
          <w:rFonts w:ascii="方正仿宋_GBK" w:eastAsia="方正仿宋_GBK"/>
          <w:color w:val="auto"/>
          <w:sz w:val="32"/>
          <w:szCs w:val="32"/>
        </w:rPr>
      </w:pPr>
      <w:r>
        <w:rPr>
          <w:rFonts w:hint="eastAsia" w:ascii="方正仿宋_GBK" w:eastAsia="方正仿宋_GBK"/>
          <w:color w:val="auto"/>
          <w:sz w:val="32"/>
          <w:szCs w:val="32"/>
        </w:rPr>
        <w:t>（十）违反</w:t>
      </w:r>
      <w:r>
        <w:rPr>
          <w:rFonts w:ascii="方正仿宋_GBK" w:eastAsia="方正仿宋_GBK"/>
          <w:color w:val="auto"/>
          <w:sz w:val="32"/>
          <w:szCs w:val="32"/>
        </w:rPr>
        <w:t>社会公德、家庭美德的行为</w:t>
      </w:r>
      <w:r>
        <w:rPr>
          <w:rFonts w:hint="eastAsia" w:ascii="方正仿宋_GBK" w:eastAsia="方正仿宋_GBK"/>
          <w:color w:val="auto"/>
          <w:sz w:val="32"/>
          <w:szCs w:val="32"/>
        </w:rPr>
        <w:t>。</w:t>
      </w:r>
    </w:p>
    <w:p w14:paraId="674179AC">
      <w:pPr>
        <w:ind w:firstLine="630"/>
        <w:rPr>
          <w:rFonts w:ascii="方正仿宋_GBK" w:eastAsia="方正仿宋_GBK"/>
          <w:color w:val="auto"/>
          <w:sz w:val="32"/>
          <w:szCs w:val="32"/>
        </w:rPr>
      </w:pPr>
      <w:r>
        <w:rPr>
          <w:rFonts w:hint="eastAsia" w:ascii="方正仿宋_GBK" w:eastAsia="方正仿宋_GBK"/>
          <w:color w:val="auto"/>
          <w:sz w:val="32"/>
          <w:szCs w:val="32"/>
        </w:rPr>
        <w:t>（十一）违反中央</w:t>
      </w:r>
      <w:r>
        <w:rPr>
          <w:rFonts w:ascii="方正仿宋_GBK" w:eastAsia="方正仿宋_GBK"/>
          <w:color w:val="auto"/>
          <w:sz w:val="32"/>
          <w:szCs w:val="32"/>
        </w:rPr>
        <w:t>、市、区明确禁止的</w:t>
      </w:r>
      <w:r>
        <w:rPr>
          <w:rFonts w:hint="eastAsia" w:ascii="方正仿宋_GBK" w:eastAsia="方正仿宋_GBK"/>
          <w:color w:val="auto"/>
          <w:sz w:val="32"/>
          <w:szCs w:val="32"/>
        </w:rPr>
        <w:t>其他</w:t>
      </w:r>
      <w:r>
        <w:rPr>
          <w:rFonts w:ascii="方正仿宋_GBK" w:eastAsia="方正仿宋_GBK"/>
          <w:color w:val="auto"/>
          <w:sz w:val="32"/>
          <w:szCs w:val="32"/>
        </w:rPr>
        <w:t>不廉洁行为。</w:t>
      </w:r>
    </w:p>
    <w:p w14:paraId="488CD5BE">
      <w:pPr>
        <w:ind w:firstLine="640" w:firstLineChars="200"/>
        <w:rPr>
          <w:rFonts w:ascii="方正黑体_GBK" w:eastAsia="方正黑体_GBK"/>
          <w:color w:val="auto"/>
          <w:sz w:val="32"/>
          <w:szCs w:val="32"/>
        </w:rPr>
      </w:pPr>
      <w:r>
        <w:rPr>
          <w:rFonts w:hint="eastAsia" w:ascii="方正黑体_GBK" w:eastAsia="方正黑体_GBK"/>
          <w:color w:val="auto"/>
          <w:sz w:val="32"/>
          <w:szCs w:val="32"/>
        </w:rPr>
        <w:t>三、严肃执纪问责</w:t>
      </w:r>
    </w:p>
    <w:p w14:paraId="17C512CB">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rPr>
        <w:t>甲乙双方</w:t>
      </w:r>
      <w:r>
        <w:rPr>
          <w:rFonts w:ascii="方正仿宋_GBK" w:eastAsia="方正仿宋_GBK"/>
          <w:color w:val="auto"/>
          <w:sz w:val="32"/>
          <w:szCs w:val="32"/>
        </w:rPr>
        <w:t>承诺，发现</w:t>
      </w:r>
      <w:r>
        <w:rPr>
          <w:rFonts w:hint="eastAsia" w:ascii="方正仿宋_GBK" w:eastAsia="方正仿宋_GBK"/>
          <w:color w:val="auto"/>
          <w:sz w:val="32"/>
          <w:szCs w:val="32"/>
        </w:rPr>
        <w:t>对方</w:t>
      </w:r>
      <w:r>
        <w:rPr>
          <w:rFonts w:ascii="方正仿宋_GBK" w:eastAsia="方正仿宋_GBK"/>
          <w:color w:val="auto"/>
          <w:sz w:val="32"/>
          <w:szCs w:val="32"/>
        </w:rPr>
        <w:t>工作人员存在不廉洁行为</w:t>
      </w:r>
      <w:r>
        <w:rPr>
          <w:rFonts w:hint="eastAsia" w:ascii="方正仿宋_GBK" w:eastAsia="方正仿宋_GBK"/>
          <w:color w:val="auto"/>
          <w:sz w:val="32"/>
          <w:szCs w:val="32"/>
        </w:rPr>
        <w:t>，如实</w:t>
      </w:r>
      <w:r>
        <w:rPr>
          <w:rFonts w:ascii="方正仿宋_GBK" w:eastAsia="方正仿宋_GBK"/>
          <w:color w:val="auto"/>
          <w:sz w:val="32"/>
          <w:szCs w:val="32"/>
        </w:rPr>
        <w:t>向</w:t>
      </w:r>
      <w:r>
        <w:rPr>
          <w:rFonts w:hint="eastAsia" w:ascii="方正仿宋_GBK" w:eastAsia="方正仿宋_GBK"/>
          <w:color w:val="auto"/>
          <w:sz w:val="32"/>
          <w:szCs w:val="32"/>
        </w:rPr>
        <w:t>对方</w:t>
      </w:r>
      <w:r>
        <w:rPr>
          <w:rFonts w:ascii="方正仿宋_GBK" w:eastAsia="方正仿宋_GBK"/>
          <w:color w:val="auto"/>
          <w:sz w:val="32"/>
          <w:szCs w:val="32"/>
        </w:rPr>
        <w:t>纪检监督机构反映</w:t>
      </w:r>
      <w:r>
        <w:rPr>
          <w:rFonts w:hint="eastAsia" w:ascii="方正仿宋_GBK" w:eastAsia="方正仿宋_GBK"/>
          <w:color w:val="auto"/>
          <w:sz w:val="32"/>
          <w:szCs w:val="32"/>
        </w:rPr>
        <w:t>，</w:t>
      </w:r>
      <w:r>
        <w:rPr>
          <w:rFonts w:ascii="方正仿宋_GBK" w:eastAsia="方正仿宋_GBK"/>
          <w:color w:val="auto"/>
          <w:sz w:val="32"/>
          <w:szCs w:val="32"/>
        </w:rPr>
        <w:t>纪检</w:t>
      </w:r>
      <w:r>
        <w:rPr>
          <w:rFonts w:hint="eastAsia" w:ascii="方正仿宋_GBK" w:eastAsia="方正仿宋_GBK"/>
          <w:color w:val="auto"/>
          <w:sz w:val="32"/>
          <w:szCs w:val="32"/>
        </w:rPr>
        <w:t>机构</w:t>
      </w:r>
      <w:r>
        <w:rPr>
          <w:rFonts w:ascii="方正仿宋_GBK" w:eastAsia="方正仿宋_GBK"/>
          <w:color w:val="auto"/>
          <w:sz w:val="32"/>
          <w:szCs w:val="32"/>
        </w:rPr>
        <w:t>应</w:t>
      </w:r>
      <w:r>
        <w:rPr>
          <w:rFonts w:ascii="方正仿宋_GBK" w:eastAsia="方正仿宋_GBK"/>
          <w:color w:val="auto"/>
          <w:sz w:val="32"/>
          <w:szCs w:val="32"/>
          <w:highlight w:val="none"/>
        </w:rPr>
        <w:t>认真核实</w:t>
      </w:r>
      <w:r>
        <w:rPr>
          <w:rFonts w:hint="eastAsia" w:ascii="方正仿宋_GBK" w:eastAsia="方正仿宋_GBK"/>
          <w:color w:val="auto"/>
          <w:sz w:val="32"/>
          <w:szCs w:val="32"/>
          <w:highlight w:val="none"/>
        </w:rPr>
        <w:t>并</w:t>
      </w:r>
      <w:r>
        <w:rPr>
          <w:rFonts w:ascii="方正仿宋_GBK" w:eastAsia="方正仿宋_GBK"/>
          <w:color w:val="auto"/>
          <w:sz w:val="32"/>
          <w:szCs w:val="32"/>
          <w:highlight w:val="none"/>
        </w:rPr>
        <w:t>按</w:t>
      </w:r>
      <w:r>
        <w:rPr>
          <w:rFonts w:hint="eastAsia" w:ascii="方正仿宋_GBK" w:eastAsia="方正仿宋_GBK"/>
          <w:color w:val="auto"/>
          <w:sz w:val="32"/>
          <w:szCs w:val="32"/>
          <w:highlight w:val="none"/>
        </w:rPr>
        <w:t>程序予以</w:t>
      </w:r>
      <w:r>
        <w:rPr>
          <w:rFonts w:ascii="方正仿宋_GBK" w:eastAsia="方正仿宋_GBK"/>
          <w:color w:val="auto"/>
          <w:sz w:val="32"/>
          <w:szCs w:val="32"/>
          <w:highlight w:val="none"/>
        </w:rPr>
        <w:t>处理</w:t>
      </w:r>
      <w:r>
        <w:rPr>
          <w:rFonts w:hint="eastAsia" w:ascii="方正仿宋_GBK" w:eastAsia="方正仿宋_GBK"/>
          <w:color w:val="auto"/>
          <w:sz w:val="32"/>
          <w:szCs w:val="32"/>
          <w:highlight w:val="none"/>
        </w:rPr>
        <w:t>。</w:t>
      </w:r>
    </w:p>
    <w:p w14:paraId="77E360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方正仿宋_GBK" w:eastAsia="方正仿宋_GBK"/>
          <w:color w:val="auto"/>
          <w:sz w:val="32"/>
          <w:szCs w:val="32"/>
          <w:highlight w:val="none"/>
        </w:rPr>
      </w:pPr>
      <w:r>
        <w:rPr>
          <w:rFonts w:hint="eastAsia" w:ascii="方正仿宋_GBK" w:eastAsia="方正仿宋_GBK"/>
          <w:color w:val="auto"/>
          <w:sz w:val="32"/>
          <w:szCs w:val="32"/>
          <w:highlight w:val="none"/>
          <w:lang w:val="en-US" w:eastAsia="zh-CN"/>
        </w:rPr>
        <w:t>委托人</w:t>
      </w:r>
      <w:r>
        <w:rPr>
          <w:rFonts w:hint="eastAsia" w:ascii="方正仿宋_GBK" w:eastAsia="方正仿宋_GBK"/>
          <w:color w:val="auto"/>
          <w:sz w:val="32"/>
          <w:szCs w:val="32"/>
          <w:highlight w:val="none"/>
        </w:rPr>
        <w:t>监督</w:t>
      </w:r>
      <w:r>
        <w:rPr>
          <w:rFonts w:ascii="方正仿宋_GBK" w:eastAsia="方正仿宋_GBK"/>
          <w:color w:val="auto"/>
          <w:sz w:val="32"/>
          <w:szCs w:val="32"/>
          <w:highlight w:val="none"/>
        </w:rPr>
        <w:t>信件接</w:t>
      </w:r>
      <w:r>
        <w:rPr>
          <w:rFonts w:hint="eastAsia" w:ascii="方正仿宋_GBK" w:eastAsia="方正仿宋_GBK"/>
          <w:color w:val="auto"/>
          <w:sz w:val="32"/>
          <w:szCs w:val="32"/>
          <w:highlight w:val="none"/>
        </w:rPr>
        <w:t>收地址：</w:t>
      </w:r>
      <w:r>
        <w:rPr>
          <w:rFonts w:hint="eastAsia" w:ascii="方正仿宋_GBK" w:eastAsia="方正仿宋_GBK"/>
          <w:color w:val="auto"/>
          <w:sz w:val="32"/>
          <w:szCs w:val="32"/>
          <w:highlight w:val="none"/>
          <w:u w:val="single"/>
        </w:rPr>
        <w:t>重庆市九龙坡区直港大道建设大厦13楼，邮编400050</w:t>
      </w:r>
      <w:r>
        <w:rPr>
          <w:rFonts w:hint="eastAsia" w:ascii="方正仿宋_GBK" w:eastAsia="方正仿宋_GBK"/>
          <w:color w:val="auto"/>
          <w:sz w:val="32"/>
          <w:szCs w:val="32"/>
          <w:highlight w:val="none"/>
          <w:u w:val="single"/>
          <w:lang w:eastAsia="zh-CN"/>
        </w:rPr>
        <w:t>，</w:t>
      </w:r>
      <w:r>
        <w:rPr>
          <w:rFonts w:hint="eastAsia" w:ascii="方正仿宋_GBK" w:eastAsia="方正仿宋_GBK"/>
          <w:color w:val="auto"/>
          <w:sz w:val="32"/>
          <w:szCs w:val="32"/>
          <w:highlight w:val="none"/>
          <w:u w:val="single"/>
        </w:rPr>
        <w:t>电话：023-61577214。</w:t>
      </w:r>
    </w:p>
    <w:p w14:paraId="319B75FF">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方正仿宋_GBK" w:eastAsia="方正仿宋_GBK"/>
          <w:color w:val="auto"/>
          <w:sz w:val="32"/>
          <w:szCs w:val="32"/>
          <w:u w:val="single"/>
        </w:rPr>
      </w:pPr>
      <w:r>
        <w:rPr>
          <w:rFonts w:hint="eastAsia" w:ascii="方正仿宋_GBK" w:eastAsia="方正仿宋_GBK"/>
          <w:color w:val="auto"/>
          <w:sz w:val="32"/>
          <w:szCs w:val="32"/>
          <w:lang w:val="en-US" w:eastAsia="zh-CN"/>
        </w:rPr>
        <w:t>代建人</w:t>
      </w:r>
      <w:r>
        <w:rPr>
          <w:rFonts w:ascii="方正仿宋_GBK" w:eastAsia="方正仿宋_GBK"/>
          <w:color w:val="auto"/>
          <w:sz w:val="32"/>
          <w:szCs w:val="32"/>
        </w:rPr>
        <w:t>监督信件接收地址</w:t>
      </w:r>
      <w:r>
        <w:rPr>
          <w:rFonts w:hint="eastAsia" w:ascii="方正仿宋_GBK" w:eastAsia="方正仿宋_GBK"/>
          <w:color w:val="auto"/>
          <w:sz w:val="32"/>
          <w:szCs w:val="32"/>
        </w:rPr>
        <w:t>：</w:t>
      </w:r>
      <w:r>
        <w:rPr>
          <w:rFonts w:hint="eastAsia" w:ascii="方正仿宋_GBK" w:eastAsia="方正仿宋_GBK"/>
          <w:color w:val="auto"/>
          <w:sz w:val="32"/>
          <w:szCs w:val="32"/>
          <w:u w:val="single"/>
        </w:rPr>
        <w:t>重庆市九龙坡区杨家坪正街26号附4号30楼纪检工作室，邮编400050。</w:t>
      </w:r>
      <w:r>
        <w:rPr>
          <w:rFonts w:hint="eastAsia" w:ascii="方正仿宋_GBK" w:eastAsia="方正仿宋_GBK"/>
          <w:b w:val="0"/>
          <w:bCs w:val="0"/>
          <w:color w:val="auto"/>
          <w:sz w:val="32"/>
          <w:szCs w:val="32"/>
          <w:u w:val="single"/>
        </w:rPr>
        <w:t>电话：023-68686329。</w:t>
      </w:r>
    </w:p>
    <w:p w14:paraId="12B2549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eastAsia="宋体"/>
          <w:color w:val="auto"/>
          <w:highlight w:val="yellow"/>
          <w:lang w:val="en-US" w:eastAsia="zh-CN"/>
        </w:rPr>
      </w:pPr>
      <w:r>
        <w:rPr>
          <w:rFonts w:hint="eastAsia"/>
          <w:color w:val="auto"/>
          <w:lang w:val="en-US" w:eastAsia="zh-CN"/>
        </w:rPr>
        <w:t xml:space="preserve">  </w:t>
      </w:r>
      <w:r>
        <w:rPr>
          <w:rFonts w:hint="eastAsia" w:ascii="方正仿宋_GBK" w:eastAsia="方正仿宋_GBK"/>
          <w:color w:val="auto"/>
          <w:sz w:val="32"/>
          <w:szCs w:val="32"/>
          <w:lang w:val="en-US" w:eastAsia="zh-CN"/>
        </w:rPr>
        <w:t>咨询人</w:t>
      </w:r>
      <w:r>
        <w:rPr>
          <w:rFonts w:ascii="方正仿宋_GBK" w:eastAsia="方正仿宋_GBK"/>
          <w:color w:val="auto"/>
          <w:sz w:val="32"/>
          <w:szCs w:val="32"/>
        </w:rPr>
        <w:t>监督信件接收地址</w:t>
      </w:r>
      <w:r>
        <w:rPr>
          <w:rFonts w:hint="eastAsia" w:ascii="方正仿宋_GBK" w:eastAsia="方正仿宋_GBK"/>
          <w:color w:val="auto"/>
          <w:sz w:val="32"/>
          <w:szCs w:val="32"/>
        </w:rPr>
        <w:t>：</w:t>
      </w:r>
      <w:r>
        <w:rPr>
          <w:rFonts w:hint="eastAsia" w:ascii="方正仿宋_GBK" w:eastAsia="方正仿宋_GBK"/>
          <w:color w:val="auto"/>
          <w:sz w:val="32"/>
          <w:szCs w:val="32"/>
          <w:u w:val="single"/>
          <w:lang w:val="en-US" w:eastAsia="zh-CN"/>
        </w:rPr>
        <w:t xml:space="preserve">                       </w:t>
      </w:r>
    </w:p>
    <w:p w14:paraId="7E0F275C">
      <w:pPr>
        <w:pStyle w:val="17"/>
        <w:rPr>
          <w:color w:val="auto"/>
        </w:rPr>
      </w:pPr>
    </w:p>
    <w:p w14:paraId="1B71CC22">
      <w:pPr>
        <w:rPr>
          <w:rFonts w:ascii="方正仿宋_GBK" w:eastAsia="方正仿宋_GBK"/>
          <w:color w:val="auto"/>
          <w:sz w:val="32"/>
          <w:szCs w:val="32"/>
        </w:rPr>
      </w:pPr>
      <w:r>
        <w:rPr>
          <w:rFonts w:hint="eastAsia" w:ascii="方正仿宋_GBK" w:eastAsia="方正仿宋_GBK"/>
          <w:color w:val="auto"/>
          <w:sz w:val="32"/>
          <w:szCs w:val="32"/>
          <w:lang w:val="en-US" w:eastAsia="zh-CN"/>
        </w:rPr>
        <w:t>委托人</w:t>
      </w:r>
      <w:r>
        <w:rPr>
          <w:rFonts w:hint="eastAsia" w:ascii="方正仿宋_GBK" w:eastAsia="方正仿宋_GBK"/>
          <w:color w:val="auto"/>
          <w:sz w:val="32"/>
          <w:szCs w:val="32"/>
        </w:rPr>
        <w:t>（签章）</w:t>
      </w:r>
      <w:r>
        <w:rPr>
          <w:rFonts w:ascii="方正仿宋_GBK" w:eastAsia="方正仿宋_GBK"/>
          <w:color w:val="auto"/>
          <w:sz w:val="32"/>
          <w:szCs w:val="32"/>
        </w:rPr>
        <w:t>：</w:t>
      </w:r>
      <w:r>
        <w:rPr>
          <w:rFonts w:hint="eastAsia" w:ascii="方正仿宋_GBK" w:eastAsia="方正仿宋_GBK"/>
          <w:color w:val="auto"/>
          <w:sz w:val="32"/>
          <w:szCs w:val="32"/>
        </w:rPr>
        <w:t xml:space="preserve">              </w:t>
      </w:r>
      <w:r>
        <w:rPr>
          <w:rFonts w:hint="eastAsia" w:ascii="方正仿宋_GBK" w:eastAsia="方正仿宋_GBK"/>
          <w:color w:val="auto"/>
          <w:sz w:val="32"/>
          <w:szCs w:val="32"/>
          <w:lang w:val="en-US" w:eastAsia="zh-CN"/>
        </w:rPr>
        <w:t xml:space="preserve"> </w:t>
      </w:r>
      <w:r>
        <w:rPr>
          <w:rFonts w:ascii="方正仿宋_GBK" w:eastAsia="方正仿宋_GBK"/>
          <w:color w:val="auto"/>
          <w:sz w:val="32"/>
          <w:szCs w:val="32"/>
        </w:rPr>
        <w:t xml:space="preserve">    </w:t>
      </w:r>
      <w:r>
        <w:rPr>
          <w:rFonts w:hint="eastAsia" w:ascii="方正仿宋_GBK" w:eastAsia="方正仿宋_GBK"/>
          <w:color w:val="auto"/>
          <w:sz w:val="32"/>
          <w:szCs w:val="32"/>
          <w:lang w:val="en-US" w:eastAsia="zh-CN"/>
        </w:rPr>
        <w:t>代建人</w:t>
      </w:r>
      <w:r>
        <w:rPr>
          <w:rFonts w:hint="eastAsia" w:ascii="方正仿宋_GBK" w:eastAsia="方正仿宋_GBK"/>
          <w:color w:val="auto"/>
          <w:sz w:val="32"/>
          <w:szCs w:val="32"/>
        </w:rPr>
        <w:t>（签章）</w:t>
      </w:r>
      <w:r>
        <w:rPr>
          <w:rFonts w:ascii="方正仿宋_GBK" w:eastAsia="方正仿宋_GBK"/>
          <w:color w:val="auto"/>
          <w:sz w:val="32"/>
          <w:szCs w:val="32"/>
        </w:rPr>
        <w:t>：</w:t>
      </w:r>
    </w:p>
    <w:p w14:paraId="14DE2B5B">
      <w:pPr>
        <w:rPr>
          <w:rFonts w:ascii="方正仿宋_GBK" w:eastAsia="方正仿宋_GBK"/>
          <w:color w:val="auto"/>
          <w:sz w:val="32"/>
          <w:szCs w:val="32"/>
        </w:rPr>
      </w:pPr>
      <w:r>
        <w:rPr>
          <w:rFonts w:hint="eastAsia" w:ascii="方正仿宋_GBK" w:eastAsia="方正仿宋_GBK"/>
          <w:color w:val="auto"/>
          <w:sz w:val="32"/>
          <w:szCs w:val="32"/>
        </w:rPr>
        <w:t>经办人（签章）</w:t>
      </w:r>
      <w:r>
        <w:rPr>
          <w:rFonts w:ascii="方正仿宋_GBK" w:eastAsia="方正仿宋_GBK"/>
          <w:color w:val="auto"/>
          <w:sz w:val="32"/>
          <w:szCs w:val="32"/>
        </w:rPr>
        <w:t>：</w:t>
      </w:r>
      <w:r>
        <w:rPr>
          <w:rFonts w:hint="eastAsia" w:ascii="方正仿宋_GBK" w:eastAsia="方正仿宋_GBK"/>
          <w:color w:val="auto"/>
          <w:sz w:val="32"/>
          <w:szCs w:val="32"/>
        </w:rPr>
        <w:t xml:space="preserve">            </w:t>
      </w:r>
      <w:r>
        <w:rPr>
          <w:rFonts w:ascii="方正仿宋_GBK" w:eastAsia="方正仿宋_GBK"/>
          <w:color w:val="auto"/>
          <w:sz w:val="32"/>
          <w:szCs w:val="32"/>
        </w:rPr>
        <w:t xml:space="preserve">  </w:t>
      </w:r>
      <w:r>
        <w:rPr>
          <w:rFonts w:hint="eastAsia" w:ascii="方正仿宋_GBK" w:eastAsia="方正仿宋_GBK"/>
          <w:color w:val="auto"/>
          <w:sz w:val="32"/>
          <w:szCs w:val="32"/>
          <w:lang w:val="en-US" w:eastAsia="zh-CN"/>
        </w:rPr>
        <w:t xml:space="preserve"> </w:t>
      </w:r>
      <w:r>
        <w:rPr>
          <w:rFonts w:ascii="方正仿宋_GBK" w:eastAsia="方正仿宋_GBK"/>
          <w:color w:val="auto"/>
          <w:sz w:val="32"/>
          <w:szCs w:val="32"/>
        </w:rPr>
        <w:t xml:space="preserve">  </w:t>
      </w:r>
      <w:r>
        <w:rPr>
          <w:rFonts w:hint="eastAsia" w:ascii="方正仿宋_GBK" w:eastAsia="方正仿宋_GBK"/>
          <w:color w:val="auto"/>
          <w:sz w:val="32"/>
          <w:szCs w:val="32"/>
        </w:rPr>
        <w:t xml:space="preserve"> </w:t>
      </w:r>
      <w:r>
        <w:rPr>
          <w:rFonts w:ascii="方正仿宋_GBK" w:eastAsia="方正仿宋_GBK"/>
          <w:color w:val="auto"/>
          <w:sz w:val="32"/>
          <w:szCs w:val="32"/>
        </w:rPr>
        <w:t xml:space="preserve"> </w:t>
      </w:r>
      <w:r>
        <w:rPr>
          <w:rFonts w:hint="eastAsia" w:ascii="方正仿宋_GBK" w:eastAsia="方正仿宋_GBK"/>
          <w:color w:val="auto"/>
          <w:sz w:val="32"/>
          <w:szCs w:val="32"/>
        </w:rPr>
        <w:t>经办</w:t>
      </w:r>
      <w:r>
        <w:rPr>
          <w:rFonts w:ascii="方正仿宋_GBK" w:eastAsia="方正仿宋_GBK"/>
          <w:color w:val="auto"/>
          <w:sz w:val="32"/>
          <w:szCs w:val="32"/>
        </w:rPr>
        <w:t>人</w:t>
      </w:r>
      <w:r>
        <w:rPr>
          <w:rFonts w:hint="eastAsia" w:ascii="方正仿宋_GBK" w:eastAsia="方正仿宋_GBK"/>
          <w:color w:val="auto"/>
          <w:sz w:val="32"/>
          <w:szCs w:val="32"/>
        </w:rPr>
        <w:t>（签章）</w:t>
      </w:r>
      <w:r>
        <w:rPr>
          <w:rFonts w:ascii="方正仿宋_GBK" w:eastAsia="方正仿宋_GBK"/>
          <w:color w:val="auto"/>
          <w:sz w:val="32"/>
          <w:szCs w:val="32"/>
        </w:rPr>
        <w:t>：</w:t>
      </w:r>
    </w:p>
    <w:p w14:paraId="4ACE3205">
      <w:pPr>
        <w:rPr>
          <w:color w:val="auto"/>
        </w:rPr>
      </w:pPr>
    </w:p>
    <w:p w14:paraId="3EB7FBAA">
      <w:pPr>
        <w:pStyle w:val="17"/>
        <w:rPr>
          <w:color w:val="auto"/>
        </w:rPr>
      </w:pPr>
    </w:p>
    <w:p w14:paraId="16D5DBE8">
      <w:pPr>
        <w:rPr>
          <w:color w:val="auto"/>
        </w:rPr>
      </w:pPr>
    </w:p>
    <w:p w14:paraId="51439E48">
      <w:pPr>
        <w:pStyle w:val="17"/>
        <w:rPr>
          <w:color w:val="auto"/>
        </w:rPr>
      </w:pPr>
    </w:p>
    <w:p w14:paraId="0BD7F5C6">
      <w:pPr>
        <w:rPr>
          <w:color w:val="auto"/>
        </w:rPr>
      </w:pPr>
    </w:p>
    <w:p w14:paraId="6AFA01D0">
      <w:pPr>
        <w:pStyle w:val="17"/>
        <w:rPr>
          <w:color w:val="auto"/>
        </w:rPr>
      </w:pPr>
    </w:p>
    <w:p w14:paraId="16F7360B">
      <w:pPr>
        <w:rPr>
          <w:color w:val="auto"/>
        </w:rPr>
      </w:pPr>
    </w:p>
    <w:p w14:paraId="068DA2E9">
      <w:pPr>
        <w:rPr>
          <w:rFonts w:ascii="方正仿宋_GBK" w:eastAsia="方正仿宋_GBK"/>
          <w:color w:val="auto"/>
          <w:sz w:val="32"/>
          <w:szCs w:val="32"/>
        </w:rPr>
      </w:pPr>
      <w:r>
        <w:rPr>
          <w:rFonts w:hint="eastAsia" w:ascii="方正仿宋_GBK" w:eastAsia="方正仿宋_GBK"/>
          <w:color w:val="auto"/>
          <w:sz w:val="32"/>
          <w:szCs w:val="32"/>
          <w:lang w:val="en-US" w:eastAsia="zh-CN"/>
        </w:rPr>
        <w:t>咨询人</w:t>
      </w:r>
      <w:r>
        <w:rPr>
          <w:rFonts w:hint="eastAsia" w:ascii="方正仿宋_GBK" w:eastAsia="方正仿宋_GBK"/>
          <w:color w:val="auto"/>
          <w:sz w:val="32"/>
          <w:szCs w:val="32"/>
        </w:rPr>
        <w:t>（签章）</w:t>
      </w:r>
      <w:r>
        <w:rPr>
          <w:rFonts w:ascii="方正仿宋_GBK" w:eastAsia="方正仿宋_GBK"/>
          <w:color w:val="auto"/>
          <w:sz w:val="32"/>
          <w:szCs w:val="32"/>
        </w:rPr>
        <w:t>：</w:t>
      </w:r>
      <w:r>
        <w:rPr>
          <w:rFonts w:hint="eastAsia" w:ascii="方正仿宋_GBK" w:eastAsia="方正仿宋_GBK"/>
          <w:color w:val="auto"/>
          <w:sz w:val="32"/>
          <w:szCs w:val="32"/>
        </w:rPr>
        <w:t xml:space="preserve">              </w:t>
      </w:r>
      <w:r>
        <w:rPr>
          <w:rFonts w:hint="eastAsia" w:ascii="方正仿宋_GBK" w:eastAsia="方正仿宋_GBK"/>
          <w:color w:val="auto"/>
          <w:sz w:val="32"/>
          <w:szCs w:val="32"/>
          <w:lang w:val="en-US" w:eastAsia="zh-CN"/>
        </w:rPr>
        <w:t xml:space="preserve"> </w:t>
      </w:r>
      <w:r>
        <w:rPr>
          <w:rFonts w:ascii="方正仿宋_GBK" w:eastAsia="方正仿宋_GBK"/>
          <w:color w:val="auto"/>
          <w:sz w:val="32"/>
          <w:szCs w:val="32"/>
        </w:rPr>
        <w:t xml:space="preserve">    </w:t>
      </w:r>
    </w:p>
    <w:p w14:paraId="14ECF609">
      <w:pPr>
        <w:rPr>
          <w:rFonts w:ascii="方正仿宋_GBK" w:eastAsia="方正仿宋_GBK"/>
          <w:color w:val="auto"/>
          <w:sz w:val="32"/>
          <w:szCs w:val="32"/>
        </w:rPr>
      </w:pPr>
      <w:r>
        <w:rPr>
          <w:rFonts w:hint="eastAsia" w:ascii="方正仿宋_GBK" w:eastAsia="方正仿宋_GBK"/>
          <w:color w:val="auto"/>
          <w:sz w:val="32"/>
          <w:szCs w:val="32"/>
        </w:rPr>
        <w:t>经办人（签章）</w:t>
      </w:r>
      <w:r>
        <w:rPr>
          <w:rFonts w:ascii="方正仿宋_GBK" w:eastAsia="方正仿宋_GBK"/>
          <w:color w:val="auto"/>
          <w:sz w:val="32"/>
          <w:szCs w:val="32"/>
        </w:rPr>
        <w:t>：</w:t>
      </w:r>
      <w:r>
        <w:rPr>
          <w:rFonts w:hint="eastAsia" w:ascii="方正仿宋_GBK" w:eastAsia="方正仿宋_GBK"/>
          <w:color w:val="auto"/>
          <w:sz w:val="32"/>
          <w:szCs w:val="32"/>
        </w:rPr>
        <w:t xml:space="preserve">            </w:t>
      </w:r>
      <w:r>
        <w:rPr>
          <w:rFonts w:ascii="方正仿宋_GBK" w:eastAsia="方正仿宋_GBK"/>
          <w:color w:val="auto"/>
          <w:sz w:val="32"/>
          <w:szCs w:val="32"/>
        </w:rPr>
        <w:t xml:space="preserve">  </w:t>
      </w:r>
      <w:r>
        <w:rPr>
          <w:rFonts w:hint="eastAsia" w:ascii="方正仿宋_GBK" w:eastAsia="方正仿宋_GBK"/>
          <w:color w:val="auto"/>
          <w:sz w:val="32"/>
          <w:szCs w:val="32"/>
          <w:lang w:val="en-US" w:eastAsia="zh-CN"/>
        </w:rPr>
        <w:t xml:space="preserve"> </w:t>
      </w:r>
      <w:r>
        <w:rPr>
          <w:rFonts w:ascii="方正仿宋_GBK" w:eastAsia="方正仿宋_GBK"/>
          <w:color w:val="auto"/>
          <w:sz w:val="32"/>
          <w:szCs w:val="32"/>
        </w:rPr>
        <w:t xml:space="preserve">  </w:t>
      </w:r>
      <w:r>
        <w:rPr>
          <w:rFonts w:hint="eastAsia" w:ascii="方正仿宋_GBK" w:eastAsia="方正仿宋_GBK"/>
          <w:color w:val="auto"/>
          <w:sz w:val="32"/>
          <w:szCs w:val="32"/>
        </w:rPr>
        <w:t xml:space="preserve"> </w:t>
      </w:r>
      <w:r>
        <w:rPr>
          <w:rFonts w:ascii="方正仿宋_GBK" w:eastAsia="方正仿宋_GBK"/>
          <w:color w:val="auto"/>
          <w:sz w:val="32"/>
          <w:szCs w:val="32"/>
        </w:rPr>
        <w:t xml:space="preserve"> </w:t>
      </w:r>
    </w:p>
    <w:p w14:paraId="3EBAA388">
      <w:pPr>
        <w:pStyle w:val="17"/>
        <w:keepNext w:val="0"/>
        <w:keepLines w:val="0"/>
        <w:pageBreakBefore w:val="0"/>
        <w:widowControl w:val="0"/>
        <w:kinsoku/>
        <w:wordWrap/>
        <w:overflowPunct/>
        <w:topLinePunct w:val="0"/>
        <w:autoSpaceDE/>
        <w:autoSpaceDN/>
        <w:bidi w:val="0"/>
        <w:adjustRightInd/>
        <w:snapToGrid/>
        <w:ind w:left="0"/>
        <w:textAlignment w:val="auto"/>
        <w:rPr>
          <w:color w:val="auto"/>
        </w:rPr>
      </w:pPr>
    </w:p>
    <w:p w14:paraId="167C5D95">
      <w:pPr>
        <w:bidi w:val="0"/>
        <w:rPr>
          <w:rFonts w:hint="eastAsia"/>
          <w:color w:val="auto"/>
          <w:lang w:eastAsia="zh-CN"/>
        </w:rPr>
      </w:pPr>
      <w:r>
        <w:rPr>
          <w:rFonts w:hint="eastAsia" w:ascii="方正仿宋_GBK" w:eastAsia="方正仿宋_GBK"/>
          <w:color w:val="auto"/>
          <w:sz w:val="32"/>
          <w:szCs w:val="32"/>
        </w:rPr>
        <w:t xml:space="preserve">                         </w:t>
      </w:r>
      <w:r>
        <w:rPr>
          <w:rFonts w:hint="eastAsia" w:ascii="方正仿宋_GBK" w:eastAsia="方正仿宋_GBK"/>
          <w:color w:val="auto"/>
          <w:sz w:val="32"/>
          <w:szCs w:val="32"/>
          <w:lang w:val="en-US" w:eastAsia="zh-CN"/>
        </w:rPr>
        <w:t xml:space="preserve">                </w:t>
      </w:r>
      <w:r>
        <w:rPr>
          <w:rFonts w:hint="eastAsia" w:ascii="方正仿宋_GBK" w:eastAsia="方正仿宋_GBK"/>
          <w:color w:val="auto"/>
          <w:sz w:val="32"/>
          <w:szCs w:val="32"/>
        </w:rPr>
        <w:t xml:space="preserve">   年   月   日</w:t>
      </w:r>
    </w:p>
    <w:p w14:paraId="25304DBC">
      <w:pPr>
        <w:pStyle w:val="3"/>
        <w:spacing w:before="0" w:after="0" w:line="360" w:lineRule="auto"/>
        <w:jc w:val="center"/>
        <w:rPr>
          <w:rFonts w:hint="eastAsia" w:ascii="微软雅黑" w:hAnsi="微软雅黑" w:eastAsia="微软雅黑" w:cs="微软雅黑"/>
          <w:b w:val="0"/>
          <w:color w:val="auto"/>
          <w:sz w:val="36"/>
          <w:szCs w:val="30"/>
        </w:rPr>
      </w:pPr>
      <w:r>
        <w:rPr>
          <w:rFonts w:hint="eastAsia" w:ascii="微软雅黑" w:hAnsi="微软雅黑" w:eastAsia="微软雅黑" w:cs="微软雅黑"/>
          <w:b w:val="0"/>
          <w:color w:val="auto"/>
          <w:sz w:val="36"/>
          <w:szCs w:val="30"/>
        </w:rPr>
        <w:br w:type="page"/>
      </w:r>
      <w:bookmarkStart w:id="167" w:name="_Toc5395"/>
      <w:r>
        <w:rPr>
          <w:rFonts w:hint="eastAsia" w:ascii="微软雅黑" w:hAnsi="微软雅黑" w:eastAsia="微软雅黑" w:cs="微软雅黑"/>
          <w:b w:val="0"/>
          <w:color w:val="auto"/>
          <w:sz w:val="36"/>
          <w:szCs w:val="30"/>
        </w:rPr>
        <w:t>第七篇  响应文件编制要求</w:t>
      </w:r>
      <w:bookmarkEnd w:id="163"/>
      <w:bookmarkEnd w:id="167"/>
    </w:p>
    <w:p w14:paraId="01D6D9C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14:paraId="48F8B25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（一）竞争性磋商报价函</w:t>
      </w:r>
    </w:p>
    <w:p w14:paraId="1FBD7887">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（二）明细报价表</w:t>
      </w:r>
    </w:p>
    <w:p w14:paraId="31F3D1E9">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二、服务部分</w:t>
      </w:r>
    </w:p>
    <w:p w14:paraId="7BFB195B">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（一）服务响应偏离表</w:t>
      </w:r>
    </w:p>
    <w:p w14:paraId="5005EAB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（二）其他资料（格式自定）</w:t>
      </w:r>
    </w:p>
    <w:p w14:paraId="366090DE">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14:paraId="00D1292D">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14:paraId="6F118FB1">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（二）其它优惠服务承诺（格式自定）</w:t>
      </w:r>
    </w:p>
    <w:p w14:paraId="58BA35BA">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（三）其他商务资料（根据采购需求和评审因素的要求自拟）</w:t>
      </w:r>
    </w:p>
    <w:p w14:paraId="34C4280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14:paraId="1C1AD87A">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14:paraId="0BDE2655">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14:paraId="0C07BB6F">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14:paraId="14B0FBF4">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（四）基本资格条件承诺函（格式）</w:t>
      </w:r>
    </w:p>
    <w:p w14:paraId="06BE2EFE">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（五）特定资格条件证书或证明文件</w:t>
      </w:r>
    </w:p>
    <w:p w14:paraId="75EDCE80">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14:paraId="15B8D653">
      <w:pPr>
        <w:spacing w:line="400" w:lineRule="exact"/>
        <w:ind w:firstLine="480" w:firstLineChars="200"/>
        <w:rPr>
          <w:rFonts w:hint="eastAsia" w:ascii="微软雅黑" w:hAnsi="微软雅黑" w:eastAsia="微软雅黑" w:cs="微软雅黑"/>
          <w:b/>
          <w:color w:val="auto"/>
          <w:sz w:val="24"/>
          <w:szCs w:val="24"/>
        </w:rPr>
      </w:pPr>
      <w:r>
        <w:rPr>
          <w:rFonts w:hint="eastAsia" w:ascii="微软雅黑" w:hAnsi="微软雅黑" w:eastAsia="微软雅黑" w:cs="微软雅黑"/>
          <w:color w:val="auto"/>
          <w:sz w:val="24"/>
          <w:szCs w:val="24"/>
        </w:rPr>
        <w:t>（一）中小企业声明函、监狱企业证明文件、残疾人福利性单位声明函</w:t>
      </w:r>
    </w:p>
    <w:p w14:paraId="2C883E6A">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（二）其他与项目有关的资料</w:t>
      </w:r>
    </w:p>
    <w:p w14:paraId="3080832B">
      <w:pPr>
        <w:snapToGrid w:val="0"/>
        <w:spacing w:line="360" w:lineRule="auto"/>
        <w:rPr>
          <w:rFonts w:hint="eastAsia" w:ascii="微软雅黑" w:hAnsi="微软雅黑" w:eastAsia="微软雅黑" w:cs="微软雅黑"/>
          <w:color w:val="auto"/>
          <w:sz w:val="24"/>
          <w:szCs w:val="24"/>
          <w:bdr w:val="single" w:color="auto" w:sz="4" w:space="0"/>
        </w:rPr>
        <w:sectPr>
          <w:headerReference r:id="rId14" w:type="default"/>
          <w:footerReference r:id="rId15" w:type="default"/>
          <w:pgSz w:w="11907" w:h="16840"/>
          <w:pgMar w:top="1417" w:right="1417" w:bottom="1417" w:left="1417" w:header="851" w:footer="992" w:gutter="0"/>
          <w:pgNumType w:fmt="numberInDash"/>
          <w:cols w:space="720" w:num="1"/>
          <w:docGrid w:linePitch="380" w:charSpace="-5735"/>
        </w:sectPr>
      </w:pPr>
    </w:p>
    <w:p w14:paraId="1C2FBCDB">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8" w:name="_Toc182845862"/>
      <w:bookmarkStart w:id="169" w:name="_Toc313888360"/>
      <w:bookmarkStart w:id="170" w:name="_Toc313008356"/>
      <w:bookmarkStart w:id="171" w:name="_Toc342913419"/>
      <w:bookmarkStart w:id="172" w:name="_Toc76462350"/>
      <w:bookmarkStart w:id="173" w:name="_Toc15379"/>
      <w:bookmarkStart w:id="174" w:name="_Toc12789073"/>
      <w:bookmarkStart w:id="175" w:name="_Toc283382454"/>
      <w:r>
        <w:rPr>
          <w:rFonts w:hint="eastAsia" w:ascii="微软雅黑" w:hAnsi="微软雅黑" w:eastAsia="微软雅黑" w:cs="微软雅黑"/>
          <w:color w:val="auto"/>
          <w:sz w:val="24"/>
        </w:rPr>
        <w:t>一、经济部分</w:t>
      </w:r>
      <w:bookmarkEnd w:id="168"/>
      <w:bookmarkEnd w:id="169"/>
      <w:bookmarkEnd w:id="170"/>
      <w:bookmarkEnd w:id="171"/>
      <w:bookmarkEnd w:id="172"/>
      <w:bookmarkEnd w:id="173"/>
    </w:p>
    <w:bookmarkEnd w:id="174"/>
    <w:bookmarkEnd w:id="175"/>
    <w:p w14:paraId="2219132D">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（一）竞争性磋商报价函</w:t>
      </w:r>
    </w:p>
    <w:p w14:paraId="39147F0B">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竞争性磋商报价函</w:t>
      </w:r>
    </w:p>
    <w:p w14:paraId="6DA4DAF2">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（采购代理机构名称）</w:t>
      </w:r>
      <w:r>
        <w:rPr>
          <w:rFonts w:hint="eastAsia" w:ascii="微软雅黑" w:hAnsi="微软雅黑" w:eastAsia="微软雅黑" w:cs="微软雅黑"/>
          <w:color w:val="auto"/>
          <w:sz w:val="24"/>
          <w:szCs w:val="24"/>
        </w:rPr>
        <w:t>：</w:t>
      </w:r>
    </w:p>
    <w:p w14:paraId="6107CB40">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我方收到____________________________（磋商项目名称）的竞争性磋商文件，经详细研究，决定参加该项目的磋商。</w:t>
      </w:r>
    </w:p>
    <w:p w14:paraId="36A656CB">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1.愿意按照竞争性磋商文件中的一切要求，提供本项目的服务，初始报价</w:t>
      </w:r>
      <w:r>
        <w:rPr>
          <w:rFonts w:hint="eastAsia" w:ascii="微软雅黑" w:hAnsi="微软雅黑" w:eastAsia="微软雅黑" w:cs="微软雅黑"/>
          <w:color w:val="auto"/>
          <w:sz w:val="24"/>
          <w:szCs w:val="24"/>
          <w:lang w:val="en-US" w:eastAsia="zh-CN"/>
        </w:rPr>
        <w:t>取费比例</w:t>
      </w:r>
      <w:r>
        <w:rPr>
          <w:rFonts w:hint="eastAsia" w:ascii="微软雅黑" w:hAnsi="微软雅黑" w:eastAsia="微软雅黑" w:cs="微软雅黑"/>
          <w:color w:val="auto"/>
          <w:sz w:val="24"/>
          <w:szCs w:val="24"/>
        </w:rPr>
        <w:t>为</w:t>
      </w:r>
      <w:r>
        <w:rPr>
          <w:rFonts w:hint="eastAsia" w:ascii="微软雅黑" w:hAnsi="微软雅黑" w:eastAsia="微软雅黑" w:cs="微软雅黑"/>
          <w:color w:val="auto"/>
          <w:sz w:val="24"/>
          <w:szCs w:val="24"/>
          <w:u w:val="single"/>
          <w:lang w:val="en-US" w:eastAsia="zh-CN"/>
        </w:rPr>
        <w:t xml:space="preserve">      </w:t>
      </w:r>
      <w:r>
        <w:rPr>
          <w:rFonts w:hint="eastAsia" w:ascii="微软雅黑" w:hAnsi="微软雅黑" w:eastAsia="微软雅黑" w:cs="微软雅黑"/>
          <w:color w:val="auto"/>
          <w:sz w:val="24"/>
          <w:szCs w:val="24"/>
          <w:u w:val="none"/>
          <w:lang w:val="en-US" w:eastAsia="zh-CN"/>
        </w:rPr>
        <w:t>%</w:t>
      </w:r>
      <w:r>
        <w:rPr>
          <w:rFonts w:hint="eastAsia" w:ascii="微软雅黑" w:hAnsi="微软雅黑" w:eastAsia="微软雅黑" w:cs="微软雅黑"/>
          <w:color w:val="auto"/>
          <w:sz w:val="24"/>
          <w:szCs w:val="24"/>
        </w:rPr>
        <w:t>。以我公司最后报价为准。</w:t>
      </w:r>
    </w:p>
    <w:p w14:paraId="7EB55157">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2.我方现提交的响应文件为：</w:t>
      </w:r>
      <w:r>
        <w:rPr>
          <w:rFonts w:hint="eastAsia" w:ascii="微软雅黑" w:hAnsi="微软雅黑" w:eastAsia="微软雅黑" w:cs="微软雅黑"/>
          <w:color w:val="auto"/>
          <w:sz w:val="24"/>
          <w:szCs w:val="24"/>
          <w:lang w:val="en-US" w:eastAsia="zh-CN"/>
        </w:rPr>
        <w:t>电子</w:t>
      </w:r>
      <w:r>
        <w:rPr>
          <w:rFonts w:hint="eastAsia" w:ascii="微软雅黑" w:hAnsi="微软雅黑" w:eastAsia="微软雅黑" w:cs="微软雅黑"/>
          <w:color w:val="auto"/>
          <w:sz w:val="24"/>
          <w:szCs w:val="24"/>
        </w:rPr>
        <w:t>响应文件</w:t>
      </w:r>
      <w:r>
        <w:rPr>
          <w:rFonts w:hint="eastAsia" w:ascii="微软雅黑" w:hAnsi="微软雅黑" w:eastAsia="微软雅黑" w:cs="微软雅黑"/>
          <w:color w:val="auto"/>
          <w:sz w:val="24"/>
          <w:szCs w:val="24"/>
          <w:u w:val="single"/>
          <w:lang w:val="en-US" w:eastAsia="zh-CN"/>
        </w:rPr>
        <w:t>1</w:t>
      </w:r>
      <w:r>
        <w:rPr>
          <w:rFonts w:hint="eastAsia" w:ascii="微软雅黑" w:hAnsi="微软雅黑" w:eastAsia="微软雅黑" w:cs="微软雅黑"/>
          <w:color w:val="auto"/>
          <w:sz w:val="24"/>
          <w:szCs w:val="24"/>
        </w:rPr>
        <w:t>份。</w:t>
      </w:r>
    </w:p>
    <w:p w14:paraId="5E0E902E">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3.我方承诺：本次磋商的有效期为提交响应文件截止时间起90天。</w:t>
      </w:r>
    </w:p>
    <w:p w14:paraId="2A8DCFD3">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4.我方完全理解和接受贵方竞争性磋商文件的一切规定和要求及评审办法。</w:t>
      </w:r>
    </w:p>
    <w:p w14:paraId="77F6CE1C">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5.在整个竞争性磋商过程中，我方若有违规行为，接受按照《中华人民共和国政府采购法》和《竞争性磋商文件》之规定给予惩罚。</w:t>
      </w:r>
    </w:p>
    <w:p w14:paraId="19A0A9D3">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6.我方若成为成交供应商，将按照最终磋商结果签订合同，并且严格履行合同义务。本承诺函将成为合同不可分割的一部分，与合同具有同等的法律效力。</w:t>
      </w:r>
    </w:p>
    <w:p w14:paraId="2322DFDC">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7.如果我方成为成交供应商，保证在接到成交通知书后，向采购代理机构和</w:t>
      </w:r>
      <w:r>
        <w:rPr>
          <w:rFonts w:hint="eastAsia" w:ascii="微软雅黑" w:hAnsi="微软雅黑" w:eastAsia="微软雅黑" w:cs="微软雅黑"/>
          <w:color w:val="auto"/>
          <w:sz w:val="24"/>
        </w:rPr>
        <w:t>重庆联合产权交易所集团股份有限公司缴纳</w:t>
      </w:r>
      <w:r>
        <w:rPr>
          <w:rFonts w:hint="eastAsia" w:ascii="微软雅黑" w:hAnsi="微软雅黑" w:eastAsia="微软雅黑" w:cs="微软雅黑"/>
          <w:color w:val="auto"/>
          <w:sz w:val="24"/>
          <w:szCs w:val="24"/>
        </w:rPr>
        <w:t>竞争性磋商文件规定的采购代理服务费和交易服务费。</w:t>
      </w:r>
    </w:p>
    <w:p w14:paraId="6D161C92">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8.</w:t>
      </w:r>
      <w:r>
        <w:rPr>
          <w:rFonts w:hint="eastAsia" w:ascii="微软雅黑" w:hAnsi="微软雅黑" w:eastAsia="微软雅黑" w:cs="微软雅黑"/>
          <w:color w:val="auto"/>
          <w:sz w:val="24"/>
          <w:szCs w:val="28"/>
        </w:rPr>
        <w:t>我方未</w:t>
      </w:r>
      <w:r>
        <w:rPr>
          <w:rFonts w:hint="eastAsia" w:ascii="微软雅黑" w:hAnsi="微软雅黑" w:eastAsia="微软雅黑" w:cs="微软雅黑"/>
          <w:color w:val="auto"/>
          <w:sz w:val="24"/>
          <w:szCs w:val="24"/>
        </w:rPr>
        <w:t>为采购项目提供整体设计、规范编制或者项目管理、监理、检测等服务。</w:t>
      </w:r>
    </w:p>
    <w:p w14:paraId="7A7D16D5">
      <w:pPr>
        <w:tabs>
          <w:tab w:val="left" w:pos="6300"/>
        </w:tabs>
        <w:snapToGrid w:val="0"/>
        <w:spacing w:line="312" w:lineRule="auto"/>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供应商（公章）或自然人签署：</w:t>
      </w:r>
    </w:p>
    <w:p w14:paraId="0C13B7D9">
      <w:pPr>
        <w:tabs>
          <w:tab w:val="left" w:pos="6300"/>
        </w:tabs>
        <w:snapToGrid w:val="0"/>
        <w:spacing w:line="312" w:lineRule="auto"/>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地址：  </w:t>
      </w:r>
    </w:p>
    <w:p w14:paraId="294DE210">
      <w:pPr>
        <w:tabs>
          <w:tab w:val="left" w:pos="6300"/>
        </w:tabs>
        <w:snapToGrid w:val="0"/>
        <w:spacing w:line="312" w:lineRule="auto"/>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电话：                                             传真：</w:t>
      </w:r>
    </w:p>
    <w:p w14:paraId="2E9125B8">
      <w:pPr>
        <w:tabs>
          <w:tab w:val="left" w:pos="6300"/>
        </w:tabs>
        <w:snapToGrid w:val="0"/>
        <w:spacing w:line="312" w:lineRule="auto"/>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网址：                                             邮编：</w:t>
      </w:r>
    </w:p>
    <w:p w14:paraId="15A16415">
      <w:pPr>
        <w:tabs>
          <w:tab w:val="left" w:pos="6300"/>
        </w:tabs>
        <w:snapToGrid w:val="0"/>
        <w:spacing w:line="312" w:lineRule="auto"/>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联系人：</w:t>
      </w:r>
    </w:p>
    <w:p w14:paraId="7432D1AE">
      <w:pPr>
        <w:snapToGrid w:val="0"/>
        <w:spacing w:line="312" w:lineRule="auto"/>
        <w:ind w:firstLine="480" w:firstLineChars="200"/>
        <w:rPr>
          <w:rFonts w:hint="eastAsia" w:ascii="微软雅黑" w:hAnsi="微软雅黑" w:eastAsia="微软雅黑" w:cs="微软雅黑"/>
          <w:color w:val="auto"/>
          <w:sz w:val="24"/>
          <w:szCs w:val="24"/>
        </w:rPr>
        <w:sectPr>
          <w:pgSz w:w="11907" w:h="16840"/>
          <w:pgMar w:top="1417" w:right="1417" w:bottom="1417" w:left="1417"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 xml:space="preserve">                                                  年   月   日</w:t>
      </w:r>
    </w:p>
    <w:p w14:paraId="21A1A9AA">
      <w:pPr>
        <w:tabs>
          <w:tab w:val="left" w:pos="2895"/>
        </w:tabs>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（二）明细报价表</w:t>
      </w:r>
    </w:p>
    <w:p w14:paraId="67BAC973">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14:paraId="57DEE7F6">
      <w:pPr>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rPr>
        <w:t xml:space="preserve">磋商项目名称： </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14:paraId="5B270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14:paraId="61D398A6">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1557" w:type="dxa"/>
            <w:noWrap w:val="0"/>
            <w:vAlign w:val="center"/>
          </w:tcPr>
          <w:p w14:paraId="1277A7BA">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费用名称</w:t>
            </w:r>
          </w:p>
        </w:tc>
        <w:tc>
          <w:tcPr>
            <w:tcW w:w="3127" w:type="dxa"/>
            <w:noWrap w:val="0"/>
            <w:vAlign w:val="center"/>
          </w:tcPr>
          <w:p w14:paraId="3504A918">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相关信息</w:t>
            </w:r>
          </w:p>
        </w:tc>
        <w:tc>
          <w:tcPr>
            <w:tcW w:w="1235" w:type="dxa"/>
            <w:noWrap w:val="0"/>
            <w:vAlign w:val="center"/>
          </w:tcPr>
          <w:p w14:paraId="244EBD0F">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数量</w:t>
            </w:r>
          </w:p>
        </w:tc>
        <w:tc>
          <w:tcPr>
            <w:tcW w:w="1235" w:type="dxa"/>
            <w:noWrap w:val="0"/>
            <w:vAlign w:val="center"/>
          </w:tcPr>
          <w:p w14:paraId="13953F4E">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单价</w:t>
            </w:r>
          </w:p>
        </w:tc>
        <w:tc>
          <w:tcPr>
            <w:tcW w:w="1235" w:type="dxa"/>
            <w:noWrap w:val="0"/>
            <w:vAlign w:val="center"/>
          </w:tcPr>
          <w:p w14:paraId="328EC25D">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合计</w:t>
            </w:r>
          </w:p>
        </w:tc>
      </w:tr>
      <w:tr w14:paraId="1F4B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2316A6B0">
            <w:pPr>
              <w:pStyle w:val="26"/>
              <w:spacing w:line="240" w:lineRule="atLeast"/>
              <w:ind w:left="3920"/>
              <w:jc w:val="center"/>
              <w:outlineLvl w:val="0"/>
              <w:rPr>
                <w:rFonts w:hint="eastAsia" w:ascii="微软雅黑" w:hAnsi="微软雅黑" w:eastAsia="微软雅黑" w:cs="微软雅黑"/>
                <w:color w:val="auto"/>
                <w:sz w:val="21"/>
                <w:szCs w:val="21"/>
              </w:rPr>
            </w:pPr>
            <w:bookmarkStart w:id="176" w:name="_Toc122615269"/>
            <w:bookmarkStart w:id="177" w:name="_Toc2300"/>
            <w:bookmarkStart w:id="178" w:name="_Toc972"/>
            <w:r>
              <w:rPr>
                <w:rFonts w:hint="eastAsia" w:ascii="微软雅黑" w:hAnsi="微软雅黑" w:eastAsia="微软雅黑" w:cs="微软雅黑"/>
                <w:color w:val="auto"/>
                <w:sz w:val="21"/>
                <w:szCs w:val="21"/>
              </w:rPr>
              <w:t>1</w:t>
            </w:r>
            <w:bookmarkEnd w:id="176"/>
            <w:bookmarkEnd w:id="177"/>
            <w:bookmarkEnd w:id="178"/>
          </w:p>
        </w:tc>
        <w:tc>
          <w:tcPr>
            <w:tcW w:w="1557" w:type="dxa"/>
            <w:noWrap w:val="0"/>
            <w:vAlign w:val="center"/>
          </w:tcPr>
          <w:p w14:paraId="213B64D3">
            <w:pPr>
              <w:jc w:val="center"/>
              <w:rPr>
                <w:rFonts w:hint="eastAsia" w:ascii="微软雅黑" w:hAnsi="微软雅黑" w:eastAsia="微软雅黑" w:cs="微软雅黑"/>
                <w:color w:val="auto"/>
                <w:sz w:val="21"/>
                <w:szCs w:val="21"/>
              </w:rPr>
            </w:pPr>
          </w:p>
        </w:tc>
        <w:tc>
          <w:tcPr>
            <w:tcW w:w="3127" w:type="dxa"/>
            <w:noWrap w:val="0"/>
            <w:vAlign w:val="top"/>
          </w:tcPr>
          <w:p w14:paraId="44801A6B">
            <w:pPr>
              <w:jc w:val="center"/>
              <w:rPr>
                <w:rFonts w:hint="eastAsia" w:ascii="微软雅黑" w:hAnsi="微软雅黑" w:eastAsia="微软雅黑" w:cs="微软雅黑"/>
                <w:color w:val="auto"/>
                <w:sz w:val="21"/>
                <w:szCs w:val="21"/>
              </w:rPr>
            </w:pPr>
          </w:p>
        </w:tc>
        <w:tc>
          <w:tcPr>
            <w:tcW w:w="1235" w:type="dxa"/>
            <w:noWrap w:val="0"/>
            <w:vAlign w:val="center"/>
          </w:tcPr>
          <w:p w14:paraId="4FA398F9">
            <w:pPr>
              <w:jc w:val="center"/>
              <w:rPr>
                <w:rFonts w:hint="eastAsia" w:ascii="微软雅黑" w:hAnsi="微软雅黑" w:eastAsia="微软雅黑" w:cs="微软雅黑"/>
                <w:color w:val="auto"/>
                <w:sz w:val="21"/>
                <w:szCs w:val="21"/>
              </w:rPr>
            </w:pPr>
          </w:p>
        </w:tc>
        <w:tc>
          <w:tcPr>
            <w:tcW w:w="1235" w:type="dxa"/>
            <w:noWrap w:val="0"/>
            <w:vAlign w:val="top"/>
          </w:tcPr>
          <w:p w14:paraId="697052EF">
            <w:pPr>
              <w:jc w:val="center"/>
              <w:rPr>
                <w:rFonts w:hint="eastAsia" w:ascii="微软雅黑" w:hAnsi="微软雅黑" w:eastAsia="微软雅黑" w:cs="微软雅黑"/>
                <w:color w:val="auto"/>
                <w:sz w:val="21"/>
                <w:szCs w:val="21"/>
              </w:rPr>
            </w:pPr>
          </w:p>
        </w:tc>
        <w:tc>
          <w:tcPr>
            <w:tcW w:w="1235" w:type="dxa"/>
            <w:noWrap w:val="0"/>
            <w:vAlign w:val="top"/>
          </w:tcPr>
          <w:p w14:paraId="09AE3115">
            <w:pPr>
              <w:jc w:val="center"/>
              <w:rPr>
                <w:rFonts w:hint="eastAsia" w:ascii="微软雅黑" w:hAnsi="微软雅黑" w:eastAsia="微软雅黑" w:cs="微软雅黑"/>
                <w:color w:val="auto"/>
                <w:sz w:val="21"/>
                <w:szCs w:val="21"/>
              </w:rPr>
            </w:pPr>
          </w:p>
        </w:tc>
      </w:tr>
      <w:tr w14:paraId="69B2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2D202F4C">
            <w:pPr>
              <w:pStyle w:val="26"/>
              <w:spacing w:line="240" w:lineRule="atLeast"/>
              <w:ind w:left="3920"/>
              <w:jc w:val="center"/>
              <w:outlineLvl w:val="0"/>
              <w:rPr>
                <w:rFonts w:hint="eastAsia" w:ascii="微软雅黑" w:hAnsi="微软雅黑" w:eastAsia="微软雅黑" w:cs="微软雅黑"/>
                <w:color w:val="auto"/>
                <w:sz w:val="21"/>
                <w:szCs w:val="21"/>
              </w:rPr>
            </w:pPr>
            <w:bookmarkStart w:id="179" w:name="_Toc122615270"/>
            <w:bookmarkStart w:id="180" w:name="_Toc10270"/>
            <w:bookmarkStart w:id="181" w:name="_Toc16353"/>
            <w:r>
              <w:rPr>
                <w:rFonts w:hint="eastAsia" w:ascii="微软雅黑" w:hAnsi="微软雅黑" w:eastAsia="微软雅黑" w:cs="微软雅黑"/>
                <w:color w:val="auto"/>
                <w:sz w:val="21"/>
                <w:szCs w:val="21"/>
              </w:rPr>
              <w:t>2</w:t>
            </w:r>
            <w:bookmarkEnd w:id="179"/>
            <w:bookmarkEnd w:id="180"/>
            <w:bookmarkEnd w:id="181"/>
          </w:p>
        </w:tc>
        <w:tc>
          <w:tcPr>
            <w:tcW w:w="1557" w:type="dxa"/>
            <w:noWrap w:val="0"/>
            <w:vAlign w:val="center"/>
          </w:tcPr>
          <w:p w14:paraId="35B21834">
            <w:pPr>
              <w:jc w:val="center"/>
              <w:rPr>
                <w:rFonts w:hint="eastAsia" w:ascii="微软雅黑" w:hAnsi="微软雅黑" w:eastAsia="微软雅黑" w:cs="微软雅黑"/>
                <w:color w:val="auto"/>
                <w:sz w:val="21"/>
                <w:szCs w:val="21"/>
              </w:rPr>
            </w:pPr>
          </w:p>
        </w:tc>
        <w:tc>
          <w:tcPr>
            <w:tcW w:w="3127" w:type="dxa"/>
            <w:noWrap w:val="0"/>
            <w:vAlign w:val="top"/>
          </w:tcPr>
          <w:p w14:paraId="5EC695B2">
            <w:pPr>
              <w:jc w:val="center"/>
              <w:rPr>
                <w:rFonts w:hint="eastAsia" w:ascii="微软雅黑" w:hAnsi="微软雅黑" w:eastAsia="微软雅黑" w:cs="微软雅黑"/>
                <w:color w:val="auto"/>
                <w:sz w:val="21"/>
                <w:szCs w:val="21"/>
              </w:rPr>
            </w:pPr>
          </w:p>
        </w:tc>
        <w:tc>
          <w:tcPr>
            <w:tcW w:w="1235" w:type="dxa"/>
            <w:noWrap w:val="0"/>
            <w:vAlign w:val="center"/>
          </w:tcPr>
          <w:p w14:paraId="5C32A90C">
            <w:pPr>
              <w:jc w:val="center"/>
              <w:rPr>
                <w:rFonts w:hint="eastAsia" w:ascii="微软雅黑" w:hAnsi="微软雅黑" w:eastAsia="微软雅黑" w:cs="微软雅黑"/>
                <w:color w:val="auto"/>
                <w:sz w:val="21"/>
                <w:szCs w:val="21"/>
              </w:rPr>
            </w:pPr>
          </w:p>
        </w:tc>
        <w:tc>
          <w:tcPr>
            <w:tcW w:w="1235" w:type="dxa"/>
            <w:noWrap w:val="0"/>
            <w:vAlign w:val="top"/>
          </w:tcPr>
          <w:p w14:paraId="20AB2B31">
            <w:pPr>
              <w:jc w:val="center"/>
              <w:rPr>
                <w:rFonts w:hint="eastAsia" w:ascii="微软雅黑" w:hAnsi="微软雅黑" w:eastAsia="微软雅黑" w:cs="微软雅黑"/>
                <w:color w:val="auto"/>
                <w:sz w:val="21"/>
                <w:szCs w:val="21"/>
              </w:rPr>
            </w:pPr>
          </w:p>
        </w:tc>
        <w:tc>
          <w:tcPr>
            <w:tcW w:w="1235" w:type="dxa"/>
            <w:noWrap w:val="0"/>
            <w:vAlign w:val="top"/>
          </w:tcPr>
          <w:p w14:paraId="7E266B8C">
            <w:pPr>
              <w:jc w:val="center"/>
              <w:rPr>
                <w:rFonts w:hint="eastAsia" w:ascii="微软雅黑" w:hAnsi="微软雅黑" w:eastAsia="微软雅黑" w:cs="微软雅黑"/>
                <w:color w:val="auto"/>
                <w:sz w:val="21"/>
                <w:szCs w:val="21"/>
              </w:rPr>
            </w:pPr>
          </w:p>
        </w:tc>
      </w:tr>
      <w:tr w14:paraId="35779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5239F4A7">
            <w:pPr>
              <w:pStyle w:val="26"/>
              <w:spacing w:line="240" w:lineRule="atLeast"/>
              <w:ind w:left="3920"/>
              <w:jc w:val="center"/>
              <w:outlineLvl w:val="0"/>
              <w:rPr>
                <w:rFonts w:hint="eastAsia" w:ascii="微软雅黑" w:hAnsi="微软雅黑" w:eastAsia="微软雅黑" w:cs="微软雅黑"/>
                <w:color w:val="auto"/>
                <w:sz w:val="21"/>
                <w:szCs w:val="21"/>
              </w:rPr>
            </w:pPr>
            <w:bookmarkStart w:id="182" w:name="_Toc122615271"/>
            <w:bookmarkStart w:id="183" w:name="_Toc32595"/>
            <w:bookmarkStart w:id="184" w:name="_Toc15082"/>
            <w:r>
              <w:rPr>
                <w:rFonts w:hint="eastAsia" w:ascii="微软雅黑" w:hAnsi="微软雅黑" w:eastAsia="微软雅黑" w:cs="微软雅黑"/>
                <w:color w:val="auto"/>
                <w:sz w:val="21"/>
                <w:szCs w:val="21"/>
              </w:rPr>
              <w:t>3</w:t>
            </w:r>
            <w:bookmarkEnd w:id="182"/>
            <w:bookmarkEnd w:id="183"/>
            <w:bookmarkEnd w:id="184"/>
          </w:p>
        </w:tc>
        <w:tc>
          <w:tcPr>
            <w:tcW w:w="1557" w:type="dxa"/>
            <w:noWrap w:val="0"/>
            <w:vAlign w:val="center"/>
          </w:tcPr>
          <w:p w14:paraId="3C8A1350">
            <w:pPr>
              <w:jc w:val="center"/>
              <w:rPr>
                <w:rFonts w:hint="eastAsia" w:ascii="微软雅黑" w:hAnsi="微软雅黑" w:eastAsia="微软雅黑" w:cs="微软雅黑"/>
                <w:color w:val="auto"/>
                <w:sz w:val="21"/>
                <w:szCs w:val="21"/>
              </w:rPr>
            </w:pPr>
          </w:p>
        </w:tc>
        <w:tc>
          <w:tcPr>
            <w:tcW w:w="3127" w:type="dxa"/>
            <w:noWrap w:val="0"/>
            <w:vAlign w:val="top"/>
          </w:tcPr>
          <w:p w14:paraId="10055EAA">
            <w:pPr>
              <w:jc w:val="center"/>
              <w:rPr>
                <w:rFonts w:hint="eastAsia" w:ascii="微软雅黑" w:hAnsi="微软雅黑" w:eastAsia="微软雅黑" w:cs="微软雅黑"/>
                <w:color w:val="auto"/>
                <w:sz w:val="21"/>
                <w:szCs w:val="21"/>
              </w:rPr>
            </w:pPr>
          </w:p>
        </w:tc>
        <w:tc>
          <w:tcPr>
            <w:tcW w:w="1235" w:type="dxa"/>
            <w:noWrap w:val="0"/>
            <w:vAlign w:val="center"/>
          </w:tcPr>
          <w:p w14:paraId="348A0AD9">
            <w:pPr>
              <w:jc w:val="center"/>
              <w:rPr>
                <w:rFonts w:hint="eastAsia" w:ascii="微软雅黑" w:hAnsi="微软雅黑" w:eastAsia="微软雅黑" w:cs="微软雅黑"/>
                <w:color w:val="auto"/>
                <w:sz w:val="21"/>
                <w:szCs w:val="21"/>
              </w:rPr>
            </w:pPr>
          </w:p>
        </w:tc>
        <w:tc>
          <w:tcPr>
            <w:tcW w:w="1235" w:type="dxa"/>
            <w:noWrap w:val="0"/>
            <w:vAlign w:val="top"/>
          </w:tcPr>
          <w:p w14:paraId="28697FE4">
            <w:pPr>
              <w:jc w:val="center"/>
              <w:rPr>
                <w:rFonts w:hint="eastAsia" w:ascii="微软雅黑" w:hAnsi="微软雅黑" w:eastAsia="微软雅黑" w:cs="微软雅黑"/>
                <w:color w:val="auto"/>
                <w:sz w:val="21"/>
                <w:szCs w:val="21"/>
              </w:rPr>
            </w:pPr>
          </w:p>
        </w:tc>
        <w:tc>
          <w:tcPr>
            <w:tcW w:w="1235" w:type="dxa"/>
            <w:noWrap w:val="0"/>
            <w:vAlign w:val="top"/>
          </w:tcPr>
          <w:p w14:paraId="44740362">
            <w:pPr>
              <w:jc w:val="center"/>
              <w:rPr>
                <w:rFonts w:hint="eastAsia" w:ascii="微软雅黑" w:hAnsi="微软雅黑" w:eastAsia="微软雅黑" w:cs="微软雅黑"/>
                <w:color w:val="auto"/>
                <w:sz w:val="21"/>
                <w:szCs w:val="21"/>
              </w:rPr>
            </w:pPr>
          </w:p>
        </w:tc>
      </w:tr>
      <w:tr w14:paraId="13F5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31B9DECF">
            <w:pPr>
              <w:pStyle w:val="26"/>
              <w:spacing w:line="240" w:lineRule="atLeast"/>
              <w:ind w:left="3920"/>
              <w:jc w:val="center"/>
              <w:outlineLvl w:val="0"/>
              <w:rPr>
                <w:rFonts w:hint="eastAsia" w:ascii="微软雅黑" w:hAnsi="微软雅黑" w:eastAsia="微软雅黑" w:cs="微软雅黑"/>
                <w:color w:val="auto"/>
                <w:sz w:val="21"/>
                <w:szCs w:val="21"/>
              </w:rPr>
            </w:pPr>
            <w:bookmarkStart w:id="185" w:name="_Toc32014"/>
            <w:bookmarkStart w:id="186" w:name="_Toc12912"/>
            <w:bookmarkStart w:id="187" w:name="_Toc122615272"/>
            <w:r>
              <w:rPr>
                <w:rFonts w:hint="eastAsia" w:ascii="微软雅黑" w:hAnsi="微软雅黑" w:eastAsia="微软雅黑" w:cs="微软雅黑"/>
                <w:color w:val="auto"/>
                <w:sz w:val="21"/>
                <w:szCs w:val="21"/>
              </w:rPr>
              <w:t>4</w:t>
            </w:r>
            <w:bookmarkEnd w:id="185"/>
            <w:bookmarkEnd w:id="186"/>
            <w:bookmarkEnd w:id="187"/>
          </w:p>
        </w:tc>
        <w:tc>
          <w:tcPr>
            <w:tcW w:w="1557" w:type="dxa"/>
            <w:noWrap w:val="0"/>
            <w:vAlign w:val="center"/>
          </w:tcPr>
          <w:p w14:paraId="2509A560">
            <w:pPr>
              <w:jc w:val="center"/>
              <w:rPr>
                <w:rFonts w:hint="eastAsia" w:ascii="微软雅黑" w:hAnsi="微软雅黑" w:eastAsia="微软雅黑" w:cs="微软雅黑"/>
                <w:color w:val="auto"/>
                <w:sz w:val="21"/>
                <w:szCs w:val="21"/>
              </w:rPr>
            </w:pPr>
          </w:p>
        </w:tc>
        <w:tc>
          <w:tcPr>
            <w:tcW w:w="3127" w:type="dxa"/>
            <w:noWrap w:val="0"/>
            <w:vAlign w:val="top"/>
          </w:tcPr>
          <w:p w14:paraId="151D2A96">
            <w:pPr>
              <w:jc w:val="center"/>
              <w:rPr>
                <w:rFonts w:hint="eastAsia" w:ascii="微软雅黑" w:hAnsi="微软雅黑" w:eastAsia="微软雅黑" w:cs="微软雅黑"/>
                <w:color w:val="auto"/>
                <w:sz w:val="21"/>
                <w:szCs w:val="21"/>
              </w:rPr>
            </w:pPr>
          </w:p>
        </w:tc>
        <w:tc>
          <w:tcPr>
            <w:tcW w:w="1235" w:type="dxa"/>
            <w:noWrap w:val="0"/>
            <w:vAlign w:val="center"/>
          </w:tcPr>
          <w:p w14:paraId="6B3C42D3">
            <w:pPr>
              <w:jc w:val="center"/>
              <w:rPr>
                <w:rFonts w:hint="eastAsia" w:ascii="微软雅黑" w:hAnsi="微软雅黑" w:eastAsia="微软雅黑" w:cs="微软雅黑"/>
                <w:color w:val="auto"/>
                <w:sz w:val="21"/>
                <w:szCs w:val="21"/>
              </w:rPr>
            </w:pPr>
          </w:p>
        </w:tc>
        <w:tc>
          <w:tcPr>
            <w:tcW w:w="1235" w:type="dxa"/>
            <w:noWrap w:val="0"/>
            <w:vAlign w:val="top"/>
          </w:tcPr>
          <w:p w14:paraId="037F5DC2">
            <w:pPr>
              <w:jc w:val="center"/>
              <w:rPr>
                <w:rFonts w:hint="eastAsia" w:ascii="微软雅黑" w:hAnsi="微软雅黑" w:eastAsia="微软雅黑" w:cs="微软雅黑"/>
                <w:color w:val="auto"/>
                <w:sz w:val="21"/>
                <w:szCs w:val="21"/>
              </w:rPr>
            </w:pPr>
          </w:p>
        </w:tc>
        <w:tc>
          <w:tcPr>
            <w:tcW w:w="1235" w:type="dxa"/>
            <w:noWrap w:val="0"/>
            <w:vAlign w:val="top"/>
          </w:tcPr>
          <w:p w14:paraId="5541E519">
            <w:pPr>
              <w:jc w:val="center"/>
              <w:rPr>
                <w:rFonts w:hint="eastAsia" w:ascii="微软雅黑" w:hAnsi="微软雅黑" w:eastAsia="微软雅黑" w:cs="微软雅黑"/>
                <w:color w:val="auto"/>
                <w:sz w:val="21"/>
                <w:szCs w:val="21"/>
              </w:rPr>
            </w:pPr>
          </w:p>
        </w:tc>
      </w:tr>
      <w:tr w14:paraId="61E1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05D233F1">
            <w:pPr>
              <w:pStyle w:val="26"/>
              <w:spacing w:line="240" w:lineRule="atLeast"/>
              <w:ind w:left="3920"/>
              <w:jc w:val="center"/>
              <w:outlineLvl w:val="0"/>
              <w:rPr>
                <w:rFonts w:hint="eastAsia" w:ascii="微软雅黑" w:hAnsi="微软雅黑" w:eastAsia="微软雅黑" w:cs="微软雅黑"/>
                <w:color w:val="auto"/>
                <w:sz w:val="21"/>
                <w:szCs w:val="21"/>
              </w:rPr>
            </w:pPr>
            <w:bookmarkStart w:id="188" w:name="_Toc28304"/>
            <w:bookmarkStart w:id="189" w:name="_Toc122615273"/>
            <w:bookmarkStart w:id="190" w:name="_Toc22102"/>
            <w:r>
              <w:rPr>
                <w:rFonts w:hint="eastAsia" w:ascii="微软雅黑" w:hAnsi="微软雅黑" w:eastAsia="微软雅黑" w:cs="微软雅黑"/>
                <w:color w:val="auto"/>
                <w:sz w:val="21"/>
                <w:szCs w:val="21"/>
              </w:rPr>
              <w:t>5</w:t>
            </w:r>
            <w:bookmarkEnd w:id="188"/>
            <w:bookmarkEnd w:id="189"/>
            <w:bookmarkEnd w:id="190"/>
          </w:p>
        </w:tc>
        <w:tc>
          <w:tcPr>
            <w:tcW w:w="1557" w:type="dxa"/>
            <w:noWrap w:val="0"/>
            <w:vAlign w:val="center"/>
          </w:tcPr>
          <w:p w14:paraId="3F88F461">
            <w:pPr>
              <w:jc w:val="center"/>
              <w:rPr>
                <w:rFonts w:hint="eastAsia" w:ascii="微软雅黑" w:hAnsi="微软雅黑" w:eastAsia="微软雅黑" w:cs="微软雅黑"/>
                <w:color w:val="auto"/>
                <w:sz w:val="21"/>
                <w:szCs w:val="21"/>
              </w:rPr>
            </w:pPr>
          </w:p>
        </w:tc>
        <w:tc>
          <w:tcPr>
            <w:tcW w:w="3127" w:type="dxa"/>
            <w:noWrap w:val="0"/>
            <w:vAlign w:val="top"/>
          </w:tcPr>
          <w:p w14:paraId="3E45DBA4">
            <w:pPr>
              <w:jc w:val="center"/>
              <w:rPr>
                <w:rFonts w:hint="eastAsia" w:ascii="微软雅黑" w:hAnsi="微软雅黑" w:eastAsia="微软雅黑" w:cs="微软雅黑"/>
                <w:color w:val="auto"/>
                <w:sz w:val="21"/>
                <w:szCs w:val="21"/>
              </w:rPr>
            </w:pPr>
          </w:p>
        </w:tc>
        <w:tc>
          <w:tcPr>
            <w:tcW w:w="1235" w:type="dxa"/>
            <w:noWrap w:val="0"/>
            <w:vAlign w:val="center"/>
          </w:tcPr>
          <w:p w14:paraId="446FAD51">
            <w:pPr>
              <w:jc w:val="center"/>
              <w:rPr>
                <w:rFonts w:hint="eastAsia" w:ascii="微软雅黑" w:hAnsi="微软雅黑" w:eastAsia="微软雅黑" w:cs="微软雅黑"/>
                <w:color w:val="auto"/>
                <w:sz w:val="21"/>
                <w:szCs w:val="21"/>
              </w:rPr>
            </w:pPr>
          </w:p>
        </w:tc>
        <w:tc>
          <w:tcPr>
            <w:tcW w:w="1235" w:type="dxa"/>
            <w:noWrap w:val="0"/>
            <w:vAlign w:val="top"/>
          </w:tcPr>
          <w:p w14:paraId="2011E906">
            <w:pPr>
              <w:jc w:val="center"/>
              <w:rPr>
                <w:rFonts w:hint="eastAsia" w:ascii="微软雅黑" w:hAnsi="微软雅黑" w:eastAsia="微软雅黑" w:cs="微软雅黑"/>
                <w:color w:val="auto"/>
                <w:sz w:val="21"/>
                <w:szCs w:val="21"/>
              </w:rPr>
            </w:pPr>
          </w:p>
        </w:tc>
        <w:tc>
          <w:tcPr>
            <w:tcW w:w="1235" w:type="dxa"/>
            <w:noWrap w:val="0"/>
            <w:vAlign w:val="top"/>
          </w:tcPr>
          <w:p w14:paraId="7EF8FEA7">
            <w:pPr>
              <w:jc w:val="center"/>
              <w:rPr>
                <w:rFonts w:hint="eastAsia" w:ascii="微软雅黑" w:hAnsi="微软雅黑" w:eastAsia="微软雅黑" w:cs="微软雅黑"/>
                <w:color w:val="auto"/>
                <w:sz w:val="21"/>
                <w:szCs w:val="21"/>
              </w:rPr>
            </w:pPr>
          </w:p>
        </w:tc>
      </w:tr>
      <w:tr w14:paraId="4366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0E4FA7B4">
            <w:pPr>
              <w:pStyle w:val="26"/>
              <w:spacing w:line="240" w:lineRule="atLeast"/>
              <w:ind w:left="3920"/>
              <w:jc w:val="center"/>
              <w:outlineLvl w:val="0"/>
              <w:rPr>
                <w:rFonts w:hint="eastAsia" w:ascii="微软雅黑" w:hAnsi="微软雅黑" w:eastAsia="微软雅黑" w:cs="微软雅黑"/>
                <w:color w:val="auto"/>
                <w:sz w:val="21"/>
                <w:szCs w:val="21"/>
              </w:rPr>
            </w:pPr>
            <w:bookmarkStart w:id="191" w:name="_Toc32512"/>
            <w:bookmarkStart w:id="192" w:name="_Toc122615274"/>
            <w:bookmarkStart w:id="193" w:name="_Toc31434"/>
            <w:r>
              <w:rPr>
                <w:rFonts w:hint="eastAsia" w:ascii="微软雅黑" w:hAnsi="微软雅黑" w:eastAsia="微软雅黑" w:cs="微软雅黑"/>
                <w:color w:val="auto"/>
                <w:sz w:val="21"/>
                <w:szCs w:val="21"/>
              </w:rPr>
              <w:t>6</w:t>
            </w:r>
            <w:bookmarkEnd w:id="191"/>
            <w:bookmarkEnd w:id="192"/>
            <w:bookmarkEnd w:id="193"/>
          </w:p>
        </w:tc>
        <w:tc>
          <w:tcPr>
            <w:tcW w:w="1557" w:type="dxa"/>
            <w:noWrap w:val="0"/>
            <w:vAlign w:val="center"/>
          </w:tcPr>
          <w:p w14:paraId="0D2310AD">
            <w:pPr>
              <w:jc w:val="center"/>
              <w:rPr>
                <w:rFonts w:hint="eastAsia" w:ascii="微软雅黑" w:hAnsi="微软雅黑" w:eastAsia="微软雅黑" w:cs="微软雅黑"/>
                <w:color w:val="auto"/>
                <w:sz w:val="21"/>
                <w:szCs w:val="21"/>
              </w:rPr>
            </w:pPr>
          </w:p>
        </w:tc>
        <w:tc>
          <w:tcPr>
            <w:tcW w:w="3127" w:type="dxa"/>
            <w:noWrap w:val="0"/>
            <w:vAlign w:val="top"/>
          </w:tcPr>
          <w:p w14:paraId="5231241D">
            <w:pPr>
              <w:jc w:val="center"/>
              <w:rPr>
                <w:rFonts w:hint="eastAsia" w:ascii="微软雅黑" w:hAnsi="微软雅黑" w:eastAsia="微软雅黑" w:cs="微软雅黑"/>
                <w:color w:val="auto"/>
                <w:sz w:val="21"/>
                <w:szCs w:val="21"/>
              </w:rPr>
            </w:pPr>
          </w:p>
        </w:tc>
        <w:tc>
          <w:tcPr>
            <w:tcW w:w="1235" w:type="dxa"/>
            <w:noWrap w:val="0"/>
            <w:vAlign w:val="center"/>
          </w:tcPr>
          <w:p w14:paraId="157B52DF">
            <w:pPr>
              <w:jc w:val="center"/>
              <w:rPr>
                <w:rFonts w:hint="eastAsia" w:ascii="微软雅黑" w:hAnsi="微软雅黑" w:eastAsia="微软雅黑" w:cs="微软雅黑"/>
                <w:color w:val="auto"/>
                <w:sz w:val="21"/>
                <w:szCs w:val="21"/>
              </w:rPr>
            </w:pPr>
          </w:p>
        </w:tc>
        <w:tc>
          <w:tcPr>
            <w:tcW w:w="1235" w:type="dxa"/>
            <w:noWrap w:val="0"/>
            <w:vAlign w:val="top"/>
          </w:tcPr>
          <w:p w14:paraId="0CA725FC">
            <w:pPr>
              <w:jc w:val="center"/>
              <w:rPr>
                <w:rFonts w:hint="eastAsia" w:ascii="微软雅黑" w:hAnsi="微软雅黑" w:eastAsia="微软雅黑" w:cs="微软雅黑"/>
                <w:color w:val="auto"/>
                <w:sz w:val="21"/>
                <w:szCs w:val="21"/>
              </w:rPr>
            </w:pPr>
          </w:p>
        </w:tc>
        <w:tc>
          <w:tcPr>
            <w:tcW w:w="1235" w:type="dxa"/>
            <w:noWrap w:val="0"/>
            <w:vAlign w:val="top"/>
          </w:tcPr>
          <w:p w14:paraId="0C371E64">
            <w:pPr>
              <w:jc w:val="center"/>
              <w:rPr>
                <w:rFonts w:hint="eastAsia" w:ascii="微软雅黑" w:hAnsi="微软雅黑" w:eastAsia="微软雅黑" w:cs="微软雅黑"/>
                <w:color w:val="auto"/>
                <w:sz w:val="21"/>
                <w:szCs w:val="21"/>
              </w:rPr>
            </w:pPr>
          </w:p>
        </w:tc>
      </w:tr>
      <w:tr w14:paraId="01B7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08F73243">
            <w:pPr>
              <w:pStyle w:val="26"/>
              <w:spacing w:line="240" w:lineRule="atLeast"/>
              <w:ind w:left="3920"/>
              <w:jc w:val="center"/>
              <w:outlineLvl w:val="0"/>
              <w:rPr>
                <w:rFonts w:hint="eastAsia" w:ascii="微软雅黑" w:hAnsi="微软雅黑" w:eastAsia="微软雅黑" w:cs="微软雅黑"/>
                <w:color w:val="auto"/>
                <w:sz w:val="21"/>
                <w:szCs w:val="21"/>
              </w:rPr>
            </w:pPr>
            <w:bookmarkStart w:id="194" w:name="_Toc23105"/>
            <w:bookmarkStart w:id="195" w:name="_Toc9134"/>
            <w:bookmarkStart w:id="196" w:name="_Toc122615275"/>
            <w:r>
              <w:rPr>
                <w:rFonts w:hint="eastAsia" w:ascii="微软雅黑" w:hAnsi="微软雅黑" w:eastAsia="微软雅黑" w:cs="微软雅黑"/>
                <w:color w:val="auto"/>
                <w:sz w:val="21"/>
                <w:szCs w:val="21"/>
              </w:rPr>
              <w:t>7</w:t>
            </w:r>
            <w:bookmarkEnd w:id="194"/>
            <w:bookmarkEnd w:id="195"/>
            <w:bookmarkEnd w:id="196"/>
          </w:p>
        </w:tc>
        <w:tc>
          <w:tcPr>
            <w:tcW w:w="1557" w:type="dxa"/>
            <w:noWrap w:val="0"/>
            <w:vAlign w:val="center"/>
          </w:tcPr>
          <w:p w14:paraId="27ACD35D">
            <w:pPr>
              <w:jc w:val="center"/>
              <w:rPr>
                <w:rFonts w:hint="eastAsia" w:ascii="微软雅黑" w:hAnsi="微软雅黑" w:eastAsia="微软雅黑" w:cs="微软雅黑"/>
                <w:color w:val="auto"/>
                <w:sz w:val="21"/>
                <w:szCs w:val="21"/>
              </w:rPr>
            </w:pPr>
          </w:p>
        </w:tc>
        <w:tc>
          <w:tcPr>
            <w:tcW w:w="3127" w:type="dxa"/>
            <w:noWrap w:val="0"/>
            <w:vAlign w:val="top"/>
          </w:tcPr>
          <w:p w14:paraId="4034AC94">
            <w:pPr>
              <w:jc w:val="center"/>
              <w:rPr>
                <w:rFonts w:hint="eastAsia" w:ascii="微软雅黑" w:hAnsi="微软雅黑" w:eastAsia="微软雅黑" w:cs="微软雅黑"/>
                <w:color w:val="auto"/>
                <w:sz w:val="21"/>
                <w:szCs w:val="21"/>
              </w:rPr>
            </w:pPr>
          </w:p>
        </w:tc>
        <w:tc>
          <w:tcPr>
            <w:tcW w:w="1235" w:type="dxa"/>
            <w:noWrap w:val="0"/>
            <w:vAlign w:val="center"/>
          </w:tcPr>
          <w:p w14:paraId="755CD3CE">
            <w:pPr>
              <w:jc w:val="center"/>
              <w:rPr>
                <w:rFonts w:hint="eastAsia" w:ascii="微软雅黑" w:hAnsi="微软雅黑" w:eastAsia="微软雅黑" w:cs="微软雅黑"/>
                <w:color w:val="auto"/>
                <w:sz w:val="21"/>
                <w:szCs w:val="21"/>
              </w:rPr>
            </w:pPr>
          </w:p>
        </w:tc>
        <w:tc>
          <w:tcPr>
            <w:tcW w:w="1235" w:type="dxa"/>
            <w:noWrap w:val="0"/>
            <w:vAlign w:val="top"/>
          </w:tcPr>
          <w:p w14:paraId="179CA12F">
            <w:pPr>
              <w:jc w:val="center"/>
              <w:rPr>
                <w:rFonts w:hint="eastAsia" w:ascii="微软雅黑" w:hAnsi="微软雅黑" w:eastAsia="微软雅黑" w:cs="微软雅黑"/>
                <w:color w:val="auto"/>
                <w:sz w:val="21"/>
                <w:szCs w:val="21"/>
              </w:rPr>
            </w:pPr>
          </w:p>
        </w:tc>
        <w:tc>
          <w:tcPr>
            <w:tcW w:w="1235" w:type="dxa"/>
            <w:noWrap w:val="0"/>
            <w:vAlign w:val="top"/>
          </w:tcPr>
          <w:p w14:paraId="2573966F">
            <w:pPr>
              <w:jc w:val="center"/>
              <w:rPr>
                <w:rFonts w:hint="eastAsia" w:ascii="微软雅黑" w:hAnsi="微软雅黑" w:eastAsia="微软雅黑" w:cs="微软雅黑"/>
                <w:color w:val="auto"/>
                <w:sz w:val="21"/>
                <w:szCs w:val="21"/>
              </w:rPr>
            </w:pPr>
          </w:p>
        </w:tc>
      </w:tr>
      <w:tr w14:paraId="766A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3A161B52">
            <w:pPr>
              <w:pStyle w:val="26"/>
              <w:spacing w:line="240" w:lineRule="atLeast"/>
              <w:ind w:left="3920"/>
              <w:jc w:val="center"/>
              <w:outlineLvl w:val="0"/>
              <w:rPr>
                <w:rFonts w:hint="eastAsia" w:ascii="微软雅黑" w:hAnsi="微软雅黑" w:eastAsia="微软雅黑" w:cs="微软雅黑"/>
                <w:color w:val="auto"/>
                <w:sz w:val="21"/>
                <w:szCs w:val="21"/>
              </w:rPr>
            </w:pPr>
            <w:bookmarkStart w:id="197" w:name="_Toc7579"/>
            <w:bookmarkStart w:id="198" w:name="_Toc122615276"/>
            <w:bookmarkStart w:id="199" w:name="_Toc25873"/>
            <w:r>
              <w:rPr>
                <w:rFonts w:hint="eastAsia" w:ascii="微软雅黑" w:hAnsi="微软雅黑" w:eastAsia="微软雅黑" w:cs="微软雅黑"/>
                <w:color w:val="auto"/>
                <w:sz w:val="21"/>
                <w:szCs w:val="21"/>
              </w:rPr>
              <w:t>8</w:t>
            </w:r>
            <w:bookmarkEnd w:id="197"/>
            <w:bookmarkEnd w:id="198"/>
            <w:bookmarkEnd w:id="199"/>
          </w:p>
        </w:tc>
        <w:tc>
          <w:tcPr>
            <w:tcW w:w="1557" w:type="dxa"/>
            <w:noWrap w:val="0"/>
            <w:vAlign w:val="center"/>
          </w:tcPr>
          <w:p w14:paraId="2BF4CA07">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人工费</w:t>
            </w:r>
          </w:p>
        </w:tc>
        <w:tc>
          <w:tcPr>
            <w:tcW w:w="3127" w:type="dxa"/>
            <w:noWrap w:val="0"/>
            <w:vAlign w:val="top"/>
          </w:tcPr>
          <w:p w14:paraId="495B31FA">
            <w:pPr>
              <w:jc w:val="center"/>
              <w:rPr>
                <w:rFonts w:hint="eastAsia" w:ascii="微软雅黑" w:hAnsi="微软雅黑" w:eastAsia="微软雅黑" w:cs="微软雅黑"/>
                <w:color w:val="auto"/>
                <w:sz w:val="21"/>
                <w:szCs w:val="21"/>
              </w:rPr>
            </w:pPr>
          </w:p>
        </w:tc>
        <w:tc>
          <w:tcPr>
            <w:tcW w:w="1235" w:type="dxa"/>
            <w:noWrap w:val="0"/>
            <w:vAlign w:val="center"/>
          </w:tcPr>
          <w:p w14:paraId="42F4ADBA">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noWrap w:val="0"/>
            <w:vAlign w:val="top"/>
          </w:tcPr>
          <w:p w14:paraId="1F33D429">
            <w:pPr>
              <w:jc w:val="center"/>
              <w:rPr>
                <w:rFonts w:hint="eastAsia" w:ascii="微软雅黑" w:hAnsi="微软雅黑" w:eastAsia="微软雅黑" w:cs="微软雅黑"/>
                <w:color w:val="auto"/>
                <w:sz w:val="21"/>
                <w:szCs w:val="21"/>
              </w:rPr>
            </w:pPr>
          </w:p>
        </w:tc>
        <w:tc>
          <w:tcPr>
            <w:tcW w:w="1235" w:type="dxa"/>
            <w:noWrap w:val="0"/>
            <w:vAlign w:val="top"/>
          </w:tcPr>
          <w:p w14:paraId="0C532037">
            <w:pPr>
              <w:jc w:val="center"/>
              <w:rPr>
                <w:rFonts w:hint="eastAsia" w:ascii="微软雅黑" w:hAnsi="微软雅黑" w:eastAsia="微软雅黑" w:cs="微软雅黑"/>
                <w:color w:val="auto"/>
                <w:sz w:val="21"/>
                <w:szCs w:val="21"/>
              </w:rPr>
            </w:pPr>
          </w:p>
        </w:tc>
      </w:tr>
      <w:tr w14:paraId="524D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46725148">
            <w:pPr>
              <w:pStyle w:val="26"/>
              <w:spacing w:line="240" w:lineRule="atLeast"/>
              <w:ind w:left="3920"/>
              <w:jc w:val="center"/>
              <w:outlineLvl w:val="0"/>
              <w:rPr>
                <w:rFonts w:hint="eastAsia" w:ascii="微软雅黑" w:hAnsi="微软雅黑" w:eastAsia="微软雅黑" w:cs="微软雅黑"/>
                <w:color w:val="auto"/>
                <w:sz w:val="21"/>
                <w:szCs w:val="21"/>
              </w:rPr>
            </w:pPr>
            <w:bookmarkStart w:id="200" w:name="_Toc122615277"/>
            <w:bookmarkStart w:id="201" w:name="_Toc12374"/>
            <w:bookmarkStart w:id="202" w:name="_Toc9152"/>
            <w:r>
              <w:rPr>
                <w:rFonts w:hint="eastAsia" w:ascii="微软雅黑" w:hAnsi="微软雅黑" w:eastAsia="微软雅黑" w:cs="微软雅黑"/>
                <w:color w:val="auto"/>
                <w:sz w:val="21"/>
                <w:szCs w:val="21"/>
              </w:rPr>
              <w:t>9</w:t>
            </w:r>
            <w:bookmarkEnd w:id="200"/>
            <w:bookmarkEnd w:id="201"/>
            <w:bookmarkEnd w:id="202"/>
          </w:p>
        </w:tc>
        <w:tc>
          <w:tcPr>
            <w:tcW w:w="1557" w:type="dxa"/>
            <w:noWrap w:val="0"/>
            <w:vAlign w:val="center"/>
          </w:tcPr>
          <w:p w14:paraId="281BBB00">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运输费</w:t>
            </w:r>
          </w:p>
        </w:tc>
        <w:tc>
          <w:tcPr>
            <w:tcW w:w="3127" w:type="dxa"/>
            <w:noWrap w:val="0"/>
            <w:vAlign w:val="top"/>
          </w:tcPr>
          <w:p w14:paraId="517903C8">
            <w:pPr>
              <w:jc w:val="center"/>
              <w:rPr>
                <w:rFonts w:hint="eastAsia" w:ascii="微软雅黑" w:hAnsi="微软雅黑" w:eastAsia="微软雅黑" w:cs="微软雅黑"/>
                <w:color w:val="auto"/>
                <w:sz w:val="21"/>
                <w:szCs w:val="21"/>
              </w:rPr>
            </w:pPr>
          </w:p>
        </w:tc>
        <w:tc>
          <w:tcPr>
            <w:tcW w:w="1235" w:type="dxa"/>
            <w:noWrap w:val="0"/>
            <w:vAlign w:val="center"/>
          </w:tcPr>
          <w:p w14:paraId="3967FD66">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noWrap w:val="0"/>
            <w:vAlign w:val="top"/>
          </w:tcPr>
          <w:p w14:paraId="6E2F6E38">
            <w:pPr>
              <w:jc w:val="center"/>
              <w:rPr>
                <w:rFonts w:hint="eastAsia" w:ascii="微软雅黑" w:hAnsi="微软雅黑" w:eastAsia="微软雅黑" w:cs="微软雅黑"/>
                <w:color w:val="auto"/>
                <w:sz w:val="21"/>
                <w:szCs w:val="21"/>
              </w:rPr>
            </w:pPr>
          </w:p>
        </w:tc>
        <w:tc>
          <w:tcPr>
            <w:tcW w:w="1235" w:type="dxa"/>
            <w:noWrap w:val="0"/>
            <w:vAlign w:val="top"/>
          </w:tcPr>
          <w:p w14:paraId="57F9B433">
            <w:pPr>
              <w:jc w:val="center"/>
              <w:rPr>
                <w:rFonts w:hint="eastAsia" w:ascii="微软雅黑" w:hAnsi="微软雅黑" w:eastAsia="微软雅黑" w:cs="微软雅黑"/>
                <w:color w:val="auto"/>
                <w:sz w:val="21"/>
                <w:szCs w:val="21"/>
              </w:rPr>
            </w:pPr>
          </w:p>
        </w:tc>
      </w:tr>
      <w:tr w14:paraId="10C60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61EA4505">
            <w:pPr>
              <w:pStyle w:val="26"/>
              <w:spacing w:line="240" w:lineRule="atLeast"/>
              <w:ind w:left="3920"/>
              <w:jc w:val="center"/>
              <w:outlineLvl w:val="0"/>
              <w:rPr>
                <w:rFonts w:hint="eastAsia" w:ascii="微软雅黑" w:hAnsi="微软雅黑" w:eastAsia="微软雅黑" w:cs="微软雅黑"/>
                <w:color w:val="auto"/>
                <w:sz w:val="21"/>
                <w:szCs w:val="21"/>
              </w:rPr>
            </w:pPr>
            <w:bookmarkStart w:id="203" w:name="_Toc1839"/>
            <w:bookmarkStart w:id="204" w:name="_Toc100"/>
            <w:bookmarkStart w:id="205" w:name="_Toc122615278"/>
            <w:r>
              <w:rPr>
                <w:rFonts w:hint="eastAsia" w:ascii="微软雅黑" w:hAnsi="微软雅黑" w:eastAsia="微软雅黑" w:cs="微软雅黑"/>
                <w:color w:val="auto"/>
                <w:sz w:val="21"/>
                <w:szCs w:val="21"/>
              </w:rPr>
              <w:t>10</w:t>
            </w:r>
            <w:bookmarkEnd w:id="203"/>
            <w:bookmarkEnd w:id="204"/>
            <w:bookmarkEnd w:id="205"/>
          </w:p>
        </w:tc>
        <w:tc>
          <w:tcPr>
            <w:tcW w:w="1557" w:type="dxa"/>
            <w:noWrap w:val="0"/>
            <w:vAlign w:val="center"/>
          </w:tcPr>
          <w:p w14:paraId="1327BA18">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其他费用</w:t>
            </w:r>
          </w:p>
        </w:tc>
        <w:tc>
          <w:tcPr>
            <w:tcW w:w="3127" w:type="dxa"/>
            <w:noWrap w:val="0"/>
            <w:vAlign w:val="top"/>
          </w:tcPr>
          <w:p w14:paraId="28949E9B">
            <w:pPr>
              <w:jc w:val="center"/>
              <w:rPr>
                <w:rFonts w:hint="eastAsia" w:ascii="微软雅黑" w:hAnsi="微软雅黑" w:eastAsia="微软雅黑" w:cs="微软雅黑"/>
                <w:color w:val="auto"/>
                <w:sz w:val="21"/>
                <w:szCs w:val="21"/>
              </w:rPr>
            </w:pPr>
          </w:p>
        </w:tc>
        <w:tc>
          <w:tcPr>
            <w:tcW w:w="1235" w:type="dxa"/>
            <w:noWrap w:val="0"/>
            <w:vAlign w:val="center"/>
          </w:tcPr>
          <w:p w14:paraId="537083CD">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noWrap w:val="0"/>
            <w:vAlign w:val="top"/>
          </w:tcPr>
          <w:p w14:paraId="514250CB">
            <w:pPr>
              <w:jc w:val="center"/>
              <w:rPr>
                <w:rFonts w:hint="eastAsia" w:ascii="微软雅黑" w:hAnsi="微软雅黑" w:eastAsia="微软雅黑" w:cs="微软雅黑"/>
                <w:color w:val="auto"/>
                <w:sz w:val="21"/>
                <w:szCs w:val="21"/>
              </w:rPr>
            </w:pPr>
          </w:p>
        </w:tc>
        <w:tc>
          <w:tcPr>
            <w:tcW w:w="1235" w:type="dxa"/>
            <w:noWrap w:val="0"/>
            <w:vAlign w:val="top"/>
          </w:tcPr>
          <w:p w14:paraId="31FFF114">
            <w:pPr>
              <w:jc w:val="center"/>
              <w:rPr>
                <w:rFonts w:hint="eastAsia" w:ascii="微软雅黑" w:hAnsi="微软雅黑" w:eastAsia="微软雅黑" w:cs="微软雅黑"/>
                <w:color w:val="auto"/>
                <w:sz w:val="21"/>
                <w:szCs w:val="21"/>
              </w:rPr>
            </w:pPr>
          </w:p>
        </w:tc>
      </w:tr>
      <w:tr w14:paraId="042E8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50D8FBE8">
            <w:pPr>
              <w:pStyle w:val="26"/>
              <w:spacing w:line="240" w:lineRule="atLeast"/>
              <w:ind w:left="3920"/>
              <w:jc w:val="center"/>
              <w:outlineLvl w:val="0"/>
              <w:rPr>
                <w:rFonts w:hint="eastAsia" w:ascii="微软雅黑" w:hAnsi="微软雅黑" w:eastAsia="微软雅黑" w:cs="微软雅黑"/>
                <w:color w:val="auto"/>
                <w:sz w:val="21"/>
                <w:szCs w:val="21"/>
              </w:rPr>
            </w:pPr>
            <w:bookmarkStart w:id="206" w:name="_Toc25559"/>
            <w:bookmarkStart w:id="207" w:name="_Toc122615279"/>
            <w:bookmarkStart w:id="208" w:name="_Toc15919"/>
            <w:r>
              <w:rPr>
                <w:rFonts w:hint="eastAsia" w:ascii="微软雅黑" w:hAnsi="微软雅黑" w:eastAsia="微软雅黑" w:cs="微软雅黑"/>
                <w:color w:val="auto"/>
                <w:sz w:val="21"/>
                <w:szCs w:val="21"/>
              </w:rPr>
              <w:t>11</w:t>
            </w:r>
            <w:bookmarkEnd w:id="206"/>
            <w:bookmarkEnd w:id="207"/>
            <w:bookmarkEnd w:id="208"/>
          </w:p>
        </w:tc>
        <w:tc>
          <w:tcPr>
            <w:tcW w:w="1557" w:type="dxa"/>
            <w:noWrap w:val="0"/>
            <w:vAlign w:val="center"/>
          </w:tcPr>
          <w:p w14:paraId="2E6B5987">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3127" w:type="dxa"/>
            <w:noWrap w:val="0"/>
            <w:vAlign w:val="top"/>
          </w:tcPr>
          <w:p w14:paraId="342369B1">
            <w:pPr>
              <w:jc w:val="center"/>
              <w:rPr>
                <w:rFonts w:hint="eastAsia" w:ascii="微软雅黑" w:hAnsi="微软雅黑" w:eastAsia="微软雅黑" w:cs="微软雅黑"/>
                <w:color w:val="auto"/>
                <w:sz w:val="21"/>
                <w:szCs w:val="21"/>
              </w:rPr>
            </w:pPr>
          </w:p>
        </w:tc>
        <w:tc>
          <w:tcPr>
            <w:tcW w:w="1235" w:type="dxa"/>
            <w:noWrap w:val="0"/>
            <w:vAlign w:val="center"/>
          </w:tcPr>
          <w:p w14:paraId="363D07D0">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noWrap w:val="0"/>
            <w:vAlign w:val="top"/>
          </w:tcPr>
          <w:p w14:paraId="09EDF975">
            <w:pPr>
              <w:jc w:val="center"/>
              <w:rPr>
                <w:rFonts w:hint="eastAsia" w:ascii="微软雅黑" w:hAnsi="微软雅黑" w:eastAsia="微软雅黑" w:cs="微软雅黑"/>
                <w:color w:val="auto"/>
                <w:sz w:val="21"/>
                <w:szCs w:val="21"/>
              </w:rPr>
            </w:pPr>
          </w:p>
        </w:tc>
        <w:tc>
          <w:tcPr>
            <w:tcW w:w="1235" w:type="dxa"/>
            <w:noWrap w:val="0"/>
            <w:vAlign w:val="top"/>
          </w:tcPr>
          <w:p w14:paraId="2F88C304">
            <w:pPr>
              <w:jc w:val="center"/>
              <w:rPr>
                <w:rFonts w:hint="eastAsia" w:ascii="微软雅黑" w:hAnsi="微软雅黑" w:eastAsia="微软雅黑" w:cs="微软雅黑"/>
                <w:color w:val="auto"/>
                <w:sz w:val="21"/>
                <w:szCs w:val="21"/>
              </w:rPr>
            </w:pPr>
          </w:p>
        </w:tc>
      </w:tr>
      <w:tr w14:paraId="418E9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7AF15FB2">
            <w:pPr>
              <w:pStyle w:val="26"/>
              <w:spacing w:line="240" w:lineRule="atLeast"/>
              <w:ind w:left="3920"/>
              <w:jc w:val="center"/>
              <w:outlineLvl w:val="0"/>
              <w:rPr>
                <w:rFonts w:hint="eastAsia" w:ascii="微软雅黑" w:hAnsi="微软雅黑" w:eastAsia="微软雅黑" w:cs="微软雅黑"/>
                <w:color w:val="auto"/>
                <w:sz w:val="21"/>
                <w:szCs w:val="21"/>
              </w:rPr>
            </w:pPr>
            <w:bookmarkStart w:id="209" w:name="_Toc26333"/>
            <w:bookmarkStart w:id="210" w:name="_Toc18609"/>
            <w:bookmarkStart w:id="211" w:name="_Toc122615280"/>
            <w:r>
              <w:rPr>
                <w:rFonts w:hint="eastAsia" w:ascii="微软雅黑" w:hAnsi="微软雅黑" w:eastAsia="微软雅黑" w:cs="微软雅黑"/>
                <w:color w:val="auto"/>
                <w:sz w:val="21"/>
                <w:szCs w:val="21"/>
              </w:rPr>
              <w:t>12</w:t>
            </w:r>
            <w:bookmarkEnd w:id="209"/>
            <w:bookmarkEnd w:id="210"/>
            <w:bookmarkEnd w:id="211"/>
          </w:p>
        </w:tc>
        <w:tc>
          <w:tcPr>
            <w:tcW w:w="1557" w:type="dxa"/>
            <w:noWrap w:val="0"/>
            <w:vAlign w:val="center"/>
          </w:tcPr>
          <w:p w14:paraId="2F51660D">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总计</w:t>
            </w:r>
          </w:p>
        </w:tc>
        <w:tc>
          <w:tcPr>
            <w:tcW w:w="6832" w:type="dxa"/>
            <w:gridSpan w:val="4"/>
            <w:noWrap w:val="0"/>
            <w:vAlign w:val="top"/>
          </w:tcPr>
          <w:p w14:paraId="51D962B6">
            <w:pPr>
              <w:rPr>
                <w:rFonts w:hint="eastAsia" w:ascii="微软雅黑" w:hAnsi="微软雅黑" w:eastAsia="微软雅黑" w:cs="微软雅黑"/>
                <w:color w:val="auto"/>
                <w:sz w:val="21"/>
                <w:szCs w:val="21"/>
              </w:rPr>
            </w:pPr>
          </w:p>
        </w:tc>
      </w:tr>
    </w:tbl>
    <w:p w14:paraId="45A1DFA0">
      <w:pPr>
        <w:snapToGrid w:val="0"/>
        <w:spacing w:line="500" w:lineRule="exact"/>
        <w:ind w:firstLine="480" w:firstLineChars="200"/>
        <w:rPr>
          <w:rFonts w:hint="eastAsia" w:ascii="微软雅黑" w:hAnsi="微软雅黑" w:eastAsia="微软雅黑" w:cs="微软雅黑"/>
          <w:color w:val="auto"/>
          <w:sz w:val="24"/>
          <w:szCs w:val="28"/>
        </w:rPr>
      </w:pPr>
    </w:p>
    <w:p w14:paraId="70D16859">
      <w:pPr>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注：1.供应商应完整填写本表。</w:t>
      </w:r>
    </w:p>
    <w:p w14:paraId="4DF2D978">
      <w:pPr>
        <w:snapToGrid w:val="0"/>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2.该表可扩展</w:t>
      </w:r>
      <w:bookmarkStart w:id="212" w:name="OLE_LINK2"/>
      <w:bookmarkStart w:id="213" w:name="OLE_LINK1"/>
      <w:r>
        <w:rPr>
          <w:rFonts w:hint="eastAsia" w:ascii="微软雅黑" w:hAnsi="微软雅黑" w:eastAsia="微软雅黑" w:cs="微软雅黑"/>
          <w:color w:val="auto"/>
          <w:sz w:val="24"/>
          <w:szCs w:val="28"/>
        </w:rPr>
        <w:t>。</w:t>
      </w:r>
      <w:bookmarkEnd w:id="212"/>
      <w:bookmarkEnd w:id="213"/>
    </w:p>
    <w:p w14:paraId="01E164C0">
      <w:pPr>
        <w:pStyle w:val="41"/>
        <w:spacing w:line="360" w:lineRule="auto"/>
        <w:rPr>
          <w:rFonts w:hint="eastAsia" w:ascii="微软雅黑" w:hAnsi="微软雅黑" w:eastAsia="微软雅黑" w:cs="微软雅黑"/>
          <w:color w:val="auto"/>
          <w:sz w:val="24"/>
          <w:szCs w:val="24"/>
        </w:rPr>
      </w:pPr>
    </w:p>
    <w:p w14:paraId="2060D701">
      <w:pPr>
        <w:pStyle w:val="41"/>
        <w:spacing w:line="360"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p>
    <w:p w14:paraId="71869458">
      <w:pPr>
        <w:rPr>
          <w:rFonts w:hint="eastAsia" w:ascii="微软雅黑" w:hAnsi="微软雅黑" w:eastAsia="微软雅黑" w:cs="微软雅黑"/>
          <w:color w:val="auto"/>
        </w:rPr>
      </w:pPr>
    </w:p>
    <w:p w14:paraId="02CAB62C">
      <w:pPr>
        <w:rPr>
          <w:rFonts w:hint="eastAsia" w:ascii="微软雅黑" w:hAnsi="微软雅黑" w:eastAsia="微软雅黑" w:cs="微软雅黑"/>
          <w:color w:val="auto"/>
        </w:rPr>
      </w:pPr>
    </w:p>
    <w:p w14:paraId="62C48A73">
      <w:pPr>
        <w:spacing w:line="360" w:lineRule="auto"/>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供应商名称（公章）或自然人签署：</w:t>
      </w:r>
    </w:p>
    <w:p w14:paraId="1ECCEC9A">
      <w:pPr>
        <w:spacing w:line="360" w:lineRule="auto"/>
        <w:ind w:right="480" w:firstLine="6480" w:firstLineChars="27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14:paraId="48ECBEDE">
      <w:pPr>
        <w:snapToGrid w:val="0"/>
        <w:spacing w:line="360" w:lineRule="auto"/>
        <w:ind w:firstLine="480" w:firstLineChars="200"/>
        <w:rPr>
          <w:rFonts w:hint="eastAsia" w:ascii="微软雅黑" w:hAnsi="微软雅黑" w:eastAsia="微软雅黑" w:cs="微软雅黑"/>
          <w:color w:val="auto"/>
          <w:sz w:val="24"/>
          <w:szCs w:val="24"/>
          <w:bdr w:val="single" w:color="auto" w:sz="4" w:space="0"/>
        </w:rPr>
        <w:sectPr>
          <w:headerReference r:id="rId16" w:type="default"/>
          <w:pgSz w:w="11907" w:h="16840"/>
          <w:pgMar w:top="1417" w:right="1417" w:bottom="1417" w:left="1417" w:header="851" w:footer="992" w:gutter="0"/>
          <w:pgNumType w:fmt="numberInDash"/>
          <w:cols w:space="720" w:num="1"/>
          <w:docGrid w:linePitch="380" w:charSpace="-5735"/>
        </w:sectPr>
      </w:pPr>
    </w:p>
    <w:p w14:paraId="4D3BEE40">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4" w:name="_Toc313008357"/>
      <w:bookmarkStart w:id="215" w:name="_Toc182845863"/>
      <w:bookmarkStart w:id="216" w:name="_Toc313888361"/>
      <w:bookmarkStart w:id="217" w:name="_Toc76462351"/>
      <w:bookmarkStart w:id="218" w:name="_Toc3019"/>
      <w:bookmarkStart w:id="219" w:name="_Toc342913420"/>
      <w:r>
        <w:rPr>
          <w:rFonts w:hint="eastAsia" w:ascii="微软雅黑" w:hAnsi="微软雅黑" w:eastAsia="微软雅黑" w:cs="微软雅黑"/>
          <w:color w:val="auto"/>
          <w:sz w:val="24"/>
        </w:rPr>
        <w:t>二、服务部分</w:t>
      </w:r>
      <w:bookmarkEnd w:id="214"/>
      <w:bookmarkEnd w:id="215"/>
      <w:bookmarkEnd w:id="216"/>
      <w:bookmarkEnd w:id="217"/>
      <w:bookmarkEnd w:id="218"/>
      <w:bookmarkEnd w:id="219"/>
    </w:p>
    <w:p w14:paraId="258B2FF6">
      <w:pPr>
        <w:tabs>
          <w:tab w:val="left" w:pos="6300"/>
        </w:tabs>
        <w:snapToGrid w:val="0"/>
        <w:spacing w:line="400" w:lineRule="exact"/>
        <w:ind w:firstLine="48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 w:val="24"/>
          <w:szCs w:val="24"/>
        </w:rPr>
        <w:t>（一）服务响应偏离表</w:t>
      </w:r>
    </w:p>
    <w:p w14:paraId="3624B0A2">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14:paraId="1313C83D">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磋商项目名称：</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7"/>
        <w:gridCol w:w="3081"/>
        <w:gridCol w:w="2309"/>
      </w:tblGrid>
      <w:tr w14:paraId="1E91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71" w:type="dxa"/>
            <w:noWrap w:val="0"/>
            <w:vAlign w:val="center"/>
          </w:tcPr>
          <w:p w14:paraId="1FA2E257">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序号</w:t>
            </w:r>
          </w:p>
        </w:tc>
        <w:tc>
          <w:tcPr>
            <w:tcW w:w="2967" w:type="dxa"/>
            <w:noWrap w:val="0"/>
            <w:vAlign w:val="center"/>
          </w:tcPr>
          <w:p w14:paraId="5F5EBC66">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采购需求</w:t>
            </w:r>
          </w:p>
        </w:tc>
        <w:tc>
          <w:tcPr>
            <w:tcW w:w="3081" w:type="dxa"/>
            <w:noWrap w:val="0"/>
            <w:vAlign w:val="center"/>
          </w:tcPr>
          <w:p w14:paraId="414B3BDB">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响应情况</w:t>
            </w:r>
          </w:p>
        </w:tc>
        <w:tc>
          <w:tcPr>
            <w:tcW w:w="2309" w:type="dxa"/>
            <w:noWrap w:val="0"/>
            <w:vAlign w:val="center"/>
          </w:tcPr>
          <w:p w14:paraId="1AF3F499">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差异说明</w:t>
            </w:r>
          </w:p>
        </w:tc>
      </w:tr>
      <w:tr w14:paraId="2DC6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2DED8E97">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5C919F74">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02D27D16">
            <w:pPr>
              <w:tabs>
                <w:tab w:val="left" w:pos="6300"/>
              </w:tabs>
              <w:snapToGrid w:val="0"/>
              <w:spacing w:line="500" w:lineRule="exact"/>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提醒：请注明技术参数或具体内容以及响应文件中技术参数或具体内容的位置（页码）</w:t>
            </w:r>
          </w:p>
        </w:tc>
        <w:tc>
          <w:tcPr>
            <w:tcW w:w="2309" w:type="dxa"/>
            <w:noWrap w:val="0"/>
            <w:vAlign w:val="center"/>
          </w:tcPr>
          <w:p w14:paraId="7C6FFB57">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1F6D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18EAE40A">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5C22CCCB">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2247FAB6">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70685E92">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7B0F5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04F37836">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62D49272">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23C72D26">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2351AD8A">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5A63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73C7BE14">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73B2CA2A">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5ADFB946">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64710EC0">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03A7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508F8E32">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7F565245">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1AC6259D">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2FCCB527">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37B6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7C6A261C">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06781703">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17B8F34A">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037245FB">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5CBC9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63F8F4CA">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5C8A0D75">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5B9A2D05">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35C2D8A8">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3ACF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192EB585">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4DF4A71D">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1EA895BB">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7AC60DAA">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3822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129EE21E">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7796170C">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71A9A861">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5DFFAD11">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14:paraId="2B28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71" w:type="dxa"/>
            <w:noWrap w:val="0"/>
            <w:vAlign w:val="center"/>
          </w:tcPr>
          <w:p w14:paraId="4FD99B3E">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967" w:type="dxa"/>
            <w:noWrap w:val="0"/>
            <w:vAlign w:val="center"/>
          </w:tcPr>
          <w:p w14:paraId="09900204">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3081" w:type="dxa"/>
            <w:noWrap w:val="0"/>
            <w:vAlign w:val="center"/>
          </w:tcPr>
          <w:p w14:paraId="0686C746">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2309" w:type="dxa"/>
            <w:noWrap w:val="0"/>
            <w:vAlign w:val="center"/>
          </w:tcPr>
          <w:p w14:paraId="1FDCA635">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bl>
    <w:p w14:paraId="42165B2D">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供应商：                            </w:t>
      </w:r>
      <w:r>
        <w:rPr>
          <w:rFonts w:hint="eastAsia" w:ascii="微软雅黑" w:hAnsi="微软雅黑" w:eastAsia="微软雅黑" w:cs="微软雅黑"/>
          <w:color w:val="auto"/>
          <w:sz w:val="24"/>
          <w:szCs w:val="24"/>
        </w:rPr>
        <w:t>法定代表人（或其授权代表）或自然人：</w:t>
      </w:r>
    </w:p>
    <w:p w14:paraId="65ABC0CD">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14:paraId="004F5D57">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（供应商公章）                               （签署或盖章）</w:t>
      </w:r>
    </w:p>
    <w:p w14:paraId="6D2DA95F">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14:paraId="1AE08DCE">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14:paraId="55411804">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本表即为对本项目“第二篇  项目服务需求”中所列条款进行比较和响应；</w:t>
      </w:r>
    </w:p>
    <w:p w14:paraId="236CC2E4">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14:paraId="79DB1CA5">
      <w:pPr>
        <w:tabs>
          <w:tab w:val="left" w:pos="6300"/>
        </w:tabs>
        <w:snapToGrid w:val="0"/>
        <w:spacing w:line="400" w:lineRule="exact"/>
        <w:ind w:firstLine="56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Cs w:val="24"/>
        </w:rPr>
        <w:br w:type="page"/>
      </w:r>
      <w:r>
        <w:rPr>
          <w:rFonts w:hint="eastAsia" w:ascii="微软雅黑" w:hAnsi="微软雅黑" w:eastAsia="微软雅黑" w:cs="微软雅黑"/>
          <w:color w:val="auto"/>
          <w:sz w:val="24"/>
          <w:szCs w:val="24"/>
        </w:rPr>
        <w:t>（二）其他资料（格式自定）</w:t>
      </w:r>
    </w:p>
    <w:p w14:paraId="4B104871">
      <w:pPr>
        <w:pStyle w:val="3"/>
        <w:adjustRightInd w:val="0"/>
        <w:snapToGrid w:val="0"/>
        <w:spacing w:before="0" w:after="0" w:line="400" w:lineRule="exact"/>
        <w:ind w:firstLine="640" w:firstLineChars="20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220" w:name="_Toc27948"/>
      <w:bookmarkStart w:id="221" w:name="_Toc342913421"/>
      <w:bookmarkStart w:id="222" w:name="_Toc313888362"/>
      <w:bookmarkStart w:id="223" w:name="_Toc313008358"/>
      <w:bookmarkStart w:id="224" w:name="_Toc76462352"/>
      <w:bookmarkStart w:id="225" w:name="_Toc182845864"/>
      <w:r>
        <w:rPr>
          <w:rFonts w:hint="eastAsia" w:ascii="微软雅黑" w:hAnsi="微软雅黑" w:eastAsia="微软雅黑" w:cs="微软雅黑"/>
          <w:color w:val="auto"/>
          <w:sz w:val="24"/>
        </w:rPr>
        <w:t>三、商务部分</w:t>
      </w:r>
      <w:bookmarkEnd w:id="220"/>
      <w:bookmarkEnd w:id="221"/>
      <w:bookmarkEnd w:id="222"/>
      <w:bookmarkEnd w:id="223"/>
      <w:bookmarkEnd w:id="224"/>
      <w:bookmarkEnd w:id="225"/>
    </w:p>
    <w:p w14:paraId="05BC1A52">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14:paraId="1DA13737">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14:paraId="00A8A24B">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磋商项目名称： </w:t>
      </w:r>
    </w:p>
    <w:tbl>
      <w:tblPr>
        <w:tblStyle w:val="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14:paraId="33D02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14:paraId="32B3AB8A">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noWrap w:val="0"/>
            <w:vAlign w:val="center"/>
          </w:tcPr>
          <w:p w14:paraId="35033ABE">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磋商项目商务需求</w:t>
            </w:r>
          </w:p>
        </w:tc>
        <w:tc>
          <w:tcPr>
            <w:tcW w:w="2434" w:type="dxa"/>
            <w:noWrap w:val="0"/>
            <w:vAlign w:val="center"/>
          </w:tcPr>
          <w:p w14:paraId="7B32D7A3">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响应情况</w:t>
            </w:r>
          </w:p>
        </w:tc>
        <w:tc>
          <w:tcPr>
            <w:tcW w:w="2355" w:type="dxa"/>
            <w:noWrap w:val="0"/>
            <w:vAlign w:val="center"/>
          </w:tcPr>
          <w:p w14:paraId="1974B552">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偏离说明</w:t>
            </w:r>
          </w:p>
        </w:tc>
      </w:tr>
      <w:tr w14:paraId="1ECBD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62D4CEED">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noWrap w:val="0"/>
            <w:vAlign w:val="center"/>
          </w:tcPr>
          <w:p w14:paraId="4D84786E">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noWrap w:val="0"/>
            <w:vAlign w:val="center"/>
          </w:tcPr>
          <w:p w14:paraId="11F259BD">
            <w:pPr>
              <w:tabs>
                <w:tab w:val="left" w:pos="6300"/>
              </w:tabs>
              <w:snapToGrid w:val="0"/>
              <w:spacing w:line="360" w:lineRule="auto"/>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1"/>
              </w:rPr>
              <w:t>提醒：请注明具体内容以及响应文件中具体内容的位置（页码）</w:t>
            </w:r>
          </w:p>
        </w:tc>
        <w:tc>
          <w:tcPr>
            <w:tcW w:w="2355" w:type="dxa"/>
            <w:noWrap w:val="0"/>
            <w:vAlign w:val="center"/>
          </w:tcPr>
          <w:p w14:paraId="2A820969">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14:paraId="0599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08DD41C8">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noWrap w:val="0"/>
            <w:vAlign w:val="center"/>
          </w:tcPr>
          <w:p w14:paraId="04FE3AC9">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noWrap w:val="0"/>
            <w:vAlign w:val="center"/>
          </w:tcPr>
          <w:p w14:paraId="19EC1449">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noWrap w:val="0"/>
            <w:vAlign w:val="center"/>
          </w:tcPr>
          <w:p w14:paraId="26B55D61">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14:paraId="2451A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163C01E3">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noWrap w:val="0"/>
            <w:vAlign w:val="center"/>
          </w:tcPr>
          <w:p w14:paraId="200A972D">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noWrap w:val="0"/>
            <w:vAlign w:val="center"/>
          </w:tcPr>
          <w:p w14:paraId="5912422C">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noWrap w:val="0"/>
            <w:vAlign w:val="center"/>
          </w:tcPr>
          <w:p w14:paraId="180FF13E">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14:paraId="43A5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631A582E">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noWrap w:val="0"/>
            <w:vAlign w:val="center"/>
          </w:tcPr>
          <w:p w14:paraId="19871297">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noWrap w:val="0"/>
            <w:vAlign w:val="center"/>
          </w:tcPr>
          <w:p w14:paraId="49B30A02">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noWrap w:val="0"/>
            <w:vAlign w:val="center"/>
          </w:tcPr>
          <w:p w14:paraId="0C5E9FEA">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14:paraId="171B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31C3F149">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noWrap w:val="0"/>
            <w:vAlign w:val="center"/>
          </w:tcPr>
          <w:p w14:paraId="3B19E7DD">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noWrap w:val="0"/>
            <w:vAlign w:val="center"/>
          </w:tcPr>
          <w:p w14:paraId="55918C1A">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noWrap w:val="0"/>
            <w:vAlign w:val="center"/>
          </w:tcPr>
          <w:p w14:paraId="22355A07">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14:paraId="56655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2AD8153F">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noWrap w:val="0"/>
            <w:vAlign w:val="center"/>
          </w:tcPr>
          <w:p w14:paraId="1DEEADB1">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noWrap w:val="0"/>
            <w:vAlign w:val="center"/>
          </w:tcPr>
          <w:p w14:paraId="5F4FC0CE">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noWrap w:val="0"/>
            <w:vAlign w:val="center"/>
          </w:tcPr>
          <w:p w14:paraId="7C49F0FE">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bl>
    <w:p w14:paraId="4A442CCD">
      <w:pPr>
        <w:snapToGrid w:val="0"/>
        <w:spacing w:line="360" w:lineRule="auto"/>
        <w:ind w:firstLine="465"/>
        <w:rPr>
          <w:rFonts w:hint="eastAsia" w:ascii="微软雅黑" w:hAnsi="微软雅黑" w:eastAsia="微软雅黑" w:cs="微软雅黑"/>
          <w:color w:val="auto"/>
          <w:sz w:val="24"/>
          <w:szCs w:val="24"/>
        </w:rPr>
      </w:pPr>
    </w:p>
    <w:p w14:paraId="03D4DC10">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供应商：                          </w:t>
      </w:r>
      <w:r>
        <w:rPr>
          <w:rFonts w:hint="eastAsia" w:ascii="微软雅黑" w:hAnsi="微软雅黑" w:eastAsia="微软雅黑" w:cs="微软雅黑"/>
          <w:color w:val="auto"/>
          <w:sz w:val="24"/>
          <w:szCs w:val="24"/>
        </w:rPr>
        <w:t>法定代表人（或其授权代表）或自然人：</w:t>
      </w:r>
    </w:p>
    <w:p w14:paraId="454B93EF">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14:paraId="6259C213">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（供应商公章）                                 （签署或盖章）</w:t>
      </w:r>
    </w:p>
    <w:p w14:paraId="1D8C0E57">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14:paraId="1B8E538B">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14:paraId="26AE1954">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本表即为对本项目“第三篇  项目商务需求”中所列条款进行比较和响应；</w:t>
      </w:r>
    </w:p>
    <w:p w14:paraId="36220556">
      <w:pPr>
        <w:snapToGrid w:val="0"/>
        <w:spacing w:line="400" w:lineRule="exact"/>
        <w:ind w:firstLine="480" w:firstLineChars="200"/>
        <w:rPr>
          <w:rFonts w:hint="eastAsia" w:ascii="微软雅黑" w:hAnsi="微软雅黑" w:eastAsia="微软雅黑" w:cs="微软雅黑"/>
          <w:b/>
          <w:color w:val="auto"/>
        </w:rPr>
        <w:sectPr>
          <w:pgSz w:w="11907" w:h="16840"/>
          <w:pgMar w:top="1417" w:right="1417" w:bottom="1417" w:left="1417"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14:paraId="491873AF">
      <w:pPr>
        <w:snapToGrid w:val="0"/>
        <w:spacing w:line="400" w:lineRule="exact"/>
        <w:ind w:firstLine="480" w:firstLineChars="200"/>
        <w:rPr>
          <w:rFonts w:hint="eastAsia" w:ascii="微软雅黑" w:hAnsi="微软雅黑" w:eastAsia="微软雅黑" w:cs="微软雅黑"/>
          <w:color w:val="auto"/>
          <w:sz w:val="24"/>
          <w:szCs w:val="24"/>
        </w:rPr>
      </w:pPr>
      <w:bookmarkStart w:id="226" w:name="_Toc283382459"/>
      <w:r>
        <w:rPr>
          <w:rFonts w:hint="eastAsia" w:ascii="微软雅黑" w:hAnsi="微软雅黑" w:eastAsia="微软雅黑" w:cs="微软雅黑"/>
          <w:color w:val="auto"/>
          <w:sz w:val="24"/>
          <w:szCs w:val="24"/>
        </w:rPr>
        <w:t>（二）其它优惠承诺（格式自定）</w:t>
      </w:r>
    </w:p>
    <w:p w14:paraId="5489ADC5">
      <w:pPr>
        <w:snapToGrid w:val="0"/>
        <w:spacing w:line="400" w:lineRule="exact"/>
        <w:ind w:firstLine="480" w:firstLineChars="200"/>
        <w:rPr>
          <w:rFonts w:hint="eastAsia" w:ascii="微软雅黑" w:hAnsi="微软雅黑" w:eastAsia="微软雅黑" w:cs="微软雅黑"/>
          <w:color w:val="auto"/>
          <w:sz w:val="24"/>
          <w:szCs w:val="24"/>
        </w:rPr>
      </w:pPr>
    </w:p>
    <w:p w14:paraId="3014D9BC">
      <w:pPr>
        <w:pStyle w:val="3"/>
        <w:adjustRightInd w:val="0"/>
        <w:snapToGrid w:val="0"/>
        <w:spacing w:before="0" w:after="0" w:line="400" w:lineRule="exact"/>
        <w:ind w:firstLine="480" w:firstLineChars="200"/>
        <w:rPr>
          <w:rFonts w:hint="eastAsia" w:ascii="微软雅黑" w:hAnsi="微软雅黑" w:eastAsia="微软雅黑" w:cs="微软雅黑"/>
          <w:b w:val="0"/>
          <w:color w:val="auto"/>
          <w:sz w:val="24"/>
          <w:szCs w:val="24"/>
        </w:rPr>
      </w:pPr>
      <w:bookmarkStart w:id="227" w:name="_Toc15200"/>
      <w:r>
        <w:rPr>
          <w:rFonts w:hint="eastAsia" w:ascii="微软雅黑" w:hAnsi="微软雅黑" w:eastAsia="微软雅黑" w:cs="微软雅黑"/>
          <w:b w:val="0"/>
          <w:color w:val="auto"/>
          <w:sz w:val="24"/>
          <w:szCs w:val="24"/>
        </w:rPr>
        <w:t>（三）其他商务资料（根据采购需求和评审因素的要求自拟）</w:t>
      </w:r>
      <w:bookmarkEnd w:id="227"/>
    </w:p>
    <w:p w14:paraId="7E458607">
      <w:pPr>
        <w:pStyle w:val="3"/>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br w:type="page"/>
      </w:r>
      <w:bookmarkEnd w:id="226"/>
      <w:bookmarkStart w:id="228" w:name="_Toc313888363"/>
      <w:bookmarkStart w:id="229" w:name="_Toc182845865"/>
      <w:bookmarkStart w:id="230" w:name="_Toc3567"/>
      <w:bookmarkStart w:id="231" w:name="_Toc76462353"/>
      <w:bookmarkStart w:id="232" w:name="_Toc342913422"/>
      <w:bookmarkStart w:id="233" w:name="_Toc313008359"/>
      <w:r>
        <w:rPr>
          <w:rFonts w:hint="eastAsia" w:ascii="微软雅黑" w:hAnsi="微软雅黑" w:eastAsia="微软雅黑" w:cs="微软雅黑"/>
          <w:color w:val="auto"/>
          <w:sz w:val="24"/>
        </w:rPr>
        <w:t>四、资格条件</w:t>
      </w:r>
      <w:bookmarkEnd w:id="228"/>
      <w:bookmarkEnd w:id="229"/>
      <w:bookmarkEnd w:id="230"/>
      <w:bookmarkEnd w:id="231"/>
      <w:bookmarkEnd w:id="232"/>
      <w:bookmarkEnd w:id="233"/>
    </w:p>
    <w:p w14:paraId="469EF519">
      <w:pPr>
        <w:tabs>
          <w:tab w:val="left" w:pos="6300"/>
        </w:tabs>
        <w:snapToGrid w:val="0"/>
        <w:spacing w:line="4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14:paraId="79B7D94A">
      <w:pPr>
        <w:tabs>
          <w:tab w:val="left" w:pos="6300"/>
        </w:tabs>
        <w:snapToGrid w:val="0"/>
        <w:spacing w:line="400" w:lineRule="exact"/>
        <w:ind w:firstLine="570"/>
        <w:rPr>
          <w:rFonts w:hint="eastAsia" w:ascii="微软雅黑" w:hAnsi="微软雅黑" w:eastAsia="微软雅黑" w:cs="微软雅黑"/>
          <w:color w:val="auto"/>
        </w:rPr>
      </w:pPr>
    </w:p>
    <w:p w14:paraId="19BDA3B2">
      <w:pPr>
        <w:tabs>
          <w:tab w:val="left" w:pos="6300"/>
        </w:tabs>
        <w:snapToGrid w:val="0"/>
        <w:spacing w:line="500" w:lineRule="exact"/>
        <w:ind w:firstLine="570"/>
        <w:rPr>
          <w:rFonts w:hint="eastAsia" w:ascii="微软雅黑" w:hAnsi="微软雅黑" w:eastAsia="微软雅黑" w:cs="微软雅黑"/>
          <w:color w:val="auto"/>
        </w:rPr>
      </w:pPr>
    </w:p>
    <w:p w14:paraId="404ECEED">
      <w:pPr>
        <w:tabs>
          <w:tab w:val="left" w:pos="6300"/>
        </w:tabs>
        <w:snapToGrid w:val="0"/>
        <w:spacing w:line="500" w:lineRule="exact"/>
        <w:ind w:firstLine="570"/>
        <w:rPr>
          <w:rFonts w:hint="eastAsia" w:ascii="微软雅黑" w:hAnsi="微软雅黑" w:eastAsia="微软雅黑" w:cs="微软雅黑"/>
          <w:color w:val="auto"/>
        </w:rPr>
      </w:pPr>
    </w:p>
    <w:p w14:paraId="5EA4F762">
      <w:pPr>
        <w:tabs>
          <w:tab w:val="left" w:pos="6300"/>
        </w:tabs>
        <w:snapToGrid w:val="0"/>
        <w:spacing w:line="500" w:lineRule="exact"/>
        <w:ind w:firstLine="570"/>
        <w:rPr>
          <w:rFonts w:hint="eastAsia" w:ascii="微软雅黑" w:hAnsi="微软雅黑" w:eastAsia="微软雅黑" w:cs="微软雅黑"/>
          <w:color w:val="auto"/>
        </w:rPr>
      </w:pPr>
    </w:p>
    <w:p w14:paraId="04842223">
      <w:pPr>
        <w:tabs>
          <w:tab w:val="left" w:pos="6300"/>
        </w:tabs>
        <w:snapToGrid w:val="0"/>
        <w:spacing w:line="500" w:lineRule="exact"/>
        <w:ind w:firstLine="570"/>
        <w:rPr>
          <w:rFonts w:hint="eastAsia" w:ascii="微软雅黑" w:hAnsi="微软雅黑" w:eastAsia="微软雅黑" w:cs="微软雅黑"/>
          <w:color w:val="auto"/>
        </w:rPr>
      </w:pPr>
    </w:p>
    <w:p w14:paraId="6FEC06D8">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（二）法定代表人身份证明书（格式）</w:t>
      </w:r>
    </w:p>
    <w:p w14:paraId="2D6CE60C">
      <w:pPr>
        <w:tabs>
          <w:tab w:val="left" w:pos="6300"/>
        </w:tabs>
        <w:snapToGrid w:val="0"/>
        <w:spacing w:line="500" w:lineRule="exact"/>
        <w:ind w:firstLine="570"/>
        <w:rPr>
          <w:rFonts w:hint="eastAsia" w:ascii="微软雅黑" w:hAnsi="微软雅黑" w:eastAsia="微软雅黑" w:cs="微软雅黑"/>
          <w:color w:val="auto"/>
          <w:sz w:val="24"/>
        </w:rPr>
      </w:pPr>
    </w:p>
    <w:p w14:paraId="270B6180">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磋商项目名称：</w:t>
      </w:r>
      <w:r>
        <w:rPr>
          <w:rFonts w:hint="eastAsia" w:ascii="微软雅黑" w:hAnsi="微软雅黑" w:eastAsia="微软雅黑" w:cs="微软雅黑"/>
          <w:color w:val="auto"/>
          <w:sz w:val="24"/>
          <w:u w:val="single"/>
        </w:rPr>
        <w:t xml:space="preserve">                                                </w:t>
      </w:r>
    </w:p>
    <w:p w14:paraId="528C0F2D">
      <w:pPr>
        <w:tabs>
          <w:tab w:val="left" w:pos="6300"/>
        </w:tabs>
        <w:snapToGrid w:val="0"/>
        <w:spacing w:line="500" w:lineRule="exact"/>
        <w:ind w:firstLine="570"/>
        <w:rPr>
          <w:rFonts w:hint="eastAsia" w:ascii="微软雅黑" w:hAnsi="微软雅黑" w:eastAsia="微软雅黑" w:cs="微软雅黑"/>
          <w:color w:val="auto"/>
          <w:sz w:val="24"/>
        </w:rPr>
      </w:pPr>
    </w:p>
    <w:p w14:paraId="28B84AC2">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（采购代理机构名称）：</w:t>
      </w:r>
    </w:p>
    <w:p w14:paraId="2011FBD0">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（供应商名称）任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（职务名称）职务，是（供应商名称）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14:paraId="3DE72FC2">
      <w:pPr>
        <w:tabs>
          <w:tab w:val="left" w:pos="6300"/>
        </w:tabs>
        <w:snapToGrid w:val="0"/>
        <w:spacing w:line="500" w:lineRule="exact"/>
        <w:ind w:firstLine="570"/>
        <w:rPr>
          <w:rFonts w:hint="eastAsia" w:ascii="微软雅黑" w:hAnsi="微软雅黑" w:eastAsia="微软雅黑" w:cs="微软雅黑"/>
          <w:color w:val="auto"/>
          <w:sz w:val="24"/>
        </w:rPr>
      </w:pPr>
    </w:p>
    <w:p w14:paraId="12CC9AB6">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14:paraId="1BD5B646">
      <w:pPr>
        <w:tabs>
          <w:tab w:val="left" w:pos="6300"/>
        </w:tabs>
        <w:snapToGrid w:val="0"/>
        <w:spacing w:line="500" w:lineRule="exact"/>
        <w:ind w:firstLine="570"/>
        <w:rPr>
          <w:rFonts w:hint="eastAsia" w:ascii="微软雅黑" w:hAnsi="微软雅黑" w:eastAsia="微软雅黑" w:cs="微软雅黑"/>
          <w:color w:val="auto"/>
          <w:sz w:val="24"/>
        </w:rPr>
      </w:pPr>
    </w:p>
    <w:p w14:paraId="455F19EB">
      <w:pPr>
        <w:tabs>
          <w:tab w:val="left" w:pos="6300"/>
        </w:tabs>
        <w:snapToGrid w:val="0"/>
        <w:spacing w:line="500" w:lineRule="exact"/>
        <w:ind w:firstLine="570"/>
        <w:rPr>
          <w:rFonts w:hint="eastAsia" w:ascii="微软雅黑" w:hAnsi="微软雅黑" w:eastAsia="微软雅黑" w:cs="微软雅黑"/>
          <w:color w:val="auto"/>
          <w:sz w:val="24"/>
        </w:rPr>
      </w:pPr>
    </w:p>
    <w:p w14:paraId="6A7E1632">
      <w:pPr>
        <w:tabs>
          <w:tab w:val="left" w:pos="6300"/>
        </w:tabs>
        <w:snapToGrid w:val="0"/>
        <w:spacing w:line="500" w:lineRule="exact"/>
        <w:ind w:firstLine="570"/>
        <w:rPr>
          <w:rFonts w:hint="eastAsia" w:ascii="微软雅黑" w:hAnsi="微软雅黑" w:eastAsia="微软雅黑" w:cs="微软雅黑"/>
          <w:color w:val="auto"/>
          <w:sz w:val="24"/>
        </w:rPr>
      </w:pPr>
    </w:p>
    <w:p w14:paraId="41AE38E4">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（供应商公章）</w:t>
      </w:r>
    </w:p>
    <w:p w14:paraId="02BB35FB">
      <w:pPr>
        <w:tabs>
          <w:tab w:val="left" w:pos="6300"/>
        </w:tabs>
        <w:snapToGrid w:val="0"/>
        <w:spacing w:line="500" w:lineRule="exact"/>
        <w:ind w:firstLine="570"/>
        <w:rPr>
          <w:rFonts w:hint="eastAsia" w:ascii="微软雅黑" w:hAnsi="微软雅黑" w:eastAsia="微软雅黑" w:cs="微软雅黑"/>
          <w:color w:val="auto"/>
          <w:sz w:val="24"/>
        </w:rPr>
      </w:pPr>
    </w:p>
    <w:p w14:paraId="345FCBBC">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14:paraId="723B00A1">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14:paraId="11E5887A">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14:paraId="31843393">
      <w:pPr>
        <w:tabs>
          <w:tab w:val="left" w:pos="6300"/>
        </w:tabs>
        <w:snapToGrid w:val="0"/>
        <w:spacing w:line="500" w:lineRule="exact"/>
        <w:ind w:firstLine="570"/>
        <w:rPr>
          <w:rFonts w:hint="eastAsia" w:ascii="微软雅黑" w:hAnsi="微软雅黑" w:eastAsia="微软雅黑" w:cs="微软雅黑"/>
          <w:color w:val="auto"/>
          <w:sz w:val="24"/>
        </w:rPr>
      </w:pPr>
    </w:p>
    <w:p w14:paraId="26F1FCD3">
      <w:pPr>
        <w:tabs>
          <w:tab w:val="left" w:pos="6300"/>
        </w:tabs>
        <w:snapToGrid w:val="0"/>
        <w:spacing w:line="500" w:lineRule="exact"/>
        <w:ind w:firstLine="570"/>
        <w:rPr>
          <w:rFonts w:hint="eastAsia" w:ascii="微软雅黑" w:hAnsi="微软雅黑" w:eastAsia="微软雅黑" w:cs="微软雅黑"/>
          <w:color w:val="auto"/>
          <w:sz w:val="24"/>
        </w:rPr>
      </w:pPr>
    </w:p>
    <w:p w14:paraId="03DB0FCB">
      <w:pPr>
        <w:tabs>
          <w:tab w:val="left" w:pos="6300"/>
        </w:tabs>
        <w:snapToGrid w:val="0"/>
        <w:spacing w:line="500" w:lineRule="exact"/>
        <w:ind w:firstLine="570"/>
        <w:rPr>
          <w:rFonts w:hint="eastAsia" w:ascii="微软雅黑" w:hAnsi="微软雅黑" w:eastAsia="微软雅黑" w:cs="微软雅黑"/>
          <w:color w:val="auto"/>
          <w:sz w:val="24"/>
        </w:rPr>
      </w:pPr>
    </w:p>
    <w:p w14:paraId="49F2FBC0">
      <w:pPr>
        <w:tabs>
          <w:tab w:val="left" w:pos="6300"/>
        </w:tabs>
        <w:snapToGrid w:val="0"/>
        <w:spacing w:line="500" w:lineRule="exact"/>
        <w:ind w:firstLine="570"/>
        <w:rPr>
          <w:rFonts w:hint="eastAsia" w:ascii="微软雅黑" w:hAnsi="微软雅黑" w:eastAsia="微软雅黑" w:cs="微软雅黑"/>
          <w:color w:val="auto"/>
          <w:sz w:val="24"/>
        </w:rPr>
      </w:pPr>
    </w:p>
    <w:p w14:paraId="3E025DBB">
      <w:pPr>
        <w:tabs>
          <w:tab w:val="left" w:pos="6300"/>
        </w:tabs>
        <w:snapToGrid w:val="0"/>
        <w:spacing w:line="500" w:lineRule="exact"/>
        <w:ind w:firstLine="570"/>
        <w:rPr>
          <w:rFonts w:hint="eastAsia" w:ascii="微软雅黑" w:hAnsi="微软雅黑" w:eastAsia="微软雅黑" w:cs="微软雅黑"/>
          <w:color w:val="auto"/>
          <w:sz w:val="24"/>
        </w:rPr>
      </w:pPr>
    </w:p>
    <w:p w14:paraId="31A76CAC">
      <w:pPr>
        <w:tabs>
          <w:tab w:val="left" w:pos="6300"/>
        </w:tabs>
        <w:snapToGrid w:val="0"/>
        <w:spacing w:line="500" w:lineRule="exact"/>
        <w:ind w:firstLine="570"/>
        <w:rPr>
          <w:rFonts w:hint="eastAsia" w:ascii="微软雅黑" w:hAnsi="微软雅黑" w:eastAsia="微软雅黑" w:cs="微软雅黑"/>
          <w:color w:val="auto"/>
          <w:sz w:val="24"/>
        </w:rPr>
      </w:pPr>
    </w:p>
    <w:p w14:paraId="32C548B6">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（三）法定代表人授权委托书（格式）</w:t>
      </w:r>
    </w:p>
    <w:p w14:paraId="065A9D46">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14:paraId="1F88638E">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磋商项目名称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14:paraId="5510EA50">
      <w:pPr>
        <w:tabs>
          <w:tab w:val="left" w:pos="6300"/>
        </w:tabs>
        <w:snapToGrid w:val="0"/>
        <w:spacing w:line="500" w:lineRule="exact"/>
        <w:ind w:firstLine="570"/>
        <w:rPr>
          <w:rFonts w:hint="eastAsia" w:ascii="微软雅黑" w:hAnsi="微软雅黑" w:eastAsia="微软雅黑" w:cs="微软雅黑"/>
          <w:color w:val="auto"/>
          <w:sz w:val="24"/>
        </w:rPr>
      </w:pPr>
    </w:p>
    <w:p w14:paraId="2225540B">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（采购代理机构名称）：</w:t>
      </w:r>
    </w:p>
    <w:p w14:paraId="680E39C9">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（供应商法定代表人名称）是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（供应商名称）的法定代表人，特授权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（被授权人姓名及身份证代码）代表我单位全权办理上述项目的磋商、签约等具体工作，并签署全部有关文件、协议及合同。</w:t>
      </w:r>
    </w:p>
    <w:p w14:paraId="2C8709B5">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我单位对被授权人的</w:t>
      </w:r>
      <w:r>
        <w:rPr>
          <w:rFonts w:hint="eastAsia" w:ascii="微软雅黑" w:hAnsi="微软雅黑" w:eastAsia="微软雅黑" w:cs="微软雅黑"/>
          <w:color w:val="auto"/>
          <w:sz w:val="24"/>
          <w:szCs w:val="28"/>
        </w:rPr>
        <w:t>签署</w:t>
      </w:r>
      <w:r>
        <w:rPr>
          <w:rFonts w:hint="eastAsia" w:ascii="微软雅黑" w:hAnsi="微软雅黑" w:eastAsia="微软雅黑" w:cs="微软雅黑"/>
          <w:color w:val="auto"/>
          <w:sz w:val="24"/>
        </w:rPr>
        <w:t>负全部责任。</w:t>
      </w:r>
    </w:p>
    <w:p w14:paraId="5F27CEE2">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在撤销授权的书面通知以前，本授权书一直有效。被授权人在授权书有效期内签署的所有文件不因授权的撤销而失效。</w:t>
      </w:r>
    </w:p>
    <w:p w14:paraId="1CF170E4">
      <w:pPr>
        <w:tabs>
          <w:tab w:val="left" w:pos="6300"/>
        </w:tabs>
        <w:snapToGrid w:val="0"/>
        <w:spacing w:line="500" w:lineRule="exact"/>
        <w:ind w:firstLine="570"/>
        <w:rPr>
          <w:rFonts w:hint="eastAsia" w:ascii="微软雅黑" w:hAnsi="微软雅黑" w:eastAsia="微软雅黑" w:cs="微软雅黑"/>
          <w:color w:val="auto"/>
          <w:sz w:val="24"/>
        </w:rPr>
      </w:pPr>
    </w:p>
    <w:p w14:paraId="1D2B0197">
      <w:pPr>
        <w:tabs>
          <w:tab w:val="left" w:pos="6300"/>
        </w:tabs>
        <w:snapToGrid w:val="0"/>
        <w:spacing w:line="500" w:lineRule="exact"/>
        <w:ind w:firstLine="570"/>
        <w:rPr>
          <w:rFonts w:hint="eastAsia" w:ascii="微软雅黑" w:hAnsi="微软雅黑" w:eastAsia="微软雅黑" w:cs="微软雅黑"/>
          <w:color w:val="auto"/>
          <w:sz w:val="24"/>
        </w:rPr>
      </w:pPr>
    </w:p>
    <w:p w14:paraId="5621447C">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供应商法定代表人：</w:t>
      </w:r>
    </w:p>
    <w:p w14:paraId="657CBC81">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14:paraId="40592596">
      <w:pPr>
        <w:tabs>
          <w:tab w:val="left" w:pos="6300"/>
        </w:tabs>
        <w:snapToGrid w:val="0"/>
        <w:spacing w:line="500" w:lineRule="exact"/>
        <w:ind w:firstLine="570"/>
        <w:rPr>
          <w:rFonts w:hint="eastAsia" w:ascii="微软雅黑" w:hAnsi="微软雅黑" w:eastAsia="微软雅黑" w:cs="微软雅黑"/>
          <w:color w:val="auto"/>
          <w:sz w:val="24"/>
          <w:szCs w:val="28"/>
        </w:rPr>
      </w:pPr>
    </w:p>
    <w:p w14:paraId="25E96165">
      <w:pPr>
        <w:tabs>
          <w:tab w:val="left" w:pos="6300"/>
        </w:tabs>
        <w:snapToGrid w:val="0"/>
        <w:spacing w:line="500" w:lineRule="exact"/>
        <w:ind w:firstLine="570"/>
        <w:rPr>
          <w:rFonts w:hint="eastAsia" w:ascii="微软雅黑" w:hAnsi="微软雅黑" w:eastAsia="微软雅黑" w:cs="微软雅黑"/>
          <w:color w:val="auto"/>
          <w:sz w:val="24"/>
        </w:rPr>
      </w:pPr>
    </w:p>
    <w:p w14:paraId="71129F0C">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14:paraId="7FAB6E68">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14:paraId="274F4F0C">
      <w:pPr>
        <w:tabs>
          <w:tab w:val="left" w:pos="6300"/>
        </w:tabs>
        <w:snapToGrid w:val="0"/>
        <w:spacing w:line="500" w:lineRule="exact"/>
        <w:ind w:firstLine="570"/>
        <w:rPr>
          <w:rFonts w:hint="eastAsia" w:ascii="微软雅黑" w:hAnsi="微软雅黑" w:eastAsia="微软雅黑" w:cs="微软雅黑"/>
          <w:color w:val="auto"/>
          <w:sz w:val="24"/>
        </w:rPr>
      </w:pPr>
    </w:p>
    <w:p w14:paraId="6929CADC">
      <w:pPr>
        <w:tabs>
          <w:tab w:val="left" w:pos="6300"/>
        </w:tabs>
        <w:snapToGrid w:val="0"/>
        <w:spacing w:line="500" w:lineRule="exact"/>
        <w:ind w:firstLine="570"/>
        <w:rPr>
          <w:rFonts w:hint="eastAsia" w:ascii="微软雅黑" w:hAnsi="微软雅黑" w:eastAsia="微软雅黑" w:cs="微软雅黑"/>
          <w:color w:val="auto"/>
          <w:sz w:val="24"/>
        </w:rPr>
      </w:pPr>
    </w:p>
    <w:p w14:paraId="139B3DEE">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（供应商公章）</w:t>
      </w:r>
    </w:p>
    <w:p w14:paraId="1BD936A7">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14:paraId="1F0F0341">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14:paraId="670BD889">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14:paraId="3244FFD1">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14:paraId="49A00459">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14:paraId="42AA1744">
      <w:pPr>
        <w:tabs>
          <w:tab w:val="left" w:pos="6300"/>
        </w:tabs>
        <w:snapToGrid w:val="0"/>
        <w:spacing w:line="5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8"/>
        </w:rPr>
        <w:t>基本资格条件承诺函</w:t>
      </w:r>
    </w:p>
    <w:p w14:paraId="6BD5B6B4">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14:paraId="7132538D">
      <w:pPr>
        <w:tabs>
          <w:tab w:val="left" w:pos="6300"/>
        </w:tabs>
        <w:snapToGrid w:val="0"/>
        <w:spacing w:line="530" w:lineRule="exact"/>
        <w:rPr>
          <w:rFonts w:hint="eastAsia" w:ascii="微软雅黑" w:hAnsi="微软雅黑" w:eastAsia="微软雅黑" w:cs="微软雅黑"/>
          <w:color w:val="auto"/>
          <w:sz w:val="24"/>
        </w:rPr>
      </w:pPr>
    </w:p>
    <w:p w14:paraId="7ED2DECC">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（采购代理机构名称）：</w:t>
      </w:r>
    </w:p>
    <w:p w14:paraId="373BD2F2">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（供应商名称）郑重承诺：</w:t>
      </w:r>
    </w:p>
    <w:p w14:paraId="51BCFCAB">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14:paraId="061DD75A">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14:paraId="163E9D02">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3.我方在采购项目评审（评标）环节结束后，随时接受采购人、采购代理机构的检查验证，配合提供相关证明材料，证明符合《中华人民共和国政府采购法》规定的供应商基本资格条件。</w:t>
      </w:r>
    </w:p>
    <w:p w14:paraId="6579A5E5">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14:paraId="7F0A634C">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14:paraId="1356FC24">
      <w:pPr>
        <w:tabs>
          <w:tab w:val="left" w:pos="6300"/>
        </w:tabs>
        <w:snapToGrid w:val="0"/>
        <w:spacing w:line="500" w:lineRule="exact"/>
        <w:ind w:firstLine="480" w:firstLineChars="200"/>
        <w:rPr>
          <w:rFonts w:hint="eastAsia" w:ascii="微软雅黑" w:hAnsi="微软雅黑" w:eastAsia="微软雅黑" w:cs="微软雅黑"/>
          <w:color w:val="auto"/>
          <w:sz w:val="24"/>
        </w:rPr>
      </w:pPr>
    </w:p>
    <w:p w14:paraId="0AA2C3A2">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（供应商公章）</w:t>
      </w:r>
    </w:p>
    <w:p w14:paraId="05689B07">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14:paraId="51809AC0">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（五）特定资格条件证明文件</w:t>
      </w:r>
    </w:p>
    <w:p w14:paraId="7A23A7DE">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14:paraId="3E079854">
      <w:pPr>
        <w:pStyle w:val="3"/>
        <w:adjustRightInd w:val="0"/>
        <w:snapToGrid w:val="0"/>
        <w:spacing w:before="0" w:after="0" w:line="400" w:lineRule="exact"/>
        <w:ind w:firstLine="560" w:firstLineChars="200"/>
        <w:rPr>
          <w:rFonts w:hint="eastAsia" w:ascii="微软雅黑" w:hAnsi="微软雅黑" w:eastAsia="微软雅黑" w:cs="微软雅黑"/>
          <w:color w:val="auto"/>
          <w:sz w:val="24"/>
        </w:rPr>
      </w:pPr>
      <w:bookmarkStart w:id="234" w:name="_Toc14422"/>
      <w:r>
        <w:rPr>
          <w:rFonts w:hint="eastAsia" w:ascii="微软雅黑" w:hAnsi="微软雅黑" w:eastAsia="微软雅黑" w:cs="微软雅黑"/>
          <w:b w:val="0"/>
          <w:color w:val="auto"/>
          <w:sz w:val="28"/>
        </w:rPr>
        <w:br w:type="page"/>
      </w:r>
      <w:bookmarkStart w:id="235" w:name="_Toc76462354"/>
      <w:bookmarkStart w:id="236" w:name="_Toc25139"/>
      <w:bookmarkStart w:id="237" w:name="_Toc182845866"/>
      <w:r>
        <w:rPr>
          <w:rFonts w:hint="eastAsia" w:ascii="微软雅黑" w:hAnsi="微软雅黑" w:eastAsia="微软雅黑" w:cs="微软雅黑"/>
          <w:color w:val="auto"/>
          <w:sz w:val="24"/>
        </w:rPr>
        <w:t>五、其他资料</w:t>
      </w:r>
      <w:bookmarkEnd w:id="234"/>
      <w:bookmarkEnd w:id="235"/>
      <w:bookmarkEnd w:id="236"/>
      <w:bookmarkEnd w:id="237"/>
    </w:p>
    <w:p w14:paraId="5BE685B0">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（一）中小企业声明函、监狱企业证明文件、残疾人福利性单位声明函</w:t>
      </w:r>
    </w:p>
    <w:p w14:paraId="071944D8">
      <w:pPr>
        <w:tabs>
          <w:tab w:val="left" w:pos="6300"/>
        </w:tabs>
        <w:snapToGrid w:val="0"/>
        <w:spacing w:line="500" w:lineRule="exact"/>
        <w:ind w:firstLine="560" w:firstLineChars="200"/>
        <w:jc w:val="center"/>
        <w:rPr>
          <w:rFonts w:hint="eastAsia" w:ascii="微软雅黑" w:hAnsi="微软雅黑" w:eastAsia="微软雅黑" w:cs="微软雅黑"/>
          <w:color w:val="auto"/>
        </w:rPr>
      </w:pPr>
      <w:r>
        <w:rPr>
          <w:rFonts w:hint="eastAsia" w:ascii="微软雅黑" w:hAnsi="微软雅黑" w:eastAsia="微软雅黑" w:cs="微软雅黑"/>
          <w:color w:val="auto"/>
        </w:rPr>
        <w:t>中小企业声明函（服务类）</w:t>
      </w:r>
    </w:p>
    <w:p w14:paraId="2230D783">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本公司郑重声明，根据《政府采购促进中小企业发展管理办法》（</w:t>
      </w:r>
      <w:r>
        <w:rPr>
          <w:rFonts w:hint="eastAsia" w:ascii="微软雅黑" w:hAnsi="微软雅黑" w:eastAsia="微软雅黑" w:cs="微软雅黑"/>
          <w:color w:val="auto"/>
          <w:sz w:val="24"/>
          <w:szCs w:val="24"/>
        </w:rPr>
        <w:t>财库〔2020〕46号</w:t>
      </w:r>
      <w:r>
        <w:rPr>
          <w:rFonts w:hint="eastAsia" w:ascii="微软雅黑" w:hAnsi="微软雅黑" w:eastAsia="微软雅黑" w:cs="微软雅黑"/>
          <w:color w:val="auto"/>
          <w:sz w:val="24"/>
          <w:szCs w:val="28"/>
        </w:rPr>
        <w:t>）的规定，本公司参加</w:t>
      </w:r>
      <w:r>
        <w:rPr>
          <w:rFonts w:hint="eastAsia" w:ascii="微软雅黑" w:hAnsi="微软雅黑" w:eastAsia="微软雅黑" w:cs="微软雅黑"/>
          <w:i/>
          <w:color w:val="auto"/>
          <w:sz w:val="24"/>
          <w:szCs w:val="28"/>
          <w:u w:val="single"/>
        </w:rPr>
        <w:t>（单位名称）</w:t>
      </w:r>
      <w:r>
        <w:rPr>
          <w:rFonts w:hint="eastAsia" w:ascii="微软雅黑" w:hAnsi="微软雅黑" w:eastAsia="微软雅黑" w:cs="微软雅黑"/>
          <w:color w:val="auto"/>
          <w:sz w:val="24"/>
          <w:szCs w:val="28"/>
        </w:rPr>
        <w:t>的</w:t>
      </w:r>
      <w:r>
        <w:rPr>
          <w:rFonts w:hint="eastAsia" w:ascii="微软雅黑" w:hAnsi="微软雅黑" w:eastAsia="微软雅黑" w:cs="微软雅黑"/>
          <w:i/>
          <w:color w:val="auto"/>
          <w:sz w:val="24"/>
          <w:szCs w:val="28"/>
          <w:u w:val="single"/>
        </w:rPr>
        <w:t>（项目名称）</w:t>
      </w:r>
      <w:r>
        <w:rPr>
          <w:rFonts w:hint="eastAsia" w:ascii="微软雅黑" w:hAnsi="微软雅黑" w:eastAsia="微软雅黑" w:cs="微软雅黑"/>
          <w:color w:val="auto"/>
          <w:sz w:val="24"/>
          <w:szCs w:val="28"/>
        </w:rPr>
        <w:t>采购活动，服务全部由符合政策要求的中小企业承接。相关企业的具体情况如下：</w:t>
      </w:r>
    </w:p>
    <w:p w14:paraId="6062DEF3">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1.</w:t>
      </w:r>
      <w:r>
        <w:rPr>
          <w:rFonts w:hint="eastAsia" w:ascii="微软雅黑" w:hAnsi="微软雅黑" w:eastAsia="微软雅黑" w:cs="微软雅黑"/>
          <w:i/>
          <w:color w:val="auto"/>
          <w:sz w:val="24"/>
          <w:szCs w:val="28"/>
          <w:u w:val="single"/>
        </w:rPr>
        <w:t>（标的名称）</w:t>
      </w:r>
      <w:r>
        <w:rPr>
          <w:rFonts w:hint="eastAsia" w:ascii="微软雅黑" w:hAnsi="微软雅黑" w:eastAsia="微软雅黑" w:cs="微软雅黑"/>
          <w:color w:val="auto"/>
          <w:sz w:val="24"/>
          <w:szCs w:val="28"/>
        </w:rPr>
        <w:t>，属于</w:t>
      </w:r>
      <w:r>
        <w:rPr>
          <w:rFonts w:hint="eastAsia" w:ascii="微软雅黑" w:hAnsi="微软雅黑" w:eastAsia="微软雅黑" w:cs="微软雅黑"/>
          <w:i/>
          <w:color w:val="auto"/>
          <w:sz w:val="24"/>
          <w:szCs w:val="28"/>
          <w:u w:val="single"/>
        </w:rPr>
        <w:t>（采购文件中明确的所属行业）</w:t>
      </w:r>
      <w:r>
        <w:rPr>
          <w:rFonts w:hint="eastAsia" w:ascii="微软雅黑" w:hAnsi="微软雅黑" w:eastAsia="微软雅黑" w:cs="微软雅黑"/>
          <w:color w:val="auto"/>
          <w:sz w:val="24"/>
          <w:szCs w:val="28"/>
        </w:rPr>
        <w:t>；承接企业为</w:t>
      </w:r>
      <w:r>
        <w:rPr>
          <w:rFonts w:hint="eastAsia" w:ascii="微软雅黑" w:hAnsi="微软雅黑" w:eastAsia="微软雅黑" w:cs="微软雅黑"/>
          <w:i/>
          <w:color w:val="auto"/>
          <w:sz w:val="24"/>
          <w:szCs w:val="28"/>
          <w:u w:val="single"/>
        </w:rPr>
        <w:t>（企业名称）</w:t>
      </w:r>
      <w:r>
        <w:rPr>
          <w:rFonts w:hint="eastAsia" w:ascii="微软雅黑" w:hAnsi="微软雅黑" w:eastAsia="微软雅黑" w:cs="微软雅黑"/>
          <w:color w:val="auto"/>
          <w:sz w:val="24"/>
          <w:szCs w:val="28"/>
        </w:rPr>
        <w:t>，从业人员</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人，营业收入为</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万元，资产总额为</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万元，属于</w:t>
      </w:r>
      <w:r>
        <w:rPr>
          <w:rFonts w:hint="eastAsia" w:ascii="微软雅黑" w:hAnsi="微软雅黑" w:eastAsia="微软雅黑" w:cs="微软雅黑"/>
          <w:i/>
          <w:color w:val="auto"/>
          <w:sz w:val="24"/>
          <w:szCs w:val="28"/>
          <w:u w:val="single"/>
        </w:rPr>
        <w:t>（中型企业、小型企业、微型企业）</w:t>
      </w:r>
      <w:r>
        <w:rPr>
          <w:rFonts w:hint="eastAsia" w:ascii="微软雅黑" w:hAnsi="微软雅黑" w:eastAsia="微软雅黑" w:cs="微软雅黑"/>
          <w:color w:val="auto"/>
          <w:sz w:val="24"/>
          <w:szCs w:val="28"/>
        </w:rPr>
        <w:t>；</w:t>
      </w:r>
    </w:p>
    <w:p w14:paraId="42DB9E99">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为本标的提供的服务人员</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人，其中与本企业签订劳动合同</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人，其他人员</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w:t>
      </w:r>
      <w:r>
        <w:rPr>
          <w:rFonts w:hint="eastAsia" w:ascii="微软雅黑" w:hAnsi="微软雅黑" w:eastAsia="微软雅黑" w:cs="微软雅黑"/>
          <w:b/>
          <w:bCs/>
          <w:color w:val="auto"/>
          <w:sz w:val="24"/>
          <w:szCs w:val="28"/>
        </w:rPr>
        <w:t>有其他人员的不符合中小企业扶持政策;</w:t>
      </w:r>
    </w:p>
    <w:p w14:paraId="208237BC">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2.</w:t>
      </w:r>
      <w:r>
        <w:rPr>
          <w:rFonts w:hint="eastAsia" w:ascii="微软雅黑" w:hAnsi="微软雅黑" w:eastAsia="微软雅黑" w:cs="微软雅黑"/>
          <w:i/>
          <w:color w:val="auto"/>
          <w:sz w:val="24"/>
          <w:szCs w:val="28"/>
          <w:u w:val="single"/>
        </w:rPr>
        <w:t xml:space="preserve"> （标的名称）</w:t>
      </w:r>
      <w:r>
        <w:rPr>
          <w:rFonts w:hint="eastAsia" w:ascii="微软雅黑" w:hAnsi="微软雅黑" w:eastAsia="微软雅黑" w:cs="微软雅黑"/>
          <w:color w:val="auto"/>
          <w:sz w:val="24"/>
          <w:szCs w:val="28"/>
        </w:rPr>
        <w:t>，属于</w:t>
      </w:r>
      <w:r>
        <w:rPr>
          <w:rFonts w:hint="eastAsia" w:ascii="微软雅黑" w:hAnsi="微软雅黑" w:eastAsia="微软雅黑" w:cs="微软雅黑"/>
          <w:i/>
          <w:color w:val="auto"/>
          <w:sz w:val="24"/>
          <w:szCs w:val="28"/>
          <w:u w:val="single"/>
        </w:rPr>
        <w:t>（采购文件中明确的所属行业）</w:t>
      </w:r>
      <w:r>
        <w:rPr>
          <w:rFonts w:hint="eastAsia" w:ascii="微软雅黑" w:hAnsi="微软雅黑" w:eastAsia="微软雅黑" w:cs="微软雅黑"/>
          <w:color w:val="auto"/>
          <w:sz w:val="24"/>
          <w:szCs w:val="28"/>
        </w:rPr>
        <w:t>；承接企业为</w:t>
      </w:r>
      <w:r>
        <w:rPr>
          <w:rFonts w:hint="eastAsia" w:ascii="微软雅黑" w:hAnsi="微软雅黑" w:eastAsia="微软雅黑" w:cs="微软雅黑"/>
          <w:i/>
          <w:color w:val="auto"/>
          <w:sz w:val="24"/>
          <w:szCs w:val="28"/>
          <w:u w:val="single"/>
        </w:rPr>
        <w:t>（企业名称）</w:t>
      </w:r>
      <w:r>
        <w:rPr>
          <w:rFonts w:hint="eastAsia" w:ascii="微软雅黑" w:hAnsi="微软雅黑" w:eastAsia="微软雅黑" w:cs="微软雅黑"/>
          <w:color w:val="auto"/>
          <w:sz w:val="24"/>
          <w:szCs w:val="28"/>
        </w:rPr>
        <w:t>，从业人员</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人，营业收入为</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万元，资产总额为</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万元，属于</w:t>
      </w:r>
      <w:r>
        <w:rPr>
          <w:rFonts w:hint="eastAsia" w:ascii="微软雅黑" w:hAnsi="微软雅黑" w:eastAsia="微软雅黑" w:cs="微软雅黑"/>
          <w:i/>
          <w:color w:val="auto"/>
          <w:sz w:val="24"/>
          <w:szCs w:val="28"/>
          <w:u w:val="single"/>
        </w:rPr>
        <w:t>（中型企业、小型企业、微型企业）</w:t>
      </w:r>
      <w:r>
        <w:rPr>
          <w:rFonts w:hint="eastAsia" w:ascii="微软雅黑" w:hAnsi="微软雅黑" w:eastAsia="微软雅黑" w:cs="微软雅黑"/>
          <w:color w:val="auto"/>
          <w:sz w:val="24"/>
          <w:szCs w:val="28"/>
        </w:rPr>
        <w:t>；</w:t>
      </w:r>
    </w:p>
    <w:p w14:paraId="1FA82B21">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为本标的提供的服务人员</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人，其中与本企业签订劳动合同</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人，其他人员</w:t>
      </w:r>
      <w:r>
        <w:rPr>
          <w:rFonts w:hint="eastAsia" w:ascii="微软雅黑" w:hAnsi="微软雅黑" w:eastAsia="微软雅黑" w:cs="微软雅黑"/>
          <w:color w:val="auto"/>
          <w:sz w:val="24"/>
          <w:szCs w:val="28"/>
          <w:u w:val="single"/>
        </w:rPr>
        <w:t xml:space="preserve">   </w:t>
      </w:r>
      <w:r>
        <w:rPr>
          <w:rFonts w:hint="eastAsia" w:ascii="微软雅黑" w:hAnsi="微软雅黑" w:eastAsia="微软雅黑" w:cs="微软雅黑"/>
          <w:color w:val="auto"/>
          <w:sz w:val="24"/>
          <w:szCs w:val="28"/>
        </w:rPr>
        <w:t>人。</w:t>
      </w:r>
      <w:r>
        <w:rPr>
          <w:rFonts w:hint="eastAsia" w:ascii="微软雅黑" w:hAnsi="微软雅黑" w:eastAsia="微软雅黑" w:cs="微软雅黑"/>
          <w:b/>
          <w:bCs/>
          <w:color w:val="auto"/>
          <w:sz w:val="24"/>
          <w:szCs w:val="28"/>
        </w:rPr>
        <w:t>有其他人员的不符合中小企业扶持政策;</w:t>
      </w:r>
    </w:p>
    <w:p w14:paraId="38028854">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w:t>
      </w:r>
    </w:p>
    <w:p w14:paraId="1D04BF82">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以上企业，不属于大企业的分支机构，不存在控股股东为大企业的情形，也不存在与大企业的负责人为同一人的情形。</w:t>
      </w:r>
    </w:p>
    <w:p w14:paraId="102D3815">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本企业对上述声明内容的真实性负责。如有虚假，将依法承担相应责任。</w:t>
      </w:r>
    </w:p>
    <w:p w14:paraId="5994A156">
      <w:pPr>
        <w:tabs>
          <w:tab w:val="left" w:pos="6300"/>
        </w:tabs>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14:paraId="40D817A2">
      <w:pPr>
        <w:tabs>
          <w:tab w:val="left" w:pos="6300"/>
        </w:tabs>
        <w:snapToGrid w:val="0"/>
        <w:spacing w:line="500" w:lineRule="exact"/>
        <w:ind w:firstLine="6120" w:firstLineChars="25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企业名称（盖章）： </w:t>
      </w:r>
    </w:p>
    <w:p w14:paraId="6D2B9995">
      <w:pPr>
        <w:tabs>
          <w:tab w:val="left" w:pos="6300"/>
        </w:tabs>
        <w:snapToGrid w:val="0"/>
        <w:spacing w:line="500" w:lineRule="exact"/>
        <w:ind w:right="784" w:firstLine="6120" w:firstLineChars="255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日期：</w:t>
      </w:r>
    </w:p>
    <w:p w14:paraId="4C5C1260">
      <w:pPr>
        <w:tabs>
          <w:tab w:val="left" w:pos="6300"/>
        </w:tabs>
        <w:snapToGrid w:val="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填写时应注意以下事项：</w:t>
      </w:r>
    </w:p>
    <w:p w14:paraId="1D215328">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1.从业人员、营业收入、资产总额填报上一年度数据，无上一年度数据的新成立企业可不填报。</w:t>
      </w:r>
    </w:p>
    <w:p w14:paraId="4526E2C1">
      <w:pPr>
        <w:tabs>
          <w:tab w:val="left" w:pos="6300"/>
        </w:tabs>
        <w:snapToGrid w:val="0"/>
        <w:ind w:firstLine="420" w:firstLineChars="200"/>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2.中小企业应当按照《中小企业划型标准规定》（工信部联企业〔2011〕300号），如实填写并提交《中小企业声明函》。</w:t>
      </w:r>
    </w:p>
    <w:p w14:paraId="2A1F2ACE">
      <w:pPr>
        <w:tabs>
          <w:tab w:val="left" w:pos="6300"/>
        </w:tabs>
        <w:snapToGrid w:val="0"/>
        <w:ind w:firstLine="420" w:firstLineChars="200"/>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3.供应商填写《中小企业声明函》中所属行业时，应与采购文件第一篇“采购标的对应的中小企业划分标准所属行业”中填写的所属行业一致。</w:t>
      </w:r>
    </w:p>
    <w:p w14:paraId="0D885835">
      <w:pPr>
        <w:tabs>
          <w:tab w:val="left" w:pos="6300"/>
        </w:tabs>
        <w:snapToGrid w:val="0"/>
        <w:ind w:firstLine="420" w:firstLineChars="200"/>
        <w:rPr>
          <w:rFonts w:hint="eastAsia" w:ascii="微软雅黑" w:hAnsi="微软雅黑" w:eastAsia="微软雅黑" w:cs="微软雅黑"/>
          <w:b/>
          <w:color w:val="auto"/>
          <w:kern w:val="0"/>
          <w:sz w:val="21"/>
          <w:szCs w:val="21"/>
        </w:rPr>
      </w:pPr>
      <w:r>
        <w:rPr>
          <w:rFonts w:hint="eastAsia" w:ascii="微软雅黑" w:hAnsi="微软雅黑" w:eastAsia="微软雅黑" w:cs="微软雅黑"/>
          <w:b/>
          <w:color w:val="auto"/>
          <w:kern w:val="0"/>
          <w:sz w:val="21"/>
          <w:szCs w:val="21"/>
        </w:rPr>
        <w:t>4.本声明函“企业名称（盖章）”处为供应商盖章。</w:t>
      </w:r>
    </w:p>
    <w:p w14:paraId="7D6E40A7">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注：各行业划型标准：</w:t>
      </w:r>
    </w:p>
    <w:p w14:paraId="39031E91">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2EF2DB1B">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806930">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4E9FEE">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CEAD336">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B8B2CA8">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B7432F7">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8CC7FAB">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46D3ACF">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578BC0">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EDFD54">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271BE6D">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2B8A43D">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FD5F226">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CA11A23">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6AA14B">
      <w:pPr>
        <w:tabs>
          <w:tab w:val="left" w:pos="6300"/>
        </w:tabs>
        <w:snapToGrid w:val="0"/>
        <w:ind w:firstLine="420" w:firstLineChars="20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（十六）其他未列明行业。从业人员300人以下的为中小微型企业。其中，从业人员100人及以上的为中型企业；从业人员10人及以上的为小型企业；从业人员10人以下的为微型企业。</w:t>
      </w:r>
    </w:p>
    <w:p w14:paraId="62354CD1">
      <w:pPr>
        <w:tabs>
          <w:tab w:val="left" w:pos="6300"/>
        </w:tabs>
        <w:snapToGrid w:val="0"/>
        <w:spacing w:line="500" w:lineRule="exact"/>
        <w:ind w:firstLine="480" w:firstLineChars="200"/>
        <w:jc w:val="cente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br w:type="page"/>
      </w:r>
      <w:r>
        <w:rPr>
          <w:rFonts w:hint="eastAsia" w:ascii="微软雅黑" w:hAnsi="微软雅黑" w:eastAsia="微软雅黑" w:cs="微软雅黑"/>
          <w:color w:val="auto"/>
        </w:rPr>
        <w:t>监狱企业证明文件</w:t>
      </w:r>
    </w:p>
    <w:p w14:paraId="04145B92">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以省级以上监狱管理局、戒毒管理局（含新疆生产建设兵团）出具的属于监狱企业的证明文件为准。</w:t>
      </w:r>
    </w:p>
    <w:p w14:paraId="636C88CC">
      <w:pPr>
        <w:tabs>
          <w:tab w:val="left" w:pos="6300"/>
        </w:tabs>
        <w:snapToGrid w:val="0"/>
        <w:spacing w:line="500" w:lineRule="exact"/>
        <w:ind w:firstLine="480" w:firstLineChars="200"/>
        <w:jc w:val="center"/>
        <w:rPr>
          <w:rFonts w:hint="eastAsia" w:ascii="微软雅黑" w:hAnsi="微软雅黑" w:eastAsia="微软雅黑" w:cs="微软雅黑"/>
          <w:color w:val="auto"/>
        </w:rPr>
      </w:pPr>
      <w:r>
        <w:rPr>
          <w:rFonts w:hint="eastAsia" w:ascii="微软雅黑" w:hAnsi="微软雅黑" w:eastAsia="微软雅黑" w:cs="微软雅黑"/>
          <w:color w:val="auto"/>
          <w:sz w:val="24"/>
        </w:rPr>
        <w:br w:type="page"/>
      </w:r>
      <w:r>
        <w:rPr>
          <w:rFonts w:hint="eastAsia" w:ascii="微软雅黑" w:hAnsi="微软雅黑" w:eastAsia="微软雅黑" w:cs="微软雅黑"/>
          <w:color w:val="auto"/>
        </w:rPr>
        <w:t>残疾人福利性单位声明函</w:t>
      </w:r>
    </w:p>
    <w:p w14:paraId="7786D9AC">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F1D65EE">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本单位对上述声明的真实性负责。如有虚假，将依法承担相应责任。</w:t>
      </w:r>
    </w:p>
    <w:p w14:paraId="3440C612">
      <w:pPr>
        <w:tabs>
          <w:tab w:val="left" w:pos="6300"/>
        </w:tabs>
        <w:snapToGrid w:val="0"/>
        <w:spacing w:line="500" w:lineRule="exact"/>
        <w:ind w:firstLine="480" w:firstLineChars="200"/>
        <w:rPr>
          <w:rFonts w:hint="eastAsia" w:ascii="微软雅黑" w:hAnsi="微软雅黑" w:eastAsia="微软雅黑" w:cs="微软雅黑"/>
          <w:color w:val="auto"/>
          <w:sz w:val="24"/>
        </w:rPr>
      </w:pPr>
    </w:p>
    <w:p w14:paraId="15E37D61">
      <w:pPr>
        <w:tabs>
          <w:tab w:val="left" w:pos="6300"/>
        </w:tabs>
        <w:snapToGrid w:val="0"/>
        <w:spacing w:line="500" w:lineRule="exact"/>
        <w:ind w:firstLine="480" w:firstLineChars="200"/>
        <w:rPr>
          <w:rFonts w:hint="eastAsia" w:ascii="微软雅黑" w:hAnsi="微软雅黑" w:eastAsia="微软雅黑" w:cs="微软雅黑"/>
          <w:color w:val="auto"/>
          <w:sz w:val="24"/>
        </w:rPr>
      </w:pPr>
    </w:p>
    <w:p w14:paraId="7B1814C9">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供应商名称（盖章）：</w:t>
      </w:r>
    </w:p>
    <w:p w14:paraId="67665865">
      <w:pPr>
        <w:snapToGrid w:val="0"/>
        <w:spacing w:line="44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日  期：</w:t>
      </w:r>
    </w:p>
    <w:p w14:paraId="174CD8FB">
      <w:pPr>
        <w:snapToGrid w:val="0"/>
        <w:spacing w:line="440" w:lineRule="exact"/>
        <w:ind w:firstLine="480" w:firstLineChars="200"/>
        <w:rPr>
          <w:rFonts w:hint="eastAsia" w:ascii="微软雅黑" w:hAnsi="微软雅黑" w:eastAsia="微软雅黑" w:cs="微软雅黑"/>
          <w:color w:val="auto"/>
          <w:sz w:val="24"/>
        </w:rPr>
      </w:pPr>
    </w:p>
    <w:p w14:paraId="0F7A0BB1">
      <w:pPr>
        <w:snapToGrid w:val="0"/>
        <w:spacing w:line="440" w:lineRule="exact"/>
        <w:ind w:firstLine="480" w:firstLineChars="200"/>
        <w:rPr>
          <w:rFonts w:hint="eastAsia" w:ascii="微软雅黑" w:hAnsi="微软雅黑" w:eastAsia="微软雅黑" w:cs="微软雅黑"/>
          <w:color w:val="auto"/>
          <w:sz w:val="24"/>
        </w:rPr>
      </w:pPr>
    </w:p>
    <w:p w14:paraId="6CC00C7F">
      <w:pPr>
        <w:snapToGrid w:val="0"/>
        <w:spacing w:line="440" w:lineRule="exact"/>
        <w:ind w:firstLine="480" w:firstLineChars="200"/>
        <w:rPr>
          <w:rFonts w:hint="eastAsia" w:ascii="微软雅黑" w:hAnsi="微软雅黑" w:eastAsia="微软雅黑" w:cs="微软雅黑"/>
          <w:color w:val="auto"/>
          <w:sz w:val="24"/>
        </w:rPr>
      </w:pPr>
    </w:p>
    <w:p w14:paraId="26BA7A67">
      <w:pPr>
        <w:snapToGrid w:val="0"/>
        <w:spacing w:line="440" w:lineRule="exact"/>
        <w:ind w:firstLine="480" w:firstLineChars="200"/>
        <w:rPr>
          <w:rFonts w:hint="eastAsia" w:ascii="微软雅黑" w:hAnsi="微软雅黑" w:eastAsia="微软雅黑" w:cs="微软雅黑"/>
          <w:color w:val="auto"/>
          <w:sz w:val="24"/>
        </w:rPr>
      </w:pPr>
    </w:p>
    <w:p w14:paraId="191C8DB5">
      <w:pPr>
        <w:snapToGrid w:val="0"/>
        <w:spacing w:line="440" w:lineRule="exact"/>
        <w:ind w:firstLine="480" w:firstLineChars="200"/>
        <w:rPr>
          <w:rFonts w:hint="eastAsia" w:ascii="微软雅黑" w:hAnsi="微软雅黑" w:eastAsia="微软雅黑" w:cs="微软雅黑"/>
          <w:color w:val="auto"/>
          <w:sz w:val="24"/>
        </w:rPr>
      </w:pPr>
    </w:p>
    <w:p w14:paraId="3FB3430B">
      <w:pPr>
        <w:snapToGrid w:val="0"/>
        <w:spacing w:line="440" w:lineRule="exact"/>
        <w:ind w:firstLine="480" w:firstLineChars="200"/>
        <w:rPr>
          <w:rFonts w:hint="eastAsia" w:ascii="微软雅黑" w:hAnsi="微软雅黑" w:eastAsia="微软雅黑" w:cs="微软雅黑"/>
          <w:color w:val="auto"/>
          <w:sz w:val="24"/>
        </w:rPr>
      </w:pPr>
    </w:p>
    <w:p w14:paraId="5A4A0CF7">
      <w:pPr>
        <w:snapToGrid w:val="0"/>
        <w:spacing w:line="440" w:lineRule="exact"/>
        <w:ind w:firstLine="480" w:firstLineChars="200"/>
        <w:rPr>
          <w:rFonts w:hint="eastAsia" w:ascii="微软雅黑" w:hAnsi="微软雅黑" w:eastAsia="微软雅黑" w:cs="微软雅黑"/>
          <w:color w:val="auto"/>
          <w:sz w:val="24"/>
        </w:rPr>
      </w:pPr>
    </w:p>
    <w:p w14:paraId="7EF82A68">
      <w:pPr>
        <w:snapToGrid w:val="0"/>
        <w:spacing w:line="440" w:lineRule="exact"/>
        <w:ind w:firstLine="480" w:firstLineChars="200"/>
        <w:rPr>
          <w:rFonts w:hint="eastAsia" w:ascii="微软雅黑" w:hAnsi="微软雅黑" w:eastAsia="微软雅黑" w:cs="微软雅黑"/>
          <w:color w:val="auto"/>
          <w:sz w:val="24"/>
        </w:rPr>
      </w:pPr>
    </w:p>
    <w:p w14:paraId="0C11F716">
      <w:pPr>
        <w:snapToGrid w:val="0"/>
        <w:spacing w:line="440" w:lineRule="exact"/>
        <w:ind w:firstLine="480" w:firstLineChars="200"/>
        <w:rPr>
          <w:rFonts w:hint="eastAsia" w:ascii="微软雅黑" w:hAnsi="微软雅黑" w:eastAsia="微软雅黑" w:cs="微软雅黑"/>
          <w:color w:val="auto"/>
          <w:sz w:val="24"/>
        </w:rPr>
      </w:pPr>
    </w:p>
    <w:p w14:paraId="539DB188">
      <w:pPr>
        <w:snapToGrid w:val="0"/>
        <w:spacing w:line="440" w:lineRule="exact"/>
        <w:ind w:firstLine="480" w:firstLineChars="200"/>
        <w:rPr>
          <w:rFonts w:hint="eastAsia" w:ascii="微软雅黑" w:hAnsi="微软雅黑" w:eastAsia="微软雅黑" w:cs="微软雅黑"/>
          <w:color w:val="auto"/>
          <w:sz w:val="24"/>
        </w:rPr>
      </w:pPr>
    </w:p>
    <w:p w14:paraId="3BAF9368">
      <w:pPr>
        <w:snapToGrid w:val="0"/>
        <w:spacing w:line="440" w:lineRule="exact"/>
        <w:ind w:firstLine="480" w:firstLineChars="200"/>
        <w:rPr>
          <w:rFonts w:hint="eastAsia" w:ascii="微软雅黑" w:hAnsi="微软雅黑" w:eastAsia="微软雅黑" w:cs="微软雅黑"/>
          <w:color w:val="auto"/>
          <w:sz w:val="24"/>
        </w:rPr>
      </w:pPr>
    </w:p>
    <w:p w14:paraId="1C052F2C">
      <w:pPr>
        <w:snapToGrid w:val="0"/>
        <w:spacing w:line="440" w:lineRule="exact"/>
        <w:ind w:firstLine="480" w:firstLineChars="200"/>
        <w:rPr>
          <w:rFonts w:hint="eastAsia" w:ascii="微软雅黑" w:hAnsi="微软雅黑" w:eastAsia="微软雅黑" w:cs="微软雅黑"/>
          <w:color w:val="auto"/>
          <w:sz w:val="24"/>
        </w:rPr>
      </w:pPr>
    </w:p>
    <w:p w14:paraId="2B6826A6">
      <w:pPr>
        <w:snapToGrid w:val="0"/>
        <w:spacing w:line="44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kern w:val="0"/>
          <w:sz w:val="24"/>
        </w:rPr>
        <w:t>若成交供应商为残疾人福利性单位的，将在结果公告时公告其《残疾人福利性单位声明函》。</w:t>
      </w:r>
    </w:p>
    <w:p w14:paraId="39444830">
      <w:pPr>
        <w:snapToGrid w:val="0"/>
        <w:spacing w:line="440" w:lineRule="exact"/>
        <w:ind w:firstLine="480" w:firstLineChars="200"/>
        <w:rPr>
          <w:rFonts w:hint="eastAsia" w:ascii="微软雅黑" w:hAnsi="微软雅黑" w:eastAsia="微软雅黑" w:cs="微软雅黑"/>
          <w:color w:val="auto"/>
          <w:sz w:val="24"/>
        </w:rPr>
      </w:pPr>
    </w:p>
    <w:p w14:paraId="446B6808">
      <w:pPr>
        <w:snapToGrid w:val="0"/>
        <w:spacing w:line="400" w:lineRule="exact"/>
        <w:rPr>
          <w:rFonts w:hint="eastAsia" w:ascii="微软雅黑" w:hAnsi="微软雅黑" w:eastAsia="微软雅黑" w:cs="微软雅黑"/>
          <w:color w:val="auto"/>
          <w:sz w:val="24"/>
          <w:szCs w:val="24"/>
        </w:rPr>
      </w:pPr>
    </w:p>
    <w:p w14:paraId="6F2BDED9">
      <w:pPr>
        <w:pStyle w:val="60"/>
        <w:rPr>
          <w:rFonts w:hint="eastAsia" w:ascii="微软雅黑" w:hAnsi="微软雅黑" w:eastAsia="微软雅黑" w:cs="微软雅黑"/>
          <w:color w:val="auto"/>
        </w:rPr>
      </w:pPr>
    </w:p>
    <w:p w14:paraId="5EFD22F0">
      <w:pPr>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r>
        <w:rPr>
          <w:rFonts w:hint="eastAsia" w:ascii="微软雅黑" w:hAnsi="微软雅黑" w:eastAsia="微软雅黑" w:cs="微软雅黑"/>
          <w:color w:val="auto"/>
          <w:sz w:val="24"/>
          <w:szCs w:val="24"/>
        </w:rPr>
        <w:t>（二）其他与项目有关的资料</w:t>
      </w:r>
    </w:p>
    <w:p w14:paraId="14D550A8">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其他与项目有关的资料（自附）：供应商总体情况介绍、其他与本项目有关的资料等。</w:t>
      </w:r>
    </w:p>
    <w:p w14:paraId="40631C69">
      <w:pPr>
        <w:spacing w:line="360" w:lineRule="auto"/>
        <w:ind w:firstLine="480" w:firstLineChars="200"/>
        <w:rPr>
          <w:rFonts w:hint="eastAsia" w:ascii="微软雅黑" w:hAnsi="微软雅黑" w:eastAsia="微软雅黑" w:cs="微软雅黑"/>
          <w:color w:val="auto"/>
          <w:sz w:val="24"/>
          <w:szCs w:val="24"/>
        </w:rPr>
      </w:pPr>
    </w:p>
    <w:p w14:paraId="01429716">
      <w:pPr>
        <w:spacing w:line="360" w:lineRule="auto"/>
        <w:ind w:firstLine="480" w:firstLineChars="200"/>
        <w:jc w:val="center"/>
        <w:rPr>
          <w:rFonts w:hint="eastAsia" w:ascii="微软雅黑" w:hAnsi="微软雅黑" w:eastAsia="微软雅黑" w:cs="微软雅黑"/>
          <w:color w:val="auto"/>
          <w:sz w:val="24"/>
          <w:szCs w:val="24"/>
        </w:rPr>
      </w:pPr>
    </w:p>
    <w:p w14:paraId="36AF2FEF">
      <w:pPr>
        <w:spacing w:line="360" w:lineRule="auto"/>
        <w:ind w:firstLine="480" w:firstLineChars="200"/>
        <w:jc w:val="center"/>
        <w:rPr>
          <w:rFonts w:hint="eastAsia" w:ascii="微软雅黑" w:hAnsi="微软雅黑" w:eastAsia="微软雅黑" w:cs="微软雅黑"/>
          <w:color w:val="auto"/>
          <w:sz w:val="24"/>
          <w:szCs w:val="24"/>
        </w:rPr>
      </w:pPr>
    </w:p>
    <w:p w14:paraId="31E10ED3">
      <w:pPr>
        <w:spacing w:line="360" w:lineRule="auto"/>
        <w:ind w:firstLine="480" w:firstLineChars="200"/>
        <w:jc w:val="center"/>
        <w:rPr>
          <w:rFonts w:hint="eastAsia" w:ascii="微软雅黑" w:hAnsi="微软雅黑" w:eastAsia="微软雅黑" w:cs="微软雅黑"/>
          <w:color w:val="auto"/>
          <w:sz w:val="24"/>
          <w:szCs w:val="24"/>
        </w:rPr>
      </w:pPr>
    </w:p>
    <w:p w14:paraId="4688C055">
      <w:pPr>
        <w:spacing w:line="360" w:lineRule="auto"/>
        <w:ind w:firstLine="480" w:firstLineChars="200"/>
        <w:jc w:val="center"/>
        <w:rPr>
          <w:rFonts w:hint="eastAsia" w:ascii="微软雅黑" w:hAnsi="微软雅黑" w:eastAsia="微软雅黑" w:cs="微软雅黑"/>
          <w:color w:val="auto"/>
          <w:sz w:val="24"/>
          <w:szCs w:val="24"/>
        </w:rPr>
      </w:pPr>
    </w:p>
    <w:p w14:paraId="51274FC1">
      <w:pPr>
        <w:spacing w:line="360" w:lineRule="auto"/>
        <w:ind w:firstLine="480" w:firstLineChars="200"/>
        <w:jc w:val="center"/>
        <w:rPr>
          <w:rFonts w:hint="eastAsia" w:ascii="微软雅黑" w:hAnsi="微软雅黑" w:eastAsia="微软雅黑" w:cs="微软雅黑"/>
          <w:color w:val="auto"/>
          <w:sz w:val="24"/>
          <w:szCs w:val="24"/>
        </w:rPr>
      </w:pPr>
    </w:p>
    <w:p w14:paraId="141C8874">
      <w:pPr>
        <w:spacing w:line="360" w:lineRule="auto"/>
        <w:ind w:firstLine="480" w:firstLineChars="200"/>
        <w:jc w:val="center"/>
        <w:rPr>
          <w:rFonts w:hint="eastAsia" w:ascii="微软雅黑" w:hAnsi="微软雅黑" w:eastAsia="微软雅黑" w:cs="微软雅黑"/>
          <w:color w:val="auto"/>
          <w:sz w:val="24"/>
          <w:szCs w:val="24"/>
        </w:rPr>
      </w:pPr>
    </w:p>
    <w:p w14:paraId="21E6A51E">
      <w:pPr>
        <w:spacing w:line="360" w:lineRule="auto"/>
        <w:ind w:firstLine="480" w:firstLineChars="200"/>
        <w:jc w:val="center"/>
        <w:rPr>
          <w:rFonts w:hint="eastAsia" w:ascii="微软雅黑" w:hAnsi="微软雅黑" w:eastAsia="微软雅黑" w:cs="微软雅黑"/>
          <w:color w:val="auto"/>
          <w:sz w:val="24"/>
          <w:szCs w:val="24"/>
        </w:rPr>
      </w:pPr>
    </w:p>
    <w:p w14:paraId="0E7CB003">
      <w:pPr>
        <w:spacing w:line="360" w:lineRule="auto"/>
        <w:ind w:firstLine="480" w:firstLineChars="200"/>
        <w:jc w:val="center"/>
        <w:rPr>
          <w:rFonts w:hint="eastAsia" w:ascii="微软雅黑" w:hAnsi="微软雅黑" w:eastAsia="微软雅黑" w:cs="微软雅黑"/>
          <w:color w:val="auto"/>
          <w:sz w:val="24"/>
          <w:szCs w:val="24"/>
        </w:rPr>
      </w:pPr>
    </w:p>
    <w:p w14:paraId="5752D370">
      <w:pPr>
        <w:spacing w:line="360" w:lineRule="auto"/>
        <w:ind w:firstLine="480" w:firstLineChars="200"/>
        <w:jc w:val="center"/>
        <w:rPr>
          <w:rFonts w:hint="eastAsia" w:ascii="微软雅黑" w:hAnsi="微软雅黑" w:eastAsia="微软雅黑" w:cs="微软雅黑"/>
          <w:color w:val="auto"/>
          <w:sz w:val="24"/>
          <w:szCs w:val="24"/>
        </w:rPr>
      </w:pPr>
    </w:p>
    <w:p w14:paraId="7FAB1237">
      <w:pPr>
        <w:spacing w:line="360" w:lineRule="auto"/>
        <w:ind w:firstLine="480" w:firstLineChars="200"/>
        <w:jc w:val="center"/>
        <w:rPr>
          <w:rFonts w:hint="eastAsia" w:ascii="微软雅黑" w:hAnsi="微软雅黑" w:eastAsia="微软雅黑" w:cs="微软雅黑"/>
          <w:color w:val="auto"/>
          <w:sz w:val="24"/>
          <w:szCs w:val="24"/>
        </w:rPr>
      </w:pPr>
    </w:p>
    <w:p w14:paraId="639F3C39">
      <w:pPr>
        <w:spacing w:line="360" w:lineRule="auto"/>
        <w:ind w:firstLine="480" w:firstLineChars="200"/>
        <w:jc w:val="center"/>
        <w:rPr>
          <w:rFonts w:hint="eastAsia" w:ascii="微软雅黑" w:hAnsi="微软雅黑" w:eastAsia="微软雅黑" w:cs="微软雅黑"/>
          <w:color w:val="auto"/>
          <w:sz w:val="24"/>
          <w:szCs w:val="24"/>
        </w:rPr>
      </w:pPr>
    </w:p>
    <w:p w14:paraId="07355825">
      <w:pPr>
        <w:spacing w:line="360" w:lineRule="auto"/>
        <w:ind w:firstLine="480" w:firstLineChars="200"/>
        <w:jc w:val="center"/>
        <w:rPr>
          <w:rFonts w:hint="eastAsia" w:ascii="微软雅黑" w:hAnsi="微软雅黑" w:eastAsia="微软雅黑" w:cs="微软雅黑"/>
          <w:color w:val="auto"/>
          <w:sz w:val="24"/>
          <w:szCs w:val="24"/>
        </w:rPr>
      </w:pPr>
    </w:p>
    <w:p w14:paraId="07183BEB">
      <w:pPr>
        <w:spacing w:line="360" w:lineRule="auto"/>
        <w:ind w:firstLine="480" w:firstLineChars="200"/>
        <w:jc w:val="center"/>
        <w:rPr>
          <w:rFonts w:hint="eastAsia" w:ascii="微软雅黑" w:hAnsi="微软雅黑" w:eastAsia="微软雅黑" w:cs="微软雅黑"/>
          <w:color w:val="auto"/>
          <w:sz w:val="24"/>
          <w:szCs w:val="24"/>
        </w:rPr>
      </w:pPr>
    </w:p>
    <w:p w14:paraId="4BBE4A19">
      <w:pPr>
        <w:spacing w:line="360" w:lineRule="auto"/>
        <w:ind w:firstLine="480" w:firstLineChars="200"/>
        <w:jc w:val="center"/>
        <w:rPr>
          <w:rFonts w:hint="eastAsia" w:ascii="微软雅黑" w:hAnsi="微软雅黑" w:eastAsia="微软雅黑" w:cs="微软雅黑"/>
          <w:color w:val="auto"/>
          <w:sz w:val="24"/>
          <w:szCs w:val="24"/>
        </w:rPr>
      </w:pPr>
    </w:p>
    <w:p w14:paraId="7C8DD7E1">
      <w:pPr>
        <w:spacing w:line="360" w:lineRule="auto"/>
        <w:ind w:firstLine="480" w:firstLineChars="200"/>
        <w:jc w:val="center"/>
        <w:rPr>
          <w:rFonts w:hint="eastAsia" w:ascii="微软雅黑" w:hAnsi="微软雅黑" w:eastAsia="微软雅黑" w:cs="微软雅黑"/>
          <w:color w:val="auto"/>
          <w:sz w:val="24"/>
          <w:szCs w:val="24"/>
        </w:rPr>
      </w:pPr>
    </w:p>
    <w:p w14:paraId="3880E01C">
      <w:pPr>
        <w:spacing w:line="360" w:lineRule="auto"/>
        <w:ind w:firstLine="480" w:firstLineChars="200"/>
        <w:jc w:val="center"/>
        <w:outlineLvl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（结束）</w:t>
      </w:r>
    </w:p>
    <w:p w14:paraId="62962881">
      <w:pPr>
        <w:spacing w:line="360" w:lineRule="auto"/>
        <w:jc w:val="both"/>
        <w:outlineLvl w:val="0"/>
        <w:rPr>
          <w:rFonts w:hint="eastAsia" w:ascii="微软雅黑" w:hAnsi="微软雅黑" w:eastAsia="微软雅黑" w:cs="微软雅黑"/>
          <w:color w:val="auto"/>
        </w:rPr>
      </w:pPr>
    </w:p>
    <w:sectPr>
      <w:pgSz w:w="11907" w:h="16840"/>
      <w:pgMar w:top="1417" w:right="1417" w:bottom="1417" w:left="1417"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Cambria">
    <w:panose1 w:val="02040503050406030204"/>
    <w:charset w:val="00"/>
    <w:family w:val="roman"/>
    <w:pitch w:val="default"/>
    <w:sig w:usb0="E00006FF" w:usb1="420024FF" w:usb2="02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方正黑体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F3B17">
    <w:pPr>
      <w:pStyle w:val="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EEFF52">
                          <w:pPr>
                            <w:pStyle w:val="39"/>
                            <w:jc w:val="center"/>
                            <w:rPr>
                              <w:rStyle w:val="66"/>
                              <w:rFonts w:hint="eastAsia" w:ascii="宋体"/>
                              <w:sz w:val="21"/>
                              <w:szCs w:val="21"/>
                            </w:rPr>
                          </w:pPr>
                          <w:r>
                            <w:rPr>
                              <w:rFonts w:ascii="宋体"/>
                              <w:sz w:val="21"/>
                              <w:szCs w:val="21"/>
                            </w:rPr>
                            <w:fldChar w:fldCharType="begin"/>
                          </w:r>
                          <w:r>
                            <w:rPr>
                              <w:rStyle w:val="66"/>
                              <w:rFonts w:ascii="宋体"/>
                              <w:sz w:val="21"/>
                              <w:szCs w:val="21"/>
                            </w:rPr>
                            <w:instrText xml:space="preserve">PAGE  </w:instrText>
                          </w:r>
                          <w:r>
                            <w:rPr>
                              <w:rFonts w:ascii="宋体"/>
                              <w:sz w:val="21"/>
                              <w:szCs w:val="21"/>
                            </w:rPr>
                            <w:fldChar w:fldCharType="separate"/>
                          </w:r>
                          <w:r>
                            <w:rPr>
                              <w:rStyle w:val="66"/>
                              <w:rFonts w:ascii="宋体"/>
                              <w:sz w:val="21"/>
                              <w:szCs w:val="21"/>
                            </w:rPr>
                            <w:t>- 6 -</w:t>
                          </w:r>
                          <w:r>
                            <w:rPr>
                              <w:rFonts w:ascii="宋体"/>
                              <w:sz w:val="21"/>
                              <w:szCs w:val="21"/>
                            </w:rPr>
                            <w:fldChar w:fldCharType="end"/>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ied0BAAC+AwAADgAAAGRycy9lMm9Eb2MueG1srVNBrtMwEN0jcQfL&#10;e5q0QqiKmn4B1UdICJA+HMB1nMaS7bHsaZNyALgBKzbsOVfPwdhJ+uGz+Qs2yXhm/Gbem/HmZrCG&#10;nVSIGlzNl4uSM+UkNNodav750+2zNWcRhWuEAadqflaR32yfPtn0vlIr6MA0KjACcbHqfc07RF8V&#10;RZSdsiIuwCtHwRaCFUjHcCiaIHpCt6ZYleWLoofQ+ABSxUje3RjkE2J4DCC0rZZqB/JolcMRNSgj&#10;kCjFTvvIt7nbtlUSP7RtVMhMzYkp5i8VIXufvsV2I6pDEL7TcmpBPKaFB5ys0I6KXqF2AgU7Bv0P&#10;lNUyQIQWFxJsMRLJihCLZflAm7tOeJW5kNTRX0WP/w9Wvj99DEw3NX/OmROWBn75/u3y49fl51e2&#10;TPL0PlaUdecpD4dXMNDSzP5IzsR6aINNf+LDKE7inq/iqgGZTJfWq/W6pJCk2Hwg/OL+ug8R3yiw&#10;LBk1DzS9LKo4vYs4ps4pqZqDW21MnqBxfzkIM3mK1PvYY7Jw2A8ToT00Z+JDz4DqdBC+cNbTEtTc&#10;0c5zZt460jjty2yE2djPhnCSLtYcORvN1zju1dEHfejypqWmon95ROo0E0htjLWn7misWYJpBdPe&#10;/HnOWffPb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DWf4nndAQAAvgMAAA4AAAAAAAAA&#10;AQAgAAAAHgEAAGRycy9lMm9Eb2MueG1sUEsFBgAAAAAGAAYAWQEAAG0FAAAAAA==&#10;">
              <v:fill on="f" focussize="0,0"/>
              <v:stroke on="f"/>
              <v:imagedata o:title=""/>
              <o:lock v:ext="edit" aspectratio="f"/>
              <v:textbox inset="0mm,0mm,0mm,0mm" style="mso-fit-shape-to-text:t;">
                <w:txbxContent>
                  <w:p w14:paraId="1CEEFF52">
                    <w:pPr>
                      <w:pStyle w:val="39"/>
                      <w:jc w:val="center"/>
                      <w:rPr>
                        <w:rStyle w:val="66"/>
                        <w:rFonts w:hint="eastAsia" w:ascii="宋体"/>
                        <w:sz w:val="21"/>
                        <w:szCs w:val="21"/>
                      </w:rPr>
                    </w:pPr>
                    <w:r>
                      <w:rPr>
                        <w:rFonts w:ascii="宋体"/>
                        <w:sz w:val="21"/>
                        <w:szCs w:val="21"/>
                      </w:rPr>
                      <w:fldChar w:fldCharType="begin"/>
                    </w:r>
                    <w:r>
                      <w:rPr>
                        <w:rStyle w:val="66"/>
                        <w:rFonts w:ascii="宋体"/>
                        <w:sz w:val="21"/>
                        <w:szCs w:val="21"/>
                      </w:rPr>
                      <w:instrText xml:space="preserve">PAGE  </w:instrText>
                    </w:r>
                    <w:r>
                      <w:rPr>
                        <w:rFonts w:ascii="宋体"/>
                        <w:sz w:val="21"/>
                        <w:szCs w:val="21"/>
                      </w:rPr>
                      <w:fldChar w:fldCharType="separate"/>
                    </w:r>
                    <w:r>
                      <w:rPr>
                        <w:rStyle w:val="66"/>
                        <w:rFonts w:ascii="宋体"/>
                        <w:sz w:val="21"/>
                        <w:szCs w:val="21"/>
                      </w:rPr>
                      <w:t>- 6 -</w:t>
                    </w:r>
                    <w:r>
                      <w:rPr>
                        <w:rFonts w:ascii="宋体"/>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8E492">
    <w:pPr>
      <w:pStyle w:val="39"/>
      <w:framePr w:wrap="around" w:vAnchor="text" w:hAnchor="margin" w:xAlign="center" w:y="1"/>
      <w:rPr>
        <w:rStyle w:val="66"/>
      </w:rPr>
    </w:pPr>
    <w:r>
      <w:fldChar w:fldCharType="begin"/>
    </w:r>
    <w:r>
      <w:rPr>
        <w:rStyle w:val="66"/>
      </w:rPr>
      <w:instrText xml:space="preserve">PAGE  </w:instrText>
    </w:r>
    <w:r>
      <w:fldChar w:fldCharType="separate"/>
    </w:r>
    <w:r>
      <w:fldChar w:fldCharType="end"/>
    </w:r>
  </w:p>
  <w:p w14:paraId="7328854E">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56BF5">
    <w:pPr>
      <w:pStyle w:val="39"/>
      <w:framePr w:wrap="around" w:vAnchor="text" w:hAnchor="margin" w:xAlign="center" w:y="1"/>
      <w:rPr>
        <w:rStyle w:val="66"/>
      </w:rPr>
    </w:pPr>
  </w:p>
  <w:p w14:paraId="5609D816">
    <w:pPr>
      <w:pStyle w:val="39"/>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9E0B6">
    <w:pPr>
      <w:pStyle w:val="39"/>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F33675">
                          <w:pPr>
                            <w:pStyle w:val="39"/>
                            <w:jc w:val="center"/>
                          </w:pPr>
                          <w:r>
                            <w:rPr>
                              <w:rFonts w:ascii="宋体" w:hAnsi="宋体"/>
                              <w:sz w:val="21"/>
                              <w:szCs w:val="21"/>
                            </w:rPr>
                            <w:fldChar w:fldCharType="begin"/>
                          </w:r>
                          <w:r>
                            <w:rPr>
                              <w:rStyle w:val="66"/>
                              <w:rFonts w:ascii="宋体" w:hAnsi="宋体"/>
                              <w:sz w:val="21"/>
                              <w:szCs w:val="21"/>
                            </w:rPr>
                            <w:instrText xml:space="preserve"> PAGE </w:instrText>
                          </w:r>
                          <w:r>
                            <w:rPr>
                              <w:rFonts w:ascii="宋体" w:hAnsi="宋体"/>
                              <w:sz w:val="21"/>
                              <w:szCs w:val="21"/>
                            </w:rPr>
                            <w:fldChar w:fldCharType="separate"/>
                          </w:r>
                          <w:r>
                            <w:rPr>
                              <w:rStyle w:val="66"/>
                              <w:rFonts w:ascii="宋体" w:hAnsi="宋体"/>
                              <w:sz w:val="21"/>
                              <w:szCs w:val="21"/>
                            </w:rPr>
                            <w:t>- 19 -</w:t>
                          </w:r>
                          <w:r>
                            <w:rPr>
                              <w:rFonts w:ascii="宋体" w:hAnsi="宋体"/>
                              <w:sz w:val="21"/>
                              <w:szCs w:val="21"/>
                            </w:rP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Wh6UN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pfc+aEpYGfv387//h1/vmV&#10;LZ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xaHpQ3gEAAL4DAAAOAAAAAAAA&#10;AAEAIAAAAB4BAABkcnMvZTJvRG9jLnhtbFBLBQYAAAAABgAGAFkBAABuBQAAAAA=&#10;">
              <v:fill on="f" focussize="0,0"/>
              <v:stroke on="f"/>
              <v:imagedata o:title=""/>
              <o:lock v:ext="edit" aspectratio="f"/>
              <v:textbox inset="0mm,0mm,0mm,0mm" style="mso-fit-shape-to-text:t;">
                <w:txbxContent>
                  <w:p w14:paraId="12F33675">
                    <w:pPr>
                      <w:pStyle w:val="39"/>
                      <w:jc w:val="center"/>
                    </w:pPr>
                    <w:r>
                      <w:rPr>
                        <w:rFonts w:ascii="宋体" w:hAnsi="宋体"/>
                        <w:sz w:val="21"/>
                        <w:szCs w:val="21"/>
                      </w:rPr>
                      <w:fldChar w:fldCharType="begin"/>
                    </w:r>
                    <w:r>
                      <w:rPr>
                        <w:rStyle w:val="66"/>
                        <w:rFonts w:ascii="宋体" w:hAnsi="宋体"/>
                        <w:sz w:val="21"/>
                        <w:szCs w:val="21"/>
                      </w:rPr>
                      <w:instrText xml:space="preserve"> PAGE </w:instrText>
                    </w:r>
                    <w:r>
                      <w:rPr>
                        <w:rFonts w:ascii="宋体" w:hAnsi="宋体"/>
                        <w:sz w:val="21"/>
                        <w:szCs w:val="21"/>
                      </w:rPr>
                      <w:fldChar w:fldCharType="separate"/>
                    </w:r>
                    <w:r>
                      <w:rPr>
                        <w:rStyle w:val="66"/>
                        <w:rFonts w:ascii="宋体" w:hAnsi="宋体"/>
                        <w:sz w:val="21"/>
                        <w:szCs w:val="21"/>
                      </w:rPr>
                      <w:t>- 19 -</w:t>
                    </w:r>
                    <w:r>
                      <w:rPr>
                        <w:rFonts w:ascii="宋体" w:hAnsi="宋体"/>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6654C">
    <w:pPr>
      <w:pStyle w:val="39"/>
      <w:framePr w:wrap="around" w:vAnchor="text" w:hAnchor="margin" w:xAlign="center" w:y="1"/>
      <w:rPr>
        <w:rStyle w:val="66"/>
      </w:rPr>
    </w:pPr>
    <w:r>
      <w:fldChar w:fldCharType="begin"/>
    </w:r>
    <w:r>
      <w:rPr>
        <w:rStyle w:val="66"/>
      </w:rPr>
      <w:instrText xml:space="preserve">PAGE  </w:instrText>
    </w:r>
    <w:r>
      <w:fldChar w:fldCharType="separate"/>
    </w:r>
    <w:r>
      <w:fldChar w:fldCharType="end"/>
    </w:r>
  </w:p>
  <w:p w14:paraId="3984AC5D">
    <w:pPr>
      <w:pStyle w:val="3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077C">
    <w:pPr>
      <w:pStyle w:val="39"/>
      <w:framePr w:wrap="around" w:vAnchor="text" w:hAnchor="margin" w:xAlign="center" w:y="1"/>
      <w:rPr>
        <w:rStyle w:val="66"/>
      </w:rPr>
    </w:pPr>
    <w:r>
      <w:fldChar w:fldCharType="begin"/>
    </w:r>
    <w:r>
      <w:rPr>
        <w:rStyle w:val="66"/>
      </w:rPr>
      <w:instrText xml:space="preserve">PAGE  </w:instrText>
    </w:r>
    <w:r>
      <w:fldChar w:fldCharType="separate"/>
    </w:r>
    <w:r>
      <w:rPr>
        <w:rStyle w:val="66"/>
      </w:rPr>
      <w:t>16</w:t>
    </w:r>
    <w:r>
      <w:fldChar w:fldCharType="end"/>
    </w:r>
  </w:p>
  <w:p w14:paraId="42E2D996">
    <w:pPr>
      <w:pStyle w:val="3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F4893">
    <w:pPr>
      <w:pStyle w:val="39"/>
      <w:jc w:val="center"/>
      <w:rPr>
        <w:b/>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18FA44">
                          <w:pPr>
                            <w:pStyle w:val="39"/>
                            <w:jc w:val="center"/>
                          </w:pPr>
                          <w:r>
                            <w:rPr>
                              <w:b/>
                            </w:rPr>
                            <w:fldChar w:fldCharType="begin"/>
                          </w:r>
                          <w:r>
                            <w:rPr>
                              <w:rStyle w:val="66"/>
                              <w:b/>
                            </w:rPr>
                            <w:instrText xml:space="preserve"> PAGE </w:instrText>
                          </w:r>
                          <w:r>
                            <w:rPr>
                              <w:b/>
                            </w:rPr>
                            <w:fldChar w:fldCharType="separate"/>
                          </w:r>
                          <w:r>
                            <w:rPr>
                              <w:rStyle w:val="66"/>
                              <w:b/>
                            </w:rPr>
                            <w:t>9</w:t>
                          </w:r>
                          <w:r>
                            <w:rPr>
                              <w:b/>
                            </w:rP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YdLA94BAAC+AwAADgAAAGRycy9lMm9Eb2MueG1srVPBjtMwEL0j8Q+W&#10;7zTZCkEV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v6S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5h0sD3gEAAL4DAAAOAAAAAAAA&#10;AAEAIAAAAB4BAABkcnMvZTJvRG9jLnhtbFBLBQYAAAAABgAGAFkBAABuBQAAAAA=&#10;">
              <v:fill on="f" focussize="0,0"/>
              <v:stroke on="f"/>
              <v:imagedata o:title=""/>
              <o:lock v:ext="edit" aspectratio="f"/>
              <v:textbox inset="0mm,0mm,0mm,0mm" style="mso-fit-shape-to-text:t;">
                <w:txbxContent>
                  <w:p w14:paraId="3318FA44">
                    <w:pPr>
                      <w:pStyle w:val="39"/>
                      <w:jc w:val="center"/>
                    </w:pPr>
                    <w:r>
                      <w:rPr>
                        <w:b/>
                      </w:rPr>
                      <w:fldChar w:fldCharType="begin"/>
                    </w:r>
                    <w:r>
                      <w:rPr>
                        <w:rStyle w:val="66"/>
                        <w:b/>
                      </w:rPr>
                      <w:instrText xml:space="preserve"> PAGE </w:instrText>
                    </w:r>
                    <w:r>
                      <w:rPr>
                        <w:b/>
                      </w:rPr>
                      <w:fldChar w:fldCharType="separate"/>
                    </w:r>
                    <w:r>
                      <w:rPr>
                        <w:rStyle w:val="66"/>
                        <w:b/>
                      </w:rPr>
                      <w:t>9</w:t>
                    </w:r>
                    <w:r>
                      <w:rPr>
                        <w:b/>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CEA61">
    <w:pPr>
      <w:pStyle w:val="39"/>
      <w:jc w:val="center"/>
      <w:rPr>
        <w:rFonts w:hint="eastAsia" w:ascii="宋体" w:hAnsi="宋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4E181D">
                          <w:pPr>
                            <w:pStyle w:val="39"/>
                            <w:jc w:val="center"/>
                          </w:pPr>
                          <w:r>
                            <w:rPr>
                              <w:rFonts w:ascii="宋体" w:hAnsi="宋体"/>
                              <w:sz w:val="21"/>
                              <w:szCs w:val="21"/>
                            </w:rPr>
                            <w:fldChar w:fldCharType="begin"/>
                          </w:r>
                          <w:r>
                            <w:rPr>
                              <w:rStyle w:val="66"/>
                              <w:rFonts w:ascii="宋体" w:hAnsi="宋体"/>
                              <w:sz w:val="21"/>
                              <w:szCs w:val="21"/>
                            </w:rPr>
                            <w:instrText xml:space="preserve"> PAGE </w:instrText>
                          </w:r>
                          <w:r>
                            <w:rPr>
                              <w:rFonts w:ascii="宋体" w:hAnsi="宋体"/>
                              <w:sz w:val="21"/>
                              <w:szCs w:val="21"/>
                            </w:rPr>
                            <w:fldChar w:fldCharType="separate"/>
                          </w:r>
                          <w:r>
                            <w:rPr>
                              <w:rStyle w:val="66"/>
                              <w:rFonts w:ascii="宋体" w:hAnsi="宋体"/>
                              <w:sz w:val="21"/>
                              <w:szCs w:val="21"/>
                            </w:rPr>
                            <w:t>- 27 -</w:t>
                          </w:r>
                          <w:r>
                            <w:rPr>
                              <w:rFonts w:ascii="宋体" w:hAnsi="宋体"/>
                              <w:sz w:val="21"/>
                              <w:szCs w:val="21"/>
                            </w:rP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iEUYN4BAAC+AwAADgAAAGRycy9lMm9Eb2MueG1srVPNjtMwEL4j8Q6W&#10;7zTZIq2qqOkKqBYhIUBa9gFcx2ks+U8zbpPyAPAGnLhw57n6HIydpAvLZQ9ckvHM+Jv5vhmvbwZr&#10;2FEBau9qfrUoOVNO+ka7fc3vP9++WHGGUbhGGO9UzU8K+c3m+bN1Hyq19J03jQJGIA6rPtS8izFU&#10;RYGyU1bgwgflKNh6sCLSEfZFA6IndGuKZVleF72HJoCXCpG82zHIJ0R4CqBvWy3V1suDVS6OqKCM&#10;iEQJOx2Qb3K3batk/Ni2qCIzNSemMX+pCNm79C02a1HtQYROy6kF8ZQWHnGyQjsqeoHaiijYAfQ/&#10;UFZL8OjbuJDeFiORrAixuCofaXPXiaAyF5Iaw0V0/H+w8sPxEzDd1PyaMycsDfz8/dv5x6/zz6/s&#10;Z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eIRRg3gEAAL4DAAAOAAAAAAAA&#10;AAEAIAAAAB4BAABkcnMvZTJvRG9jLnhtbFBLBQYAAAAABgAGAFkBAABuBQAAAAA=&#10;">
              <v:fill on="f" focussize="0,0"/>
              <v:stroke on="f"/>
              <v:imagedata o:title=""/>
              <o:lock v:ext="edit" aspectratio="f"/>
              <v:textbox inset="0mm,0mm,0mm,0mm" style="mso-fit-shape-to-text:t;">
                <w:txbxContent>
                  <w:p w14:paraId="1C4E181D">
                    <w:pPr>
                      <w:pStyle w:val="39"/>
                      <w:jc w:val="center"/>
                    </w:pPr>
                    <w:r>
                      <w:rPr>
                        <w:rFonts w:ascii="宋体" w:hAnsi="宋体"/>
                        <w:sz w:val="21"/>
                        <w:szCs w:val="21"/>
                      </w:rPr>
                      <w:fldChar w:fldCharType="begin"/>
                    </w:r>
                    <w:r>
                      <w:rPr>
                        <w:rStyle w:val="66"/>
                        <w:rFonts w:ascii="宋体" w:hAnsi="宋体"/>
                        <w:sz w:val="21"/>
                        <w:szCs w:val="21"/>
                      </w:rPr>
                      <w:instrText xml:space="preserve"> PAGE </w:instrText>
                    </w:r>
                    <w:r>
                      <w:rPr>
                        <w:rFonts w:ascii="宋体" w:hAnsi="宋体"/>
                        <w:sz w:val="21"/>
                        <w:szCs w:val="21"/>
                      </w:rPr>
                      <w:fldChar w:fldCharType="separate"/>
                    </w:r>
                    <w:r>
                      <w:rPr>
                        <w:rStyle w:val="66"/>
                        <w:rFonts w:ascii="宋体" w:hAnsi="宋体"/>
                        <w:sz w:val="21"/>
                        <w:szCs w:val="21"/>
                      </w:rPr>
                      <w:t>- 27 -</w:t>
                    </w:r>
                    <w:r>
                      <w:rPr>
                        <w:rFonts w:ascii="宋体" w:hAnsi="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80A73">
    <w:pPr>
      <w:pStyle w:val="40"/>
      <w:jc w:val="both"/>
      <w:rPr>
        <w:rFonts w:hint="eastAsia" w:ascii="方正仿宋_GBK" w:eastAsia="方正仿宋_GBK"/>
        <w:sz w:val="21"/>
        <w:szCs w:val="21"/>
      </w:rPr>
    </w:pPr>
    <w:r>
      <w:rPr>
        <w:rFonts w:hint="eastAsia" w:ascii="方正仿宋_GBK" w:eastAsia="方正仿宋_GBK"/>
        <w:sz w:val="21"/>
        <w:szCs w:val="21"/>
      </w:rPr>
      <w:t xml:space="preserve"> 重庆昕笛枫建设工程咨询有限公司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C41BD">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C8AD9">
    <w:pPr>
      <w:pStyle w:val="4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D82C8">
    <w:pPr>
      <w:pStyle w:val="4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DA93B">
    <w:pPr>
      <w:pStyle w:val="4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28AC2">
    <w:pPr>
      <w:pStyle w:val="40"/>
      <w:jc w:val="both"/>
      <w:rPr>
        <w:rFonts w:hint="eastAsia" w:ascii="方正仿宋_GBK" w:eastAsia="方正仿宋_GBK"/>
        <w:sz w:val="21"/>
        <w:szCs w:val="21"/>
      </w:rPr>
    </w:pPr>
    <w:r>
      <w:rPr>
        <w:rFonts w:hint="eastAsia" w:ascii="方正仿宋_GBK" w:eastAsia="方正仿宋_GBK"/>
        <w:sz w:val="21"/>
        <w:szCs w:val="21"/>
      </w:rPr>
      <w:t xml:space="preserve"> 重庆昕笛枫建设工程咨询有限公司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B47449"/>
    <w:multiLevelType w:val="singleLevel"/>
    <w:tmpl w:val="AEB47449"/>
    <w:lvl w:ilvl="0" w:tentative="0">
      <w:start w:val="1"/>
      <w:numFmt w:val="decimal"/>
      <w:suff w:val="nothing"/>
      <w:lvlText w:val="%1、"/>
      <w:lvlJc w:val="left"/>
    </w:lvl>
  </w:abstractNum>
  <w:abstractNum w:abstractNumId="1">
    <w:nsid w:val="00000009"/>
    <w:multiLevelType w:val="multilevel"/>
    <w:tmpl w:val="00000009"/>
    <w:lvl w:ilvl="0" w:tentative="0">
      <w:start w:val="1"/>
      <w:numFmt w:val="upperLetter"/>
      <w:pStyle w:val="17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20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87"/>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35"/>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17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98"/>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219"/>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74"/>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31"/>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152"/>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9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4A064082"/>
    <w:multiLevelType w:val="singleLevel"/>
    <w:tmpl w:val="4A064082"/>
    <w:lvl w:ilvl="0" w:tentative="0">
      <w:start w:val="1"/>
      <w:numFmt w:val="decimal"/>
      <w:lvlText w:val="%1."/>
      <w:lvlJc w:val="left"/>
      <w:pPr>
        <w:tabs>
          <w:tab w:val="left" w:pos="312"/>
        </w:tabs>
      </w:pPr>
    </w:lvl>
  </w:abstractNum>
  <w:abstractNum w:abstractNumId="14">
    <w:nsid w:val="7F9D9465"/>
    <w:multiLevelType w:val="singleLevel"/>
    <w:tmpl w:val="7F9D9465"/>
    <w:lvl w:ilvl="0" w:tentative="0">
      <w:start w:val="1"/>
      <w:numFmt w:val="chineseCounting"/>
      <w:suff w:val="nothing"/>
      <w:lvlText w:val="（%1）"/>
      <w:lvlJc w:val="left"/>
      <w:rPr>
        <w:rFonts w:hint="eastAsia"/>
      </w:rPr>
    </w:lvl>
  </w:abstractNum>
  <w:num w:numId="1">
    <w:abstractNumId w:val="9"/>
  </w:num>
  <w:num w:numId="2">
    <w:abstractNumId w:val="6"/>
  </w:num>
  <w:num w:numId="3">
    <w:abstractNumId w:val="4"/>
  </w:num>
  <w:num w:numId="4">
    <w:abstractNumId w:val="10"/>
  </w:num>
  <w:num w:numId="5">
    <w:abstractNumId w:val="11"/>
  </w:num>
  <w:num w:numId="6">
    <w:abstractNumId w:val="1"/>
  </w:num>
  <w:num w:numId="7">
    <w:abstractNumId w:val="8"/>
  </w:num>
  <w:num w:numId="8">
    <w:abstractNumId w:val="5"/>
  </w:num>
  <w:num w:numId="9">
    <w:abstractNumId w:val="3"/>
  </w:num>
  <w:num w:numId="10">
    <w:abstractNumId w:val="12"/>
  </w:num>
  <w:num w:numId="11">
    <w:abstractNumId w:val="2"/>
  </w:num>
  <w:num w:numId="12">
    <w:abstractNumId w:val="7"/>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wZGM0NWE3ZjBmM2EzZjAxMTViZGVlYmExYmYzNWEifQ=="/>
  </w:docVars>
  <w:rsids>
    <w:rsidRoot w:val="00172A27"/>
    <w:rsid w:val="000014C5"/>
    <w:rsid w:val="00002AE4"/>
    <w:rsid w:val="00003626"/>
    <w:rsid w:val="000040DE"/>
    <w:rsid w:val="000070F0"/>
    <w:rsid w:val="000075E8"/>
    <w:rsid w:val="00011B4B"/>
    <w:rsid w:val="00015889"/>
    <w:rsid w:val="00016B79"/>
    <w:rsid w:val="00017816"/>
    <w:rsid w:val="00017905"/>
    <w:rsid w:val="00020BE7"/>
    <w:rsid w:val="000232CB"/>
    <w:rsid w:val="00023E9B"/>
    <w:rsid w:val="00030375"/>
    <w:rsid w:val="000329FC"/>
    <w:rsid w:val="00032ACA"/>
    <w:rsid w:val="00035AA6"/>
    <w:rsid w:val="0003632F"/>
    <w:rsid w:val="000437FD"/>
    <w:rsid w:val="00043835"/>
    <w:rsid w:val="00046A2E"/>
    <w:rsid w:val="0004739C"/>
    <w:rsid w:val="00051E02"/>
    <w:rsid w:val="000523C9"/>
    <w:rsid w:val="0005298B"/>
    <w:rsid w:val="0005417C"/>
    <w:rsid w:val="000576E1"/>
    <w:rsid w:val="00057EF3"/>
    <w:rsid w:val="00060244"/>
    <w:rsid w:val="00061A7C"/>
    <w:rsid w:val="00063981"/>
    <w:rsid w:val="000663DD"/>
    <w:rsid w:val="00066B52"/>
    <w:rsid w:val="00074C38"/>
    <w:rsid w:val="000816AD"/>
    <w:rsid w:val="00082CC1"/>
    <w:rsid w:val="0008684D"/>
    <w:rsid w:val="00090C5A"/>
    <w:rsid w:val="00091B1C"/>
    <w:rsid w:val="00091D22"/>
    <w:rsid w:val="000A164E"/>
    <w:rsid w:val="000A2AF7"/>
    <w:rsid w:val="000A3057"/>
    <w:rsid w:val="000B1068"/>
    <w:rsid w:val="000B3002"/>
    <w:rsid w:val="000B42F4"/>
    <w:rsid w:val="000B7377"/>
    <w:rsid w:val="000B7F54"/>
    <w:rsid w:val="000C08C1"/>
    <w:rsid w:val="000C1E0E"/>
    <w:rsid w:val="000C20E6"/>
    <w:rsid w:val="000C2C03"/>
    <w:rsid w:val="000C6D89"/>
    <w:rsid w:val="000C7C0B"/>
    <w:rsid w:val="000D776F"/>
    <w:rsid w:val="000E01C9"/>
    <w:rsid w:val="000E0DD7"/>
    <w:rsid w:val="000E3259"/>
    <w:rsid w:val="000E4835"/>
    <w:rsid w:val="000E5AB0"/>
    <w:rsid w:val="000E69BF"/>
    <w:rsid w:val="000F2C03"/>
    <w:rsid w:val="000F302A"/>
    <w:rsid w:val="000F3D5B"/>
    <w:rsid w:val="000F4B5D"/>
    <w:rsid w:val="000F64D7"/>
    <w:rsid w:val="000F7DBF"/>
    <w:rsid w:val="0010014A"/>
    <w:rsid w:val="00100639"/>
    <w:rsid w:val="0010088E"/>
    <w:rsid w:val="001028FD"/>
    <w:rsid w:val="00105083"/>
    <w:rsid w:val="00105638"/>
    <w:rsid w:val="0010716D"/>
    <w:rsid w:val="0011354E"/>
    <w:rsid w:val="001140DC"/>
    <w:rsid w:val="00114CFE"/>
    <w:rsid w:val="00115337"/>
    <w:rsid w:val="00115A96"/>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37A77"/>
    <w:rsid w:val="0014142B"/>
    <w:rsid w:val="00144A2F"/>
    <w:rsid w:val="00145224"/>
    <w:rsid w:val="00146EC3"/>
    <w:rsid w:val="001477A0"/>
    <w:rsid w:val="00147FB4"/>
    <w:rsid w:val="0015011C"/>
    <w:rsid w:val="00150204"/>
    <w:rsid w:val="0015033B"/>
    <w:rsid w:val="00150429"/>
    <w:rsid w:val="00150C0C"/>
    <w:rsid w:val="001523C5"/>
    <w:rsid w:val="0015250A"/>
    <w:rsid w:val="00152B00"/>
    <w:rsid w:val="00152CAD"/>
    <w:rsid w:val="00153556"/>
    <w:rsid w:val="0015479F"/>
    <w:rsid w:val="00156773"/>
    <w:rsid w:val="0016265A"/>
    <w:rsid w:val="00167C68"/>
    <w:rsid w:val="00171645"/>
    <w:rsid w:val="00171E05"/>
    <w:rsid w:val="00173DB9"/>
    <w:rsid w:val="00180ACB"/>
    <w:rsid w:val="00181A6C"/>
    <w:rsid w:val="00183B60"/>
    <w:rsid w:val="00186623"/>
    <w:rsid w:val="001879FD"/>
    <w:rsid w:val="001932D7"/>
    <w:rsid w:val="0019571D"/>
    <w:rsid w:val="001963A2"/>
    <w:rsid w:val="00196465"/>
    <w:rsid w:val="001A1B93"/>
    <w:rsid w:val="001A63F6"/>
    <w:rsid w:val="001A64A1"/>
    <w:rsid w:val="001A6DCC"/>
    <w:rsid w:val="001A773E"/>
    <w:rsid w:val="001B0396"/>
    <w:rsid w:val="001B095A"/>
    <w:rsid w:val="001B1400"/>
    <w:rsid w:val="001B17C0"/>
    <w:rsid w:val="001B3DBD"/>
    <w:rsid w:val="001B4377"/>
    <w:rsid w:val="001C1BDF"/>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50B"/>
    <w:rsid w:val="00212A06"/>
    <w:rsid w:val="00214E7A"/>
    <w:rsid w:val="00214FBB"/>
    <w:rsid w:val="00215DEE"/>
    <w:rsid w:val="0021618E"/>
    <w:rsid w:val="0021704D"/>
    <w:rsid w:val="002216C7"/>
    <w:rsid w:val="00222097"/>
    <w:rsid w:val="002225AD"/>
    <w:rsid w:val="002227DB"/>
    <w:rsid w:val="00223F76"/>
    <w:rsid w:val="00224F72"/>
    <w:rsid w:val="00227202"/>
    <w:rsid w:val="00227377"/>
    <w:rsid w:val="00227851"/>
    <w:rsid w:val="0023387F"/>
    <w:rsid w:val="002339D3"/>
    <w:rsid w:val="00234257"/>
    <w:rsid w:val="002348E0"/>
    <w:rsid w:val="00237E17"/>
    <w:rsid w:val="00254E1A"/>
    <w:rsid w:val="00262555"/>
    <w:rsid w:val="002643C1"/>
    <w:rsid w:val="00265203"/>
    <w:rsid w:val="002678C0"/>
    <w:rsid w:val="00270223"/>
    <w:rsid w:val="0027199E"/>
    <w:rsid w:val="00271D47"/>
    <w:rsid w:val="002721EA"/>
    <w:rsid w:val="0027501B"/>
    <w:rsid w:val="002752BA"/>
    <w:rsid w:val="00275F77"/>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0FE7"/>
    <w:rsid w:val="002D3985"/>
    <w:rsid w:val="002D41FF"/>
    <w:rsid w:val="002D608F"/>
    <w:rsid w:val="002D7053"/>
    <w:rsid w:val="002D7208"/>
    <w:rsid w:val="002D725D"/>
    <w:rsid w:val="002D7725"/>
    <w:rsid w:val="002E0CC2"/>
    <w:rsid w:val="002E3527"/>
    <w:rsid w:val="002E3824"/>
    <w:rsid w:val="002E5078"/>
    <w:rsid w:val="002E78F7"/>
    <w:rsid w:val="002F031F"/>
    <w:rsid w:val="002F0ED3"/>
    <w:rsid w:val="002F275D"/>
    <w:rsid w:val="002F3278"/>
    <w:rsid w:val="002F3DE3"/>
    <w:rsid w:val="002F632E"/>
    <w:rsid w:val="003021BC"/>
    <w:rsid w:val="0030440F"/>
    <w:rsid w:val="00310AF9"/>
    <w:rsid w:val="00310DAA"/>
    <w:rsid w:val="003144DB"/>
    <w:rsid w:val="0031465E"/>
    <w:rsid w:val="00315742"/>
    <w:rsid w:val="00315E44"/>
    <w:rsid w:val="003163B3"/>
    <w:rsid w:val="003200C6"/>
    <w:rsid w:val="00320C89"/>
    <w:rsid w:val="00322A7A"/>
    <w:rsid w:val="00326C5B"/>
    <w:rsid w:val="003336F0"/>
    <w:rsid w:val="0033663D"/>
    <w:rsid w:val="003366D9"/>
    <w:rsid w:val="00340777"/>
    <w:rsid w:val="00341C7E"/>
    <w:rsid w:val="00341D8A"/>
    <w:rsid w:val="00341DEB"/>
    <w:rsid w:val="00346A3D"/>
    <w:rsid w:val="00350510"/>
    <w:rsid w:val="00350C20"/>
    <w:rsid w:val="003548FA"/>
    <w:rsid w:val="00355643"/>
    <w:rsid w:val="00355A74"/>
    <w:rsid w:val="0035764D"/>
    <w:rsid w:val="00361427"/>
    <w:rsid w:val="00363702"/>
    <w:rsid w:val="0036458B"/>
    <w:rsid w:val="003703E8"/>
    <w:rsid w:val="00370462"/>
    <w:rsid w:val="00370A3D"/>
    <w:rsid w:val="00371D2F"/>
    <w:rsid w:val="00373122"/>
    <w:rsid w:val="003752C8"/>
    <w:rsid w:val="0037612E"/>
    <w:rsid w:val="0038033A"/>
    <w:rsid w:val="0038061C"/>
    <w:rsid w:val="003816ED"/>
    <w:rsid w:val="003840E9"/>
    <w:rsid w:val="00384161"/>
    <w:rsid w:val="003848CD"/>
    <w:rsid w:val="00387610"/>
    <w:rsid w:val="00387E4F"/>
    <w:rsid w:val="0039405D"/>
    <w:rsid w:val="0039432A"/>
    <w:rsid w:val="003953EA"/>
    <w:rsid w:val="00395BCE"/>
    <w:rsid w:val="00395C2F"/>
    <w:rsid w:val="003973D3"/>
    <w:rsid w:val="00397F89"/>
    <w:rsid w:val="003A0495"/>
    <w:rsid w:val="003A0892"/>
    <w:rsid w:val="003A3162"/>
    <w:rsid w:val="003A422B"/>
    <w:rsid w:val="003A449E"/>
    <w:rsid w:val="003A5B4B"/>
    <w:rsid w:val="003A71F3"/>
    <w:rsid w:val="003B19F5"/>
    <w:rsid w:val="003B3790"/>
    <w:rsid w:val="003C33CA"/>
    <w:rsid w:val="003C3837"/>
    <w:rsid w:val="003C422A"/>
    <w:rsid w:val="003D0E0A"/>
    <w:rsid w:val="003D3B22"/>
    <w:rsid w:val="003D7B3D"/>
    <w:rsid w:val="003E0348"/>
    <w:rsid w:val="003E1942"/>
    <w:rsid w:val="003F1E2C"/>
    <w:rsid w:val="003F3B2E"/>
    <w:rsid w:val="003F3DB1"/>
    <w:rsid w:val="003F451E"/>
    <w:rsid w:val="003F4939"/>
    <w:rsid w:val="003F626F"/>
    <w:rsid w:val="003F6794"/>
    <w:rsid w:val="004007C0"/>
    <w:rsid w:val="00402B32"/>
    <w:rsid w:val="0040519F"/>
    <w:rsid w:val="0040781E"/>
    <w:rsid w:val="00410C93"/>
    <w:rsid w:val="004115FB"/>
    <w:rsid w:val="00411B4A"/>
    <w:rsid w:val="004134DD"/>
    <w:rsid w:val="00417E99"/>
    <w:rsid w:val="00417FF9"/>
    <w:rsid w:val="00421507"/>
    <w:rsid w:val="00424D02"/>
    <w:rsid w:val="0042525A"/>
    <w:rsid w:val="0042733C"/>
    <w:rsid w:val="00432B0D"/>
    <w:rsid w:val="0044185A"/>
    <w:rsid w:val="0044193A"/>
    <w:rsid w:val="00441E14"/>
    <w:rsid w:val="00444220"/>
    <w:rsid w:val="004444F8"/>
    <w:rsid w:val="00453B8F"/>
    <w:rsid w:val="004556B7"/>
    <w:rsid w:val="00460489"/>
    <w:rsid w:val="004608C7"/>
    <w:rsid w:val="00462878"/>
    <w:rsid w:val="00465B7A"/>
    <w:rsid w:val="00471121"/>
    <w:rsid w:val="00472AA2"/>
    <w:rsid w:val="00472FAD"/>
    <w:rsid w:val="00473B39"/>
    <w:rsid w:val="00474175"/>
    <w:rsid w:val="00474312"/>
    <w:rsid w:val="00474F1B"/>
    <w:rsid w:val="00481309"/>
    <w:rsid w:val="00484882"/>
    <w:rsid w:val="00485042"/>
    <w:rsid w:val="004866A5"/>
    <w:rsid w:val="004928A2"/>
    <w:rsid w:val="00494610"/>
    <w:rsid w:val="004953EC"/>
    <w:rsid w:val="00497ADD"/>
    <w:rsid w:val="004A0D29"/>
    <w:rsid w:val="004A0DE1"/>
    <w:rsid w:val="004A2410"/>
    <w:rsid w:val="004A27AC"/>
    <w:rsid w:val="004A31B7"/>
    <w:rsid w:val="004A3995"/>
    <w:rsid w:val="004B1AB1"/>
    <w:rsid w:val="004B3AB3"/>
    <w:rsid w:val="004B476A"/>
    <w:rsid w:val="004B6E39"/>
    <w:rsid w:val="004C0292"/>
    <w:rsid w:val="004C1DD0"/>
    <w:rsid w:val="004C2685"/>
    <w:rsid w:val="004C64E4"/>
    <w:rsid w:val="004C6673"/>
    <w:rsid w:val="004C68BE"/>
    <w:rsid w:val="004D2334"/>
    <w:rsid w:val="004D26A6"/>
    <w:rsid w:val="004D3311"/>
    <w:rsid w:val="004D433D"/>
    <w:rsid w:val="004D4410"/>
    <w:rsid w:val="004D69A0"/>
    <w:rsid w:val="004D7055"/>
    <w:rsid w:val="004E156F"/>
    <w:rsid w:val="004E2F88"/>
    <w:rsid w:val="004E4828"/>
    <w:rsid w:val="004E550E"/>
    <w:rsid w:val="004E55DB"/>
    <w:rsid w:val="004E67C6"/>
    <w:rsid w:val="004F3CC1"/>
    <w:rsid w:val="004F5959"/>
    <w:rsid w:val="004F670C"/>
    <w:rsid w:val="00502B2F"/>
    <w:rsid w:val="0050459F"/>
    <w:rsid w:val="00506999"/>
    <w:rsid w:val="005109B7"/>
    <w:rsid w:val="00511067"/>
    <w:rsid w:val="00512D00"/>
    <w:rsid w:val="00512D44"/>
    <w:rsid w:val="00514179"/>
    <w:rsid w:val="00515C60"/>
    <w:rsid w:val="00516243"/>
    <w:rsid w:val="005164D4"/>
    <w:rsid w:val="00536C88"/>
    <w:rsid w:val="005406A0"/>
    <w:rsid w:val="00540E03"/>
    <w:rsid w:val="00541D5F"/>
    <w:rsid w:val="00544BEA"/>
    <w:rsid w:val="005460D5"/>
    <w:rsid w:val="005478BF"/>
    <w:rsid w:val="00553CF0"/>
    <w:rsid w:val="00557C75"/>
    <w:rsid w:val="0056287D"/>
    <w:rsid w:val="0056526C"/>
    <w:rsid w:val="00566A85"/>
    <w:rsid w:val="00570C78"/>
    <w:rsid w:val="00573AE3"/>
    <w:rsid w:val="00575FF5"/>
    <w:rsid w:val="00581EF9"/>
    <w:rsid w:val="00583690"/>
    <w:rsid w:val="005851F6"/>
    <w:rsid w:val="005866DB"/>
    <w:rsid w:val="005902D9"/>
    <w:rsid w:val="0059075F"/>
    <w:rsid w:val="00592379"/>
    <w:rsid w:val="00595BEC"/>
    <w:rsid w:val="00596AB7"/>
    <w:rsid w:val="005A1B5C"/>
    <w:rsid w:val="005A1EA7"/>
    <w:rsid w:val="005A6A12"/>
    <w:rsid w:val="005B0724"/>
    <w:rsid w:val="005B0E13"/>
    <w:rsid w:val="005B1E46"/>
    <w:rsid w:val="005B5AA4"/>
    <w:rsid w:val="005C3F4B"/>
    <w:rsid w:val="005C42AC"/>
    <w:rsid w:val="005C4F84"/>
    <w:rsid w:val="005C5084"/>
    <w:rsid w:val="005D2B99"/>
    <w:rsid w:val="005D2EC6"/>
    <w:rsid w:val="005D37D0"/>
    <w:rsid w:val="005D41E8"/>
    <w:rsid w:val="005D703E"/>
    <w:rsid w:val="005E308D"/>
    <w:rsid w:val="005E35E9"/>
    <w:rsid w:val="005E5525"/>
    <w:rsid w:val="005F38BB"/>
    <w:rsid w:val="005F7895"/>
    <w:rsid w:val="0060003E"/>
    <w:rsid w:val="00602BBE"/>
    <w:rsid w:val="00602DB9"/>
    <w:rsid w:val="0060315D"/>
    <w:rsid w:val="0061259E"/>
    <w:rsid w:val="00613410"/>
    <w:rsid w:val="00617986"/>
    <w:rsid w:val="0062433A"/>
    <w:rsid w:val="006256CA"/>
    <w:rsid w:val="00627729"/>
    <w:rsid w:val="00627F21"/>
    <w:rsid w:val="0063025A"/>
    <w:rsid w:val="00632247"/>
    <w:rsid w:val="00632E07"/>
    <w:rsid w:val="00633598"/>
    <w:rsid w:val="00633934"/>
    <w:rsid w:val="00640C1C"/>
    <w:rsid w:val="006440D5"/>
    <w:rsid w:val="0064583B"/>
    <w:rsid w:val="006468B8"/>
    <w:rsid w:val="00651127"/>
    <w:rsid w:val="0065190C"/>
    <w:rsid w:val="00651BDD"/>
    <w:rsid w:val="006537A0"/>
    <w:rsid w:val="006538A5"/>
    <w:rsid w:val="006542F1"/>
    <w:rsid w:val="00654A48"/>
    <w:rsid w:val="0065651B"/>
    <w:rsid w:val="00664607"/>
    <w:rsid w:val="00664D9A"/>
    <w:rsid w:val="00665941"/>
    <w:rsid w:val="0066755F"/>
    <w:rsid w:val="00670089"/>
    <w:rsid w:val="00670C89"/>
    <w:rsid w:val="00671233"/>
    <w:rsid w:val="00673855"/>
    <w:rsid w:val="006740F8"/>
    <w:rsid w:val="0067587A"/>
    <w:rsid w:val="006763DC"/>
    <w:rsid w:val="00680AE4"/>
    <w:rsid w:val="00682205"/>
    <w:rsid w:val="006822B0"/>
    <w:rsid w:val="006845A8"/>
    <w:rsid w:val="00684E51"/>
    <w:rsid w:val="0068793C"/>
    <w:rsid w:val="00694288"/>
    <w:rsid w:val="00694F91"/>
    <w:rsid w:val="006A100B"/>
    <w:rsid w:val="006A143A"/>
    <w:rsid w:val="006A3285"/>
    <w:rsid w:val="006A3A78"/>
    <w:rsid w:val="006A4C56"/>
    <w:rsid w:val="006A4FD4"/>
    <w:rsid w:val="006B0567"/>
    <w:rsid w:val="006B4535"/>
    <w:rsid w:val="006B72DE"/>
    <w:rsid w:val="006B75CB"/>
    <w:rsid w:val="006C16DE"/>
    <w:rsid w:val="006C3F5A"/>
    <w:rsid w:val="006C5FC1"/>
    <w:rsid w:val="006D44E1"/>
    <w:rsid w:val="006D6350"/>
    <w:rsid w:val="006D6662"/>
    <w:rsid w:val="006E21FA"/>
    <w:rsid w:val="006E477D"/>
    <w:rsid w:val="006E6D5F"/>
    <w:rsid w:val="006F07C8"/>
    <w:rsid w:val="006F0FB7"/>
    <w:rsid w:val="006F5263"/>
    <w:rsid w:val="006F5925"/>
    <w:rsid w:val="006F5E40"/>
    <w:rsid w:val="006F6AA5"/>
    <w:rsid w:val="006F6E4A"/>
    <w:rsid w:val="00704E5D"/>
    <w:rsid w:val="00705691"/>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2C68"/>
    <w:rsid w:val="00732FD3"/>
    <w:rsid w:val="00736D88"/>
    <w:rsid w:val="00736DD2"/>
    <w:rsid w:val="00736EE0"/>
    <w:rsid w:val="0074681C"/>
    <w:rsid w:val="00746EC2"/>
    <w:rsid w:val="007504DE"/>
    <w:rsid w:val="00762B70"/>
    <w:rsid w:val="007636FE"/>
    <w:rsid w:val="00770998"/>
    <w:rsid w:val="0077408E"/>
    <w:rsid w:val="00776DB4"/>
    <w:rsid w:val="00780577"/>
    <w:rsid w:val="00781AD3"/>
    <w:rsid w:val="00781BFB"/>
    <w:rsid w:val="00786773"/>
    <w:rsid w:val="00786FA7"/>
    <w:rsid w:val="0079177C"/>
    <w:rsid w:val="00794382"/>
    <w:rsid w:val="007959AC"/>
    <w:rsid w:val="00796323"/>
    <w:rsid w:val="007A20E0"/>
    <w:rsid w:val="007A65A2"/>
    <w:rsid w:val="007B20D3"/>
    <w:rsid w:val="007B2204"/>
    <w:rsid w:val="007B272B"/>
    <w:rsid w:val="007B2929"/>
    <w:rsid w:val="007B4B60"/>
    <w:rsid w:val="007B55B5"/>
    <w:rsid w:val="007B669E"/>
    <w:rsid w:val="007B7278"/>
    <w:rsid w:val="007C1691"/>
    <w:rsid w:val="007C4F31"/>
    <w:rsid w:val="007C5540"/>
    <w:rsid w:val="007C6B0F"/>
    <w:rsid w:val="007D0625"/>
    <w:rsid w:val="007D4C9C"/>
    <w:rsid w:val="007D4E67"/>
    <w:rsid w:val="007D7A44"/>
    <w:rsid w:val="007D7E65"/>
    <w:rsid w:val="007E0DAA"/>
    <w:rsid w:val="007E19E0"/>
    <w:rsid w:val="007E517D"/>
    <w:rsid w:val="007E5B42"/>
    <w:rsid w:val="007E7F4A"/>
    <w:rsid w:val="007F6769"/>
    <w:rsid w:val="00802605"/>
    <w:rsid w:val="008041D4"/>
    <w:rsid w:val="00806938"/>
    <w:rsid w:val="00807818"/>
    <w:rsid w:val="00807AEA"/>
    <w:rsid w:val="0081156A"/>
    <w:rsid w:val="0081714E"/>
    <w:rsid w:val="00827398"/>
    <w:rsid w:val="008275B6"/>
    <w:rsid w:val="0083653E"/>
    <w:rsid w:val="008369DC"/>
    <w:rsid w:val="00841FEE"/>
    <w:rsid w:val="00842974"/>
    <w:rsid w:val="00842F87"/>
    <w:rsid w:val="00843A88"/>
    <w:rsid w:val="00843D2E"/>
    <w:rsid w:val="00854934"/>
    <w:rsid w:val="0085550A"/>
    <w:rsid w:val="00860E09"/>
    <w:rsid w:val="008616EF"/>
    <w:rsid w:val="00863C25"/>
    <w:rsid w:val="008641B7"/>
    <w:rsid w:val="00864D80"/>
    <w:rsid w:val="00864DC1"/>
    <w:rsid w:val="00866A11"/>
    <w:rsid w:val="00870530"/>
    <w:rsid w:val="008705BC"/>
    <w:rsid w:val="00871999"/>
    <w:rsid w:val="008719EB"/>
    <w:rsid w:val="00872E27"/>
    <w:rsid w:val="00875A42"/>
    <w:rsid w:val="0088192C"/>
    <w:rsid w:val="00882D10"/>
    <w:rsid w:val="008904A8"/>
    <w:rsid w:val="00891D94"/>
    <w:rsid w:val="00895863"/>
    <w:rsid w:val="00896589"/>
    <w:rsid w:val="008A0CEE"/>
    <w:rsid w:val="008A19AF"/>
    <w:rsid w:val="008A20FB"/>
    <w:rsid w:val="008A4D88"/>
    <w:rsid w:val="008C1B22"/>
    <w:rsid w:val="008C2769"/>
    <w:rsid w:val="008C4C84"/>
    <w:rsid w:val="008C510F"/>
    <w:rsid w:val="008D067F"/>
    <w:rsid w:val="008D3283"/>
    <w:rsid w:val="008E07BF"/>
    <w:rsid w:val="008E437B"/>
    <w:rsid w:val="008E4D3F"/>
    <w:rsid w:val="008E5A8B"/>
    <w:rsid w:val="008E66B8"/>
    <w:rsid w:val="008F0A2E"/>
    <w:rsid w:val="008F1988"/>
    <w:rsid w:val="008F2B05"/>
    <w:rsid w:val="008F5E76"/>
    <w:rsid w:val="008F6252"/>
    <w:rsid w:val="009023F3"/>
    <w:rsid w:val="0090383C"/>
    <w:rsid w:val="00905D85"/>
    <w:rsid w:val="00911ACE"/>
    <w:rsid w:val="00912132"/>
    <w:rsid w:val="00913CAA"/>
    <w:rsid w:val="009215FD"/>
    <w:rsid w:val="00921EB6"/>
    <w:rsid w:val="009223C8"/>
    <w:rsid w:val="009226D2"/>
    <w:rsid w:val="00922FAD"/>
    <w:rsid w:val="00924F0A"/>
    <w:rsid w:val="00925082"/>
    <w:rsid w:val="00925726"/>
    <w:rsid w:val="00926904"/>
    <w:rsid w:val="009269F6"/>
    <w:rsid w:val="0092708B"/>
    <w:rsid w:val="009277F6"/>
    <w:rsid w:val="0093049D"/>
    <w:rsid w:val="009345CA"/>
    <w:rsid w:val="00935A32"/>
    <w:rsid w:val="00936A01"/>
    <w:rsid w:val="00937713"/>
    <w:rsid w:val="00937BD3"/>
    <w:rsid w:val="009404E7"/>
    <w:rsid w:val="009409CD"/>
    <w:rsid w:val="0094759E"/>
    <w:rsid w:val="00952C13"/>
    <w:rsid w:val="0095455D"/>
    <w:rsid w:val="00960128"/>
    <w:rsid w:val="00962BF1"/>
    <w:rsid w:val="00963237"/>
    <w:rsid w:val="00965889"/>
    <w:rsid w:val="00966820"/>
    <w:rsid w:val="00971E57"/>
    <w:rsid w:val="009723CF"/>
    <w:rsid w:val="00972F46"/>
    <w:rsid w:val="00973D3A"/>
    <w:rsid w:val="009741DC"/>
    <w:rsid w:val="0097652A"/>
    <w:rsid w:val="00976A37"/>
    <w:rsid w:val="00980037"/>
    <w:rsid w:val="00983B43"/>
    <w:rsid w:val="00984742"/>
    <w:rsid w:val="0098664E"/>
    <w:rsid w:val="0099161D"/>
    <w:rsid w:val="00991B37"/>
    <w:rsid w:val="00994497"/>
    <w:rsid w:val="009A0C90"/>
    <w:rsid w:val="009A169F"/>
    <w:rsid w:val="009B6208"/>
    <w:rsid w:val="009B71FF"/>
    <w:rsid w:val="009C3034"/>
    <w:rsid w:val="009C4BFF"/>
    <w:rsid w:val="009C7522"/>
    <w:rsid w:val="009D0FDD"/>
    <w:rsid w:val="009D3162"/>
    <w:rsid w:val="009D3181"/>
    <w:rsid w:val="009D3CD3"/>
    <w:rsid w:val="009D64A1"/>
    <w:rsid w:val="009D7B9B"/>
    <w:rsid w:val="009E067B"/>
    <w:rsid w:val="009E1BC8"/>
    <w:rsid w:val="009E25E2"/>
    <w:rsid w:val="009E40DA"/>
    <w:rsid w:val="009E717E"/>
    <w:rsid w:val="009E737D"/>
    <w:rsid w:val="009F18FA"/>
    <w:rsid w:val="009F554D"/>
    <w:rsid w:val="00A0197B"/>
    <w:rsid w:val="00A01E00"/>
    <w:rsid w:val="00A0249E"/>
    <w:rsid w:val="00A02768"/>
    <w:rsid w:val="00A037A5"/>
    <w:rsid w:val="00A03977"/>
    <w:rsid w:val="00A06013"/>
    <w:rsid w:val="00A0723D"/>
    <w:rsid w:val="00A104A7"/>
    <w:rsid w:val="00A12904"/>
    <w:rsid w:val="00A15DE9"/>
    <w:rsid w:val="00A15FBF"/>
    <w:rsid w:val="00A1616D"/>
    <w:rsid w:val="00A1783B"/>
    <w:rsid w:val="00A224AC"/>
    <w:rsid w:val="00A225F9"/>
    <w:rsid w:val="00A26FF7"/>
    <w:rsid w:val="00A27159"/>
    <w:rsid w:val="00A347EA"/>
    <w:rsid w:val="00A37A20"/>
    <w:rsid w:val="00A42007"/>
    <w:rsid w:val="00A445DC"/>
    <w:rsid w:val="00A44BEA"/>
    <w:rsid w:val="00A464B4"/>
    <w:rsid w:val="00A47C22"/>
    <w:rsid w:val="00A52713"/>
    <w:rsid w:val="00A5426F"/>
    <w:rsid w:val="00A55B14"/>
    <w:rsid w:val="00A5689C"/>
    <w:rsid w:val="00A569E8"/>
    <w:rsid w:val="00A57FAF"/>
    <w:rsid w:val="00A601C4"/>
    <w:rsid w:val="00A61D6E"/>
    <w:rsid w:val="00A70193"/>
    <w:rsid w:val="00A70C7A"/>
    <w:rsid w:val="00A711C6"/>
    <w:rsid w:val="00A71EBD"/>
    <w:rsid w:val="00A730F3"/>
    <w:rsid w:val="00A74B68"/>
    <w:rsid w:val="00A77EE1"/>
    <w:rsid w:val="00A80685"/>
    <w:rsid w:val="00A836F3"/>
    <w:rsid w:val="00A84863"/>
    <w:rsid w:val="00A901DE"/>
    <w:rsid w:val="00A91750"/>
    <w:rsid w:val="00A93BD0"/>
    <w:rsid w:val="00A95D95"/>
    <w:rsid w:val="00A96FB3"/>
    <w:rsid w:val="00A977B5"/>
    <w:rsid w:val="00A977EC"/>
    <w:rsid w:val="00AA2495"/>
    <w:rsid w:val="00AA3FD1"/>
    <w:rsid w:val="00AA52DE"/>
    <w:rsid w:val="00AA5B66"/>
    <w:rsid w:val="00AA5FE1"/>
    <w:rsid w:val="00AB11B3"/>
    <w:rsid w:val="00AB1DAF"/>
    <w:rsid w:val="00AB40EF"/>
    <w:rsid w:val="00AB43D9"/>
    <w:rsid w:val="00AB5ED3"/>
    <w:rsid w:val="00AB6B0C"/>
    <w:rsid w:val="00AB70CD"/>
    <w:rsid w:val="00AB7800"/>
    <w:rsid w:val="00AC1860"/>
    <w:rsid w:val="00AC37AF"/>
    <w:rsid w:val="00AC4898"/>
    <w:rsid w:val="00AC48B3"/>
    <w:rsid w:val="00AC7893"/>
    <w:rsid w:val="00AC7AC9"/>
    <w:rsid w:val="00AD1C54"/>
    <w:rsid w:val="00AD3060"/>
    <w:rsid w:val="00AD6B84"/>
    <w:rsid w:val="00AD7555"/>
    <w:rsid w:val="00AE1920"/>
    <w:rsid w:val="00AE76F8"/>
    <w:rsid w:val="00AF018E"/>
    <w:rsid w:val="00AF01B3"/>
    <w:rsid w:val="00AF0F13"/>
    <w:rsid w:val="00AF7992"/>
    <w:rsid w:val="00AF7CDD"/>
    <w:rsid w:val="00B00AB3"/>
    <w:rsid w:val="00B12C1C"/>
    <w:rsid w:val="00B12F21"/>
    <w:rsid w:val="00B14C52"/>
    <w:rsid w:val="00B15A22"/>
    <w:rsid w:val="00B200AA"/>
    <w:rsid w:val="00B200F8"/>
    <w:rsid w:val="00B203A9"/>
    <w:rsid w:val="00B229A5"/>
    <w:rsid w:val="00B2488E"/>
    <w:rsid w:val="00B25EB3"/>
    <w:rsid w:val="00B26988"/>
    <w:rsid w:val="00B2774A"/>
    <w:rsid w:val="00B340DC"/>
    <w:rsid w:val="00B41998"/>
    <w:rsid w:val="00B41F96"/>
    <w:rsid w:val="00B42056"/>
    <w:rsid w:val="00B478C3"/>
    <w:rsid w:val="00B52200"/>
    <w:rsid w:val="00B52715"/>
    <w:rsid w:val="00B56A0F"/>
    <w:rsid w:val="00B61348"/>
    <w:rsid w:val="00B6263F"/>
    <w:rsid w:val="00B67114"/>
    <w:rsid w:val="00B678C7"/>
    <w:rsid w:val="00B70368"/>
    <w:rsid w:val="00B7097C"/>
    <w:rsid w:val="00B72BCC"/>
    <w:rsid w:val="00B75449"/>
    <w:rsid w:val="00B76A60"/>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1D2"/>
    <w:rsid w:val="00BD2939"/>
    <w:rsid w:val="00BD5A75"/>
    <w:rsid w:val="00BD6BF7"/>
    <w:rsid w:val="00BE07A9"/>
    <w:rsid w:val="00BE1700"/>
    <w:rsid w:val="00BE2E36"/>
    <w:rsid w:val="00BE4D8F"/>
    <w:rsid w:val="00BE6380"/>
    <w:rsid w:val="00BE70F0"/>
    <w:rsid w:val="00BF0A3E"/>
    <w:rsid w:val="00BF26AC"/>
    <w:rsid w:val="00BF46A7"/>
    <w:rsid w:val="00BF5230"/>
    <w:rsid w:val="00BF6DA8"/>
    <w:rsid w:val="00C00289"/>
    <w:rsid w:val="00C1001C"/>
    <w:rsid w:val="00C1090C"/>
    <w:rsid w:val="00C12388"/>
    <w:rsid w:val="00C201FC"/>
    <w:rsid w:val="00C240C8"/>
    <w:rsid w:val="00C249AF"/>
    <w:rsid w:val="00C26513"/>
    <w:rsid w:val="00C328C9"/>
    <w:rsid w:val="00C339ED"/>
    <w:rsid w:val="00C35BA8"/>
    <w:rsid w:val="00C37F72"/>
    <w:rsid w:val="00C40246"/>
    <w:rsid w:val="00C4120A"/>
    <w:rsid w:val="00C420C1"/>
    <w:rsid w:val="00C43FEE"/>
    <w:rsid w:val="00C45963"/>
    <w:rsid w:val="00C472B8"/>
    <w:rsid w:val="00C50723"/>
    <w:rsid w:val="00C529FD"/>
    <w:rsid w:val="00C53124"/>
    <w:rsid w:val="00C538A9"/>
    <w:rsid w:val="00C53B2E"/>
    <w:rsid w:val="00C56B79"/>
    <w:rsid w:val="00C6160A"/>
    <w:rsid w:val="00C62B51"/>
    <w:rsid w:val="00C649D0"/>
    <w:rsid w:val="00C65711"/>
    <w:rsid w:val="00C66460"/>
    <w:rsid w:val="00C75283"/>
    <w:rsid w:val="00C75F58"/>
    <w:rsid w:val="00C76ECD"/>
    <w:rsid w:val="00C81EE0"/>
    <w:rsid w:val="00C8221C"/>
    <w:rsid w:val="00C84B63"/>
    <w:rsid w:val="00C84E04"/>
    <w:rsid w:val="00C86DC6"/>
    <w:rsid w:val="00C90D38"/>
    <w:rsid w:val="00C90F43"/>
    <w:rsid w:val="00C910BE"/>
    <w:rsid w:val="00C922BE"/>
    <w:rsid w:val="00CA10F9"/>
    <w:rsid w:val="00CA14F4"/>
    <w:rsid w:val="00CA583F"/>
    <w:rsid w:val="00CA5844"/>
    <w:rsid w:val="00CA7415"/>
    <w:rsid w:val="00CB135F"/>
    <w:rsid w:val="00CB265C"/>
    <w:rsid w:val="00CB2BDD"/>
    <w:rsid w:val="00CB32BC"/>
    <w:rsid w:val="00CB4540"/>
    <w:rsid w:val="00CB4951"/>
    <w:rsid w:val="00CB7A07"/>
    <w:rsid w:val="00CC59BB"/>
    <w:rsid w:val="00CC7AE4"/>
    <w:rsid w:val="00CD1B93"/>
    <w:rsid w:val="00CD3BD4"/>
    <w:rsid w:val="00CD3CC8"/>
    <w:rsid w:val="00CD3FC6"/>
    <w:rsid w:val="00CD4915"/>
    <w:rsid w:val="00CD60BD"/>
    <w:rsid w:val="00CD635D"/>
    <w:rsid w:val="00CD6DEE"/>
    <w:rsid w:val="00CD7C5B"/>
    <w:rsid w:val="00CD7CED"/>
    <w:rsid w:val="00CE04C7"/>
    <w:rsid w:val="00CE2AC9"/>
    <w:rsid w:val="00CE2AFE"/>
    <w:rsid w:val="00CE5A48"/>
    <w:rsid w:val="00CE7B14"/>
    <w:rsid w:val="00CF156B"/>
    <w:rsid w:val="00CF1E02"/>
    <w:rsid w:val="00CF1F3E"/>
    <w:rsid w:val="00CF4BD6"/>
    <w:rsid w:val="00CF597A"/>
    <w:rsid w:val="00CF793E"/>
    <w:rsid w:val="00D00228"/>
    <w:rsid w:val="00D00DA0"/>
    <w:rsid w:val="00D0103F"/>
    <w:rsid w:val="00D03E34"/>
    <w:rsid w:val="00D05BAA"/>
    <w:rsid w:val="00D07F26"/>
    <w:rsid w:val="00D11408"/>
    <w:rsid w:val="00D11A09"/>
    <w:rsid w:val="00D11BCD"/>
    <w:rsid w:val="00D13B7A"/>
    <w:rsid w:val="00D161A8"/>
    <w:rsid w:val="00D17FD1"/>
    <w:rsid w:val="00D226CC"/>
    <w:rsid w:val="00D22C4B"/>
    <w:rsid w:val="00D230C7"/>
    <w:rsid w:val="00D23583"/>
    <w:rsid w:val="00D235E7"/>
    <w:rsid w:val="00D23E7D"/>
    <w:rsid w:val="00D2405F"/>
    <w:rsid w:val="00D247B7"/>
    <w:rsid w:val="00D26C71"/>
    <w:rsid w:val="00D27081"/>
    <w:rsid w:val="00D30C7F"/>
    <w:rsid w:val="00D32DFB"/>
    <w:rsid w:val="00D41421"/>
    <w:rsid w:val="00D41998"/>
    <w:rsid w:val="00D41BA9"/>
    <w:rsid w:val="00D44059"/>
    <w:rsid w:val="00D4511A"/>
    <w:rsid w:val="00D5000E"/>
    <w:rsid w:val="00D51813"/>
    <w:rsid w:val="00D52376"/>
    <w:rsid w:val="00D53EE6"/>
    <w:rsid w:val="00D562E8"/>
    <w:rsid w:val="00D57ED8"/>
    <w:rsid w:val="00D612C2"/>
    <w:rsid w:val="00D64D38"/>
    <w:rsid w:val="00D745E0"/>
    <w:rsid w:val="00D76AA3"/>
    <w:rsid w:val="00D80604"/>
    <w:rsid w:val="00D86529"/>
    <w:rsid w:val="00D86A86"/>
    <w:rsid w:val="00D8791E"/>
    <w:rsid w:val="00D92438"/>
    <w:rsid w:val="00D96A55"/>
    <w:rsid w:val="00DA0040"/>
    <w:rsid w:val="00DA086B"/>
    <w:rsid w:val="00DA1D7A"/>
    <w:rsid w:val="00DA5E0A"/>
    <w:rsid w:val="00DA6834"/>
    <w:rsid w:val="00DA7145"/>
    <w:rsid w:val="00DA78D8"/>
    <w:rsid w:val="00DA7E05"/>
    <w:rsid w:val="00DB4794"/>
    <w:rsid w:val="00DB4D7B"/>
    <w:rsid w:val="00DB5C3E"/>
    <w:rsid w:val="00DB628E"/>
    <w:rsid w:val="00DB6D98"/>
    <w:rsid w:val="00DC4070"/>
    <w:rsid w:val="00DC4BB5"/>
    <w:rsid w:val="00DE1DE6"/>
    <w:rsid w:val="00DE1E39"/>
    <w:rsid w:val="00DE4C73"/>
    <w:rsid w:val="00DE513D"/>
    <w:rsid w:val="00DE6D42"/>
    <w:rsid w:val="00DE6DA4"/>
    <w:rsid w:val="00DF20A3"/>
    <w:rsid w:val="00DF235C"/>
    <w:rsid w:val="00DF426D"/>
    <w:rsid w:val="00DF47D6"/>
    <w:rsid w:val="00DF4D5A"/>
    <w:rsid w:val="00DF5425"/>
    <w:rsid w:val="00DF782C"/>
    <w:rsid w:val="00E030A0"/>
    <w:rsid w:val="00E04F16"/>
    <w:rsid w:val="00E075A1"/>
    <w:rsid w:val="00E0797A"/>
    <w:rsid w:val="00E07BF2"/>
    <w:rsid w:val="00E11D5D"/>
    <w:rsid w:val="00E124E3"/>
    <w:rsid w:val="00E12F81"/>
    <w:rsid w:val="00E14812"/>
    <w:rsid w:val="00E15231"/>
    <w:rsid w:val="00E15DDE"/>
    <w:rsid w:val="00E17B19"/>
    <w:rsid w:val="00E2339E"/>
    <w:rsid w:val="00E300BB"/>
    <w:rsid w:val="00E31D0A"/>
    <w:rsid w:val="00E3245B"/>
    <w:rsid w:val="00E32733"/>
    <w:rsid w:val="00E32DCD"/>
    <w:rsid w:val="00E32DF0"/>
    <w:rsid w:val="00E3707B"/>
    <w:rsid w:val="00E42E99"/>
    <w:rsid w:val="00E50685"/>
    <w:rsid w:val="00E57547"/>
    <w:rsid w:val="00E57F6B"/>
    <w:rsid w:val="00E609CE"/>
    <w:rsid w:val="00E6234F"/>
    <w:rsid w:val="00E64735"/>
    <w:rsid w:val="00E67508"/>
    <w:rsid w:val="00E67AC7"/>
    <w:rsid w:val="00E7134F"/>
    <w:rsid w:val="00E7342C"/>
    <w:rsid w:val="00E736E9"/>
    <w:rsid w:val="00E7550F"/>
    <w:rsid w:val="00E76363"/>
    <w:rsid w:val="00E8376A"/>
    <w:rsid w:val="00E90BB8"/>
    <w:rsid w:val="00E90BE3"/>
    <w:rsid w:val="00E91374"/>
    <w:rsid w:val="00E91D81"/>
    <w:rsid w:val="00E92BC2"/>
    <w:rsid w:val="00E92C74"/>
    <w:rsid w:val="00EA010E"/>
    <w:rsid w:val="00EA160B"/>
    <w:rsid w:val="00EA18A7"/>
    <w:rsid w:val="00EA28AB"/>
    <w:rsid w:val="00EA6197"/>
    <w:rsid w:val="00EA6FBF"/>
    <w:rsid w:val="00EB1E33"/>
    <w:rsid w:val="00EB479A"/>
    <w:rsid w:val="00EB4DA6"/>
    <w:rsid w:val="00EB7B0A"/>
    <w:rsid w:val="00EC0881"/>
    <w:rsid w:val="00EC6F1D"/>
    <w:rsid w:val="00EC74F9"/>
    <w:rsid w:val="00ED13DE"/>
    <w:rsid w:val="00ED1996"/>
    <w:rsid w:val="00ED2843"/>
    <w:rsid w:val="00ED2F55"/>
    <w:rsid w:val="00ED5ED8"/>
    <w:rsid w:val="00EE0C95"/>
    <w:rsid w:val="00EE3F0F"/>
    <w:rsid w:val="00EE4D7D"/>
    <w:rsid w:val="00EF0199"/>
    <w:rsid w:val="00EF0889"/>
    <w:rsid w:val="00EF7427"/>
    <w:rsid w:val="00F0263C"/>
    <w:rsid w:val="00F037C3"/>
    <w:rsid w:val="00F0402A"/>
    <w:rsid w:val="00F07266"/>
    <w:rsid w:val="00F07EA5"/>
    <w:rsid w:val="00F15B67"/>
    <w:rsid w:val="00F16313"/>
    <w:rsid w:val="00F1700E"/>
    <w:rsid w:val="00F20820"/>
    <w:rsid w:val="00F20FF1"/>
    <w:rsid w:val="00F21682"/>
    <w:rsid w:val="00F24317"/>
    <w:rsid w:val="00F27AC7"/>
    <w:rsid w:val="00F3094A"/>
    <w:rsid w:val="00F32641"/>
    <w:rsid w:val="00F34974"/>
    <w:rsid w:val="00F35457"/>
    <w:rsid w:val="00F3595B"/>
    <w:rsid w:val="00F367F3"/>
    <w:rsid w:val="00F36A26"/>
    <w:rsid w:val="00F41F54"/>
    <w:rsid w:val="00F42360"/>
    <w:rsid w:val="00F426A6"/>
    <w:rsid w:val="00F429FD"/>
    <w:rsid w:val="00F4623C"/>
    <w:rsid w:val="00F46A58"/>
    <w:rsid w:val="00F46AD7"/>
    <w:rsid w:val="00F56399"/>
    <w:rsid w:val="00F606BB"/>
    <w:rsid w:val="00F651C6"/>
    <w:rsid w:val="00F70113"/>
    <w:rsid w:val="00F7423C"/>
    <w:rsid w:val="00F746E3"/>
    <w:rsid w:val="00F76C17"/>
    <w:rsid w:val="00F7709C"/>
    <w:rsid w:val="00F7750A"/>
    <w:rsid w:val="00F80006"/>
    <w:rsid w:val="00F80084"/>
    <w:rsid w:val="00F81C0F"/>
    <w:rsid w:val="00F95676"/>
    <w:rsid w:val="00F96401"/>
    <w:rsid w:val="00F9690B"/>
    <w:rsid w:val="00F9692E"/>
    <w:rsid w:val="00FA0A0F"/>
    <w:rsid w:val="00FA190F"/>
    <w:rsid w:val="00FA3F8B"/>
    <w:rsid w:val="00FA5477"/>
    <w:rsid w:val="00FA56FF"/>
    <w:rsid w:val="00FA767D"/>
    <w:rsid w:val="00FB693B"/>
    <w:rsid w:val="00FB7DE9"/>
    <w:rsid w:val="00FC25D9"/>
    <w:rsid w:val="00FC2A86"/>
    <w:rsid w:val="00FC3C96"/>
    <w:rsid w:val="00FD2470"/>
    <w:rsid w:val="00FD5823"/>
    <w:rsid w:val="00FD7BE0"/>
    <w:rsid w:val="00FE1C27"/>
    <w:rsid w:val="00FE326F"/>
    <w:rsid w:val="00FE5C31"/>
    <w:rsid w:val="00FF0CBA"/>
    <w:rsid w:val="00FF0F20"/>
    <w:rsid w:val="00FF1B0E"/>
    <w:rsid w:val="00FF268A"/>
    <w:rsid w:val="00FF748B"/>
    <w:rsid w:val="01214887"/>
    <w:rsid w:val="017716F4"/>
    <w:rsid w:val="01B54419"/>
    <w:rsid w:val="020C2745"/>
    <w:rsid w:val="02801922"/>
    <w:rsid w:val="03421C69"/>
    <w:rsid w:val="037E2842"/>
    <w:rsid w:val="03E72B61"/>
    <w:rsid w:val="0404485F"/>
    <w:rsid w:val="04351DA3"/>
    <w:rsid w:val="04FF212C"/>
    <w:rsid w:val="053F6F8A"/>
    <w:rsid w:val="05600E1D"/>
    <w:rsid w:val="056F72B2"/>
    <w:rsid w:val="05865FC3"/>
    <w:rsid w:val="05D03123"/>
    <w:rsid w:val="05ED5614"/>
    <w:rsid w:val="06466101"/>
    <w:rsid w:val="0696261C"/>
    <w:rsid w:val="07057767"/>
    <w:rsid w:val="07375BAD"/>
    <w:rsid w:val="07467947"/>
    <w:rsid w:val="07944F94"/>
    <w:rsid w:val="07E90CA8"/>
    <w:rsid w:val="09CB2228"/>
    <w:rsid w:val="0A8C3030"/>
    <w:rsid w:val="0AF62A2D"/>
    <w:rsid w:val="0B41349E"/>
    <w:rsid w:val="0B787F98"/>
    <w:rsid w:val="0B7F1162"/>
    <w:rsid w:val="0B814643"/>
    <w:rsid w:val="0B8B102A"/>
    <w:rsid w:val="0BC320A0"/>
    <w:rsid w:val="0BE502CE"/>
    <w:rsid w:val="0CE916F8"/>
    <w:rsid w:val="0D2B22B2"/>
    <w:rsid w:val="0DD860B6"/>
    <w:rsid w:val="0E5723AE"/>
    <w:rsid w:val="0F052A35"/>
    <w:rsid w:val="0F566DED"/>
    <w:rsid w:val="10075B8E"/>
    <w:rsid w:val="10076870"/>
    <w:rsid w:val="100B479C"/>
    <w:rsid w:val="10E741A0"/>
    <w:rsid w:val="10F70E4F"/>
    <w:rsid w:val="11166E30"/>
    <w:rsid w:val="114C7209"/>
    <w:rsid w:val="1195221F"/>
    <w:rsid w:val="11CA13B9"/>
    <w:rsid w:val="122B584E"/>
    <w:rsid w:val="12631F4C"/>
    <w:rsid w:val="127B2EF1"/>
    <w:rsid w:val="12975E76"/>
    <w:rsid w:val="1299771C"/>
    <w:rsid w:val="13E76BAD"/>
    <w:rsid w:val="141379A2"/>
    <w:rsid w:val="147A5E14"/>
    <w:rsid w:val="156D6C3E"/>
    <w:rsid w:val="163A6CA3"/>
    <w:rsid w:val="163C6A09"/>
    <w:rsid w:val="166341F0"/>
    <w:rsid w:val="178B0B76"/>
    <w:rsid w:val="17A1211B"/>
    <w:rsid w:val="17FC03BD"/>
    <w:rsid w:val="182757CA"/>
    <w:rsid w:val="182F4CA9"/>
    <w:rsid w:val="18716C75"/>
    <w:rsid w:val="1877066F"/>
    <w:rsid w:val="18ED7A84"/>
    <w:rsid w:val="19A9051C"/>
    <w:rsid w:val="1A4101B0"/>
    <w:rsid w:val="1AB958C8"/>
    <w:rsid w:val="1B803B6F"/>
    <w:rsid w:val="1BBE6FFE"/>
    <w:rsid w:val="1BEE6336"/>
    <w:rsid w:val="1C5E575A"/>
    <w:rsid w:val="1CBA2B1F"/>
    <w:rsid w:val="1D085579"/>
    <w:rsid w:val="1D253F28"/>
    <w:rsid w:val="1D2A00F3"/>
    <w:rsid w:val="1D526E45"/>
    <w:rsid w:val="1E2527AC"/>
    <w:rsid w:val="1E9D4AA8"/>
    <w:rsid w:val="1F0440EA"/>
    <w:rsid w:val="1F134CFA"/>
    <w:rsid w:val="1FEB532F"/>
    <w:rsid w:val="201D3350"/>
    <w:rsid w:val="20C718F8"/>
    <w:rsid w:val="215B0293"/>
    <w:rsid w:val="21864056"/>
    <w:rsid w:val="21F84617"/>
    <w:rsid w:val="22052915"/>
    <w:rsid w:val="22605FFE"/>
    <w:rsid w:val="22AD4B1E"/>
    <w:rsid w:val="230E1FCE"/>
    <w:rsid w:val="23BA3996"/>
    <w:rsid w:val="249E5066"/>
    <w:rsid w:val="24F05952"/>
    <w:rsid w:val="2500546F"/>
    <w:rsid w:val="25056E93"/>
    <w:rsid w:val="250C0222"/>
    <w:rsid w:val="259A3A7F"/>
    <w:rsid w:val="260003D8"/>
    <w:rsid w:val="26365806"/>
    <w:rsid w:val="263F224F"/>
    <w:rsid w:val="265448F0"/>
    <w:rsid w:val="26C60350"/>
    <w:rsid w:val="26FC6074"/>
    <w:rsid w:val="27466470"/>
    <w:rsid w:val="27577AEE"/>
    <w:rsid w:val="27672FCC"/>
    <w:rsid w:val="27BB513C"/>
    <w:rsid w:val="281318C7"/>
    <w:rsid w:val="291D0C4F"/>
    <w:rsid w:val="293935AF"/>
    <w:rsid w:val="295108F9"/>
    <w:rsid w:val="29A46E4B"/>
    <w:rsid w:val="2A6961E3"/>
    <w:rsid w:val="2AA01F44"/>
    <w:rsid w:val="2AD359D3"/>
    <w:rsid w:val="2AE337D3"/>
    <w:rsid w:val="2B1B11BE"/>
    <w:rsid w:val="2B3655EC"/>
    <w:rsid w:val="2B55648C"/>
    <w:rsid w:val="2C932FD6"/>
    <w:rsid w:val="2CB52F4D"/>
    <w:rsid w:val="2CF241A1"/>
    <w:rsid w:val="2D0F5A74"/>
    <w:rsid w:val="2D4B565F"/>
    <w:rsid w:val="2D7A194D"/>
    <w:rsid w:val="2DFA2355"/>
    <w:rsid w:val="2E21434E"/>
    <w:rsid w:val="2E22498F"/>
    <w:rsid w:val="2F260EC3"/>
    <w:rsid w:val="2F445A67"/>
    <w:rsid w:val="2F794705"/>
    <w:rsid w:val="2FB67708"/>
    <w:rsid w:val="2FD656B4"/>
    <w:rsid w:val="3077068E"/>
    <w:rsid w:val="30B359F5"/>
    <w:rsid w:val="30E12562"/>
    <w:rsid w:val="30F95CAD"/>
    <w:rsid w:val="30FB27C9"/>
    <w:rsid w:val="312F6B94"/>
    <w:rsid w:val="31E51C4C"/>
    <w:rsid w:val="3241294C"/>
    <w:rsid w:val="32B82B1F"/>
    <w:rsid w:val="33BE18E5"/>
    <w:rsid w:val="33DB598F"/>
    <w:rsid w:val="33E6551B"/>
    <w:rsid w:val="33F94067"/>
    <w:rsid w:val="345D45F6"/>
    <w:rsid w:val="34711E4F"/>
    <w:rsid w:val="3491604D"/>
    <w:rsid w:val="34C16C2B"/>
    <w:rsid w:val="360D760C"/>
    <w:rsid w:val="36DA1F2E"/>
    <w:rsid w:val="36EC1C61"/>
    <w:rsid w:val="37431A2E"/>
    <w:rsid w:val="37826121"/>
    <w:rsid w:val="37D048EA"/>
    <w:rsid w:val="37D56B99"/>
    <w:rsid w:val="37FA30C9"/>
    <w:rsid w:val="380F5C07"/>
    <w:rsid w:val="384855BD"/>
    <w:rsid w:val="384B0D26"/>
    <w:rsid w:val="38653A79"/>
    <w:rsid w:val="38960554"/>
    <w:rsid w:val="38F1355F"/>
    <w:rsid w:val="39804764"/>
    <w:rsid w:val="3A683CF4"/>
    <w:rsid w:val="3A7E0E22"/>
    <w:rsid w:val="3B5D312D"/>
    <w:rsid w:val="3BC86725"/>
    <w:rsid w:val="3BD72EE0"/>
    <w:rsid w:val="3BF62C4E"/>
    <w:rsid w:val="3CB04C94"/>
    <w:rsid w:val="3CD046F4"/>
    <w:rsid w:val="3DA00552"/>
    <w:rsid w:val="3DFB296A"/>
    <w:rsid w:val="3E3A1504"/>
    <w:rsid w:val="3E4747E4"/>
    <w:rsid w:val="3E7A5DA4"/>
    <w:rsid w:val="3ECF60F0"/>
    <w:rsid w:val="3F373C95"/>
    <w:rsid w:val="3F833A0C"/>
    <w:rsid w:val="3FC64D76"/>
    <w:rsid w:val="3FD85478"/>
    <w:rsid w:val="406334F2"/>
    <w:rsid w:val="406B009A"/>
    <w:rsid w:val="40780DC9"/>
    <w:rsid w:val="413512B3"/>
    <w:rsid w:val="416D1BF0"/>
    <w:rsid w:val="419A72A2"/>
    <w:rsid w:val="41DB4DAC"/>
    <w:rsid w:val="41F01DCA"/>
    <w:rsid w:val="41F164DF"/>
    <w:rsid w:val="42660B19"/>
    <w:rsid w:val="42B9333F"/>
    <w:rsid w:val="42F11EAE"/>
    <w:rsid w:val="430B7913"/>
    <w:rsid w:val="430C4F35"/>
    <w:rsid w:val="43544FFA"/>
    <w:rsid w:val="43613014"/>
    <w:rsid w:val="43726DDD"/>
    <w:rsid w:val="440305EA"/>
    <w:rsid w:val="447946C2"/>
    <w:rsid w:val="448D4626"/>
    <w:rsid w:val="44913F9A"/>
    <w:rsid w:val="44945323"/>
    <w:rsid w:val="44C60AEC"/>
    <w:rsid w:val="45075D21"/>
    <w:rsid w:val="452C7897"/>
    <w:rsid w:val="453A628D"/>
    <w:rsid w:val="45C36283"/>
    <w:rsid w:val="463831FC"/>
    <w:rsid w:val="466E1481"/>
    <w:rsid w:val="46CC260D"/>
    <w:rsid w:val="473C3A81"/>
    <w:rsid w:val="4741374E"/>
    <w:rsid w:val="474E6107"/>
    <w:rsid w:val="47631ACB"/>
    <w:rsid w:val="47881532"/>
    <w:rsid w:val="482429A0"/>
    <w:rsid w:val="486B59AD"/>
    <w:rsid w:val="48BE55D6"/>
    <w:rsid w:val="493A2D00"/>
    <w:rsid w:val="496F0BFB"/>
    <w:rsid w:val="497B7CB3"/>
    <w:rsid w:val="49B93C25"/>
    <w:rsid w:val="49DA3957"/>
    <w:rsid w:val="4A4F6337"/>
    <w:rsid w:val="4A7D2EA4"/>
    <w:rsid w:val="4A8F4E9D"/>
    <w:rsid w:val="4ABD5996"/>
    <w:rsid w:val="4B1A2446"/>
    <w:rsid w:val="4B2D12E0"/>
    <w:rsid w:val="4BAD61C1"/>
    <w:rsid w:val="4BD71E3C"/>
    <w:rsid w:val="4BEB6B31"/>
    <w:rsid w:val="4C2757BD"/>
    <w:rsid w:val="4C371778"/>
    <w:rsid w:val="4CC05116"/>
    <w:rsid w:val="4DD03C33"/>
    <w:rsid w:val="4DD36371"/>
    <w:rsid w:val="4E0F0C89"/>
    <w:rsid w:val="4E27472D"/>
    <w:rsid w:val="4E8A5B90"/>
    <w:rsid w:val="4EAD60AE"/>
    <w:rsid w:val="4F433FD0"/>
    <w:rsid w:val="4F441A3F"/>
    <w:rsid w:val="4F4652FF"/>
    <w:rsid w:val="4FB86A79"/>
    <w:rsid w:val="4FCF048E"/>
    <w:rsid w:val="50511165"/>
    <w:rsid w:val="5090255D"/>
    <w:rsid w:val="51C448E2"/>
    <w:rsid w:val="5269632F"/>
    <w:rsid w:val="52D92ACB"/>
    <w:rsid w:val="52DC0E7D"/>
    <w:rsid w:val="52FE08FA"/>
    <w:rsid w:val="53AE2320"/>
    <w:rsid w:val="53B4776F"/>
    <w:rsid w:val="53CE4770"/>
    <w:rsid w:val="53D30662"/>
    <w:rsid w:val="544416AE"/>
    <w:rsid w:val="54482775"/>
    <w:rsid w:val="54AC6338"/>
    <w:rsid w:val="550D4D66"/>
    <w:rsid w:val="552C749F"/>
    <w:rsid w:val="56777341"/>
    <w:rsid w:val="56D42470"/>
    <w:rsid w:val="57620937"/>
    <w:rsid w:val="5815308E"/>
    <w:rsid w:val="585175C5"/>
    <w:rsid w:val="58A212BE"/>
    <w:rsid w:val="598558D1"/>
    <w:rsid w:val="5ABC2BB3"/>
    <w:rsid w:val="5AE91E90"/>
    <w:rsid w:val="5B152C85"/>
    <w:rsid w:val="5B2D7FCE"/>
    <w:rsid w:val="5C990449"/>
    <w:rsid w:val="5CA67F0E"/>
    <w:rsid w:val="5D2E043D"/>
    <w:rsid w:val="5D597F43"/>
    <w:rsid w:val="5D660705"/>
    <w:rsid w:val="5D6B3030"/>
    <w:rsid w:val="5DEA03F9"/>
    <w:rsid w:val="5DF27165"/>
    <w:rsid w:val="5E1E00A2"/>
    <w:rsid w:val="5E2D6537"/>
    <w:rsid w:val="5E96232F"/>
    <w:rsid w:val="5F593A88"/>
    <w:rsid w:val="5F9A5E4E"/>
    <w:rsid w:val="5FB40CBE"/>
    <w:rsid w:val="60621FBE"/>
    <w:rsid w:val="6065645C"/>
    <w:rsid w:val="618D14DA"/>
    <w:rsid w:val="61C15914"/>
    <w:rsid w:val="62AB703F"/>
    <w:rsid w:val="62ED0FD3"/>
    <w:rsid w:val="62ED5818"/>
    <w:rsid w:val="6377255F"/>
    <w:rsid w:val="63CB2A7A"/>
    <w:rsid w:val="63ED479F"/>
    <w:rsid w:val="6440510F"/>
    <w:rsid w:val="649B196B"/>
    <w:rsid w:val="654176B6"/>
    <w:rsid w:val="65444892"/>
    <w:rsid w:val="66DB4D83"/>
    <w:rsid w:val="67730CDC"/>
    <w:rsid w:val="682236C3"/>
    <w:rsid w:val="68BB310D"/>
    <w:rsid w:val="69256789"/>
    <w:rsid w:val="692A1FF1"/>
    <w:rsid w:val="69414D66"/>
    <w:rsid w:val="6951198E"/>
    <w:rsid w:val="69D87C9F"/>
    <w:rsid w:val="6AF02729"/>
    <w:rsid w:val="6B364C7D"/>
    <w:rsid w:val="6B3E7FD6"/>
    <w:rsid w:val="6B5674E0"/>
    <w:rsid w:val="6B7E03D2"/>
    <w:rsid w:val="6E245993"/>
    <w:rsid w:val="6E386631"/>
    <w:rsid w:val="6E515ACB"/>
    <w:rsid w:val="6EF56BFD"/>
    <w:rsid w:val="6F5778B8"/>
    <w:rsid w:val="6F963F3C"/>
    <w:rsid w:val="6FD11419"/>
    <w:rsid w:val="6FE969BF"/>
    <w:rsid w:val="6FF84BF7"/>
    <w:rsid w:val="6FFA467F"/>
    <w:rsid w:val="70981F36"/>
    <w:rsid w:val="70A049F5"/>
    <w:rsid w:val="70A662EE"/>
    <w:rsid w:val="71145A61"/>
    <w:rsid w:val="71EA0570"/>
    <w:rsid w:val="723B76E8"/>
    <w:rsid w:val="72400C88"/>
    <w:rsid w:val="72B24BD2"/>
    <w:rsid w:val="7315161C"/>
    <w:rsid w:val="735C724B"/>
    <w:rsid w:val="741A2BBC"/>
    <w:rsid w:val="74224411"/>
    <w:rsid w:val="74936C9D"/>
    <w:rsid w:val="74D70DF7"/>
    <w:rsid w:val="74E63744"/>
    <w:rsid w:val="75736ACE"/>
    <w:rsid w:val="75860393"/>
    <w:rsid w:val="76016C2E"/>
    <w:rsid w:val="763716B2"/>
    <w:rsid w:val="77186319"/>
    <w:rsid w:val="77383B2B"/>
    <w:rsid w:val="78194D1E"/>
    <w:rsid w:val="782E3326"/>
    <w:rsid w:val="789F3DA6"/>
    <w:rsid w:val="78A52377"/>
    <w:rsid w:val="78D73194"/>
    <w:rsid w:val="797C23F5"/>
    <w:rsid w:val="79B31E53"/>
    <w:rsid w:val="79BF0DC5"/>
    <w:rsid w:val="79E461EC"/>
    <w:rsid w:val="7A0E301C"/>
    <w:rsid w:val="7A4B256A"/>
    <w:rsid w:val="7A4B53BD"/>
    <w:rsid w:val="7A637111"/>
    <w:rsid w:val="7AAD2B84"/>
    <w:rsid w:val="7B5B7497"/>
    <w:rsid w:val="7B9003DA"/>
    <w:rsid w:val="7B91572C"/>
    <w:rsid w:val="7B933A26"/>
    <w:rsid w:val="7BF85F7F"/>
    <w:rsid w:val="7CE75E18"/>
    <w:rsid w:val="7D4A26D8"/>
    <w:rsid w:val="7D5B4A17"/>
    <w:rsid w:val="7D7B6E68"/>
    <w:rsid w:val="7F032C71"/>
    <w:rsid w:val="7F895DAF"/>
    <w:rsid w:val="7FA87975"/>
    <w:rsid w:val="7FCC096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snapToGrid w:val="0"/>
      <w:spacing w:line="360" w:lineRule="atLeast"/>
      <w:outlineLvl w:val="0"/>
    </w:pPr>
    <w:rPr>
      <w:rFonts w:ascii="宋体"/>
    </w:rPr>
  </w:style>
  <w:style w:type="paragraph" w:styleId="3">
    <w:name w:val="heading 2"/>
    <w:basedOn w:val="1"/>
    <w:next w:val="1"/>
    <w:link w:val="72"/>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73"/>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4">
    <w:name w:val="Default Paragraph Font"/>
    <w:qFormat/>
    <w:uiPriority w:val="0"/>
  </w:style>
  <w:style w:type="table" w:default="1" w:styleId="62">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index 5"/>
    <w:basedOn w:val="1"/>
    <w:next w:val="1"/>
    <w:qFormat/>
    <w:uiPriority w:val="0"/>
    <w:pPr>
      <w:ind w:left="1680"/>
    </w:pPr>
    <w:rPr>
      <w:rFonts w:ascii="方正仿宋_GBK" w:eastAsia="方正仿宋_GBK"/>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4"/>
    <w:qFormat/>
    <w:uiPriority w:val="0"/>
    <w:pPr>
      <w:adjustRightInd w:val="0"/>
      <w:spacing w:line="360" w:lineRule="atLeast"/>
      <w:jc w:val="left"/>
      <w:textAlignment w:val="baseline"/>
    </w:pPr>
    <w:rPr>
      <w:kern w:val="0"/>
      <w:sz w:val="24"/>
    </w:rPr>
  </w:style>
  <w:style w:type="paragraph" w:styleId="21">
    <w:name w:val="index 6"/>
    <w:basedOn w:val="1"/>
    <w:next w:val="1"/>
    <w:qFormat/>
    <w:uiPriority w:val="0"/>
    <w:pPr>
      <w:ind w:left="2100"/>
    </w:p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w:basedOn w:val="1"/>
    <w:next w:val="25"/>
    <w:link w:val="75"/>
    <w:qFormat/>
    <w:uiPriority w:val="0"/>
    <w:rPr>
      <w:rFonts w:ascii="仿宋_GB2312" w:eastAsia="仿宋_GB2312"/>
      <w:sz w:val="32"/>
    </w:rPr>
  </w:style>
  <w:style w:type="paragraph" w:customStyle="1" w:styleId="25">
    <w:name w:val="默认"/>
    <w:qFormat/>
    <w:uiPriority w:val="0"/>
    <w:rPr>
      <w:rFonts w:ascii="Helvetica" w:hAnsi="Helvetica" w:eastAsia="Helvetica" w:cs="Helvetica"/>
      <w:color w:val="000000"/>
      <w:sz w:val="22"/>
      <w:szCs w:val="22"/>
      <w:lang w:val="en-US" w:eastAsia="zh-CN" w:bidi="ar-SA"/>
    </w:rPr>
  </w:style>
  <w:style w:type="paragraph" w:styleId="26">
    <w:name w:val="Body Text Indent"/>
    <w:basedOn w:val="1"/>
    <w:link w:val="76"/>
    <w:qFormat/>
    <w:uiPriority w:val="0"/>
    <w:pPr>
      <w:spacing w:line="700" w:lineRule="exact"/>
      <w:ind w:left="960"/>
    </w:pPr>
    <w:rPr>
      <w:sz w:val="44"/>
    </w:rPr>
  </w:style>
  <w:style w:type="paragraph" w:styleId="27">
    <w:name w:val="List Number 3"/>
    <w:basedOn w:val="1"/>
    <w:qFormat/>
    <w:uiPriority w:val="0"/>
    <w:pPr>
      <w:tabs>
        <w:tab w:val="left" w:pos="2120"/>
      </w:tabs>
      <w:adjustRightInd w:val="0"/>
      <w:snapToGrid w:val="0"/>
      <w:spacing w:line="360" w:lineRule="auto"/>
      <w:ind w:left="2120" w:hanging="720"/>
    </w:pPr>
    <w:rPr>
      <w:sz w:val="24"/>
    </w:rPr>
  </w:style>
  <w:style w:type="paragraph" w:styleId="28">
    <w:name w:val="List 2"/>
    <w:basedOn w:val="1"/>
    <w:qFormat/>
    <w:uiPriority w:val="0"/>
    <w:pPr>
      <w:adjustRightInd w:val="0"/>
      <w:snapToGrid w:val="0"/>
      <w:spacing w:line="360" w:lineRule="auto"/>
      <w:ind w:left="100" w:leftChars="200" w:hanging="200" w:hangingChars="200"/>
    </w:pPr>
    <w:rPr>
      <w:sz w:val="24"/>
    </w:rPr>
  </w:style>
  <w:style w:type="paragraph" w:styleId="29">
    <w:name w:val="List Continue"/>
    <w:basedOn w:val="1"/>
    <w:qFormat/>
    <w:uiPriority w:val="0"/>
    <w:pPr>
      <w:adjustRightInd w:val="0"/>
      <w:snapToGrid w:val="0"/>
      <w:spacing w:after="120" w:afterLines="0" w:afterAutospacing="0" w:line="360" w:lineRule="auto"/>
      <w:ind w:left="420" w:leftChars="200"/>
    </w:pPr>
    <w:rPr>
      <w:sz w:val="24"/>
    </w:rPr>
  </w:style>
  <w:style w:type="paragraph" w:styleId="30">
    <w:name w:val="Block Text"/>
    <w:basedOn w:val="1"/>
    <w:qFormat/>
    <w:uiPriority w:val="0"/>
    <w:pPr>
      <w:adjustRightInd w:val="0"/>
      <w:spacing w:line="300" w:lineRule="auto"/>
      <w:ind w:left="958" w:right="-120" w:rightChars="-120"/>
      <w:jc w:val="left"/>
    </w:pPr>
    <w:rPr>
      <w:rFonts w:ascii="宋体" w:hAnsi="宋体"/>
      <w:sz w:val="28"/>
    </w:rPr>
  </w:style>
  <w:style w:type="paragraph" w:styleId="31">
    <w:name w:val="List Bullet 2"/>
    <w:basedOn w:val="1"/>
    <w:qFormat/>
    <w:uiPriority w:val="0"/>
    <w:pPr>
      <w:numPr>
        <w:ilvl w:val="0"/>
        <w:numId w:val="4"/>
      </w:numPr>
      <w:adjustRightInd w:val="0"/>
      <w:snapToGrid w:val="0"/>
      <w:spacing w:line="360" w:lineRule="auto"/>
    </w:pPr>
    <w:rPr>
      <w:sz w:val="24"/>
    </w:rPr>
  </w:style>
  <w:style w:type="paragraph" w:styleId="32">
    <w:name w:val="toc 5"/>
    <w:basedOn w:val="1"/>
    <w:next w:val="1"/>
    <w:qFormat/>
    <w:uiPriority w:val="0"/>
    <w:pPr>
      <w:ind w:left="1680" w:leftChars="800"/>
    </w:pPr>
  </w:style>
  <w:style w:type="paragraph" w:styleId="33">
    <w:name w:val="toc 3"/>
    <w:basedOn w:val="1"/>
    <w:next w:val="1"/>
    <w:qFormat/>
    <w:uiPriority w:val="39"/>
    <w:pPr>
      <w:ind w:left="840" w:leftChars="400"/>
    </w:pPr>
  </w:style>
  <w:style w:type="paragraph" w:styleId="34">
    <w:name w:val="Plain Text"/>
    <w:basedOn w:val="1"/>
    <w:qFormat/>
    <w:uiPriority w:val="0"/>
    <w:rPr>
      <w:rFonts w:ascii="宋体" w:hAnsi="Courier New"/>
      <w:sz w:val="21"/>
    </w:rPr>
  </w:style>
  <w:style w:type="paragraph" w:styleId="35">
    <w:name w:val="toc 8"/>
    <w:basedOn w:val="1"/>
    <w:next w:val="1"/>
    <w:qFormat/>
    <w:uiPriority w:val="0"/>
    <w:pPr>
      <w:ind w:left="2940" w:leftChars="1400"/>
    </w:pPr>
  </w:style>
  <w:style w:type="paragraph" w:styleId="36">
    <w:name w:val="Date"/>
    <w:basedOn w:val="1"/>
    <w:next w:val="1"/>
    <w:link w:val="77"/>
    <w:qFormat/>
    <w:uiPriority w:val="0"/>
  </w:style>
  <w:style w:type="paragraph" w:styleId="37">
    <w:name w:val="Body Text Indent 2"/>
    <w:basedOn w:val="1"/>
    <w:link w:val="78"/>
    <w:qFormat/>
    <w:uiPriority w:val="0"/>
    <w:pPr>
      <w:snapToGrid w:val="0"/>
      <w:spacing w:line="560" w:lineRule="atLeast"/>
      <w:ind w:firstLine="540"/>
    </w:pPr>
  </w:style>
  <w:style w:type="paragraph" w:styleId="38">
    <w:name w:val="Balloon Text"/>
    <w:basedOn w:val="1"/>
    <w:qFormat/>
    <w:uiPriority w:val="0"/>
    <w:rPr>
      <w:sz w:val="18"/>
    </w:rPr>
  </w:style>
  <w:style w:type="paragraph" w:styleId="39">
    <w:name w:val="footer"/>
    <w:basedOn w:val="1"/>
    <w:qFormat/>
    <w:uiPriority w:val="0"/>
    <w:pPr>
      <w:tabs>
        <w:tab w:val="center" w:pos="4153"/>
        <w:tab w:val="right" w:pos="8306"/>
      </w:tabs>
      <w:snapToGrid w:val="0"/>
      <w:jc w:val="left"/>
    </w:pPr>
    <w:rPr>
      <w:sz w:val="18"/>
    </w:rPr>
  </w:style>
  <w:style w:type="paragraph" w:styleId="40">
    <w:name w:val="header"/>
    <w:basedOn w:val="1"/>
    <w:qFormat/>
    <w:uiPriority w:val="0"/>
    <w:pPr>
      <w:pBdr>
        <w:bottom w:val="single" w:color="auto" w:sz="6" w:space="1"/>
      </w:pBdr>
      <w:tabs>
        <w:tab w:val="center" w:pos="4153"/>
        <w:tab w:val="right" w:pos="8306"/>
      </w:tabs>
      <w:snapToGrid w:val="0"/>
      <w:jc w:val="center"/>
    </w:pPr>
    <w:rPr>
      <w:sz w:val="18"/>
    </w:rPr>
  </w:style>
  <w:style w:type="paragraph" w:styleId="41">
    <w:name w:val="toc 1"/>
    <w:basedOn w:val="1"/>
    <w:next w:val="1"/>
    <w:qFormat/>
    <w:uiPriority w:val="0"/>
    <w:pPr>
      <w:spacing w:line="180" w:lineRule="auto"/>
      <w:jc w:val="center"/>
    </w:pPr>
    <w:rPr>
      <w:sz w:val="30"/>
    </w:rPr>
  </w:style>
  <w:style w:type="paragraph" w:styleId="42">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3">
    <w:name w:val="toc 4"/>
    <w:basedOn w:val="1"/>
    <w:next w:val="1"/>
    <w:qFormat/>
    <w:uiPriority w:val="0"/>
    <w:pPr>
      <w:ind w:left="1260" w:leftChars="600"/>
    </w:pPr>
  </w:style>
  <w:style w:type="paragraph" w:styleId="44">
    <w:name w:val="footnote text"/>
    <w:basedOn w:val="1"/>
    <w:link w:val="79"/>
    <w:qFormat/>
    <w:uiPriority w:val="0"/>
    <w:pPr>
      <w:spacing w:line="360" w:lineRule="auto"/>
    </w:pPr>
    <w:rPr>
      <w:sz w:val="18"/>
    </w:rPr>
  </w:style>
  <w:style w:type="paragraph" w:styleId="45">
    <w:name w:val="toc 6"/>
    <w:basedOn w:val="1"/>
    <w:next w:val="1"/>
    <w:qFormat/>
    <w:uiPriority w:val="0"/>
    <w:pPr>
      <w:ind w:left="2100" w:leftChars="1000"/>
    </w:pPr>
  </w:style>
  <w:style w:type="paragraph" w:styleId="46">
    <w:name w:val="List 5"/>
    <w:basedOn w:val="1"/>
    <w:qFormat/>
    <w:uiPriority w:val="0"/>
    <w:pPr>
      <w:adjustRightInd w:val="0"/>
      <w:snapToGrid w:val="0"/>
      <w:spacing w:line="360" w:lineRule="auto"/>
      <w:ind w:left="100" w:leftChars="800" w:hanging="200" w:hangingChars="200"/>
    </w:pPr>
    <w:rPr>
      <w:sz w:val="24"/>
    </w:rPr>
  </w:style>
  <w:style w:type="paragraph" w:styleId="47">
    <w:name w:val="Body Text Indent 3"/>
    <w:basedOn w:val="1"/>
    <w:qFormat/>
    <w:uiPriority w:val="0"/>
    <w:pPr>
      <w:spacing w:line="360" w:lineRule="auto"/>
      <w:ind w:firstLine="632"/>
    </w:pPr>
    <w:rPr>
      <w:rFonts w:ascii="黑体" w:eastAsia="黑体"/>
    </w:rPr>
  </w:style>
  <w:style w:type="paragraph" w:styleId="48">
    <w:name w:val="table of figures"/>
    <w:basedOn w:val="1"/>
    <w:next w:val="1"/>
    <w:qFormat/>
    <w:uiPriority w:val="0"/>
    <w:pPr>
      <w:tabs>
        <w:tab w:val="right" w:leader="dot" w:pos="8640"/>
      </w:tabs>
      <w:spacing w:line="360" w:lineRule="auto"/>
      <w:ind w:left="400" w:hanging="400"/>
    </w:pPr>
    <w:rPr>
      <w:sz w:val="24"/>
    </w:rPr>
  </w:style>
  <w:style w:type="paragraph" w:styleId="49">
    <w:name w:val="toc 2"/>
    <w:basedOn w:val="1"/>
    <w:next w:val="1"/>
    <w:qFormat/>
    <w:uiPriority w:val="39"/>
    <w:pPr>
      <w:ind w:left="420" w:leftChars="200"/>
    </w:pPr>
  </w:style>
  <w:style w:type="paragraph" w:styleId="50">
    <w:name w:val="toc 9"/>
    <w:basedOn w:val="1"/>
    <w:next w:val="1"/>
    <w:qFormat/>
    <w:uiPriority w:val="0"/>
    <w:pPr>
      <w:ind w:left="3360" w:leftChars="1600"/>
    </w:pPr>
  </w:style>
  <w:style w:type="paragraph" w:styleId="51">
    <w:name w:val="Body Text 2"/>
    <w:basedOn w:val="1"/>
    <w:qFormat/>
    <w:uiPriority w:val="0"/>
    <w:pPr>
      <w:adjustRightInd w:val="0"/>
      <w:snapToGrid w:val="0"/>
      <w:spacing w:after="120" w:afterLines="0" w:afterAutospacing="0" w:line="480" w:lineRule="auto"/>
    </w:pPr>
    <w:rPr>
      <w:sz w:val="24"/>
    </w:rPr>
  </w:style>
  <w:style w:type="paragraph" w:styleId="52">
    <w:name w:val="List 4"/>
    <w:basedOn w:val="1"/>
    <w:qFormat/>
    <w:uiPriority w:val="0"/>
    <w:pPr>
      <w:adjustRightInd w:val="0"/>
      <w:snapToGrid w:val="0"/>
      <w:spacing w:line="360" w:lineRule="auto"/>
      <w:ind w:left="100" w:leftChars="600" w:hanging="200" w:hangingChars="200"/>
    </w:pPr>
    <w:rPr>
      <w:sz w:val="24"/>
    </w:rPr>
  </w:style>
  <w:style w:type="paragraph" w:styleId="53">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4">
    <w:name w:val="Message Header"/>
    <w:basedOn w:val="1"/>
    <w:next w:val="24"/>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55">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6">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7">
    <w:name w:val="index 1"/>
    <w:basedOn w:val="1"/>
    <w:next w:val="1"/>
    <w:qFormat/>
    <w:uiPriority w:val="0"/>
    <w:pPr>
      <w:adjustRightInd w:val="0"/>
      <w:spacing w:line="240" w:lineRule="atLeast"/>
      <w:textAlignment w:val="baseline"/>
    </w:pPr>
    <w:rPr>
      <w:rFonts w:ascii="宋体"/>
      <w:kern w:val="0"/>
      <w:sz w:val="21"/>
    </w:rPr>
  </w:style>
  <w:style w:type="paragraph" w:styleId="58">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9">
    <w:name w:val="annotation subject"/>
    <w:basedOn w:val="20"/>
    <w:next w:val="20"/>
    <w:link w:val="80"/>
    <w:qFormat/>
    <w:uiPriority w:val="0"/>
    <w:pPr>
      <w:adjustRightInd/>
      <w:spacing w:line="240" w:lineRule="auto"/>
      <w:textAlignment w:val="auto"/>
    </w:pPr>
  </w:style>
  <w:style w:type="paragraph" w:styleId="60">
    <w:name w:val="Body Text First Indent"/>
    <w:basedOn w:val="1"/>
    <w:qFormat/>
    <w:uiPriority w:val="0"/>
    <w:pPr>
      <w:spacing w:line="360" w:lineRule="auto"/>
      <w:ind w:firstLine="420"/>
    </w:pPr>
    <w:rPr>
      <w:rFonts w:ascii="宋体" w:hAnsi="宋体"/>
      <w:sz w:val="24"/>
    </w:rPr>
  </w:style>
  <w:style w:type="paragraph" w:styleId="61">
    <w:name w:val="Body Text First Indent 2"/>
    <w:basedOn w:val="26"/>
    <w:link w:val="81"/>
    <w:qFormat/>
    <w:uiPriority w:val="0"/>
    <w:pPr>
      <w:spacing w:after="120" w:afterLines="0" w:line="240" w:lineRule="auto"/>
      <w:ind w:left="420" w:leftChars="200" w:firstLine="420" w:firstLineChars="200"/>
    </w:pPr>
  </w:style>
  <w:style w:type="table" w:styleId="63">
    <w:name w:val="Table Grid"/>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22"/>
    <w:rPr>
      <w:b/>
    </w:rPr>
  </w:style>
  <w:style w:type="character" w:styleId="66">
    <w:name w:val="page number"/>
    <w:basedOn w:val="64"/>
    <w:qFormat/>
    <w:uiPriority w:val="0"/>
  </w:style>
  <w:style w:type="character" w:styleId="67">
    <w:name w:val="FollowedHyperlink"/>
    <w:qFormat/>
    <w:uiPriority w:val="0"/>
    <w:rPr>
      <w:color w:val="800080"/>
      <w:u w:val="single"/>
    </w:rPr>
  </w:style>
  <w:style w:type="character" w:styleId="68">
    <w:name w:val="Emphasis"/>
    <w:qFormat/>
    <w:uiPriority w:val="0"/>
    <w:rPr>
      <w:i/>
    </w:rPr>
  </w:style>
  <w:style w:type="character" w:styleId="69">
    <w:name w:val="Hyperlink"/>
    <w:qFormat/>
    <w:uiPriority w:val="99"/>
    <w:rPr>
      <w:color w:val="0000FF"/>
      <w:u w:val="single"/>
    </w:rPr>
  </w:style>
  <w:style w:type="character" w:styleId="70">
    <w:name w:val="annotation reference"/>
    <w:qFormat/>
    <w:uiPriority w:val="0"/>
    <w:rPr>
      <w:sz w:val="21"/>
      <w:szCs w:val="21"/>
    </w:rPr>
  </w:style>
  <w:style w:type="character" w:styleId="71">
    <w:name w:val="footnote reference"/>
    <w:qFormat/>
    <w:uiPriority w:val="0"/>
    <w:rPr>
      <w:position w:val="6"/>
      <w:sz w:val="14"/>
      <w:vertAlign w:val="superscript"/>
    </w:rPr>
  </w:style>
  <w:style w:type="character" w:customStyle="1" w:styleId="72">
    <w:name w:val="标题 2 字符"/>
    <w:link w:val="3"/>
    <w:qFormat/>
    <w:uiPriority w:val="0"/>
    <w:rPr>
      <w:rFonts w:ascii="Arial" w:hAnsi="Arial" w:eastAsia="黑体"/>
      <w:b/>
      <w:kern w:val="2"/>
      <w:sz w:val="32"/>
    </w:rPr>
  </w:style>
  <w:style w:type="character" w:customStyle="1" w:styleId="73">
    <w:name w:val="标题 3 字符"/>
    <w:link w:val="4"/>
    <w:qFormat/>
    <w:uiPriority w:val="0"/>
    <w:rPr>
      <w:rFonts w:eastAsia="宋体"/>
      <w:b/>
      <w:kern w:val="2"/>
      <w:sz w:val="32"/>
      <w:lang w:val="en-US" w:eastAsia="zh-CN"/>
    </w:rPr>
  </w:style>
  <w:style w:type="character" w:customStyle="1" w:styleId="74">
    <w:name w:val="批注文字 字符"/>
    <w:link w:val="20"/>
    <w:qFormat/>
    <w:uiPriority w:val="0"/>
    <w:rPr>
      <w:sz w:val="24"/>
    </w:rPr>
  </w:style>
  <w:style w:type="character" w:customStyle="1" w:styleId="75">
    <w:name w:val="正文文本 字符"/>
    <w:link w:val="24"/>
    <w:qFormat/>
    <w:uiPriority w:val="0"/>
    <w:rPr>
      <w:rFonts w:ascii="仿宋_GB2312" w:eastAsia="仿宋_GB2312"/>
      <w:kern w:val="2"/>
      <w:sz w:val="32"/>
    </w:rPr>
  </w:style>
  <w:style w:type="character" w:customStyle="1" w:styleId="76">
    <w:name w:val="正文文本缩进 字符"/>
    <w:link w:val="26"/>
    <w:qFormat/>
    <w:uiPriority w:val="0"/>
    <w:rPr>
      <w:kern w:val="2"/>
      <w:sz w:val="44"/>
    </w:rPr>
  </w:style>
  <w:style w:type="character" w:customStyle="1" w:styleId="77">
    <w:name w:val="日期 字符"/>
    <w:link w:val="36"/>
    <w:qFormat/>
    <w:uiPriority w:val="0"/>
    <w:rPr>
      <w:kern w:val="2"/>
      <w:sz w:val="28"/>
    </w:rPr>
  </w:style>
  <w:style w:type="character" w:customStyle="1" w:styleId="78">
    <w:name w:val="正文文本缩进 2 字符"/>
    <w:link w:val="37"/>
    <w:qFormat/>
    <w:uiPriority w:val="0"/>
    <w:rPr>
      <w:kern w:val="2"/>
      <w:sz w:val="28"/>
    </w:rPr>
  </w:style>
  <w:style w:type="character" w:customStyle="1" w:styleId="79">
    <w:name w:val="脚注文本 字符"/>
    <w:link w:val="44"/>
    <w:qFormat/>
    <w:uiPriority w:val="0"/>
    <w:rPr>
      <w:kern w:val="2"/>
      <w:sz w:val="18"/>
    </w:rPr>
  </w:style>
  <w:style w:type="character" w:customStyle="1" w:styleId="80">
    <w:name w:val="批注主题 字符"/>
    <w:link w:val="59"/>
    <w:qFormat/>
    <w:uiPriority w:val="0"/>
  </w:style>
  <w:style w:type="character" w:customStyle="1" w:styleId="81">
    <w:name w:val="正文文本首行缩进 2 字符"/>
    <w:link w:val="61"/>
    <w:qFormat/>
    <w:uiPriority w:val="0"/>
  </w:style>
  <w:style w:type="character" w:customStyle="1" w:styleId="82">
    <w:name w:val="title_emph1"/>
    <w:qFormat/>
    <w:uiPriority w:val="0"/>
    <w:rPr>
      <w:rFonts w:hint="default" w:ascii="Arial" w:hAnsi="Arial"/>
      <w:b/>
      <w:sz w:val="20"/>
    </w:rPr>
  </w:style>
  <w:style w:type="character" w:customStyle="1" w:styleId="83">
    <w:name w:val=" Char Char6"/>
    <w:qFormat/>
    <w:uiPriority w:val="0"/>
    <w:rPr>
      <w:rFonts w:ascii="仿宋_GB2312" w:eastAsia="仿宋_GB2312"/>
      <w:kern w:val="2"/>
      <w:sz w:val="32"/>
    </w:rPr>
  </w:style>
  <w:style w:type="character" w:customStyle="1" w:styleId="84">
    <w:name w:val="font1"/>
    <w:qFormat/>
    <w:uiPriority w:val="0"/>
    <w:rPr>
      <w:color w:val="000000"/>
      <w:sz w:val="18"/>
    </w:rPr>
  </w:style>
  <w:style w:type="character" w:customStyle="1" w:styleId="85">
    <w:name w:val="v151"/>
    <w:qFormat/>
    <w:uiPriority w:val="0"/>
    <w:rPr>
      <w:sz w:val="18"/>
    </w:rPr>
  </w:style>
  <w:style w:type="character" w:customStyle="1" w:styleId="86">
    <w:name w:val="content-white1"/>
    <w:qFormat/>
    <w:uiPriority w:val="0"/>
    <w:rPr>
      <w:rFonts w:ascii="_x000B__x000C_" w:hAnsi="_x000B__x000C_"/>
      <w:color w:val="auto"/>
      <w:sz w:val="18"/>
      <w:u w:val="none"/>
    </w:rPr>
  </w:style>
  <w:style w:type="character" w:customStyle="1" w:styleId="87">
    <w:name w:val=" Char Char2"/>
    <w:qFormat/>
    <w:uiPriority w:val="0"/>
    <w:rPr>
      <w:rFonts w:eastAsia="宋体"/>
      <w:kern w:val="2"/>
      <w:sz w:val="18"/>
      <w:lang w:val="en-US" w:eastAsia="zh-CN"/>
    </w:rPr>
  </w:style>
  <w:style w:type="character" w:customStyle="1" w:styleId="88">
    <w:name w:val="文字 Char"/>
    <w:link w:val="89"/>
    <w:qFormat/>
    <w:uiPriority w:val="0"/>
    <w:rPr>
      <w:rFonts w:ascii="宋体"/>
      <w:kern w:val="2"/>
      <w:sz w:val="28"/>
    </w:rPr>
  </w:style>
  <w:style w:type="paragraph" w:customStyle="1" w:styleId="89">
    <w:name w:val="文字"/>
    <w:basedOn w:val="1"/>
    <w:link w:val="88"/>
    <w:qFormat/>
    <w:uiPriority w:val="0"/>
    <w:pPr>
      <w:tabs>
        <w:tab w:val="left" w:pos="8520"/>
      </w:tabs>
      <w:spacing w:line="312" w:lineRule="auto"/>
      <w:ind w:right="-210" w:firstLine="556"/>
    </w:pPr>
    <w:rPr>
      <w:rFonts w:ascii="宋体"/>
    </w:rPr>
  </w:style>
  <w:style w:type="character" w:customStyle="1" w:styleId="90">
    <w:name w:val="Table Text Char Char Char Char"/>
    <w:link w:val="91"/>
    <w:qFormat/>
    <w:uiPriority w:val="0"/>
    <w:rPr>
      <w:rFonts w:ascii="Arial" w:hAnsi="Arial"/>
      <w:kern w:val="2"/>
      <w:sz w:val="18"/>
      <w:lang w:val="en-US" w:eastAsia="zh-CN" w:bidi="ar-SA"/>
    </w:rPr>
  </w:style>
  <w:style w:type="paragraph" w:customStyle="1" w:styleId="91">
    <w:name w:val="Table Text Char Char Char"/>
    <w:link w:val="90"/>
    <w:qFormat/>
    <w:uiPriority w:val="0"/>
    <w:pPr>
      <w:snapToGrid w:val="0"/>
      <w:spacing w:before="80" w:after="80"/>
    </w:pPr>
    <w:rPr>
      <w:rFonts w:ascii="Arial" w:hAnsi="Arial" w:eastAsia="宋体" w:cs="Times New Roman"/>
      <w:kern w:val="2"/>
      <w:sz w:val="18"/>
      <w:lang w:val="en-US" w:eastAsia="zh-CN" w:bidi="ar-SA"/>
    </w:rPr>
  </w:style>
  <w:style w:type="character" w:customStyle="1" w:styleId="92">
    <w:name w:val="未命名11"/>
    <w:qFormat/>
    <w:uiPriority w:val="0"/>
    <w:rPr>
      <w:color w:val="77FFFF"/>
      <w:sz w:val="24"/>
    </w:rPr>
  </w:style>
  <w:style w:type="character" w:customStyle="1" w:styleId="93">
    <w:name w:val="小 Char"/>
    <w:qFormat/>
    <w:uiPriority w:val="0"/>
    <w:rPr>
      <w:rFonts w:ascii="宋体" w:hAnsi="Courier New" w:eastAsia="宋体"/>
      <w:kern w:val="2"/>
      <w:sz w:val="21"/>
      <w:lang w:val="en-US" w:eastAsia="zh-CN" w:bidi="ar-SA"/>
    </w:rPr>
  </w:style>
  <w:style w:type="character" w:customStyle="1" w:styleId="94">
    <w:name w:val="Table Text Char1 Char"/>
    <w:qFormat/>
    <w:uiPriority w:val="0"/>
    <w:rPr>
      <w:rFonts w:ascii="Arial" w:hAnsi="Arial"/>
      <w:kern w:val="2"/>
      <w:sz w:val="18"/>
      <w:lang w:val="en-US" w:eastAsia="zh-CN" w:bidi="ar-SA"/>
    </w:rPr>
  </w:style>
  <w:style w:type="character" w:customStyle="1" w:styleId="95">
    <w:name w:val="Table Heading Char Char"/>
    <w:qFormat/>
    <w:uiPriority w:val="0"/>
    <w:rPr>
      <w:rFonts w:ascii="Arial" w:hAnsi="Arial" w:eastAsia="黑体"/>
      <w:kern w:val="2"/>
      <w:sz w:val="18"/>
      <w:lang w:val="en-US" w:eastAsia="zh-CN"/>
    </w:rPr>
  </w:style>
  <w:style w:type="character" w:customStyle="1" w:styleId="96">
    <w:name w:val=" Char Char5"/>
    <w:qFormat/>
    <w:uiPriority w:val="0"/>
    <w:rPr>
      <w:rFonts w:ascii="Arial" w:hAnsi="Arial" w:eastAsia="宋体"/>
      <w:b/>
      <w:smallCaps/>
      <w:kern w:val="28"/>
      <w:sz w:val="36"/>
      <w:lang w:val="en-US" w:eastAsia="en-US"/>
    </w:rPr>
  </w:style>
  <w:style w:type="character" w:customStyle="1" w:styleId="97">
    <w:name w:val="标书正文:  0.74 厘米 Char1"/>
    <w:qFormat/>
    <w:uiPriority w:val="0"/>
    <w:rPr>
      <w:rFonts w:eastAsia="宋体"/>
      <w:kern w:val="2"/>
      <w:sz w:val="24"/>
      <w:lang w:val="en-US" w:eastAsia="zh-CN"/>
    </w:rPr>
  </w:style>
  <w:style w:type="character" w:customStyle="1" w:styleId="98">
    <w:name w:val="正文 + 三号 Char"/>
    <w:qFormat/>
    <w:uiPriority w:val="0"/>
    <w:rPr>
      <w:rFonts w:eastAsia="宋体"/>
      <w:kern w:val="2"/>
      <w:sz w:val="21"/>
      <w:lang w:val="en-US" w:eastAsia="zh-CN"/>
    </w:rPr>
  </w:style>
  <w:style w:type="character" w:customStyle="1" w:styleId="99">
    <w:name w:val=" Char Char11"/>
    <w:qFormat/>
    <w:uiPriority w:val="0"/>
    <w:rPr>
      <w:rFonts w:ascii="宋体"/>
      <w:kern w:val="2"/>
      <w:sz w:val="28"/>
    </w:rPr>
  </w:style>
  <w:style w:type="character" w:customStyle="1" w:styleId="100">
    <w:name w:val="H2 Char"/>
    <w:qFormat/>
    <w:uiPriority w:val="0"/>
    <w:rPr>
      <w:rFonts w:ascii="Arial" w:hAnsi="Arial" w:eastAsia="宋体"/>
      <w:kern w:val="2"/>
      <w:sz w:val="28"/>
      <w:lang w:val="en-US" w:eastAsia="zh-CN"/>
    </w:rPr>
  </w:style>
  <w:style w:type="character" w:customStyle="1" w:styleId="101">
    <w:name w:val=" Char Char7"/>
    <w:qFormat/>
    <w:uiPriority w:val="0"/>
    <w:rPr>
      <w:rFonts w:ascii="宋体" w:hAnsi="宋体" w:eastAsia="宋体"/>
      <w:kern w:val="2"/>
      <w:sz w:val="28"/>
    </w:rPr>
  </w:style>
  <w:style w:type="character" w:customStyle="1" w:styleId="102">
    <w:name w:val="trnone1"/>
    <w:basedOn w:val="64"/>
    <w:qFormat/>
    <w:uiPriority w:val="0"/>
  </w:style>
  <w:style w:type="character" w:customStyle="1" w:styleId="103">
    <w:name w:val=" Char Char3"/>
    <w:qFormat/>
    <w:uiPriority w:val="0"/>
    <w:rPr>
      <w:rFonts w:eastAsia="宋体"/>
      <w:kern w:val="2"/>
      <w:sz w:val="18"/>
      <w:lang w:val="en-US" w:eastAsia="zh-CN"/>
    </w:rPr>
  </w:style>
  <w:style w:type="character" w:customStyle="1" w:styleId="104">
    <w:name w:val="Table Text Char"/>
    <w:link w:val="105"/>
    <w:qFormat/>
    <w:uiPriority w:val="0"/>
    <w:rPr>
      <w:rFonts w:ascii="Arial" w:hAnsi="Arial"/>
      <w:kern w:val="2"/>
      <w:sz w:val="18"/>
      <w:lang w:val="en-US" w:eastAsia="zh-CN" w:bidi="ar-SA"/>
    </w:rPr>
  </w:style>
  <w:style w:type="paragraph" w:customStyle="1" w:styleId="105">
    <w:name w:val="Table Text"/>
    <w:link w:val="104"/>
    <w:qFormat/>
    <w:uiPriority w:val="0"/>
    <w:pPr>
      <w:snapToGrid w:val="0"/>
      <w:spacing w:before="80" w:after="80"/>
    </w:pPr>
    <w:rPr>
      <w:rFonts w:ascii="Arial" w:hAnsi="Arial" w:eastAsia="宋体" w:cs="Times New Roman"/>
      <w:kern w:val="2"/>
      <w:sz w:val="18"/>
      <w:lang w:val="en-US" w:eastAsia="zh-CN" w:bidi="ar-SA"/>
    </w:rPr>
  </w:style>
  <w:style w:type="character" w:customStyle="1" w:styleId="106">
    <w:name w:val="样式 宋体"/>
    <w:qFormat/>
    <w:uiPriority w:val="0"/>
    <w:rPr>
      <w:rFonts w:ascii="宋体" w:hAnsi="宋体" w:eastAsia="宋体"/>
      <w:sz w:val="28"/>
    </w:rPr>
  </w:style>
  <w:style w:type="character" w:customStyle="1" w:styleId="107">
    <w:name w:val=" Char Char4"/>
    <w:qFormat/>
    <w:uiPriority w:val="0"/>
    <w:rPr>
      <w:rFonts w:eastAsia="宋体"/>
      <w:b/>
      <w:kern w:val="2"/>
      <w:sz w:val="21"/>
      <w:lang w:val="en-US" w:eastAsia="zh-CN"/>
    </w:rPr>
  </w:style>
  <w:style w:type="character" w:customStyle="1" w:styleId="108">
    <w:name w:val=" Char Char"/>
    <w:qFormat/>
    <w:uiPriority w:val="0"/>
    <w:rPr>
      <w:rFonts w:ascii="宋体" w:hAnsi="宋体" w:eastAsia="宋体"/>
      <w:kern w:val="2"/>
      <w:sz w:val="24"/>
      <w:lang w:val="en-US" w:eastAsia="zh-CN" w:bidi="ar-SA"/>
    </w:rPr>
  </w:style>
  <w:style w:type="character" w:customStyle="1" w:styleId="109">
    <w:name w:val="crowed11"/>
    <w:qFormat/>
    <w:uiPriority w:val="0"/>
    <w:rPr>
      <w:rFonts w:hint="default" w:ascii="_x000B__x000C_" w:hAnsi="_x000B__x000C_"/>
      <w:sz w:val="24"/>
    </w:rPr>
  </w:style>
  <w:style w:type="character" w:customStyle="1" w:styleId="110">
    <w:name w:val="top-det1"/>
    <w:qFormat/>
    <w:uiPriority w:val="0"/>
    <w:rPr>
      <w:b/>
      <w:color w:val="000000"/>
    </w:rPr>
  </w:style>
  <w:style w:type="paragraph" w:customStyle="1" w:styleId="111">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2">
    <w:name w:val="样式 宋体 五号 行距: 单倍行距"/>
    <w:basedOn w:val="1"/>
    <w:qFormat/>
    <w:uiPriority w:val="0"/>
    <w:pPr>
      <w:adjustRightInd w:val="0"/>
      <w:jc w:val="left"/>
    </w:pPr>
    <w:rPr>
      <w:rFonts w:ascii="宋体" w:hAnsi="宋体"/>
      <w:kern w:val="0"/>
      <w:sz w:val="21"/>
    </w:rPr>
  </w:style>
  <w:style w:type="paragraph" w:customStyle="1" w:styleId="11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114">
    <w:name w:val="样式 标题 6第五层条 + 三号 段前: 0.5 行"/>
    <w:basedOn w:val="7"/>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15">
    <w:name w:val="样式 首行缩进:  0.74 厘米"/>
    <w:basedOn w:val="1"/>
    <w:qFormat/>
    <w:uiPriority w:val="0"/>
    <w:pPr>
      <w:spacing w:line="360" w:lineRule="auto"/>
      <w:ind w:firstLine="420"/>
    </w:pPr>
    <w:rPr>
      <w:sz w:val="24"/>
    </w:rPr>
  </w:style>
  <w:style w:type="paragraph" w:customStyle="1" w:styleId="116">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1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2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21">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2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23">
    <w:name w:val="00"/>
    <w:basedOn w:val="1"/>
    <w:qFormat/>
    <w:uiPriority w:val="0"/>
    <w:pPr>
      <w:autoSpaceDE w:val="0"/>
      <w:autoSpaceDN w:val="0"/>
      <w:adjustRightInd w:val="0"/>
      <w:jc w:val="left"/>
    </w:pPr>
    <w:rPr>
      <w:rFonts w:ascii="黑体" w:eastAsia="黑体"/>
      <w:b/>
      <w:kern w:val="0"/>
      <w:sz w:val="20"/>
    </w:rPr>
  </w:style>
  <w:style w:type="paragraph" w:customStyle="1" w:styleId="124">
    <w:name w:val="样式3"/>
    <w:basedOn w:val="2"/>
    <w:next w:val="2"/>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5">
    <w:name w:val="Char Char Char Char Char Char Char"/>
    <w:basedOn w:val="18"/>
    <w:qFormat/>
    <w:uiPriority w:val="0"/>
    <w:rPr>
      <w:rFonts w:ascii="宋体" w:hAnsi="Tahoma"/>
    </w:rPr>
  </w:style>
  <w:style w:type="paragraph" w:customStyle="1" w:styleId="126">
    <w:name w:val="表文字"/>
    <w:qFormat/>
    <w:uiPriority w:val="0"/>
    <w:rPr>
      <w:rFonts w:ascii="宋体" w:hAnsi="Times New Roman" w:eastAsia="宋体" w:cs="Times New Roman"/>
      <w:kern w:val="2"/>
      <w:lang w:val="en-US" w:eastAsia="zh-CN" w:bidi="ar-SA"/>
    </w:rPr>
  </w:style>
  <w:style w:type="paragraph" w:customStyle="1" w:styleId="127">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8">
    <w:name w:val="af"/>
    <w:basedOn w:val="1"/>
    <w:qFormat/>
    <w:uiPriority w:val="0"/>
    <w:pPr>
      <w:widowControl/>
      <w:spacing w:line="300" w:lineRule="atLeast"/>
      <w:jc w:val="left"/>
    </w:pPr>
    <w:rPr>
      <w:rFonts w:ascii="宋体" w:hAnsi="宋体"/>
      <w:kern w:val="0"/>
      <w:sz w:val="18"/>
    </w:rPr>
  </w:style>
  <w:style w:type="paragraph" w:customStyle="1" w:styleId="129">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30">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31">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3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3">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34">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35">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36">
    <w:name w:val="IN Feature"/>
    <w:next w:val="13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3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38">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39">
    <w:name w:val="正文1"/>
    <w:basedOn w:val="1"/>
    <w:qFormat/>
    <w:uiPriority w:val="0"/>
    <w:pPr>
      <w:spacing w:line="300" w:lineRule="auto"/>
      <w:ind w:firstLine="200" w:firstLineChars="200"/>
    </w:pPr>
    <w:rPr>
      <w:sz w:val="24"/>
    </w:rPr>
  </w:style>
  <w:style w:type="paragraph" w:customStyle="1" w:styleId="140">
    <w:name w:val="_"/>
    <w:basedOn w:val="1"/>
    <w:qFormat/>
    <w:uiPriority w:val="0"/>
    <w:pPr>
      <w:adjustRightInd w:val="0"/>
      <w:spacing w:line="360" w:lineRule="auto"/>
      <w:ind w:left="480" w:firstLine="200" w:firstLineChars="200"/>
      <w:textAlignment w:val="baseline"/>
    </w:pPr>
    <w:rPr>
      <w:kern w:val="0"/>
      <w:sz w:val="24"/>
    </w:rPr>
  </w:style>
  <w:style w:type="paragraph" w:customStyle="1" w:styleId="141">
    <w:name w:val="图片文字"/>
    <w:basedOn w:val="1"/>
    <w:qFormat/>
    <w:uiPriority w:val="0"/>
    <w:pPr>
      <w:spacing w:line="240" w:lineRule="atLeast"/>
      <w:jc w:val="center"/>
    </w:pPr>
    <w:rPr>
      <w:sz w:val="21"/>
    </w:rPr>
  </w:style>
  <w:style w:type="paragraph" w:customStyle="1" w:styleId="142">
    <w:name w:val="可研正文"/>
    <w:basedOn w:val="24"/>
    <w:qFormat/>
    <w:uiPriority w:val="0"/>
    <w:pPr>
      <w:adjustRightInd w:val="0"/>
      <w:snapToGrid w:val="0"/>
      <w:spacing w:line="440" w:lineRule="exact"/>
      <w:ind w:firstLine="567"/>
    </w:pPr>
    <w:rPr>
      <w:sz w:val="28"/>
    </w:rPr>
  </w:style>
  <w:style w:type="paragraph" w:customStyle="1" w:styleId="14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44">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45">
    <w:name w:val=" Char Char1 Char"/>
    <w:basedOn w:val="1"/>
    <w:qFormat/>
    <w:uiPriority w:val="0"/>
    <w:rPr>
      <w:rFonts w:ascii="Tahoma" w:hAnsi="Tahoma"/>
      <w:sz w:val="24"/>
      <w:szCs w:val="24"/>
    </w:rPr>
  </w:style>
  <w:style w:type="paragraph" w:customStyle="1" w:styleId="146">
    <w:name w:val="默认段落字体 Para Char Char Char Char Char Char Char"/>
    <w:basedOn w:val="1"/>
    <w:qFormat/>
    <w:uiPriority w:val="0"/>
    <w:rPr>
      <w:rFonts w:ascii="Tahoma" w:hAnsi="Tahoma"/>
      <w:sz w:val="24"/>
    </w:rPr>
  </w:style>
  <w:style w:type="paragraph" w:customStyle="1" w:styleId="147">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48">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标题2"/>
    <w:basedOn w:val="3"/>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51">
    <w:name w:val=" Char1 Char Char Char"/>
    <w:basedOn w:val="1"/>
    <w:qFormat/>
    <w:uiPriority w:val="0"/>
    <w:rPr>
      <w:rFonts w:ascii="Tahoma" w:hAnsi="Tahoma"/>
      <w:sz w:val="24"/>
    </w:rPr>
  </w:style>
  <w:style w:type="paragraph" w:customStyle="1" w:styleId="152">
    <w:name w:val="操作步骤"/>
    <w:basedOn w:val="1"/>
    <w:qFormat/>
    <w:uiPriority w:val="0"/>
    <w:pPr>
      <w:numPr>
        <w:ilvl w:val="0"/>
        <w:numId w:val="5"/>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53">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54">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55">
    <w:name w:val="标题无"/>
    <w:basedOn w:val="1"/>
    <w:qFormat/>
    <w:uiPriority w:val="0"/>
    <w:pPr>
      <w:spacing w:line="360" w:lineRule="auto"/>
    </w:pPr>
    <w:rPr>
      <w:sz w:val="24"/>
    </w:rPr>
  </w:style>
  <w:style w:type="paragraph" w:customStyle="1" w:styleId="156">
    <w:name w:val="一级条标题"/>
    <w:basedOn w:val="157"/>
    <w:next w:val="132"/>
    <w:qFormat/>
    <w:uiPriority w:val="0"/>
    <w:pPr>
      <w:numPr>
        <w:ilvl w:val="1"/>
        <w:numId w:val="0"/>
      </w:numPr>
      <w:spacing w:before="0" w:beforeLines="0" w:beforeAutospacing="0" w:after="0" w:afterLines="0" w:afterAutospacing="0"/>
      <w:ind w:left="525"/>
      <w:outlineLvl w:val="2"/>
    </w:pPr>
    <w:rPr>
      <w:sz w:val="21"/>
    </w:rPr>
  </w:style>
  <w:style w:type="paragraph" w:customStyle="1" w:styleId="15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59">
    <w:name w:val="关键词"/>
    <w:basedOn w:val="1"/>
    <w:next w:val="1"/>
    <w:qFormat/>
    <w:uiPriority w:val="0"/>
    <w:pPr>
      <w:spacing w:line="360" w:lineRule="auto"/>
    </w:pPr>
    <w:rPr>
      <w:rFonts w:eastAsia="黑体"/>
      <w:sz w:val="20"/>
    </w:rPr>
  </w:style>
  <w:style w:type="paragraph" w:customStyle="1" w:styleId="160">
    <w:name w:val="摘要"/>
    <w:basedOn w:val="1"/>
    <w:next w:val="3"/>
    <w:qFormat/>
    <w:uiPriority w:val="0"/>
    <w:pPr>
      <w:spacing w:line="360" w:lineRule="auto"/>
    </w:pPr>
    <w:rPr>
      <w:rFonts w:eastAsia="黑体"/>
      <w:sz w:val="20"/>
    </w:rPr>
  </w:style>
  <w:style w:type="paragraph" w:customStyle="1" w:styleId="161">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2">
    <w:name w:val="首行缩进 1"/>
    <w:basedOn w:val="1"/>
    <w:qFormat/>
    <w:uiPriority w:val="0"/>
    <w:pPr>
      <w:spacing w:after="120" w:afterLines="0" w:afterAutospacing="0" w:line="360" w:lineRule="auto"/>
      <w:ind w:firstLine="200" w:firstLineChars="200"/>
    </w:pPr>
    <w:rPr>
      <w:sz w:val="24"/>
    </w:rPr>
  </w:style>
  <w:style w:type="paragraph" w:customStyle="1" w:styleId="163">
    <w:name w:val="Body Text Indent 2"/>
    <w:basedOn w:val="1"/>
    <w:qFormat/>
    <w:uiPriority w:val="0"/>
    <w:pPr>
      <w:adjustRightInd w:val="0"/>
      <w:spacing w:before="120" w:beforeLines="0" w:beforeAutospacing="0"/>
      <w:ind w:firstLine="420"/>
      <w:textAlignment w:val="baseline"/>
    </w:pPr>
    <w:rPr>
      <w:sz w:val="24"/>
    </w:rPr>
  </w:style>
  <w:style w:type="paragraph" w:customStyle="1" w:styleId="164">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65">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66">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67">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68">
    <w:name w:val="1"/>
    <w:basedOn w:val="1"/>
    <w:next w:val="34"/>
    <w:qFormat/>
    <w:uiPriority w:val="0"/>
    <w:rPr>
      <w:rFonts w:ascii="宋体" w:hAnsi="Courier New"/>
      <w:sz w:val="21"/>
    </w:rPr>
  </w:style>
  <w:style w:type="paragraph" w:customStyle="1" w:styleId="169">
    <w:name w:val="B表格正文"/>
    <w:qFormat/>
    <w:uiPriority w:val="0"/>
    <w:rPr>
      <w:rFonts w:ascii="Calibri" w:hAnsi="Calibri" w:eastAsia="宋体" w:cs="Times New Roman"/>
      <w:kern w:val="2"/>
      <w:sz w:val="24"/>
      <w:szCs w:val="21"/>
      <w:lang w:val="en-US" w:eastAsia="zh-CN" w:bidi="ar-SA"/>
    </w:rPr>
  </w:style>
  <w:style w:type="paragraph" w:customStyle="1" w:styleId="170">
    <w:name w:val="二级条标题"/>
    <w:basedOn w:val="156"/>
    <w:next w:val="132"/>
    <w:qFormat/>
    <w:uiPriority w:val="0"/>
    <w:pPr>
      <w:ind w:left="840"/>
      <w:outlineLvl w:val="3"/>
    </w:pPr>
  </w:style>
  <w:style w:type="paragraph" w:customStyle="1" w:styleId="171">
    <w:name w:val="正文表格"/>
    <w:basedOn w:val="1"/>
    <w:qFormat/>
    <w:uiPriority w:val="0"/>
    <w:pPr>
      <w:adjustRightInd w:val="0"/>
      <w:spacing w:before="40" w:beforeLines="0" w:beforeAutospacing="0" w:after="40" w:afterLines="0" w:afterAutospacing="0"/>
    </w:pPr>
    <w:rPr>
      <w:sz w:val="24"/>
    </w:rPr>
  </w:style>
  <w:style w:type="paragraph" w:customStyle="1" w:styleId="17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7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74">
    <w:name w:val="Item List"/>
    <w:qFormat/>
    <w:uiPriority w:val="0"/>
    <w:pPr>
      <w:numPr>
        <w:ilvl w:val="0"/>
        <w:numId w:val="7"/>
      </w:numPr>
      <w:spacing w:line="300" w:lineRule="auto"/>
      <w:jc w:val="both"/>
    </w:pPr>
    <w:rPr>
      <w:rFonts w:ascii="Arial" w:hAnsi="Arial" w:eastAsia="宋体" w:cs="Times New Roman"/>
      <w:sz w:val="21"/>
      <w:lang w:val="en-US" w:eastAsia="zh-CN" w:bidi="ar-SA"/>
    </w:rPr>
  </w:style>
  <w:style w:type="paragraph" w:customStyle="1" w:styleId="175">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76">
    <w:name w:val="首行缩进"/>
    <w:basedOn w:val="1"/>
    <w:qFormat/>
    <w:uiPriority w:val="0"/>
    <w:pPr>
      <w:numPr>
        <w:ilvl w:val="0"/>
        <w:numId w:val="8"/>
      </w:numPr>
      <w:spacing w:line="360" w:lineRule="auto"/>
    </w:pPr>
    <w:rPr>
      <w:rFonts w:eastAsia="仿宋_GB2312"/>
    </w:rPr>
  </w:style>
  <w:style w:type="paragraph" w:customStyle="1" w:styleId="177">
    <w:name w:val="表格文本"/>
    <w:qFormat/>
    <w:uiPriority w:val="0"/>
    <w:pPr>
      <w:tabs>
        <w:tab w:val="decimal" w:pos="0"/>
      </w:tabs>
    </w:pPr>
    <w:rPr>
      <w:rFonts w:ascii="Arial" w:hAnsi="Arial" w:eastAsia="宋体" w:cs="Times New Roman"/>
      <w:sz w:val="21"/>
      <w:lang w:val="en-US" w:eastAsia="zh-CN" w:bidi="ar-SA"/>
    </w:rPr>
  </w:style>
  <w:style w:type="paragraph" w:customStyle="1" w:styleId="178">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9">
    <w:name w:val=" Char Char 字元 字元 字元 Char Char Char Char"/>
    <w:basedOn w:val="1"/>
    <w:qFormat/>
    <w:uiPriority w:val="0"/>
    <w:pPr>
      <w:adjustRightInd w:val="0"/>
      <w:spacing w:line="360" w:lineRule="auto"/>
    </w:pPr>
    <w:rPr>
      <w:kern w:val="0"/>
      <w:sz w:val="24"/>
    </w:rPr>
  </w:style>
  <w:style w:type="paragraph" w:customStyle="1" w:styleId="180">
    <w:name w:val="样式 标题 1 + 居中 段前: 6 磅 段后: 6 磅 行距: 1.5 倍行距"/>
    <w:basedOn w:val="2"/>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81">
    <w:name w:val="样式1xz"/>
    <w:basedOn w:val="1"/>
    <w:qFormat/>
    <w:uiPriority w:val="0"/>
    <w:pPr>
      <w:tabs>
        <w:tab w:val="left" w:pos="1050"/>
        <w:tab w:val="right" w:leader="dot" w:pos="8296"/>
      </w:tabs>
    </w:pPr>
    <w:rPr>
      <w:caps/>
      <w:spacing w:val="20"/>
      <w:sz w:val="24"/>
    </w:rPr>
  </w:style>
  <w:style w:type="paragraph" w:customStyle="1" w:styleId="182">
    <w:name w:val="样式 正文缩进正文（首行缩进两字）表正文正文非缩进特点标题4段1 + 首行缩进:  2 字符"/>
    <w:basedOn w:val="15"/>
    <w:qFormat/>
    <w:uiPriority w:val="0"/>
    <w:pPr>
      <w:ind w:firstLine="480" w:firstLineChars="200"/>
    </w:pPr>
  </w:style>
  <w:style w:type="paragraph" w:customStyle="1" w:styleId="183">
    <w:name w:val=" Char1"/>
    <w:basedOn w:val="1"/>
    <w:qFormat/>
    <w:uiPriority w:val="0"/>
    <w:rPr>
      <w:sz w:val="21"/>
    </w:rPr>
  </w:style>
  <w:style w:type="paragraph" w:customStyle="1" w:styleId="184">
    <w:name w:val=" Char"/>
    <w:basedOn w:val="1"/>
    <w:qFormat/>
    <w:uiPriority w:val="0"/>
    <w:pPr>
      <w:spacing w:line="240" w:lineRule="atLeast"/>
      <w:ind w:left="420" w:firstLine="420"/>
    </w:pPr>
    <w:rPr>
      <w:kern w:val="0"/>
      <w:sz w:val="21"/>
    </w:rPr>
  </w:style>
  <w:style w:type="paragraph" w:customStyle="1" w:styleId="185">
    <w:name w:val="标书正文:  0.74 厘米"/>
    <w:basedOn w:val="1"/>
    <w:qFormat/>
    <w:uiPriority w:val="0"/>
    <w:pPr>
      <w:snapToGrid w:val="0"/>
      <w:spacing w:line="360" w:lineRule="auto"/>
      <w:ind w:firstLine="420"/>
    </w:pPr>
    <w:rPr>
      <w:sz w:val="24"/>
    </w:rPr>
  </w:style>
  <w:style w:type="paragraph" w:customStyle="1" w:styleId="186">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7">
    <w:name w:val="表号"/>
    <w:basedOn w:val="1"/>
    <w:qFormat/>
    <w:uiPriority w:val="0"/>
    <w:pPr>
      <w:numPr>
        <w:ilvl w:val="0"/>
        <w:numId w:val="9"/>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8">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90">
    <w:name w:val="文本1"/>
    <w:basedOn w:val="1"/>
    <w:qFormat/>
    <w:uiPriority w:val="0"/>
    <w:pPr>
      <w:adjustRightInd w:val="0"/>
      <w:spacing w:line="312" w:lineRule="atLeast"/>
      <w:jc w:val="center"/>
      <w:textAlignment w:val="baseline"/>
    </w:pPr>
    <w:rPr>
      <w:kern w:val="0"/>
      <w:sz w:val="18"/>
    </w:rPr>
  </w:style>
  <w:style w:type="paragraph" w:customStyle="1" w:styleId="191">
    <w:name w:val="简单回函地址"/>
    <w:basedOn w:val="1"/>
    <w:qFormat/>
    <w:uiPriority w:val="0"/>
    <w:pPr>
      <w:adjustRightInd w:val="0"/>
      <w:snapToGrid w:val="0"/>
      <w:spacing w:line="360" w:lineRule="auto"/>
    </w:pPr>
    <w:rPr>
      <w:sz w:val="24"/>
    </w:rPr>
  </w:style>
  <w:style w:type="paragraph" w:customStyle="1" w:styleId="192">
    <w:name w:val="编号正文"/>
    <w:basedOn w:val="172"/>
    <w:qFormat/>
    <w:uiPriority w:val="0"/>
    <w:pPr>
      <w:snapToGrid/>
      <w:spacing w:line="360" w:lineRule="auto"/>
      <w:ind w:left="1407" w:hanging="1047"/>
      <w:jc w:val="left"/>
    </w:pPr>
    <w:rPr>
      <w:rFonts w:eastAsia="仿宋_GB2312"/>
    </w:rPr>
  </w:style>
  <w:style w:type="paragraph" w:customStyle="1" w:styleId="193">
    <w:name w:val="正文（首行不缩进）"/>
    <w:basedOn w:val="1"/>
    <w:qFormat/>
    <w:uiPriority w:val="0"/>
    <w:pPr>
      <w:autoSpaceDE w:val="0"/>
      <w:autoSpaceDN w:val="0"/>
      <w:adjustRightInd w:val="0"/>
      <w:spacing w:line="360" w:lineRule="auto"/>
      <w:jc w:val="left"/>
    </w:pPr>
    <w:rPr>
      <w:kern w:val="0"/>
      <w:sz w:val="21"/>
    </w:rPr>
  </w:style>
  <w:style w:type="paragraph" w:customStyle="1" w:styleId="194">
    <w:name w:val="样式4"/>
    <w:basedOn w:val="5"/>
    <w:qFormat/>
    <w:uiPriority w:val="0"/>
    <w:pPr>
      <w:adjustRightInd w:val="0"/>
      <w:snapToGrid w:val="0"/>
    </w:pPr>
  </w:style>
  <w:style w:type="paragraph" w:customStyle="1" w:styleId="19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96">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97">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9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99">
    <w:name w:val="样式2"/>
    <w:basedOn w:val="5"/>
    <w:qFormat/>
    <w:uiPriority w:val="0"/>
    <w:pPr>
      <w:numPr>
        <w:ilvl w:val="0"/>
        <w:numId w:val="10"/>
      </w:numPr>
      <w:spacing w:before="560" w:beforeLines="0" w:line="400" w:lineRule="exact"/>
      <w:jc w:val="center"/>
      <w:outlineLvl w:val="0"/>
    </w:pPr>
    <w:rPr>
      <w:b w:val="0"/>
      <w:sz w:val="44"/>
    </w:rPr>
  </w:style>
  <w:style w:type="paragraph" w:customStyle="1" w:styleId="200">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201">
    <w:name w:val="Char1 Char Char Char"/>
    <w:basedOn w:val="1"/>
    <w:qFormat/>
    <w:uiPriority w:val="0"/>
    <w:rPr>
      <w:rFonts w:ascii="Tahoma" w:hAnsi="Tahoma"/>
      <w:sz w:val="30"/>
    </w:rPr>
  </w:style>
  <w:style w:type="paragraph" w:customStyle="1" w:styleId="202">
    <w:name w:val="Style Heading 3h3Heading 3 - oldLevel 3 HeadH3level_3PIM 3se..."/>
    <w:basedOn w:val="4"/>
    <w:qFormat/>
    <w:uiPriority w:val="0"/>
    <w:pPr>
      <w:numPr>
        <w:ilvl w:val="2"/>
        <w:numId w:val="2"/>
      </w:numPr>
      <w:tabs>
        <w:tab w:val="left" w:pos="709"/>
        <w:tab w:val="left" w:pos="1620"/>
      </w:tabs>
      <w:spacing w:line="413" w:lineRule="auto"/>
    </w:pPr>
  </w:style>
  <w:style w:type="paragraph" w:customStyle="1" w:styleId="203">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04">
    <w:name w:val="Title - Date"/>
    <w:basedOn w:val="58"/>
    <w:next w:val="1"/>
    <w:qFormat/>
    <w:uiPriority w:val="0"/>
    <w:pPr>
      <w:spacing w:before="240" w:beforeLines="0" w:beforeAutospacing="0" w:after="720" w:afterLines="0" w:afterAutospacing="0"/>
    </w:pPr>
    <w:rPr>
      <w:sz w:val="28"/>
    </w:rPr>
  </w:style>
  <w:style w:type="paragraph" w:customStyle="1" w:styleId="205">
    <w:name w:val="文章正文"/>
    <w:basedOn w:val="1"/>
    <w:qFormat/>
    <w:uiPriority w:val="0"/>
    <w:pPr>
      <w:ind w:firstLine="560" w:firstLineChars="200"/>
    </w:pPr>
    <w:rPr>
      <w:rFonts w:ascii="仿宋_GB2312" w:hAnsi="宋体" w:eastAsia="仿宋_GB2312"/>
      <w:color w:val="000000"/>
    </w:rPr>
  </w:style>
  <w:style w:type="paragraph" w:customStyle="1" w:styleId="206">
    <w:name w:val="二级列表"/>
    <w:basedOn w:val="117"/>
    <w:next w:val="117"/>
    <w:qFormat/>
    <w:uiPriority w:val="0"/>
    <w:pPr>
      <w:tabs>
        <w:tab w:val="left" w:pos="2120"/>
      </w:tabs>
      <w:ind w:firstLine="0" w:firstLineChars="0"/>
    </w:pPr>
    <w:rPr>
      <w:b/>
    </w:rPr>
  </w:style>
  <w:style w:type="paragraph" w:customStyle="1" w:styleId="20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08">
    <w:name w:val="表头文本"/>
    <w:qFormat/>
    <w:uiPriority w:val="0"/>
    <w:pPr>
      <w:jc w:val="center"/>
    </w:pPr>
    <w:rPr>
      <w:rFonts w:ascii="Arial" w:hAnsi="Arial" w:eastAsia="宋体" w:cs="Times New Roman"/>
      <w:b/>
      <w:sz w:val="21"/>
      <w:lang w:val="en-US" w:eastAsia="zh-CN" w:bidi="ar-SA"/>
    </w:rPr>
  </w:style>
  <w:style w:type="paragraph" w:customStyle="1" w:styleId="209">
    <w:name w:val=" Char Char Char Char Char Char Char Char Char Char Char Char Char Char Char Char"/>
    <w:basedOn w:val="1"/>
    <w:qFormat/>
    <w:uiPriority w:val="0"/>
    <w:pPr>
      <w:tabs>
        <w:tab w:val="left" w:pos="360"/>
      </w:tabs>
    </w:pPr>
    <w:rPr>
      <w:sz w:val="24"/>
    </w:rPr>
  </w:style>
  <w:style w:type="paragraph" w:customStyle="1" w:styleId="21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11">
    <w:name w:val=" Char Char Char Char Char Char Char"/>
    <w:basedOn w:val="1"/>
    <w:qFormat/>
    <w:uiPriority w:val="0"/>
    <w:rPr>
      <w:rFonts w:ascii="Tahoma" w:hAnsi="Tahoma"/>
      <w:sz w:val="24"/>
    </w:rPr>
  </w:style>
  <w:style w:type="paragraph" w:customStyle="1" w:styleId="212">
    <w:name w:val="标准正文"/>
    <w:basedOn w:val="26"/>
    <w:qFormat/>
    <w:uiPriority w:val="0"/>
    <w:pPr>
      <w:spacing w:before="60" w:beforeLines="0" w:after="60" w:afterLines="0" w:line="360" w:lineRule="auto"/>
      <w:ind w:left="0" w:firstLine="482"/>
    </w:pPr>
    <w:rPr>
      <w:rFonts w:ascii="Arial" w:hAnsi="Arial"/>
      <w:sz w:val="24"/>
    </w:rPr>
  </w:style>
  <w:style w:type="paragraph" w:customStyle="1" w:styleId="213">
    <w:name w:val=" Char Char14 Char Char"/>
    <w:basedOn w:val="1"/>
    <w:qFormat/>
    <w:uiPriority w:val="0"/>
    <w:rPr>
      <w:sz w:val="21"/>
      <w:szCs w:val="24"/>
    </w:rPr>
  </w:style>
  <w:style w:type="paragraph" w:customStyle="1" w:styleId="214">
    <w:name w:val="B表头样式"/>
    <w:next w:val="1"/>
    <w:qFormat/>
    <w:uiPriority w:val="0"/>
    <w:pPr>
      <w:jc w:val="center"/>
    </w:pPr>
    <w:rPr>
      <w:rFonts w:ascii="Calibri" w:hAnsi="Calibri" w:eastAsia="黑体" w:cs="Times New Roman"/>
      <w:b/>
      <w:kern w:val="2"/>
      <w:sz w:val="24"/>
      <w:szCs w:val="21"/>
      <w:lang w:val="en-US" w:eastAsia="zh-CN" w:bidi="ar-SA"/>
    </w:rPr>
  </w:style>
  <w:style w:type="paragraph" w:customStyle="1" w:styleId="215">
    <w:name w:val="_Style 214"/>
    <w:qFormat/>
    <w:uiPriority w:val="0"/>
    <w:rPr>
      <w:rFonts w:ascii="Times New Roman" w:hAnsi="Times New Roman" w:eastAsia="宋体" w:cs="Times New Roman"/>
      <w:kern w:val="2"/>
      <w:sz w:val="21"/>
      <w:lang w:val="en-US" w:eastAsia="zh-CN" w:bidi="ar-SA"/>
    </w:rPr>
  </w:style>
  <w:style w:type="paragraph" w:customStyle="1" w:styleId="21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217">
    <w:name w:val="样式 行距: 1.5 倍行距1"/>
    <w:basedOn w:val="1"/>
    <w:qFormat/>
    <w:uiPriority w:val="0"/>
    <w:pPr>
      <w:snapToGrid w:val="0"/>
    </w:pPr>
    <w:rPr>
      <w:sz w:val="21"/>
    </w:rPr>
  </w:style>
  <w:style w:type="paragraph" w:customStyle="1" w:styleId="218">
    <w:name w:val="Title - Revision"/>
    <w:basedOn w:val="58"/>
    <w:qFormat/>
    <w:uiPriority w:val="0"/>
    <w:pPr>
      <w:spacing w:before="720" w:beforeLines="0" w:beforeAutospacing="0"/>
    </w:pPr>
  </w:style>
  <w:style w:type="paragraph" w:customStyle="1" w:styleId="219">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2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221">
    <w:name w:val="内容标题"/>
    <w:basedOn w:val="18"/>
    <w:qFormat/>
    <w:uiPriority w:val="0"/>
    <w:rPr>
      <w:rFonts w:ascii="Tahoma" w:hAnsi="Tahoma"/>
      <w:sz w:val="24"/>
    </w:rPr>
  </w:style>
  <w:style w:type="paragraph" w:customStyle="1" w:styleId="222">
    <w:name w:val=" Char Char Char"/>
    <w:basedOn w:val="1"/>
    <w:qFormat/>
    <w:uiPriority w:val="0"/>
    <w:rPr>
      <w:rFonts w:ascii="Tahoma" w:hAnsi="Tahoma"/>
      <w:sz w:val="24"/>
    </w:rPr>
  </w:style>
  <w:style w:type="paragraph" w:customStyle="1" w:styleId="223">
    <w:name w:val="样式1"/>
    <w:basedOn w:val="5"/>
    <w:qFormat/>
    <w:uiPriority w:val="0"/>
    <w:pPr>
      <w:tabs>
        <w:tab w:val="left" w:pos="720"/>
      </w:tabs>
      <w:spacing w:before="500" w:beforeLines="0" w:beforeAutospacing="0" w:after="260" w:afterLines="0" w:afterAutospacing="0" w:line="560" w:lineRule="atLeast"/>
      <w:ind w:left="420" w:hanging="420"/>
    </w:pPr>
  </w:style>
  <w:style w:type="paragraph" w:customStyle="1" w:styleId="22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225">
    <w:name w:val=" Char2 Char Char Char Char Char Char"/>
    <w:basedOn w:val="1"/>
    <w:qFormat/>
    <w:uiPriority w:val="0"/>
    <w:rPr>
      <w:rFonts w:ascii="仿宋_GB2312"/>
      <w:b/>
      <w:sz w:val="30"/>
    </w:rPr>
  </w:style>
  <w:style w:type="paragraph" w:customStyle="1" w:styleId="22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227">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28">
    <w:name w:val="Char"/>
    <w:basedOn w:val="1"/>
    <w:qFormat/>
    <w:uiPriority w:val="0"/>
    <w:pPr>
      <w:spacing w:line="240" w:lineRule="atLeast"/>
      <w:ind w:left="420" w:firstLine="420"/>
    </w:pPr>
    <w:rPr>
      <w:kern w:val="0"/>
      <w:sz w:val="21"/>
    </w:rPr>
  </w:style>
  <w:style w:type="paragraph" w:customStyle="1" w:styleId="22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30">
    <w:name w:val="Note"/>
    <w:basedOn w:val="1"/>
    <w:qFormat/>
    <w:uiPriority w:val="0"/>
    <w:pPr>
      <w:pBdr>
        <w:top w:val="single" w:color="auto" w:sz="12" w:space="3"/>
        <w:bottom w:val="single" w:color="auto" w:sz="12" w:space="3"/>
      </w:pBdr>
      <w:spacing w:line="360" w:lineRule="auto"/>
    </w:pPr>
    <w:rPr>
      <w:sz w:val="24"/>
    </w:rPr>
  </w:style>
  <w:style w:type="paragraph" w:customStyle="1" w:styleId="231">
    <w:name w:val="表头样式"/>
    <w:basedOn w:val="1"/>
    <w:qFormat/>
    <w:uiPriority w:val="0"/>
    <w:pPr>
      <w:autoSpaceDE w:val="0"/>
      <w:autoSpaceDN w:val="0"/>
      <w:adjustRightInd w:val="0"/>
      <w:spacing w:line="360" w:lineRule="auto"/>
      <w:jc w:val="left"/>
    </w:pPr>
    <w:rPr>
      <w:b/>
      <w:kern w:val="0"/>
      <w:sz w:val="21"/>
    </w:rPr>
  </w:style>
  <w:style w:type="paragraph" w:customStyle="1" w:styleId="232">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3">
    <w:name w:val="默认段落字体 Para Char Char Char Char Char Char Char Char Char1 Char Char Char Char"/>
    <w:basedOn w:val="1"/>
    <w:qFormat/>
    <w:uiPriority w:val="0"/>
    <w:rPr>
      <w:rFonts w:ascii="Tahoma" w:hAnsi="Tahoma"/>
      <w:sz w:val="24"/>
    </w:rPr>
  </w:style>
  <w:style w:type="paragraph" w:customStyle="1" w:styleId="23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23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23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237">
    <w:name w:val="样式 标题 1章标题Heading 0Section HeadPIM 1H1h11st levell11H1..."/>
    <w:basedOn w:val="2"/>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38">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239">
    <w:name w:val="正文 + 三号"/>
    <w:basedOn w:val="1"/>
    <w:qFormat/>
    <w:uiPriority w:val="0"/>
    <w:rPr>
      <w:sz w:val="21"/>
    </w:rPr>
  </w:style>
  <w:style w:type="paragraph" w:customStyle="1" w:styleId="240">
    <w:name w:val="Table Contents"/>
    <w:basedOn w:val="24"/>
    <w:qFormat/>
    <w:uiPriority w:val="0"/>
    <w:pPr>
      <w:suppressAutoHyphens/>
      <w:jc w:val="left"/>
    </w:pPr>
    <w:rPr>
      <w:rFonts w:ascii="Times New Roman" w:eastAsia="Times New Roman"/>
      <w:kern w:val="0"/>
      <w:sz w:val="24"/>
    </w:rPr>
  </w:style>
  <w:style w:type="paragraph" w:customStyle="1" w:styleId="241">
    <w:name w:val="标题3——2"/>
    <w:basedOn w:val="4"/>
    <w:next w:val="60"/>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42">
    <w:name w:val="表格内文字"/>
    <w:basedOn w:val="34"/>
    <w:qFormat/>
    <w:uiPriority w:val="0"/>
    <w:pPr>
      <w:adjustRightInd w:val="0"/>
    </w:pPr>
    <w:rPr>
      <w:color w:val="000000"/>
      <w:lang w:val="en-GB"/>
    </w:rPr>
  </w:style>
  <w:style w:type="paragraph" w:customStyle="1" w:styleId="243">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244">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45">
    <w:name w:val="_Style 3"/>
    <w:qFormat/>
    <w:uiPriority w:val="0"/>
    <w:pPr>
      <w:widowControl w:val="0"/>
      <w:jc w:val="both"/>
    </w:pPr>
    <w:rPr>
      <w:rFonts w:ascii="Calibri" w:hAnsi="Calibri" w:eastAsia="宋体" w:cs="Times New Roman"/>
      <w:kern w:val="2"/>
      <w:sz w:val="21"/>
      <w:szCs w:val="22"/>
      <w:lang w:val="en-US" w:eastAsia="zh-CN" w:bidi="ar-SA"/>
    </w:rPr>
  </w:style>
  <w:style w:type="paragraph" w:styleId="246">
    <w:name w:val="Quote"/>
    <w:next w:val="1"/>
    <w:link w:val="247"/>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247">
    <w:name w:val="引用 字符"/>
    <w:link w:val="246"/>
    <w:qFormat/>
    <w:uiPriority w:val="0"/>
    <w:rPr>
      <w:i/>
      <w:sz w:val="21"/>
      <w:lang w:val="en-US" w:eastAsia="zh-CN" w:bidi="ar-SA"/>
    </w:rPr>
  </w:style>
  <w:style w:type="paragraph" w:customStyle="1" w:styleId="248">
    <w:name w:val="表内容"/>
    <w:basedOn w:val="1"/>
    <w:link w:val="249"/>
    <w:qFormat/>
    <w:uiPriority w:val="0"/>
    <w:pPr>
      <w:widowControl/>
      <w:adjustRightInd w:val="0"/>
      <w:snapToGrid w:val="0"/>
      <w:jc w:val="center"/>
    </w:pPr>
    <w:rPr>
      <w:rFonts w:ascii="Tahoma" w:hAnsi="Tahoma"/>
      <w:kern w:val="0"/>
      <w:sz w:val="24"/>
      <w:szCs w:val="22"/>
    </w:rPr>
  </w:style>
  <w:style w:type="character" w:customStyle="1" w:styleId="249">
    <w:name w:val="表内容 Char"/>
    <w:link w:val="248"/>
    <w:qFormat/>
    <w:uiPriority w:val="0"/>
    <w:rPr>
      <w:rFonts w:ascii="Tahoma" w:hAnsi="Tahoma" w:cs="Times New Roman"/>
      <w:sz w:val="24"/>
      <w:szCs w:val="22"/>
    </w:rPr>
  </w:style>
  <w:style w:type="paragraph" w:customStyle="1" w:styleId="250">
    <w:name w:val="List Paragraph"/>
    <w:basedOn w:val="1"/>
    <w:qFormat/>
    <w:uiPriority w:val="34"/>
    <w:pPr>
      <w:ind w:firstLine="420" w:firstLineChars="200"/>
    </w:pPr>
  </w:style>
  <w:style w:type="character" w:customStyle="1" w:styleId="251">
    <w:name w:val="UserStyle_74"/>
    <w:semiHidden/>
    <w:qFormat/>
    <w:uiPriority w:val="0"/>
    <w:rPr>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14615</Words>
  <Characters>15389</Characters>
  <Lines>171</Lines>
  <Paragraphs>48</Paragraphs>
  <TotalTime>15</TotalTime>
  <ScaleCrop>false</ScaleCrop>
  <LinksUpToDate>false</LinksUpToDate>
  <CharactersWithSpaces>15476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2024-01-18T02:12:00Z</dcterms:created>
  <dc:creator>何昌万</dc:creator>
  <cp:lastModifiedBy>向导</cp:lastModifiedBy>
  <cp:lastPrinted>2024-05-20T00:57:00Z</cp:lastPrinted>
  <dcterms:modified xsi:type="dcterms:W3CDTF">2025-04-22T07:01:44Z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2607737667C34D6C9C9548DA68331FFC</vt:lpwstr>
  </property>
  <property fmtid="{D5CDD505-2E9C-101B-9397-08002B2CF9AE}" pid="4" name="KSOTemplateDocerSaveRecord">
    <vt:lpwstr>eyJoZGlkIjoiYWI2ZTczMDVlYWY3NDYwYTg2NGM1NDc0ZDk0MzVmY2EiLCJ1c2VySWQiOiI1NDgwMjYyOTEifQ==</vt:lpwstr>
  </property>
</Properties>
</file>