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版本号：241114001</w:t>
      </w:r>
    </w:p>
    <w:p>
      <w:pPr>
        <w:pStyle w:val="null3"/>
        <w:jc w:val="left"/>
        <w:outlineLvl w:val="0"/>
      </w:pPr>
      <w:r>
        <w:rPr>
          <w:b/>
          <w:sz w:val="48"/>
        </w:rPr>
        <w:t>单一来源采购文件</w:t>
      </w:r>
    </w:p>
    <w:p>
      <w:pPr>
        <w:pStyle w:val="null3"/>
        <w:jc w:val="center"/>
        <w:outlineLvl w:val="0"/>
      </w:pPr>
      <w:r>
        <w:rPr>
          <w:b/>
          <w:sz w:val="48"/>
        </w:rPr>
        <w:t>（货物类）</w:t>
      </w:r>
    </w:p>
    <w:p>
      <w:pPr>
        <w:pStyle w:val="null3"/>
        <w:jc w:val="left"/>
        <w:outlineLvl w:val="2"/>
      </w:pPr>
      <w:r>
        <w:rPr>
          <w:b/>
          <w:sz w:val="28"/>
        </w:rPr>
        <w:t>采购项目名称：</w:t>
      </w:r>
      <w:r>
        <w:rPr>
          <w:b/>
          <w:sz w:val="28"/>
        </w:rPr>
        <w:t>GE3100血管机球管</w:t>
      </w:r>
    </w:p>
    <w:p>
      <w:pPr>
        <w:pStyle w:val="null3"/>
        <w:jc w:val="center"/>
        <w:outlineLvl w:val="2"/>
      </w:pPr>
      <w:r>
        <w:rPr>
          <w:b/>
          <w:sz w:val="28"/>
        </w:rPr>
        <w:t>采购项目编号：</w:t>
      </w:r>
      <w:r>
        <w:rPr>
          <w:b/>
          <w:sz w:val="28"/>
        </w:rPr>
        <w:t>N5108012024000216</w:t>
      </w:r>
    </w:p>
    <w:p>
      <w:pPr>
        <w:pStyle w:val="null3"/>
        <w:jc w:val="left"/>
        <w:outlineLvl w:val="2"/>
      </w:pPr>
      <w:r>
        <w:rPr>
          <w:b/>
          <w:sz w:val="28"/>
        </w:rPr>
        <w:t>广元市中心医院</w:t>
      </w:r>
    </w:p>
    <w:p>
      <w:pPr>
        <w:pStyle w:val="null3"/>
        <w:jc w:val="center"/>
        <w:outlineLvl w:val="2"/>
      </w:pPr>
      <w:r>
        <w:rPr>
          <w:b/>
          <w:sz w:val="28"/>
        </w:rPr>
        <w:t>四川君昶工程项目管理有限公司</w:t>
      </w:r>
      <w:r>
        <w:rPr>
          <w:b/>
          <w:sz w:val="28"/>
        </w:rPr>
        <w:t>共同编制</w:t>
      </w:r>
    </w:p>
    <w:p>
      <w:pPr>
        <w:pStyle w:val="null3"/>
        <w:jc w:val="center"/>
      </w:pPr>
      <w:r>
        <w:rPr/>
        <w:t>2024年11月14日</w:t>
      </w:r>
    </w:p>
    <w:p>
      <w:pPr>
        <w:pStyle w:val="null3"/>
      </w:pPr>
      <w:r>
        <w:rPr/>
        <w:t xml:space="preserve"> </w:t>
        <w:br/>
        <w:br w:type="page"/>
      </w:r>
    </w:p>
    <w:p>
      <w:pPr>
        <w:pStyle w:val="null3"/>
        <w:jc w:val="center"/>
        <w:outlineLvl w:val="1"/>
      </w:pPr>
      <w:r>
        <w:rPr>
          <w:b/>
          <w:sz w:val="36"/>
        </w:rPr>
        <w:t>第一章 协商邀请</w:t>
      </w:r>
    </w:p>
    <w:p>
      <w:pPr>
        <w:pStyle w:val="null3"/>
        <w:ind w:firstLine="480"/>
        <w:jc w:val="left"/>
      </w:pPr>
      <w:r>
        <w:rPr/>
        <w:t>四川君昶工程项目管理有限公司</w:t>
      </w:r>
      <w:r>
        <w:rPr/>
        <w:t xml:space="preserve"> （以下简称“代理机构”）受 </w:t>
      </w:r>
      <w:r>
        <w:rPr/>
        <w:t>广元市中心医院</w:t>
      </w:r>
      <w:r>
        <w:rPr/>
        <w:t xml:space="preserve"> 委托，拟对 </w:t>
      </w:r>
      <w:r>
        <w:rPr/>
        <w:t>GE3100血管机球管</w:t>
      </w:r>
      <w:r>
        <w:rPr/>
        <w:t xml:space="preserve"> 采用单一来源采购方式进行采购，兹邀请你单位参加该项目的单一来源协商。本项目为四川省</w:t>
      </w:r>
      <w:r>
        <w:rPr/>
        <w:t>广元市市本级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N5108012024000216</w:t>
      </w:r>
    </w:p>
    <w:p>
      <w:pPr>
        <w:pStyle w:val="null3"/>
        <w:jc w:val="left"/>
        <w:outlineLvl w:val="2"/>
      </w:pPr>
      <w:r>
        <w:rPr>
          <w:b/>
          <w:sz w:val="28"/>
        </w:rPr>
        <w:t>1.2.采购项目名称</w:t>
      </w:r>
      <w:r>
        <w:rPr>
          <w:b/>
          <w:sz w:val="28"/>
        </w:rPr>
        <w:t xml:space="preserve">： </w:t>
      </w:r>
      <w:r>
        <w:rPr>
          <w:b/>
          <w:sz w:val="28"/>
        </w:rPr>
        <w:t>GE3100血管机球管</w:t>
      </w:r>
    </w:p>
    <w:p>
      <w:pPr>
        <w:pStyle w:val="null3"/>
        <w:jc w:val="left"/>
        <w:outlineLvl w:val="2"/>
      </w:pPr>
      <w:r>
        <w:rPr>
          <w:b/>
          <w:sz w:val="28"/>
        </w:rPr>
        <w:t>1.3.协商项目简介</w:t>
      </w:r>
    </w:p>
    <w:p>
      <w:pPr>
        <w:pStyle w:val="null3"/>
        <w:ind w:firstLine="480"/>
        <w:jc w:val="left"/>
      </w:pPr>
      <w:r>
        <w:rPr/>
        <w:t>我院在用的GE 3100球管使用近3年，现已出现故障，无法正常使用。为满足临床科室相关工作的需要，现需购置新球管1套。</w:t>
      </w:r>
    </w:p>
    <w:p>
      <w:pPr>
        <w:pStyle w:val="null3"/>
        <w:jc w:val="left"/>
        <w:outlineLvl w:val="2"/>
      </w:pPr>
      <w:r>
        <w:rPr>
          <w:b/>
          <w:sz w:val="28"/>
        </w:rPr>
        <w:t>1.4.邀请供应商方式</w:t>
      </w:r>
    </w:p>
    <w:p>
      <w:pPr>
        <w:pStyle w:val="null3"/>
        <w:ind w:firstLine="480"/>
        <w:jc w:val="left"/>
      </w:pPr>
      <w:r>
        <w:rPr/>
        <w:t>以书面形式邀请唯一供应商参与单一来源协商。</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采购包1：</w:t>
      </w:r>
    </w:p>
    <w:p>
      <w:pPr>
        <w:pStyle w:val="null3"/>
        <w:jc w:val="left"/>
      </w:pPr>
      <w:r>
        <w:rPr/>
        <w:t>1、投标产品属于《医疗器械监督管理条例》中有强制性要求，投标人应提供相关有效的医疗器械生产或经营企业许可证或备案证明文件，提供产品注册证或备案证明文件；（描述：投标产品属于《医疗器械监督管理条例》中有强制性要求，投标人应提供相关有效的医疗器械生产或经营企业许可证或备案证明文件，提供产品注册证或备案证明文件；供应商需在项目电子化交易系统中按要求提供相关证明材料并进行电子签章。）</w:t>
      </w:r>
    </w:p>
    <w:p>
      <w:pPr>
        <w:pStyle w:val="null3"/>
        <w:jc w:val="left"/>
      </w:pPr>
      <w:r>
        <w:rPr/>
        <w:t>2、投标人非投标产品（进口产品）制造厂家还需提供产品制造厂家对投标产品的授权，或具有授权权限的代理商对投标产品的授权复印件（授权链条必须完整）。（描述：投标人非投标产品（进口产品）制造厂家还需提供产品制造厂家对投标产品的授权，或具有授权权限的代理商对投标产品的授权复印件（授权链条必须完整）。供应商需在项目电子化交易系统中按要求提供相关证明材料并进行电子签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1.7.单一来源采购文件获取时间、方式及地址：</w:t>
      </w:r>
    </w:p>
    <w:p>
      <w:pPr>
        <w:pStyle w:val="null3"/>
        <w:ind w:firstLine="480"/>
        <w:jc w:val="left"/>
      </w:pPr>
      <w:r>
        <w:rPr/>
        <w:t>一、单一来源采购文件获取时间：详见邀请书。</w:t>
      </w:r>
    </w:p>
    <w:p>
      <w:pPr>
        <w:pStyle w:val="null3"/>
        <w:ind w:firstLine="480"/>
        <w:jc w:val="left"/>
      </w:pPr>
      <w:r>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jc w:val="left"/>
      </w:pPr>
      <w:r>
        <w:rPr/>
        <w:t>注：获取的采购文件由正文和附件组成，正文部分包括pdf、word两种格式版本，如内容有不一致的，以pdf格式内容为准。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一、提交响应文件截止时间及开启时间：详见邀请书。</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pPr>
      <w:r>
        <w:rPr>
          <w:b/>
        </w:rPr>
        <w:t>采购人</w:t>
      </w:r>
      <w:r>
        <w:rPr>
          <w:b/>
        </w:rPr>
        <w:t xml:space="preserve">： </w:t>
      </w:r>
      <w:r>
        <w:rPr>
          <w:b/>
        </w:rPr>
        <w:t>广元市中心医院</w:t>
      </w:r>
    </w:p>
    <w:p>
      <w:pPr>
        <w:pStyle w:val="null3"/>
        <w:jc w:val="left"/>
      </w:pPr>
      <w:r>
        <w:rPr/>
        <w:t xml:space="preserve"> 地址： </w:t>
      </w:r>
      <w:r>
        <w:rPr/>
        <w:t>广元市利州区井家巷16号</w:t>
      </w:r>
    </w:p>
    <w:p>
      <w:pPr>
        <w:pStyle w:val="null3"/>
        <w:jc w:val="left"/>
      </w:pPr>
      <w:r>
        <w:rPr/>
        <w:t xml:space="preserve"> 邮编： </w:t>
      </w:r>
      <w:r>
        <w:rPr/>
        <w:t>628000</w:t>
      </w:r>
    </w:p>
    <w:p>
      <w:pPr>
        <w:pStyle w:val="null3"/>
        <w:jc w:val="left"/>
      </w:pPr>
      <w:r>
        <w:rPr/>
        <w:t xml:space="preserve"> 联系人： </w:t>
      </w:r>
      <w:r>
        <w:rPr/>
        <w:t>张老师</w:t>
      </w:r>
    </w:p>
    <w:p>
      <w:pPr>
        <w:pStyle w:val="null3"/>
        <w:jc w:val="left"/>
      </w:pPr>
      <w:r>
        <w:rPr/>
        <w:t xml:space="preserve"> 联系电话： </w:t>
      </w:r>
      <w:r>
        <w:rPr/>
        <w:t>08393611176</w:t>
      </w:r>
    </w:p>
    <w:p>
      <w:pPr>
        <w:pStyle w:val="null3"/>
        <w:jc w:val="left"/>
      </w:pPr>
      <w:r>
        <w:rPr>
          <w:b/>
        </w:rPr>
        <w:t>代理机构</w:t>
      </w:r>
      <w:r>
        <w:rPr>
          <w:b/>
        </w:rPr>
        <w:t xml:space="preserve">： </w:t>
      </w:r>
      <w:r>
        <w:rPr>
          <w:b/>
        </w:rPr>
        <w:t>四川君昶工程项目管理有限公司</w:t>
      </w:r>
    </w:p>
    <w:p>
      <w:pPr>
        <w:pStyle w:val="null3"/>
        <w:jc w:val="left"/>
      </w:pPr>
      <w:r>
        <w:rPr/>
        <w:t xml:space="preserve"> 地址： </w:t>
      </w:r>
      <w:r>
        <w:rPr/>
        <w:t>广元市利州区滨河北路264号2楼</w:t>
      </w:r>
    </w:p>
    <w:p>
      <w:pPr>
        <w:pStyle w:val="null3"/>
        <w:jc w:val="left"/>
      </w:pPr>
      <w:r>
        <w:rPr/>
        <w:t xml:space="preserve"> 邮编： </w:t>
      </w:r>
      <w:r>
        <w:rPr/>
        <w:t>628000</w:t>
      </w:r>
    </w:p>
    <w:p>
      <w:pPr>
        <w:pStyle w:val="null3"/>
        <w:jc w:val="left"/>
      </w:pPr>
      <w:r>
        <w:rPr/>
        <w:t xml:space="preserve"> 联系人： </w:t>
      </w:r>
      <w:r>
        <w:rPr/>
        <w:t>吴老师</w:t>
      </w:r>
    </w:p>
    <w:p>
      <w:pPr>
        <w:pStyle w:val="null3"/>
        <w:jc w:val="left"/>
      </w:pPr>
      <w:r>
        <w:rPr/>
        <w:t xml:space="preserve"> 联系电话： </w:t>
      </w:r>
      <w:r>
        <w:rPr/>
        <w:t>0839-3217109</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0"/>
      </w:tblGrid>
      <w:tr>
        <w:tc>
          <w:tcPr>
            <w:tcW w:type="dxa" w:w="1051"/>
          </w:tcPr>
          <w:p>
            <w:pPr>
              <w:pStyle w:val="null3"/>
              <w:jc w:val="left"/>
            </w:pPr>
            <w:r>
              <w:rPr/>
              <w:t>序号</w:t>
            </w:r>
          </w:p>
        </w:tc>
        <w:tc>
          <w:tcPr>
            <w:tcW w:type="dxa" w:w="2252"/>
          </w:tcPr>
          <w:p>
            <w:pPr>
              <w:pStyle w:val="null3"/>
              <w:jc w:val="left"/>
            </w:pPr>
            <w:r>
              <w:rPr/>
              <w:t>应知事项</w:t>
            </w:r>
          </w:p>
        </w:tc>
        <w:tc>
          <w:tcPr>
            <w:tcW w:type="dxa" w:w="0"/>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0"/>
          </w:tcPr>
          <w:p>
            <w:pPr>
              <w:pStyle w:val="null3"/>
              <w:jc w:val="left"/>
            </w:pPr>
            <w:r>
              <w:rPr/>
              <w:t>本项目各包采购预算金额如下：</w:t>
            </w:r>
          </w:p>
          <w:p>
            <w:pPr>
              <w:pStyle w:val="null3"/>
              <w:jc w:val="left"/>
            </w:pPr>
            <w:r>
              <w:rPr/>
              <w:t>采购包1：1,200,000.00元</w:t>
            </w:r>
          </w:p>
          <w:p>
            <w:pPr>
              <w:pStyle w:val="null3"/>
              <w:jc w:val="left"/>
            </w:pPr>
            <w:r>
              <w:rPr/>
              <w:t>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是否接受联合体★</w:t>
            </w:r>
          </w:p>
        </w:tc>
        <w:tc>
          <w:tcPr>
            <w:tcW w:type="dxa" w:w="0"/>
          </w:tcPr>
          <w:p>
            <w:pPr>
              <w:pStyle w:val="null3"/>
              <w:jc w:val="left"/>
            </w:pPr>
            <w:r>
              <w:rPr/>
              <w:t>本项目不接受联合体</w:t>
            </w:r>
          </w:p>
        </w:tc>
      </w:tr>
      <w:tr>
        <w:tc>
          <w:tcPr>
            <w:tcW w:type="dxa" w:w="1051"/>
          </w:tcPr>
          <w:p>
            <w:pPr>
              <w:pStyle w:val="null3"/>
              <w:jc w:val="left"/>
            </w:pPr>
            <w:r>
              <w:rPr/>
              <w:t>3</w:t>
            </w:r>
          </w:p>
        </w:tc>
        <w:tc>
          <w:tcPr>
            <w:tcW w:type="dxa" w:w="2252"/>
          </w:tcPr>
          <w:p>
            <w:pPr>
              <w:pStyle w:val="null3"/>
              <w:jc w:val="left"/>
            </w:pPr>
            <w:r>
              <w:rPr/>
              <w:t>投标（响应）保证金★</w:t>
            </w:r>
          </w:p>
        </w:tc>
        <w:tc>
          <w:tcPr>
            <w:tcW w:type="dxa" w:w="0"/>
          </w:tcPr>
          <w:p>
            <w:pPr>
              <w:pStyle w:val="null3"/>
              <w:jc w:val="left"/>
            </w:pPr>
            <w:r>
              <w:rPr/>
              <w:t>本项目不收取投标（响应）保证金。</w:t>
            </w:r>
          </w:p>
        </w:tc>
      </w:tr>
      <w:tr>
        <w:tc>
          <w:tcPr>
            <w:tcW w:type="dxa" w:w="1051"/>
          </w:tcPr>
          <w:p>
            <w:pPr>
              <w:pStyle w:val="null3"/>
              <w:jc w:val="left"/>
            </w:pPr>
            <w:r>
              <w:rPr/>
              <w:t>4</w:t>
            </w:r>
          </w:p>
        </w:tc>
        <w:tc>
          <w:tcPr>
            <w:tcW w:type="dxa" w:w="2252"/>
          </w:tcPr>
          <w:p>
            <w:pPr>
              <w:pStyle w:val="null3"/>
              <w:jc w:val="left"/>
            </w:pPr>
            <w:r>
              <w:rPr/>
              <w:t>履约保证金★</w:t>
            </w:r>
          </w:p>
        </w:tc>
        <w:tc>
          <w:tcPr>
            <w:tcW w:type="dxa" w:w="0"/>
          </w:tcPr>
          <w:p>
            <w:pPr>
              <w:pStyle w:val="null3"/>
              <w:jc w:val="left"/>
            </w:pPr>
            <w:r>
              <w:rPr/>
              <w:t>采购包1：不收取</w:t>
            </w:r>
          </w:p>
        </w:tc>
      </w:tr>
      <w:tr>
        <w:tc>
          <w:tcPr>
            <w:tcW w:type="dxa" w:w="1051"/>
          </w:tcPr>
          <w:p>
            <w:pPr>
              <w:pStyle w:val="null3"/>
              <w:jc w:val="left"/>
            </w:pPr>
            <w:r>
              <w:rPr/>
              <w:t>5</w:t>
            </w:r>
          </w:p>
        </w:tc>
        <w:tc>
          <w:tcPr>
            <w:tcW w:type="dxa" w:w="2252"/>
          </w:tcPr>
          <w:p>
            <w:pPr>
              <w:pStyle w:val="null3"/>
              <w:jc w:val="left"/>
            </w:pPr>
            <w:r>
              <w:rPr/>
              <w:t>响应有效期★</w:t>
            </w:r>
          </w:p>
        </w:tc>
        <w:tc>
          <w:tcPr>
            <w:tcW w:type="dxa" w:w="0"/>
          </w:tcPr>
          <w:p>
            <w:pPr>
              <w:pStyle w:val="null3"/>
              <w:jc w:val="left"/>
            </w:pPr>
            <w:r>
              <w:rPr/>
              <w:t xml:space="preserve">提交响应文件的截止之日起不少于 </w:t>
            </w:r>
            <w:r>
              <w:rPr/>
              <w:t>60</w:t>
            </w:r>
            <w:r>
              <w:rPr/>
              <w:t xml:space="preserve"> 天。响应文件未明确响应有效期或者少于前述规定天数的，其响应文件按无效处理。</w:t>
            </w:r>
          </w:p>
        </w:tc>
      </w:tr>
      <w:tr>
        <w:tc>
          <w:tcPr>
            <w:tcW w:type="dxa" w:w="1051"/>
          </w:tcPr>
          <w:p>
            <w:pPr>
              <w:pStyle w:val="null3"/>
              <w:jc w:val="left"/>
            </w:pPr>
            <w:r>
              <w:rPr/>
              <w:t>6</w:t>
            </w:r>
          </w:p>
        </w:tc>
        <w:tc>
          <w:tcPr>
            <w:tcW w:type="dxa" w:w="2252"/>
          </w:tcPr>
          <w:p>
            <w:pPr>
              <w:pStyle w:val="null3"/>
              <w:jc w:val="left"/>
            </w:pPr>
            <w:r>
              <w:rPr/>
              <w:t>代理服务费★</w:t>
            </w:r>
          </w:p>
        </w:tc>
        <w:tc>
          <w:tcPr>
            <w:tcW w:type="dxa" w:w="0"/>
          </w:tcPr>
          <w:p>
            <w:pPr>
              <w:pStyle w:val="null3"/>
              <w:jc w:val="left"/>
            </w:pPr>
            <w:r>
              <w:rPr/>
              <w:t>本项目收取代理服务费</w:t>
            </w:r>
          </w:p>
          <w:p>
            <w:pPr>
              <w:pStyle w:val="null3"/>
              <w:jc w:val="left"/>
            </w:pPr>
            <w:r>
              <w:rPr/>
              <w:t>代理服务费用收取对象：成交供应商</w:t>
            </w:r>
          </w:p>
          <w:p>
            <w:pPr>
              <w:pStyle w:val="null3"/>
              <w:jc w:val="left"/>
            </w:pPr>
            <w:r>
              <w:rPr/>
              <w:t>代理服务费收费标准：按国家财政部、国家计委、国家物价局（2002）1980号，国家发改委（2011）534号文等相关文件收费标准基础上下浮 50% 收取招标采购代理服务费，代理服务费由中标方支付，并接受采购人监督。</w:t>
            </w:r>
          </w:p>
        </w:tc>
      </w:tr>
      <w:tr>
        <w:tc>
          <w:tcPr>
            <w:tcW w:type="dxa" w:w="1051"/>
          </w:tcPr>
          <w:p>
            <w:pPr>
              <w:pStyle w:val="null3"/>
              <w:jc w:val="left"/>
            </w:pPr>
            <w:r>
              <w:rPr/>
              <w:t>7</w:t>
            </w:r>
          </w:p>
        </w:tc>
        <w:tc>
          <w:tcPr>
            <w:tcW w:type="dxa" w:w="2252"/>
          </w:tcPr>
          <w:p>
            <w:pPr>
              <w:pStyle w:val="null3"/>
              <w:jc w:val="left"/>
            </w:pPr>
            <w:r>
              <w:rPr/>
              <w:t>采购结果公告</w:t>
            </w:r>
          </w:p>
        </w:tc>
        <w:tc>
          <w:tcPr>
            <w:tcW w:type="dxa" w:w="0"/>
          </w:tcPr>
          <w:p>
            <w:pPr>
              <w:pStyle w:val="null3"/>
              <w:jc w:val="left"/>
            </w:pPr>
            <w:r>
              <w:rPr/>
              <w:t>采购结果将在四川政府采购网予以公告。</w:t>
            </w:r>
          </w:p>
        </w:tc>
      </w:tr>
      <w:tr>
        <w:tc>
          <w:tcPr>
            <w:tcW w:type="dxa" w:w="1051"/>
          </w:tcPr>
          <w:p>
            <w:pPr>
              <w:pStyle w:val="null3"/>
              <w:jc w:val="left"/>
            </w:pPr>
            <w:r>
              <w:rPr/>
              <w:t>8</w:t>
            </w:r>
          </w:p>
        </w:tc>
        <w:tc>
          <w:tcPr>
            <w:tcW w:type="dxa" w:w="2252"/>
          </w:tcPr>
          <w:p>
            <w:pPr>
              <w:pStyle w:val="null3"/>
              <w:jc w:val="left"/>
            </w:pPr>
            <w:r>
              <w:rPr/>
              <w:t>是否组织潜在供应商现场考察</w:t>
            </w:r>
          </w:p>
        </w:tc>
        <w:tc>
          <w:tcPr>
            <w:tcW w:type="dxa" w:w="0"/>
          </w:tcPr>
          <w:p>
            <w:pPr>
              <w:pStyle w:val="null3"/>
              <w:jc w:val="left"/>
            </w:pPr>
            <w:r>
              <w:rPr/>
              <w:t>采购包1：否</w:t>
            </w:r>
          </w:p>
        </w:tc>
      </w:tr>
      <w:tr>
        <w:tc>
          <w:tcPr>
            <w:tcW w:type="dxa" w:w="1051"/>
          </w:tcPr>
          <w:p>
            <w:pPr>
              <w:pStyle w:val="null3"/>
              <w:jc w:val="left"/>
            </w:pPr>
            <w:r>
              <w:rPr/>
              <w:t>9</w:t>
            </w:r>
          </w:p>
        </w:tc>
        <w:tc>
          <w:tcPr>
            <w:tcW w:type="dxa" w:w="2252"/>
          </w:tcPr>
          <w:p>
            <w:pPr>
              <w:pStyle w:val="null3"/>
              <w:jc w:val="left"/>
            </w:pPr>
            <w:r>
              <w:rPr/>
              <w:t>是否召开采购前答疑会</w:t>
            </w:r>
          </w:p>
        </w:tc>
        <w:tc>
          <w:tcPr>
            <w:tcW w:type="dxa" w:w="0"/>
          </w:tcPr>
          <w:p>
            <w:pPr>
              <w:pStyle w:val="null3"/>
              <w:jc w:val="left"/>
            </w:pPr>
            <w:r>
              <w:rPr/>
              <w:t>否</w:t>
            </w:r>
          </w:p>
        </w:tc>
      </w:tr>
      <w:tr>
        <w:tc>
          <w:tcPr>
            <w:tcW w:type="dxa" w:w="1051"/>
          </w:tcPr>
          <w:p>
            <w:pPr>
              <w:pStyle w:val="null3"/>
              <w:jc w:val="left"/>
            </w:pPr>
            <w:r>
              <w:rPr/>
              <w:t>10</w:t>
            </w:r>
          </w:p>
        </w:tc>
        <w:tc>
          <w:tcPr>
            <w:tcW w:type="dxa" w:w="2252"/>
          </w:tcPr>
          <w:p>
            <w:pPr>
              <w:pStyle w:val="null3"/>
              <w:jc w:val="left"/>
            </w:pPr>
            <w:r>
              <w:rPr/>
              <w:t>特殊情况</w:t>
            </w:r>
          </w:p>
        </w:tc>
        <w:tc>
          <w:tcPr>
            <w:tcW w:type="dxa" w:w="0"/>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11</w:t>
            </w:r>
          </w:p>
        </w:tc>
        <w:tc>
          <w:tcPr>
            <w:tcW w:type="dxa" w:w="2252"/>
          </w:tcPr>
          <w:p>
            <w:pPr>
              <w:pStyle w:val="null3"/>
              <w:jc w:val="left"/>
            </w:pPr>
            <w:r>
              <w:rPr/>
              <w:t>报价/分值精确度</w:t>
            </w:r>
          </w:p>
        </w:tc>
        <w:tc>
          <w:tcPr>
            <w:tcW w:type="dxa" w:w="0"/>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12</w:t>
            </w:r>
          </w:p>
        </w:tc>
        <w:tc>
          <w:tcPr>
            <w:tcW w:type="dxa" w:w="2252"/>
          </w:tcPr>
          <w:p>
            <w:pPr>
              <w:pStyle w:val="null3"/>
              <w:jc w:val="left"/>
            </w:pPr>
            <w:r>
              <w:rPr/>
              <w:t>实质性要求</w:t>
            </w:r>
          </w:p>
        </w:tc>
        <w:tc>
          <w:tcPr>
            <w:tcW w:type="dxa" w:w="0"/>
          </w:tcPr>
          <w:p>
            <w:pPr>
              <w:pStyle w:val="null3"/>
              <w:jc w:val="left"/>
            </w:pPr>
            <w:r>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13</w:t>
            </w:r>
          </w:p>
        </w:tc>
        <w:tc>
          <w:tcPr>
            <w:tcW w:type="dxa" w:w="2252"/>
          </w:tcPr>
          <w:p>
            <w:pPr>
              <w:pStyle w:val="null3"/>
              <w:jc w:val="left"/>
            </w:pPr>
            <w:r>
              <w:rPr/>
              <w:t>其他说明</w:t>
            </w:r>
          </w:p>
        </w:tc>
        <w:tc>
          <w:tcPr>
            <w:tcW w:type="dxa" w:w="0"/>
          </w:tcPr>
          <w:p>
            <w:pPr>
              <w:pStyle w:val="null3"/>
              <w:jc w:val="left"/>
            </w:pPr>
            <w:r>
              <w:rPr/>
              <w:t>本采购文件所称的“以上”、“以下”、“内”、“以内”、“不少于”包括本数；所称的“不足”、“低于”、“超过”不包括本数。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一、本采购文件仅适用于本次单一来源采购项目。</w:t>
      </w:r>
    </w:p>
    <w:p>
      <w:pPr>
        <w:pStyle w:val="null3"/>
        <w:ind w:firstLine="480"/>
        <w:jc w:val="left"/>
      </w:pPr>
      <w:r>
        <w:rPr/>
        <w:t xml:space="preserve">二、本采购文件由 </w:t>
      </w:r>
      <w:r>
        <w:rPr/>
        <w:t>广元市中心医院</w:t>
      </w:r>
      <w:r>
        <w:rPr/>
        <w:t xml:space="preserve"> 和 </w:t>
      </w:r>
      <w:r>
        <w:rPr/>
        <w:t>四川君昶工程项目管理有限公司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一、“采购人”是指依法进行政府采购的国家机关、事业单位、团体组织。本次协商的采购人是 </w:t>
      </w:r>
      <w:r>
        <w:rPr/>
        <w:t>广元市中心医院</w:t>
      </w:r>
      <w:r>
        <w:rPr/>
        <w:t xml:space="preserve"> 。</w:t>
      </w:r>
    </w:p>
    <w:p>
      <w:pPr>
        <w:pStyle w:val="null3"/>
        <w:ind w:firstLine="480"/>
        <w:jc w:val="left"/>
      </w:pPr>
      <w:r>
        <w:rPr/>
        <w:t>二、“供应商”是指按照采购邀请书规定获取采购文件，参加采购活动的法人、其他组织或者自然人。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四川君昶工程项目管理有限公司</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五、“电子评审”是指协商小组开展资格审查、符合性审查、协商、确定供应商成交、出具协商情况记录等活动。</w:t>
      </w:r>
    </w:p>
    <w:p>
      <w:pPr>
        <w:pStyle w:val="null3"/>
        <w:jc w:val="left"/>
        <w:outlineLvl w:val="2"/>
      </w:pPr>
      <w:r>
        <w:rPr>
          <w:b/>
          <w:sz w:val="28"/>
        </w:rPr>
        <w:t>2.3.采购文件</w:t>
      </w:r>
    </w:p>
    <w:p>
      <w:pPr>
        <w:pStyle w:val="null3"/>
        <w:jc w:val="left"/>
        <w:outlineLvl w:val="3"/>
      </w:pPr>
      <w:r>
        <w:rPr>
          <w:b/>
          <w:sz w:val="24"/>
        </w:rPr>
        <w:t>2.3.1.采购文件的构成</w:t>
      </w:r>
    </w:p>
    <w:p>
      <w:pPr>
        <w:pStyle w:val="null3"/>
        <w:ind w:firstLine="480"/>
        <w:jc w:val="left"/>
      </w:pPr>
      <w:r>
        <w:rPr/>
        <w:t>采购文件由采购人、代理机构编制，是项目采购活动开展的基本依据，主要包括以下内容：</w:t>
      </w:r>
    </w:p>
    <w:p>
      <w:pPr>
        <w:pStyle w:val="null3"/>
        <w:ind w:firstLine="480"/>
        <w:jc w:val="left"/>
      </w:pPr>
      <w:r>
        <w:rPr/>
        <w:t>一、协商邀请；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四、协商过程中可实质性变动的内容；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2.3.2.采购文件的澄清或者修改</w:t>
      </w:r>
    </w:p>
    <w:p>
      <w:pPr>
        <w:pStyle w:val="null3"/>
        <w:ind w:firstLine="480"/>
        <w:jc w:val="left"/>
      </w:pPr>
      <w:r>
        <w:rPr/>
        <w:t>一、提交首次响应文件截止之日前，采购人或者代理机构可以对已发出的采购文件进行必要的澄清或者修改。</w:t>
      </w:r>
    </w:p>
    <w:p>
      <w:pPr>
        <w:pStyle w:val="null3"/>
        <w:ind w:firstLine="480"/>
        <w:jc w:val="left"/>
      </w:pPr>
      <w:r>
        <w:rPr/>
        <w:t>二、澄清或者修改的内容为采购文件的组成部分，采购人或者代理机构将在交易系统发送更正信息，并将更正后的采购文件上传至交易系统。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t>三、供应商根据更正信息要求，下载更正后的采购文件，进行响应文件编制。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除采购文件中另有规定外，本项目均采用国家法定的计量单位。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按照采购文件第五章评审办法规定进行价格修正的，修正后的报价经供应商加盖电子印章确认后产生约束力。未在规定时间内确认的，视同供应商不确认，作无效响应处理。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未按采购文件和采购平台操作规范编制、确认、加密、盖章和提交的响应文件，将被拒绝接收。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 ★</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2.5.开启、评审和确定供应商成交</w:t>
      </w:r>
    </w:p>
    <w:p>
      <w:pPr>
        <w:pStyle w:val="null3"/>
        <w:jc w:val="left"/>
        <w:outlineLvl w:val="3"/>
      </w:pPr>
      <w:r>
        <w:rPr>
          <w:b/>
          <w:sz w:val="24"/>
        </w:rPr>
        <w:t>2.5.1.开启</w:t>
      </w:r>
    </w:p>
    <w:p>
      <w:pPr>
        <w:pStyle w:val="null3"/>
        <w:jc w:val="left"/>
      </w:pPr>
      <w:r>
        <w:rPr>
          <w:b/>
        </w:rPr>
        <w:t>2.5.1.1.开启程序</w:t>
      </w:r>
    </w:p>
    <w:p>
      <w:pPr>
        <w:pStyle w:val="null3"/>
        <w:ind w:firstLine="480"/>
        <w:jc w:val="left"/>
      </w:pPr>
      <w:r>
        <w:rPr/>
        <w:t>提交响应文件截止时间后，通过交易系统“开标/开启大厅”网上开启解密响应文件。</w:t>
      </w:r>
    </w:p>
    <w:p>
      <w:pPr>
        <w:pStyle w:val="null3"/>
        <w:jc w:val="left"/>
      </w:pPr>
      <w:r>
        <w:rPr>
          <w:b/>
        </w:rPr>
        <w:t>2.5.1.2.解密响应文件★</w:t>
      </w:r>
    </w:p>
    <w:p>
      <w:pPr>
        <w:pStyle w:val="null3"/>
        <w:ind w:firstLine="480"/>
        <w:jc w:val="left"/>
      </w:pPr>
      <w:r>
        <w:rPr/>
        <w:t>提交响应文件截止时间后，成功提交响应文件的供应商符合采购文件规定数量的，代理机构将启动响应文件解密程序，解密时间为</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jc w:val="left"/>
        <w:outlineLvl w:val="3"/>
      </w:pPr>
      <w:r>
        <w:rPr>
          <w:b/>
          <w:sz w:val="24"/>
        </w:rPr>
        <w:t>2.5.3.评审</w:t>
      </w:r>
    </w:p>
    <w:p>
      <w:pPr>
        <w:pStyle w:val="null3"/>
        <w:ind w:firstLine="480"/>
        <w:jc w:val="left"/>
      </w:pPr>
      <w:r>
        <w:rPr/>
        <w:t>详见采购文件第五章。</w:t>
      </w:r>
    </w:p>
    <w:p>
      <w:pPr>
        <w:pStyle w:val="null3"/>
        <w:jc w:val="left"/>
        <w:outlineLvl w:val="3"/>
      </w:pPr>
      <w:r>
        <w:rPr>
          <w:b/>
          <w:sz w:val="24"/>
        </w:rPr>
        <w:t>2.5.4.成交通知书</w:t>
      </w:r>
    </w:p>
    <w:p>
      <w:pPr>
        <w:pStyle w:val="null3"/>
        <w:ind w:firstLine="480"/>
        <w:jc w:val="left"/>
      </w:pPr>
      <w:r>
        <w:rPr/>
        <w:t>一、协商小组确认供应商成交后，代理机构在四川政府采购网发布成交结果公告、通过交易系统发出成交通知书，成交供应商通过交易系统获取成交通知书。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pPr>
      <w:r>
        <w:rPr>
          <w:b/>
        </w:rPr>
        <w:t>2.6.3.1.合同分包</w:t>
      </w:r>
    </w:p>
    <w:p>
      <w:pPr>
        <w:pStyle w:val="null3"/>
        <w:ind w:firstLine="480"/>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分段/分期验收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货物在中标人通知安装调试完毕后 7 日内初步验收。初步验收合格后，进入试用期 30 天；试用期间发生重大质量问题，修复后试用相应顺延；试用期结束后10 日内完成最终验收；如质量验收合格，双方签署安装或质量验收报告</w:t>
      </w:r>
      <w:r>
        <w:rPr/>
        <w:t xml:space="preserve"> ，达到验收条件起 </w:t>
      </w:r>
      <w:r>
        <w:rPr/>
        <w:t>5</w:t>
      </w:r>
      <w:r>
        <w:rPr/>
        <w:t xml:space="preserve"> 日内，验收合同总金额的 </w:t>
      </w:r>
      <w:r>
        <w:rPr/>
        <w:t>90</w:t>
      </w:r>
      <w:r>
        <w:rPr/>
        <w:t>%；</w:t>
      </w:r>
    </w:p>
    <w:p>
      <w:pPr>
        <w:pStyle w:val="null3"/>
        <w:ind w:firstLine="1200"/>
        <w:jc w:val="left"/>
      </w:pPr>
      <w:r>
        <w:rPr/>
        <w:t>2、</w:t>
      </w:r>
      <w:r>
        <w:rPr/>
        <w:t xml:space="preserve"> 验收条件说明： </w:t>
      </w:r>
      <w:r>
        <w:rPr/>
        <w:t>设备运行合同期满</w:t>
      </w:r>
      <w:r>
        <w:rPr/>
        <w:t xml:space="preserve"> ，达到验收条件起 </w:t>
      </w:r>
      <w:r>
        <w:rPr/>
        <w:t>5</w:t>
      </w:r>
      <w:r>
        <w:rPr/>
        <w:t xml:space="preserve"> 日内，验收合同总金额的 </w:t>
      </w:r>
      <w:r>
        <w:rPr/>
        <w:t>10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国家有关规定以及采购人招标文件的质量要求和技术指标、中标人的投标文件及承诺与本合同约定的系统功能、性能、指标标准进行验收；双方如对质量要求和技术指标的约定标准有相互抵触或异议的事项，由采购人在招标与投标文件中按质量要求和技术指标比较优胜的原则确定该项的约定标准进行验收。</w:t>
      </w:r>
    </w:p>
    <w:p>
      <w:pPr>
        <w:pStyle w:val="null3"/>
        <w:ind w:firstLine="480"/>
        <w:jc w:val="left"/>
      </w:pPr>
      <w:r>
        <w:rPr/>
        <w:t>十、商务履约验收内容：</w:t>
      </w:r>
    </w:p>
    <w:p>
      <w:pPr>
        <w:pStyle w:val="null3"/>
        <w:ind w:firstLine="480"/>
        <w:jc w:val="left"/>
      </w:pPr>
      <w:r>
        <w:rPr/>
        <w:t>采购包1：</w:t>
      </w:r>
      <w:r>
        <w:rPr/>
        <w:t>按国家有关规定以及采购人招标文件的质量要求和技术指标、中标人的投标文件及承诺与本合同约定的系统功能、性能、指标标准进行验收；双方如对质量要求和技术指标的约定标准有相互抵触或异议的事项，由采购人在招标与投标文件中按质量要求和技术指标比较优胜的原则确定该项的约定标准进行验收。</w:t>
      </w:r>
    </w:p>
    <w:p>
      <w:pPr>
        <w:pStyle w:val="null3"/>
        <w:ind w:firstLine="480"/>
        <w:jc w:val="left"/>
      </w:pPr>
      <w:r>
        <w:rPr/>
        <w:t>十一、履约验收标准：</w:t>
      </w:r>
    </w:p>
    <w:p>
      <w:pPr>
        <w:pStyle w:val="null3"/>
        <w:ind w:firstLine="480"/>
        <w:jc w:val="left"/>
      </w:pPr>
      <w:r>
        <w:rPr/>
        <w:t>采购包1：</w:t>
      </w:r>
      <w:r>
        <w:rPr/>
        <w:t>按国家有关规定以及采购人招标文件的质量要求和技术指标、中标人的投标文件及承诺与本合同约定的系统功能、性能、指标标准进行验收；双方如对质量要求和技术指标的约定标准有相互抵触或异议的事项，由采购人在招标与投标文件中按质量要求和技术指标比较优胜的原则确定该项的约定标准进行验收。</w:t>
      </w:r>
    </w:p>
    <w:p>
      <w:pPr>
        <w:pStyle w:val="null3"/>
        <w:ind w:firstLine="480"/>
        <w:jc w:val="left"/>
      </w:pPr>
      <w:r>
        <w:rPr/>
        <w:t>十二、履约验收其他事项：</w:t>
      </w:r>
    </w:p>
    <w:p>
      <w:pPr>
        <w:pStyle w:val="null3"/>
        <w:ind w:firstLine="480"/>
        <w:jc w:val="left"/>
      </w:pPr>
      <w:r>
        <w:rPr/>
        <w:t>采购包1：</w:t>
      </w:r>
      <w:r>
        <w:rPr/>
        <w:t>其他未尽事宜应严格按照《财政部关于进一步加强政府采购需求和履约验收管理的指导意见》（财库〔2016〕205 号）和财政部关于印发《政府采购需求管理办法》的通知（财库〔2021〕22 号）文件的规定以及行业部门的技术要求统一验收。</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供应商参加协商不得有下列情形：</w:t>
      </w:r>
    </w:p>
    <w:p>
      <w:pPr>
        <w:pStyle w:val="null3"/>
        <w:ind w:firstLine="480"/>
        <w:jc w:val="left"/>
      </w:pPr>
      <w:r>
        <w:rPr/>
        <w:t>一、提供虚假材料谋取成交；</w:t>
      </w:r>
    </w:p>
    <w:p>
      <w:pPr>
        <w:pStyle w:val="null3"/>
        <w:ind w:firstLine="480"/>
        <w:jc w:val="left"/>
      </w:pPr>
      <w:r>
        <w:rPr/>
        <w:t>二、与采购人或者代理机构恶意串通；</w:t>
      </w:r>
    </w:p>
    <w:p>
      <w:pPr>
        <w:pStyle w:val="null3"/>
        <w:ind w:firstLine="480"/>
        <w:jc w:val="left"/>
      </w:pPr>
      <w:r>
        <w:rPr/>
        <w:t>三、向采购人或者代理机构、协商小组成员行贿或者提供其他不正当利益；</w:t>
      </w:r>
    </w:p>
    <w:p>
      <w:pPr>
        <w:pStyle w:val="null3"/>
        <w:ind w:firstLine="480"/>
        <w:jc w:val="left"/>
      </w:pPr>
      <w:r>
        <w:rPr/>
        <w:t>四、成交后无正当理由拒不与采购人签订政府采购合同；</w:t>
      </w:r>
    </w:p>
    <w:p>
      <w:pPr>
        <w:pStyle w:val="null3"/>
        <w:ind w:firstLine="480"/>
        <w:jc w:val="left"/>
      </w:pPr>
      <w:r>
        <w:rPr/>
        <w:t>五、未按照采购文件确定的事项签订政府采购合同；</w:t>
      </w:r>
    </w:p>
    <w:p>
      <w:pPr>
        <w:pStyle w:val="null3"/>
        <w:ind w:firstLine="480"/>
        <w:jc w:val="left"/>
      </w:pPr>
      <w:r>
        <w:rPr/>
        <w:t>六、将政府采购合同转包或者违规分包；</w:t>
      </w:r>
    </w:p>
    <w:p>
      <w:pPr>
        <w:pStyle w:val="null3"/>
        <w:ind w:firstLine="480"/>
        <w:jc w:val="left"/>
      </w:pPr>
      <w:r>
        <w:rPr/>
        <w:t>七、提供假冒伪劣产品；</w:t>
      </w:r>
    </w:p>
    <w:p>
      <w:pPr>
        <w:pStyle w:val="null3"/>
        <w:ind w:firstLine="480"/>
        <w:jc w:val="left"/>
      </w:pPr>
      <w:r>
        <w:rPr/>
        <w:t>八、擅自变更、中止或者终止政府采购合同；</w:t>
      </w:r>
    </w:p>
    <w:p>
      <w:pPr>
        <w:pStyle w:val="null3"/>
        <w:ind w:firstLine="480"/>
        <w:jc w:val="left"/>
      </w:pPr>
      <w:r>
        <w:rPr/>
        <w:t>九、拒绝有关部门的监督检查或者向监督检查部门提供虚假情况；</w:t>
      </w:r>
    </w:p>
    <w:p>
      <w:pPr>
        <w:pStyle w:val="null3"/>
        <w:ind w:firstLine="480"/>
        <w:jc w:val="left"/>
      </w:pPr>
      <w:r>
        <w:rPr/>
        <w:t>十、法律法规规定的其他禁止情形。</w:t>
      </w:r>
    </w:p>
    <w:p>
      <w:pPr>
        <w:pStyle w:val="null3"/>
        <w:ind w:firstLine="480"/>
        <w:jc w:val="left"/>
      </w:pPr>
      <w:r>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根据委托代理协议约定，供应商对采购文件中采购需求的询问、质疑由 </w:t>
      </w:r>
      <w:r>
        <w:rPr/>
        <w:t>广元市中心医院</w:t>
      </w:r>
      <w:r>
        <w:rPr/>
        <w:t xml:space="preserve">负责答复；供应商对除采购需求外的采购文件的询问、质疑由 </w:t>
      </w:r>
      <w:r>
        <w:rPr/>
        <w:t>四川君昶工程项目管理有限公司</w:t>
      </w:r>
      <w:r>
        <w:rPr/>
        <w:t xml:space="preserve"> 负责答复；供应商对采购过程、采购结果的询问、质疑由 </w:t>
      </w:r>
      <w:r>
        <w:rPr/>
        <w:t>四川君昶工程项目管理有限公司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联系人：张老师</w:t>
      </w:r>
    </w:p>
    <w:p>
      <w:pPr>
        <w:pStyle w:val="null3"/>
        <w:jc w:val="left"/>
      </w:pPr>
      <w:r>
        <w:rPr/>
        <w:t>联系电话：0839-3611176</w:t>
      </w:r>
    </w:p>
    <w:p>
      <w:pPr>
        <w:pStyle w:val="null3"/>
        <w:jc w:val="left"/>
      </w:pPr>
      <w:r>
        <w:rPr/>
        <w:t>地址：广元市利州区井家巷16号</w:t>
      </w:r>
    </w:p>
    <w:p>
      <w:pPr>
        <w:pStyle w:val="null3"/>
        <w:jc w:val="left"/>
      </w:pPr>
      <w:r>
        <w:rPr/>
        <w:t>邮编：628000</w:t>
      </w:r>
    </w:p>
    <w:p>
      <w:pPr>
        <w:pStyle w:val="null3"/>
        <w:jc w:val="left"/>
      </w:pPr>
      <w:r>
        <w:rPr/>
        <w:t>答复主体：代理机构</w:t>
      </w:r>
    </w:p>
    <w:p>
      <w:pPr>
        <w:pStyle w:val="null3"/>
        <w:jc w:val="left"/>
      </w:pPr>
      <w:r>
        <w:rPr/>
        <w:t>联系人：吴先生</w:t>
      </w:r>
    </w:p>
    <w:p>
      <w:pPr>
        <w:pStyle w:val="null3"/>
        <w:jc w:val="left"/>
      </w:pPr>
      <w:r>
        <w:rPr/>
        <w:t>联系电话：0839-3217109</w:t>
      </w:r>
    </w:p>
    <w:p>
      <w:pPr>
        <w:pStyle w:val="null3"/>
        <w:jc w:val="left"/>
      </w:pPr>
      <w:r>
        <w:rPr/>
        <w:t>地址：广元市利州区滨河北路264号2楼</w:t>
      </w:r>
    </w:p>
    <w:p>
      <w:pPr>
        <w:pStyle w:val="null3"/>
        <w:jc w:val="left"/>
      </w:pPr>
      <w:r>
        <w:rPr/>
        <w:t>邮编：628000</w:t>
      </w:r>
    </w:p>
    <w:p>
      <w:pPr>
        <w:pStyle w:val="null3"/>
        <w:ind w:firstLine="480"/>
        <w:jc w:val="left"/>
      </w:pPr>
      <w:r>
        <w:rPr/>
        <w:t>三、供应商提出询问，应当明确询问事项，如以书面形式提出的，应由供应商签字并加盖公章。</w:t>
      </w:r>
    </w:p>
    <w:p>
      <w:pPr>
        <w:pStyle w:val="null3"/>
        <w:ind w:firstLine="480"/>
        <w:jc w:val="left"/>
      </w:pPr>
      <w:r>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（五）针对质疑事项必要的证明材料（针对采购文件提出的质疑，需提交从交易系统获取的采购文件回执单）。</w:t>
      </w:r>
    </w:p>
    <w:p>
      <w:pPr>
        <w:pStyle w:val="null3"/>
        <w:ind w:firstLine="480"/>
        <w:jc w:val="left"/>
      </w:pPr>
      <w:r>
        <w:rPr/>
        <w:t>注：根据《中华人民共和国政府采购法》的规定，供应商质疑不得超出采购文件、采购过程、采购结果的范围。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1,200,000.00</w:t>
      </w:r>
    </w:p>
    <w:p>
      <w:pPr>
        <w:pStyle w:val="null3"/>
        <w:jc w:val="left"/>
      </w:pPr>
      <w:r>
        <w:rPr/>
        <w:t>采购包最高限价（元）: 1,200,000.00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医用 X 线附属设备及部件</w:t>
            </w:r>
          </w:p>
        </w:tc>
        <w:tc>
          <w:tcPr>
            <w:tcW w:type="dxa" w:w="821"/>
          </w:tcPr>
          <w:p>
            <w:pPr>
              <w:pStyle w:val="null3"/>
              <w:jc w:val="left"/>
            </w:pPr>
            <w:r>
              <w:rPr/>
              <w:t>GE3100血管机球管</w:t>
            </w:r>
          </w:p>
        </w:tc>
        <w:tc>
          <w:tcPr>
            <w:tcW w:type="dxa" w:w="821"/>
          </w:tcPr>
          <w:p>
            <w:pPr>
              <w:pStyle w:val="null3"/>
              <w:jc w:val="right"/>
            </w:pPr>
            <w:r>
              <w:rPr/>
              <w:t>1.00（套）</w:t>
            </w:r>
          </w:p>
        </w:tc>
        <w:tc>
          <w:tcPr>
            <w:tcW w:type="dxa" w:w="821"/>
          </w:tcPr>
          <w:p>
            <w:pPr>
              <w:pStyle w:val="null3"/>
              <w:jc w:val="right"/>
            </w:pPr>
            <w:r>
              <w:rPr/>
              <w:t>1,200,000.00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GE3100血管机球管</w:t>
            </w:r>
          </w:p>
        </w:tc>
        <w:tc>
          <w:tcPr>
            <w:tcW w:type="dxa" w:w="977"/>
          </w:tcPr>
          <w:p>
            <w:pPr>
              <w:pStyle w:val="null3"/>
              <w:jc w:val="right"/>
            </w:pPr>
            <w:r>
              <w:rPr/>
              <w:t>1.00（套）</w:t>
            </w:r>
          </w:p>
        </w:tc>
        <w:tc>
          <w:tcPr>
            <w:tcW w:type="dxa" w:w="1173"/>
          </w:tcPr>
          <w:p>
            <w:pPr>
              <w:pStyle w:val="null3"/>
              <w:jc w:val="right"/>
            </w:pPr>
            <w:r>
              <w:rPr/>
              <w:t>1,200,000（元）</w:t>
            </w:r>
          </w:p>
        </w:tc>
        <w:tc>
          <w:tcPr>
            <w:tcW w:type="dxa" w:w="1173"/>
          </w:tcPr>
          <w:p>
            <w:pPr>
              <w:pStyle w:val="null3"/>
              <w:jc w:val="right"/>
            </w:pPr>
            <w:r>
              <w:rPr/>
              <w:t>1,200,000.00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医用 X 线附属设备及部件</w:t>
            </w:r>
          </w:p>
        </w:tc>
        <w:tc>
          <w:tcPr>
            <w:tcW w:type="dxa" w:w="2492"/>
          </w:tcPr>
          <w:p>
            <w:pPr>
              <w:pStyle w:val="null3"/>
              <w:jc w:val="left"/>
            </w:pPr>
            <w:r>
              <w:rPr/>
              <w:t>GE3100血管机球管</w:t>
            </w:r>
          </w:p>
        </w:tc>
        <w:tc>
          <w:tcPr>
            <w:tcW w:type="dxa" w:w="2492"/>
          </w:tcPr>
          <w:p>
            <w:pPr>
              <w:pStyle w:val="null3"/>
              <w:jc w:val="left"/>
            </w:pPr>
            <w:r>
              <w:rPr/>
              <w:t>GE3100血管机球管</w:t>
            </w:r>
          </w:p>
        </w:tc>
      </w:tr>
    </w:tbl>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医用 X 线附属设备及部件</w:t>
            </w:r>
          </w:p>
        </w:tc>
        <w:tc>
          <w:tcPr>
            <w:tcW w:type="dxa" w:w="2492"/>
          </w:tcPr>
          <w:p>
            <w:pPr>
              <w:pStyle w:val="null3"/>
              <w:jc w:val="left"/>
            </w:pPr>
            <w:r>
              <w:rPr/>
              <w:t>GE3100血管机球管</w:t>
            </w:r>
          </w:p>
        </w:tc>
        <w:tc>
          <w:tcPr>
            <w:tcW w:type="dxa" w:w="2492"/>
          </w:tcPr>
          <w:p>
            <w:pPr>
              <w:pStyle w:val="null3"/>
              <w:jc w:val="left"/>
            </w:pPr>
            <w:r>
              <w:rPr/>
              <w:t>GE3100血管机球管</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标的名称：GE3100血管机球管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ind w:firstLine="480"/>
              <w:jc w:val="both"/>
            </w:pPr>
            <w:r>
              <w:rPr>
                <w:rFonts w:ascii="宋体" w:hAnsi="宋体" w:cs="宋体" w:eastAsia="宋体"/>
                <w:color w:val="000000"/>
                <w:sz w:val="24"/>
              </w:rPr>
              <w:t>1</w:t>
            </w:r>
            <w:r>
              <w:rPr>
                <w:rFonts w:ascii="宋体" w:hAnsi="宋体" w:cs="宋体" w:eastAsia="宋体"/>
                <w:color w:val="000000"/>
                <w:sz w:val="24"/>
              </w:rPr>
              <w:t>.</w:t>
            </w:r>
            <w:r>
              <w:rPr>
                <w:rFonts w:ascii="宋体" w:hAnsi="宋体" w:cs="宋体" w:eastAsia="宋体"/>
                <w:color w:val="000000"/>
                <w:sz w:val="24"/>
              </w:rPr>
              <w:t>最大管电压：</w:t>
            </w:r>
            <w:r>
              <w:rPr>
                <w:rFonts w:ascii="宋体" w:hAnsi="宋体" w:cs="宋体" w:eastAsia="宋体"/>
                <w:color w:val="000000"/>
                <w:sz w:val="24"/>
              </w:rPr>
              <w:t>125KV</w:t>
            </w:r>
            <w:r>
              <w:rPr>
                <w:rFonts w:ascii="宋体" w:hAnsi="宋体" w:cs="宋体" w:eastAsia="宋体"/>
                <w:color w:val="000000"/>
                <w:sz w:val="24"/>
              </w:rPr>
              <w:t>；</w:t>
            </w:r>
          </w:p>
          <w:p>
            <w:pPr>
              <w:pStyle w:val="null3"/>
              <w:ind w:firstLine="480"/>
              <w:jc w:val="both"/>
            </w:pPr>
            <w:r>
              <w:rPr>
                <w:rFonts w:ascii="宋体" w:hAnsi="宋体" w:cs="宋体" w:eastAsia="宋体"/>
                <w:sz w:val="24"/>
              </w:rPr>
              <w:t>2</w:t>
            </w:r>
            <w:r>
              <w:rPr>
                <w:rFonts w:ascii="宋体" w:hAnsi="宋体" w:cs="宋体" w:eastAsia="宋体"/>
                <w:sz w:val="24"/>
              </w:rPr>
              <w:t>.</w:t>
            </w:r>
            <w:r>
              <w:rPr>
                <w:rFonts w:ascii="宋体" w:hAnsi="宋体" w:cs="宋体" w:eastAsia="宋体"/>
                <w:sz w:val="24"/>
              </w:rPr>
              <w:t>焦点大小：</w:t>
            </w:r>
            <w:r>
              <w:rPr>
                <w:rFonts w:ascii="宋体" w:hAnsi="宋体" w:cs="宋体" w:eastAsia="宋体"/>
                <w:sz w:val="24"/>
              </w:rPr>
              <w:t>0.3、0.6、1.0；</w:t>
            </w:r>
          </w:p>
          <w:p>
            <w:pPr>
              <w:pStyle w:val="null3"/>
              <w:ind w:firstLine="480"/>
              <w:jc w:val="both"/>
            </w:pPr>
            <w:r>
              <w:rPr>
                <w:rFonts w:ascii="宋体" w:hAnsi="宋体" w:cs="宋体" w:eastAsia="宋体"/>
                <w:sz w:val="24"/>
              </w:rPr>
              <w:t>3.最大阳极热容量：3.70MHU;</w:t>
            </w:r>
          </w:p>
          <w:p>
            <w:pPr>
              <w:pStyle w:val="null3"/>
              <w:ind w:firstLine="480"/>
              <w:jc w:val="both"/>
            </w:pPr>
            <w:r>
              <w:rPr>
                <w:rFonts w:ascii="宋体" w:hAnsi="宋体" w:cs="宋体" w:eastAsia="宋体"/>
                <w:sz w:val="24"/>
              </w:rPr>
              <w:t>4.阳极靶角：11°15</w:t>
            </w:r>
            <w:r>
              <w:rPr>
                <w:rFonts w:ascii="宋体" w:hAnsi="宋体" w:cs="宋体" w:eastAsia="宋体"/>
                <w:sz w:val="24"/>
              </w:rPr>
              <w:t>´；</w:t>
            </w:r>
          </w:p>
          <w:p>
            <w:pPr>
              <w:pStyle w:val="null3"/>
              <w:ind w:firstLine="480"/>
              <w:jc w:val="both"/>
            </w:pPr>
            <w:r>
              <w:rPr>
                <w:rFonts w:ascii="宋体" w:hAnsi="宋体" w:cs="宋体" w:eastAsia="宋体"/>
                <w:sz w:val="24"/>
              </w:rPr>
              <w:t>5.转速：7800rpm+0rpm/-600rpm</w:t>
            </w:r>
            <w:r>
              <w:rPr>
                <w:rFonts w:ascii="宋体" w:hAnsi="宋体" w:cs="宋体" w:eastAsia="宋体"/>
                <w:sz w:val="24"/>
              </w:rPr>
              <w:t>。</w:t>
            </w:r>
          </w:p>
          <w:p>
            <w:pPr>
              <w:pStyle w:val="null3"/>
              <w:jc w:val="both"/>
            </w:pPr>
            <w:r>
              <w:rPr/>
              <w:t xml:space="preserve"> </w:t>
            </w:r>
          </w:p>
          <w:p>
            <w:pPr>
              <w:pStyle w:val="null3"/>
              <w:spacing w:before="240" w:after="60"/>
              <w:jc w:val="both"/>
            </w:pP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 xml:space="preserve"> 序号</w:t>
            </w:r>
          </w:p>
        </w:tc>
        <w:tc>
          <w:tcPr>
            <w:tcW w:type="dxa" w:w="581"/>
          </w:tcPr>
          <w:p>
            <w:pPr>
              <w:pStyle w:val="null3"/>
              <w:jc w:val="center"/>
            </w:pPr>
            <w:r>
              <w:rPr/>
              <w:t xml:space="preserve"> 符号标识</w:t>
            </w:r>
          </w:p>
        </w:tc>
        <w:tc>
          <w:tcPr>
            <w:tcW w:type="dxa" w:w="1495"/>
          </w:tcPr>
          <w:p>
            <w:pPr>
              <w:pStyle w:val="null3"/>
              <w:jc w:val="center"/>
            </w:pPr>
            <w:r>
              <w:rPr/>
              <w:t xml:space="preserve"> 服务要求名称</w:t>
            </w:r>
          </w:p>
        </w:tc>
        <w:tc>
          <w:tcPr>
            <w:tcW w:type="dxa" w:w="5814"/>
          </w:tcPr>
          <w:p>
            <w:pPr>
              <w:pStyle w:val="null3"/>
              <w:jc w:val="center"/>
            </w:pPr>
            <w:r>
              <w:rPr/>
              <w:t xml:space="preserve"> 服务要求内容</w:t>
            </w:r>
          </w:p>
        </w:tc>
      </w:tr>
      <w:tr>
        <w:tc>
          <w:tcPr>
            <w:tcW w:type="dxa" w:w="8305"/>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商务要求名称</w:t>
            </w:r>
          </w:p>
        </w:tc>
        <w:tc>
          <w:tcPr>
            <w:tcW w:type="dxa" w:w="5814"/>
          </w:tcPr>
          <w:p>
            <w:pPr>
              <w:pStyle w:val="null3"/>
              <w:jc w:val="center"/>
            </w:pPr>
            <w:r>
              <w:rPr/>
              <w:t>商务要求内容</w:t>
            </w:r>
          </w:p>
        </w:tc>
      </w:tr>
      <w:tr>
        <w:tc>
          <w:tcPr>
            <w:tcW w:type="dxa" w:w="415"/>
          </w:tcPr>
          <w:p>
            <w:pPr>
              <w:pStyle w:val="null3"/>
              <w:jc w:val="center"/>
            </w:pPr>
            <w:r>
              <w:rPr/>
              <w:t>1</w:t>
            </w:r>
          </w:p>
        </w:tc>
        <w:tc>
          <w:tcPr>
            <w:tcW w:type="dxa" w:w="581"/>
          </w:tcPr>
          <w:p>
            <w:pPr>
              <w:pStyle w:val="null3"/>
              <w:jc w:val="center"/>
            </w:pPr>
            <w:r>
              <w:rPr/>
              <w:t>★</w:t>
            </w:r>
          </w:p>
        </w:tc>
        <w:tc>
          <w:tcPr>
            <w:tcW w:type="dxa" w:w="1495"/>
          </w:tcPr>
          <w:p>
            <w:pPr>
              <w:pStyle w:val="null3"/>
              <w:jc w:val="left"/>
            </w:pPr>
            <w:r>
              <w:rPr/>
              <w:t>交货时间</w:t>
            </w:r>
          </w:p>
        </w:tc>
        <w:tc>
          <w:tcPr>
            <w:tcW w:type="dxa" w:w="5814"/>
          </w:tcPr>
          <w:p>
            <w:pPr>
              <w:pStyle w:val="null3"/>
              <w:jc w:val="left"/>
            </w:pPr>
            <w:r>
              <w:rPr/>
              <w:t>自合同签订之日起90日</w:t>
            </w:r>
          </w:p>
        </w:tc>
      </w:tr>
      <w:tr>
        <w:tc>
          <w:tcPr>
            <w:tcW w:type="dxa" w:w="415"/>
          </w:tcPr>
          <w:p>
            <w:pPr>
              <w:pStyle w:val="null3"/>
              <w:jc w:val="center"/>
            </w:pPr>
            <w:r>
              <w:rPr/>
              <w:t>2</w:t>
            </w:r>
          </w:p>
        </w:tc>
        <w:tc>
          <w:tcPr>
            <w:tcW w:type="dxa" w:w="581"/>
          </w:tcPr>
          <w:p>
            <w:pPr>
              <w:pStyle w:val="null3"/>
              <w:jc w:val="center"/>
            </w:pPr>
            <w:r>
              <w:rPr/>
              <w:t>★</w:t>
            </w:r>
          </w:p>
        </w:tc>
        <w:tc>
          <w:tcPr>
            <w:tcW w:type="dxa" w:w="1495"/>
          </w:tcPr>
          <w:p>
            <w:pPr>
              <w:pStyle w:val="null3"/>
              <w:jc w:val="left"/>
            </w:pPr>
            <w:r>
              <w:rPr/>
              <w:t>交货地点</w:t>
            </w:r>
          </w:p>
        </w:tc>
        <w:tc>
          <w:tcPr>
            <w:tcW w:type="dxa" w:w="5814"/>
          </w:tcPr>
          <w:p>
            <w:pPr>
              <w:pStyle w:val="null3"/>
              <w:jc w:val="left"/>
            </w:pPr>
            <w:r>
              <w:rPr/>
              <w:t>广元市中心医院</w:t>
            </w:r>
          </w:p>
        </w:tc>
      </w:tr>
      <w:tr>
        <w:tc>
          <w:tcPr>
            <w:tcW w:type="dxa" w:w="415"/>
          </w:tcPr>
          <w:p>
            <w:pPr>
              <w:pStyle w:val="null3"/>
              <w:jc w:val="center"/>
            </w:pPr>
            <w:r>
              <w:rPr/>
              <w:t>3</w:t>
            </w:r>
          </w:p>
        </w:tc>
        <w:tc>
          <w:tcPr>
            <w:tcW w:type="dxa" w:w="581"/>
          </w:tcPr>
          <w:p>
            <w:pPr>
              <w:pStyle w:val="null3"/>
              <w:jc w:val="center"/>
            </w:pPr>
            <w:r>
              <w:rPr/>
              <w:t>★</w:t>
            </w:r>
          </w:p>
        </w:tc>
        <w:tc>
          <w:tcPr>
            <w:tcW w:type="dxa" w:w="1495"/>
          </w:tcPr>
          <w:p>
            <w:pPr>
              <w:pStyle w:val="null3"/>
              <w:jc w:val="left"/>
            </w:pPr>
            <w:r>
              <w:rPr/>
              <w:t>支付方式</w:t>
            </w:r>
          </w:p>
        </w:tc>
        <w:tc>
          <w:tcPr>
            <w:tcW w:type="dxa" w:w="5814"/>
          </w:tcPr>
          <w:p>
            <w:pPr>
              <w:pStyle w:val="null3"/>
              <w:jc w:val="left"/>
            </w:pPr>
            <w:r>
              <w:rPr/>
              <w:t>分期付款</w:t>
            </w:r>
          </w:p>
        </w:tc>
      </w:tr>
      <w:tr>
        <w:tc>
          <w:tcPr>
            <w:tcW w:type="dxa" w:w="415"/>
          </w:tcPr>
          <w:p>
            <w:pPr>
              <w:pStyle w:val="null3"/>
              <w:jc w:val="center"/>
            </w:pPr>
            <w:r>
              <w:rPr/>
              <w:t>4</w:t>
            </w:r>
          </w:p>
        </w:tc>
        <w:tc>
          <w:tcPr>
            <w:tcW w:type="dxa" w:w="581"/>
          </w:tcPr>
          <w:p>
            <w:pPr>
              <w:pStyle w:val="null3"/>
              <w:jc w:val="center"/>
            </w:pPr>
            <w:r>
              <w:rPr/>
              <w:t>★</w:t>
            </w:r>
          </w:p>
        </w:tc>
        <w:tc>
          <w:tcPr>
            <w:tcW w:type="dxa" w:w="1495"/>
          </w:tcPr>
          <w:p>
            <w:pPr>
              <w:pStyle w:val="null3"/>
              <w:jc w:val="left"/>
            </w:pPr>
            <w:r>
              <w:rPr/>
              <w:t>付款进度安排</w:t>
            </w:r>
          </w:p>
        </w:tc>
        <w:tc>
          <w:tcPr>
            <w:tcW w:type="dxa" w:w="5814"/>
          </w:tcPr>
          <w:p>
            <w:pPr>
              <w:pStyle w:val="null3"/>
              <w:jc w:val="left"/>
            </w:pPr>
            <w:r>
              <w:rPr/>
              <w:t>1、由广元市中心医院统一支付，中标人须向采购人提供国家统一正式增值税发票，否则采购人不予支付。双方合同签订后付预付款，达到付款条件起5日内，支付合同总金额的30.00%</w:t>
            </w:r>
          </w:p>
          <w:p>
            <w:pPr>
              <w:pStyle w:val="null3"/>
              <w:jc w:val="left"/>
            </w:pPr>
            <w:r>
              <w:rPr/>
              <w:t>2、设备安装完成验收合格投入使用后，达到付款条件起5日内，支付合同总金额的60.00%</w:t>
            </w:r>
          </w:p>
          <w:p>
            <w:pPr>
              <w:pStyle w:val="null3"/>
              <w:jc w:val="left"/>
            </w:pPr>
            <w:r>
              <w:rPr/>
              <w:t>3、设备运行满1年后且无质量问题，达到付款条件起5日内，支付合同总金额的10.00%</w:t>
            </w:r>
          </w:p>
        </w:tc>
      </w:tr>
      <w:tr>
        <w:tc>
          <w:tcPr>
            <w:tcW w:type="dxa" w:w="415"/>
          </w:tcPr>
          <w:p>
            <w:pPr>
              <w:pStyle w:val="null3"/>
              <w:jc w:val="center"/>
            </w:pPr>
            <w:r>
              <w:rPr/>
              <w:t>5</w:t>
            </w:r>
          </w:p>
        </w:tc>
        <w:tc>
          <w:tcPr>
            <w:tcW w:type="dxa" w:w="581"/>
          </w:tcPr>
          <w:p>
            <w:pPr>
              <w:pStyle w:val="null3"/>
              <w:jc w:val="center"/>
            </w:pPr>
            <w:r>
              <w:rPr/>
              <w:t>★</w:t>
            </w:r>
          </w:p>
        </w:tc>
        <w:tc>
          <w:tcPr>
            <w:tcW w:type="dxa" w:w="1495"/>
          </w:tcPr>
          <w:p>
            <w:pPr>
              <w:pStyle w:val="null3"/>
              <w:jc w:val="left"/>
            </w:pPr>
            <w:r>
              <w:rPr/>
              <w:t>验收、交付标准和方法</w:t>
            </w:r>
          </w:p>
        </w:tc>
        <w:tc>
          <w:tcPr>
            <w:tcW w:type="dxa" w:w="5814"/>
          </w:tcPr>
          <w:p>
            <w:pPr>
              <w:pStyle w:val="null3"/>
              <w:jc w:val="left"/>
            </w:pPr>
            <w:r>
              <w:rPr/>
              <w:t>1.中标人负责设备安装、调试。货物到达现场后，中标人接到采购人通知后3日内到达现场组织安装、调试，达到正常运行要求，保证采购人正常使用。所需的费用包括在投标总价格中； 2.中标人应就设备的安装、调试、操作、维修、保养等对采购人维修技术人员进行现场培训。设备安装调试完毕后，中标人应对采购人操作人员进行操作和维护人员培训，直至采购人的技术人员能独立熟练操作，同时能完成一般常见故障的维修工作。 3. 项目验收以采购文件技术参数及要求和相关行业标准为准。 3.1 验收：由采购人组织，中标人配合进行： (1)货物在中标人通知安装调试完毕后 7 日内初步验收。初步验收合格后，进入试用期 30 天；试用期间发生重大质量问题，修复后试用相应顺延；试用期结束后10 日内完成最终验收；如质量验收合格，双方签署安装或质量验收报告。 (2)验收标准：按国家有关规定以及本项目招标文件的质量要求和技术指标、中标人的投标文件及承诺与本合同约定标准进行验收；双方如对质量要求和技术指标的约定标准有相互抵触或异议的事项，通过合同约定标准进行验收。 3.2 其他未尽事宜应严格按照《财政部关于进一步加强政府采购需求和履约验收管理的指导意见》（财库〔2016〕205 号）、《政府采购需求管理办法》（财库〔2021〕22 号）的通知要求以及行业部门的技术要求统一验收。</w:t>
            </w:r>
          </w:p>
        </w:tc>
      </w:tr>
      <w:tr>
        <w:tc>
          <w:tcPr>
            <w:tcW w:type="dxa" w:w="415"/>
          </w:tcPr>
          <w:p>
            <w:pPr>
              <w:pStyle w:val="null3"/>
              <w:jc w:val="center"/>
            </w:pPr>
            <w:r>
              <w:rPr/>
              <w:t>6</w:t>
            </w:r>
          </w:p>
        </w:tc>
        <w:tc>
          <w:tcPr>
            <w:tcW w:type="dxa" w:w="581"/>
          </w:tcPr>
          <w:p>
            <w:pPr>
              <w:pStyle w:val="null3"/>
              <w:jc w:val="center"/>
            </w:pPr>
            <w:r>
              <w:rPr/>
              <w:t>★</w:t>
            </w:r>
          </w:p>
        </w:tc>
        <w:tc>
          <w:tcPr>
            <w:tcW w:type="dxa" w:w="1495"/>
          </w:tcPr>
          <w:p>
            <w:pPr>
              <w:pStyle w:val="null3"/>
              <w:jc w:val="left"/>
            </w:pPr>
            <w:r>
              <w:rPr/>
              <w:t>质量保修范围和保修期</w:t>
            </w:r>
          </w:p>
        </w:tc>
        <w:tc>
          <w:tcPr>
            <w:tcW w:type="dxa" w:w="5814"/>
          </w:tcPr>
          <w:p>
            <w:pPr>
              <w:pStyle w:val="null3"/>
              <w:jc w:val="left"/>
            </w:pPr>
            <w:r>
              <w:rPr/>
              <w:t>1.质保期：一年（质保期为验收合格之日起开始计算）。投标人有更优越的质保期限的，按投标人承诺的时间执行。 2. 质保期内发生故障中标人应免费负责设备维修及抢修，并在采购合同内进行约定。2小时内作出维修方案，如电话跟采购人之间无法解决，中标人维修工程师在接到故障报告后12小时内到达采购人处进行现场修理和换件，最迟在3个工作日内修复。如不能修复应提供无偿应急措施，以保证采购人的正常工作，相关费用由中标人承担；中标人有其它服务承诺的，一并履行。在质保期内中标人必须不得以任何理由影响正常使用。 3.质保期后，中标人应向采购人提供及时的、优质的、价格优惠的技术服务和备品备件供应。质保期结束后的维修维护，除材料费由采购人按照成本价支付外，其余所有费用由中标人自行承担，即保证终身上门维修维护。</w:t>
            </w:r>
          </w:p>
        </w:tc>
      </w:tr>
      <w:tr>
        <w:tc>
          <w:tcPr>
            <w:tcW w:type="dxa" w:w="415"/>
          </w:tcPr>
          <w:p>
            <w:pPr>
              <w:pStyle w:val="null3"/>
              <w:jc w:val="center"/>
            </w:pPr>
            <w:r>
              <w:rPr/>
              <w:t>7</w:t>
            </w:r>
          </w:p>
        </w:tc>
        <w:tc>
          <w:tcPr>
            <w:tcW w:type="dxa" w:w="581"/>
          </w:tcPr>
          <w:p>
            <w:pPr>
              <w:pStyle w:val="null3"/>
              <w:jc w:val="center"/>
            </w:pPr>
            <w:r>
              <w:rPr/>
              <w:t>★</w:t>
            </w:r>
          </w:p>
        </w:tc>
        <w:tc>
          <w:tcPr>
            <w:tcW w:type="dxa" w:w="1495"/>
          </w:tcPr>
          <w:p>
            <w:pPr>
              <w:pStyle w:val="null3"/>
              <w:jc w:val="left"/>
            </w:pPr>
            <w:r>
              <w:rPr/>
              <w:t>违约责任与解决争议的方法</w:t>
            </w:r>
          </w:p>
        </w:tc>
        <w:tc>
          <w:tcPr>
            <w:tcW w:type="dxa" w:w="5814"/>
          </w:tcPr>
          <w:p>
            <w:pPr>
              <w:pStyle w:val="null3"/>
              <w:jc w:val="left"/>
            </w:pPr>
            <w:r>
              <w:rPr/>
              <w:t>1.中标人必须遵守采购合同并执行合同中的各项规定，保证采购合同的正常履行； 2.如因中标人工作人员在履行职务过程中的疏忽、失职、过错等故意或者过失原因给采购人造成损失或侵害，包括但不限于采购人本身的财产损失、由此而导致的采购人对任何第三方的法律责任等，中标人对此均应承担全部的赔偿责任。</w:t>
            </w:r>
          </w:p>
        </w:tc>
      </w:tr>
      <w:tr>
        <w:tc>
          <w:tcPr>
            <w:tcW w:type="dxa" w:w="415"/>
          </w:tcPr>
          <w:p>
            <w:pPr>
              <w:pStyle w:val="null3"/>
              <w:jc w:val="center"/>
            </w:pPr>
            <w:r>
              <w:rPr/>
              <w:t>8</w:t>
            </w:r>
          </w:p>
        </w:tc>
        <w:tc>
          <w:tcPr>
            <w:tcW w:type="dxa" w:w="581"/>
          </w:tcPr>
          <w:p>
            <w:pPr>
              <w:pStyle w:val="null3"/>
              <w:jc w:val="center"/>
            </w:pPr>
            <w:r>
              <w:rPr/>
              <w:t>★</w:t>
            </w:r>
          </w:p>
        </w:tc>
        <w:tc>
          <w:tcPr>
            <w:tcW w:type="dxa" w:w="1495"/>
          </w:tcPr>
          <w:p>
            <w:pPr>
              <w:pStyle w:val="null3"/>
              <w:jc w:val="left"/>
            </w:pPr>
            <w:r>
              <w:rPr/>
              <w:t>包装方式及运输</w:t>
            </w:r>
          </w:p>
        </w:tc>
        <w:tc>
          <w:tcPr>
            <w:tcW w:type="dxa" w:w="5814"/>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★其他要求： 1 .中标人在该项目所在地省份内应有 24 小时电话维修服务系统，并列出工程师名单、联系电话、通讯地址。中标人保证全年开机使用率≥95%（按全年 365 天计算），若≤95%则相应延长保修期； 2.终身零配件供应，中标人应保证设备及相关零部件停产后备件至少供应 10 年，并以优惠的价格提供该设备所需的维修零配件及相关维修服务； 3. 合同总价已包括货物设计、材料、制造、包装、运输、安装及调试、人员培训、配套辅材等验收检测合格交付使用之前及保修期内保修服务与备用物件等所有其他有关各项等含税费用（包括但不限于与HIS、LIS、HRP平台等厂商对接所产生的接口费均包含在总价中），采购人无须另向中标人支付其他任何费用； 4.投标产品为全新未使用过的设备（包括配套设备及零部件），从生产日期到交货日期不得超过 6 个月，并且符合国家、行业规定的质量、规格和性能等要求。</w:t>
      </w:r>
    </w:p>
    <w:p>
      <w:pPr>
        <w:pStyle w:val="null3"/>
      </w:pPr>
      <w:r>
        <w:rPr/>
        <w:t xml:space="preserve"> </w:t>
        <w:br/>
        <w:br w:type="page"/>
      </w:r>
    </w:p>
    <w:p>
      <w:pPr>
        <w:pStyle w:val="null3"/>
        <w:jc w:val="center"/>
        <w:outlineLvl w:val="1"/>
      </w:pPr>
      <w:r>
        <w:rPr>
          <w:b/>
          <w:sz w:val="36"/>
        </w:rPr>
        <w:t>第四章 协商过程中可实质性变动的内容</w:t>
      </w:r>
    </w:p>
    <w:p>
      <w:pPr>
        <w:pStyle w:val="null3"/>
        <w:ind w:firstLine="480"/>
        <w:jc w:val="left"/>
      </w:pPr>
      <w:r>
        <w:rPr/>
        <w:t>协商小组可以根据采购文件和协商情况实质性变动以下内容：</w:t>
      </w:r>
    </w:p>
    <w:p>
      <w:pPr>
        <w:pStyle w:val="null3"/>
        <w:ind w:firstLine="480"/>
        <w:jc w:val="left"/>
      </w:pPr>
      <w:r>
        <w:rPr/>
        <w:t>一、第三章“技术、服务及其他要求”中“3.2.技术要求”，“3.3.服务要求”：</w:t>
      </w:r>
    </w:p>
    <w:p>
      <w:pPr>
        <w:pStyle w:val="null3"/>
        <w:ind w:firstLine="480"/>
        <w:jc w:val="left"/>
      </w:pPr>
      <w:r>
        <w:rPr/>
        <w:t>第三章“技术、服务及其他要求”中“3.2.技术要求”，“3.3.服务要求”</w:t>
      </w:r>
    </w:p>
    <w:p>
      <w:pPr>
        <w:pStyle w:val="null3"/>
        <w:ind w:firstLine="480"/>
        <w:jc w:val="left"/>
      </w:pPr>
      <w:r>
        <w:rPr/>
        <w:t>二、第七章“拟签订采购合同文本”：</w:t>
      </w:r>
    </w:p>
    <w:p>
      <w:pPr>
        <w:pStyle w:val="null3"/>
        <w:ind w:firstLine="480"/>
        <w:jc w:val="left"/>
      </w:pPr>
      <w:r>
        <w:rPr/>
        <w:t>/</w:t>
      </w:r>
    </w:p>
    <w:p>
      <w:pPr>
        <w:pStyle w:val="null3"/>
        <w:ind w:firstLine="480"/>
        <w:jc w:val="left"/>
      </w:pPr>
      <w:r>
        <w:rPr/>
        <w:t>除以上内容外，协商小组不得变动采购文件中的其他内容。</w:t>
      </w:r>
    </w:p>
    <w:p>
      <w:pPr>
        <w:pStyle w:val="null3"/>
        <w:ind w:firstLine="480"/>
        <w:jc w:val="left"/>
      </w:pPr>
      <w:r>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pPr>
      <w:r>
        <w:rPr/>
        <w:t xml:space="preserve"> </w:t>
        <w:br/>
        <w:br w:type="page"/>
      </w:r>
    </w:p>
    <w:p>
      <w:pPr>
        <w:pStyle w:val="null3"/>
        <w:jc w:val="center"/>
        <w:outlineLvl w:val="1"/>
      </w:pPr>
      <w:r>
        <w:rPr>
          <w:b/>
          <w:sz w:val="36"/>
        </w:rPr>
        <w:t>第五章 评审办法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jc w:val="left"/>
      </w:pPr>
      <w:r>
        <w:rPr/>
        <w:t>二、协商工作由代理机构组织，具体评审事务由依法组建的协商小组负责。协商小组由采购人代表和评审专家组成。</w:t>
      </w:r>
    </w:p>
    <w:p>
      <w:pPr>
        <w:pStyle w:val="null3"/>
        <w:ind w:firstLine="480"/>
        <w:jc w:val="left"/>
      </w:pPr>
      <w:r>
        <w:rPr/>
        <w:t>三、评审工作应遵循客观、公正、审慎的原则，根据单一来源采购文件规定的评审程序、评审方法和评审标准进行独立评审。</w:t>
      </w:r>
    </w:p>
    <w:p>
      <w:pPr>
        <w:pStyle w:val="null3"/>
        <w:ind w:firstLine="480"/>
        <w:jc w:val="left"/>
      </w:pPr>
      <w:r>
        <w:rPr/>
        <w:t>四、本项目采取电子评审，通过交易系统完成评审工作。协商小组成员和供应商应当按照本采购文件规定和交易系统操作要求开展或者参加评审活动。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协商小组成员在签署协商情况记录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5.2.协商小组</w:t>
      </w:r>
    </w:p>
    <w:p>
      <w:pPr>
        <w:pStyle w:val="null3"/>
        <w:ind w:firstLine="480"/>
        <w:jc w:val="left"/>
      </w:pPr>
      <w:r>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t>三、协商小组成员获取解密后的响应文件，开展评审活动。出现专业人员请假、回避等情况时，采购人或者代理机构按规定申请补充抽取专业人员。无法及时补充抽取的，采购人或者代理机构应当封存供应商响应文件，按规定重新组建协商小组，解封响应文件后，开展评审活动。</w:t>
      </w:r>
    </w:p>
    <w:p>
      <w:pPr>
        <w:pStyle w:val="null3"/>
        <w:ind w:firstLine="480"/>
        <w:jc w:val="left"/>
      </w:pPr>
      <w:r>
        <w:rPr/>
        <w:t>四、协商小组应当履行下列职责：</w:t>
      </w:r>
    </w:p>
    <w:p>
      <w:pPr>
        <w:pStyle w:val="null3"/>
        <w:ind w:firstLine="480"/>
        <w:jc w:val="left"/>
      </w:pPr>
      <w:r>
        <w:rPr/>
        <w:t>（一）熟悉和理解单一来源采购文件；</w:t>
      </w:r>
    </w:p>
    <w:p>
      <w:pPr>
        <w:pStyle w:val="null3"/>
        <w:ind w:firstLine="480"/>
        <w:jc w:val="left"/>
      </w:pPr>
      <w:r>
        <w:rPr/>
        <w:t>（二）审查、评价供应商响应文件等是否满足单一来源采购文件要求；</w:t>
      </w:r>
    </w:p>
    <w:p>
      <w:pPr>
        <w:pStyle w:val="null3"/>
        <w:ind w:firstLine="480"/>
        <w:jc w:val="left"/>
      </w:pPr>
      <w:r>
        <w:rPr/>
        <w:t>（三）根据需要要求采购人、代理机构对单一来源采购文件作出解释；根据需要要求供应商对响应文件有关事项作出澄清、说明或者更正；</w:t>
      </w:r>
    </w:p>
    <w:p>
      <w:pPr>
        <w:pStyle w:val="null3"/>
        <w:ind w:firstLine="480"/>
        <w:jc w:val="left"/>
      </w:pPr>
      <w:r>
        <w:rPr/>
        <w:t>（四）受采购人委托确定供应商成交；</w:t>
      </w:r>
    </w:p>
    <w:p>
      <w:pPr>
        <w:pStyle w:val="null3"/>
        <w:ind w:firstLine="480"/>
        <w:jc w:val="left"/>
      </w:pPr>
      <w:r>
        <w:rPr/>
        <w:t>（五）起草资格审查报告、协商情况记录并进行签署；</w:t>
      </w:r>
    </w:p>
    <w:p>
      <w:pPr>
        <w:pStyle w:val="null3"/>
        <w:ind w:firstLine="480"/>
        <w:jc w:val="left"/>
      </w:pPr>
      <w:r>
        <w:rPr/>
        <w:t>（六）向采购人、代理机构或者有关部门报告协商中发现的违法行为；</w:t>
      </w:r>
    </w:p>
    <w:p>
      <w:pPr>
        <w:pStyle w:val="null3"/>
        <w:ind w:firstLine="480"/>
        <w:jc w:val="left"/>
      </w:pPr>
      <w:r>
        <w:rPr/>
        <w:t>（七）法律、法规和规章规定的其他职责。</w:t>
      </w:r>
    </w:p>
    <w:p>
      <w:pPr>
        <w:pStyle w:val="null3"/>
        <w:jc w:val="left"/>
        <w:outlineLvl w:val="2"/>
      </w:pPr>
      <w:r>
        <w:rPr>
          <w:b/>
          <w:sz w:val="28"/>
        </w:rPr>
        <w:t>5.3.评审程序</w:t>
      </w:r>
    </w:p>
    <w:p>
      <w:pPr>
        <w:pStyle w:val="null3"/>
        <w:jc w:val="left"/>
        <w:outlineLvl w:val="3"/>
      </w:pPr>
      <w:r>
        <w:rPr>
          <w:b/>
          <w:sz w:val="24"/>
        </w:rPr>
        <w:t>5.3.1.熟悉和理解采购文件</w:t>
      </w:r>
    </w:p>
    <w:p>
      <w:pPr>
        <w:pStyle w:val="null3"/>
        <w:ind w:firstLine="480"/>
        <w:jc w:val="left"/>
      </w:pPr>
      <w:r>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b/>
          <w:sz w:val="24"/>
        </w:rPr>
        <w:t>5.3.2.停止评审的情形</w:t>
      </w:r>
    </w:p>
    <w:p>
      <w:pPr>
        <w:pStyle w:val="null3"/>
        <w:ind w:firstLine="480"/>
        <w:jc w:val="left"/>
      </w:pPr>
      <w:r>
        <w:rPr/>
        <w:t>本采购文件有下列情形之一的，协商小组应当停止评审：</w:t>
      </w:r>
    </w:p>
    <w:p>
      <w:pPr>
        <w:pStyle w:val="null3"/>
        <w:ind w:firstLine="480"/>
        <w:jc w:val="left"/>
      </w:pPr>
      <w:r>
        <w:rPr/>
        <w:t>一、采购文件的规定存在歧义、重大缺陷，导致评审工作无法进行的；</w:t>
      </w:r>
    </w:p>
    <w:p>
      <w:pPr>
        <w:pStyle w:val="null3"/>
        <w:ind w:firstLine="480"/>
        <w:jc w:val="left"/>
      </w:pPr>
      <w:r>
        <w:rPr/>
        <w:t>二、采购项目属于国家规定的优先、强制采购范围，但是采购文件未依法体现优先、强制采购相关规定的；</w:t>
      </w:r>
    </w:p>
    <w:p>
      <w:pPr>
        <w:pStyle w:val="null3"/>
        <w:ind w:firstLine="480"/>
        <w:jc w:val="left"/>
      </w:pPr>
      <w:r>
        <w:rPr/>
        <w:t>三、采购项目属于政府采购促进中小企业发展的范围，但是采购文件未依法体现促进中小企业发展相关规定的；</w:t>
      </w:r>
    </w:p>
    <w:p>
      <w:pPr>
        <w:pStyle w:val="null3"/>
        <w:ind w:firstLine="480"/>
        <w:jc w:val="left"/>
      </w:pPr>
      <w:r>
        <w:rPr/>
        <w:t>四、采购文件载明的成交原则不合法的；</w:t>
      </w:r>
    </w:p>
    <w:p>
      <w:pPr>
        <w:pStyle w:val="null3"/>
        <w:ind w:firstLine="480"/>
        <w:jc w:val="left"/>
      </w:pPr>
      <w:r>
        <w:rPr/>
        <w:t>五、采购文件有违反国家其他有关强制性规定的情形。</w:t>
      </w:r>
    </w:p>
    <w:p>
      <w:pPr>
        <w:pStyle w:val="null3"/>
        <w:ind w:firstLine="480"/>
        <w:jc w:val="left"/>
      </w:pPr>
      <w:r>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网上开启完成后，由协商小组依据法律法规和采购文件的规定，对成功解密的响应文件中供应商资格证明等进行审查并出具资格审查报告。资格审查标准及要求如下：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供应商需在使用投标(响应)客户端编制响应文件</w:t>
              <w:br/>
              <w:t>时，按要求填写《投标（响应）函》完成承诺并</w:t>
              <w:br/>
              <w:t>提交以下资料：①供应商若为企业法人：提供“统</w:t>
              <w:br/>
              <w:t>一社会信用代码营业执照”；未换证的提供“营业</w:t>
              <w:br/>
              <w:t>执照、税务登记证、组织机构代码证”；②若为事</w:t>
              <w:br/>
              <w:t>业法人：提供“统一社会信用代码法人登记证书”</w:t>
              <w:br/>
              <w:t>；未换证的提交“事业法人登记证书、组织机构代</w:t>
              <w:br/>
              <w:t>码证”；③若为其他组织：提供“对应主管部门颁</w:t>
              <w:br/>
              <w:t>发的准许执业证明文件或营业执照”；④若为自然</w:t>
              <w:br/>
              <w:t>人：提供“身份证明文件”。进行电子签章。</w:t>
            </w:r>
          </w:p>
        </w:tc>
        <w:tc>
          <w:tcPr>
            <w:tcW w:type="dxa" w:w="1910"/>
          </w:tcPr>
          <w:p>
            <w:pPr>
              <w:pStyle w:val="null3"/>
              <w:jc w:val="left"/>
            </w:pPr>
            <w:r>
              <w:rPr/>
              <w:t>响应文件封面 供应商应提交的相关证明材料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投标产品属于《医疗器械监督管理条例》中有强制性要求，投标人应提供相关有效的医疗器械生产或经营企业许可证或备案证明文件，提供产品注册证或备案证明文件；</w:t>
            </w:r>
          </w:p>
        </w:tc>
        <w:tc>
          <w:tcPr>
            <w:tcW w:type="dxa" w:w="3322"/>
          </w:tcPr>
          <w:p>
            <w:pPr>
              <w:pStyle w:val="null3"/>
              <w:jc w:val="left"/>
            </w:pPr>
            <w:r>
              <w:rPr/>
              <w:t>投标产品属于《医疗器械监督管理条例》中有强制性要求，投标人应提供相关有效的医疗器械生产或经营企业许可证或备案证明文件，提供产品注册证或备案证明文件；供应商需在项目电子化交易系统中按要求提供相关证明材料并进行电子签章。</w:t>
            </w:r>
          </w:p>
        </w:tc>
        <w:tc>
          <w:tcPr>
            <w:tcW w:type="dxa" w:w="1910"/>
          </w:tcPr>
          <w:p>
            <w:pPr>
              <w:pStyle w:val="null3"/>
              <w:jc w:val="left"/>
            </w:pPr>
            <w:r>
              <w:rPr/>
              <w:t>供应商应提交的相关证明材料 投标（响应）函</w:t>
            </w:r>
          </w:p>
        </w:tc>
      </w:tr>
      <w:tr>
        <w:tc>
          <w:tcPr>
            <w:tcW w:type="dxa" w:w="581"/>
          </w:tcPr>
          <w:p>
            <w:pPr>
              <w:pStyle w:val="null3"/>
              <w:jc w:val="center"/>
            </w:pPr>
            <w:r>
              <w:rPr/>
              <w:t>2</w:t>
            </w:r>
          </w:p>
        </w:tc>
        <w:tc>
          <w:tcPr>
            <w:tcW w:type="dxa" w:w="2492"/>
          </w:tcPr>
          <w:p>
            <w:pPr>
              <w:pStyle w:val="null3"/>
              <w:jc w:val="left"/>
            </w:pPr>
            <w:r>
              <w:rPr/>
              <w:t>投标人非投标产品（进口产品）制造厂家还需提供产品制造厂家对投标产品的授权，或具有授权权限的代理商对投标产品的授权复印件（授权链条必须完整）。</w:t>
            </w:r>
          </w:p>
        </w:tc>
        <w:tc>
          <w:tcPr>
            <w:tcW w:type="dxa" w:w="3322"/>
          </w:tcPr>
          <w:p>
            <w:pPr>
              <w:pStyle w:val="null3"/>
              <w:jc w:val="left"/>
            </w:pPr>
            <w:r>
              <w:rPr/>
              <w:t>投标人非投标产品（进口产品）制造厂家还需提供产品制造厂家对投标产品的授权，或具有授权权限的代理商对投标产品的授权复印件（授权链条必须完整）。供应商需在项目电子化交易系统中按要求提供相关证明材料并进行电子签章。</w:t>
            </w:r>
          </w:p>
        </w:tc>
        <w:tc>
          <w:tcPr>
            <w:tcW w:type="dxa" w:w="1910"/>
          </w:tcPr>
          <w:p>
            <w:pPr>
              <w:pStyle w:val="null3"/>
              <w:jc w:val="left"/>
            </w:pPr>
            <w:r>
              <w:rPr/>
              <w:t>供应商应提交的相关证明材料 投标（响应）函</w:t>
            </w:r>
          </w:p>
        </w:tc>
      </w:tr>
    </w:tbl>
    <w:p>
      <w:pPr>
        <w:pStyle w:val="null3"/>
        <w:jc w:val="left"/>
        <w:outlineLvl w:val="3"/>
      </w:pPr>
      <w:r>
        <w:rPr>
          <w:b/>
          <w:sz w:val="24"/>
        </w:rPr>
        <w:t>5.3.4.符合性审查</w:t>
      </w:r>
    </w:p>
    <w:p>
      <w:pPr>
        <w:pStyle w:val="null3"/>
        <w:ind w:firstLine="480"/>
        <w:jc w:val="left"/>
      </w:pPr>
      <w:r>
        <w:rPr/>
        <w:t>协商小组依据采购文件的符合性审查要求，对符合资格要求供应商的响应文件进行符合性审查。</w:t>
      </w:r>
    </w:p>
    <w:p>
      <w:pPr>
        <w:pStyle w:val="null3"/>
        <w:ind w:firstLine="480"/>
        <w:jc w:val="left"/>
      </w:pPr>
      <w:r>
        <w:rPr/>
        <w:t>在符合性审查过程中，如果出现协商小组成员意见不一致的情况，按照少数服从多数的原则确定，但不得违反政府采购基本原则和采购文件规定。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其他实质性要求</w:t>
            </w:r>
          </w:p>
        </w:tc>
        <w:tc>
          <w:tcPr>
            <w:tcW w:type="dxa" w:w="3322"/>
          </w:tcPr>
          <w:p>
            <w:pPr>
              <w:pStyle w:val="null3"/>
              <w:jc w:val="left"/>
            </w:pPr>
            <w:r>
              <w:rPr/>
              <w:t>采购文件中标注“★实质性要求”的参数为本次采 购活动体现满足采购需求、质量和服务相等的 采 购项目最低要求，不允许有负偏离。</w:t>
            </w:r>
          </w:p>
        </w:tc>
        <w:tc>
          <w:tcPr>
            <w:tcW w:type="dxa" w:w="1910"/>
          </w:tcPr>
          <w:p>
            <w:pPr>
              <w:pStyle w:val="null3"/>
              <w:jc w:val="left"/>
            </w:pPr>
            <w:r>
              <w:rPr/>
              <w:t>产品技术参数响应表 商务应答表 供应商应提交的相关证明材料 服务应答表 项目实施方案</w:t>
            </w:r>
          </w:p>
        </w:tc>
      </w:tr>
    </w:tbl>
    <w:p>
      <w:pPr>
        <w:pStyle w:val="null3"/>
        <w:ind w:firstLine="480"/>
        <w:jc w:val="left"/>
      </w:pPr>
      <w:r>
        <w:rPr/>
        <w:t>响应文件满足以上符合性审查要求的，则通过符合性审查；如有任意一项未满足符合性审查要求的，则按无效响应处理，并在协商情况记录中载明未通过符合性审查的具体原因。</w:t>
      </w:r>
    </w:p>
    <w:p>
      <w:pPr>
        <w:pStyle w:val="null3"/>
        <w:jc w:val="left"/>
        <w:outlineLvl w:val="3"/>
      </w:pPr>
      <w:r>
        <w:rPr>
          <w:b/>
          <w:sz w:val="24"/>
        </w:rPr>
        <w:t>5.3.5.协商</w:t>
      </w:r>
    </w:p>
    <w:p>
      <w:pPr>
        <w:pStyle w:val="null3"/>
        <w:ind w:firstLine="480"/>
        <w:jc w:val="left"/>
      </w:pPr>
      <w:r>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b/>
          <w:sz w:val="24"/>
        </w:rPr>
        <w:t>5.3.6.最后报价</w:t>
      </w:r>
    </w:p>
    <w:p>
      <w:pPr>
        <w:pStyle w:val="null3"/>
        <w:ind w:firstLine="480"/>
        <w:jc w:val="left"/>
      </w:pPr>
      <w:r>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jc w:val="left"/>
      </w:pPr>
      <w:r>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jc w:val="left"/>
      </w:pPr>
      <w:r>
        <w:rPr/>
        <w:t>三、供应商未按协商小组要求在规定时间内提交报价的，视为无效响应，由供应商自行承担不利后果。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（三）供应商的最后报价符合采购文件的要求。</w:t>
      </w:r>
    </w:p>
    <w:p>
      <w:pPr>
        <w:pStyle w:val="null3"/>
        <w:ind w:firstLine="480"/>
        <w:jc w:val="left"/>
      </w:pPr>
      <w:r>
        <w:rPr/>
        <w:t>（四）最后报价唯一，且不高于最高限价。</w:t>
      </w:r>
    </w:p>
    <w:p>
      <w:pPr>
        <w:pStyle w:val="null3"/>
        <w:ind w:firstLine="480"/>
        <w:jc w:val="left"/>
      </w:pPr>
      <w:r>
        <w:rPr/>
        <w:t>六、最后报价出现下列情况的，除采购文件另有规定外，按以下原则处理：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七、供应商最后报价无效的，本次采购活动终止，并发布终止公告。</w:t>
      </w:r>
    </w:p>
    <w:p>
      <w:pPr>
        <w:pStyle w:val="null3"/>
        <w:jc w:val="left"/>
        <w:outlineLvl w:val="3"/>
      </w:pPr>
      <w:r>
        <w:rPr>
          <w:b/>
          <w:sz w:val="24"/>
        </w:rPr>
        <w:t>5.3.7.解释、澄清、说明的有关问题</w:t>
      </w:r>
    </w:p>
    <w:p>
      <w:pPr>
        <w:pStyle w:val="null3"/>
        <w:ind w:firstLine="480"/>
        <w:jc w:val="left"/>
      </w:pPr>
      <w:r>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jc w:val="left"/>
      </w:pPr>
      <w:r>
        <w:rPr/>
        <w:t>二、对响应文件中含义不明确、同类问题表述不一致或者有明显文字和计算错误的内容，协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w:t>
      </w:r>
    </w:p>
    <w:p>
      <w:pPr>
        <w:pStyle w:val="null3"/>
        <w:ind w:firstLine="480"/>
        <w:jc w:val="left"/>
      </w:pPr>
      <w:r>
        <w:rPr/>
        <w:t>三、代理机构宣布评审结束之前，供应商应通过交易系统随时关注消息提示，及时响应协商小组发出的澄清、说明或者更正要求。供应商未能及时响应的，自行承担不利后果。</w:t>
      </w:r>
    </w:p>
    <w:p>
      <w:pPr>
        <w:pStyle w:val="null3"/>
        <w:ind w:firstLine="480"/>
        <w:jc w:val="left"/>
      </w:pPr>
      <w:r>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5.3.8.代理机构现场复核评审结果</w:t>
      </w:r>
    </w:p>
    <w:p>
      <w:pPr>
        <w:pStyle w:val="null3"/>
        <w:ind w:firstLine="480"/>
        <w:jc w:val="left"/>
      </w:pPr>
      <w:r>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t>三、代理机构复核过程中，协商小组成员不得离开评审现场。</w:t>
      </w:r>
    </w:p>
    <w:p>
      <w:pPr>
        <w:pStyle w:val="null3"/>
        <w:ind w:firstLine="480"/>
        <w:jc w:val="left"/>
      </w:pPr>
      <w:r>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b/>
          <w:sz w:val="24"/>
        </w:rPr>
        <w:t>5.3.9.出具协商情况记录</w:t>
      </w:r>
    </w:p>
    <w:p>
      <w:pPr>
        <w:pStyle w:val="null3"/>
        <w:ind w:firstLine="480"/>
        <w:jc w:val="left"/>
      </w:pPr>
      <w:r>
        <w:rPr/>
        <w:t>协商小组在交易系统中编制评审情况，出具协商情况记录。</w:t>
      </w:r>
    </w:p>
    <w:p>
      <w:pPr>
        <w:pStyle w:val="null3"/>
        <w:ind w:firstLine="480"/>
        <w:jc w:val="left"/>
      </w:pPr>
      <w:r>
        <w:rPr/>
        <w:t>协商情况记录是协商小组根据全体成员签署的原始协商记录和协商结果编写的报告。主要内容包括：</w:t>
      </w:r>
    </w:p>
    <w:p>
      <w:pPr>
        <w:pStyle w:val="null3"/>
        <w:ind w:firstLine="480"/>
        <w:jc w:val="left"/>
      </w:pPr>
      <w:r>
        <w:rPr/>
        <w:t>一、单一来源公示情况说明（属于《政府采购非招标采购方式管理办法》第三十八条规定情形的，必须包含公示情况说明）；</w:t>
      </w:r>
    </w:p>
    <w:p>
      <w:pPr>
        <w:pStyle w:val="null3"/>
        <w:ind w:firstLine="480"/>
        <w:jc w:val="left"/>
      </w:pPr>
      <w:r>
        <w:rPr/>
        <w:t>二、协商日期和地点，协商小组成员名单；</w:t>
      </w:r>
    </w:p>
    <w:p>
      <w:pPr>
        <w:pStyle w:val="null3"/>
        <w:ind w:firstLine="480"/>
        <w:jc w:val="left"/>
      </w:pPr>
      <w:r>
        <w:rPr/>
        <w:t>三、供应商提供的采购标的成本、同类项目合同价格以及相关专利、专有技术等情况说明；</w:t>
      </w:r>
    </w:p>
    <w:p>
      <w:pPr>
        <w:pStyle w:val="null3"/>
        <w:ind w:firstLine="480"/>
        <w:jc w:val="left"/>
      </w:pPr>
      <w:r>
        <w:rPr/>
        <w:t>四、合同主要条款及价格商定情况。</w:t>
      </w:r>
    </w:p>
    <w:p>
      <w:pPr>
        <w:pStyle w:val="null3"/>
        <w:ind w:firstLine="480"/>
        <w:jc w:val="left"/>
      </w:pPr>
      <w:r>
        <w:rPr/>
        <w:t>协商情况记录应当由协商小组全体成员签字或加盖电子印章认可。对记录有异议的协商小组成员，应当签署不同意见并说明理由。协商小组成员拒绝在记录上签字又不书面说明其不同意见和理由的，视为同意。</w:t>
      </w:r>
    </w:p>
    <w:p>
      <w:pPr>
        <w:pStyle w:val="null3"/>
        <w:ind w:firstLine="480"/>
        <w:jc w:val="left"/>
      </w:pPr>
      <w:r>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b/>
          <w:sz w:val="24"/>
        </w:rPr>
        <w:t>5.3.10.争议处理规则</w:t>
      </w:r>
    </w:p>
    <w:p>
      <w:pPr>
        <w:pStyle w:val="null3"/>
        <w:ind w:firstLine="480"/>
        <w:jc w:val="left"/>
      </w:pPr>
      <w:r>
        <w:rPr/>
        <w:t>协商小组在协商过程中应当以少数服从多数的原则作出结论，但不得违反法律法规和采购文件规定。对协商情况记录有异议的，应当在协商情况记录上签署不同意见并说明理由，否则视为同意协商情况记录。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b/>
          <w:sz w:val="28"/>
        </w:rPr>
        <w:t>5.4.评审细则及标准</w:t>
      </w:r>
    </w:p>
    <w:p>
      <w:pPr>
        <w:pStyle w:val="null3"/>
        <w:jc w:val="left"/>
        <w:outlineLvl w:val="3"/>
      </w:pPr>
      <w:r>
        <w:rPr>
          <w:b/>
          <w:sz w:val="24"/>
        </w:rPr>
        <w:t>价格评审细则</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1. 经谈判小组评审，通过资格和符合性审查，且响应报价最低的供应商的响应报价作为评审基准价。2.响应报价得分=(评审基准价／响应报价)×评审系数。评审价格=投标报价。经价格调整后的评审价格=投标报价×（1-价格调整比例）基准价=经价格调整后评审价格的最低值。</w:t>
            </w:r>
          </w:p>
        </w:tc>
        <w:tc>
          <w:tcPr>
            <w:tcW w:type="dxa" w:w="2123"/>
          </w:tcPr>
          <w:p>
            <w:pPr>
              <w:pStyle w:val="null3"/>
              <w:jc w:val="left"/>
            </w:pPr>
            <w:r>
              <w:rPr/>
              <w:t>报价表</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5.5.终止采购活动情形</w:t>
      </w:r>
    </w:p>
    <w:p>
      <w:pPr>
        <w:pStyle w:val="null3"/>
        <w:ind w:firstLine="480"/>
        <w:jc w:val="left"/>
      </w:pPr>
      <w:r>
        <w:rPr/>
        <w:t>出现下列情况之一的，协商小组应当终止采购活动，发布项目终止公告并说明原因，重新开展采购活动：</w:t>
      </w:r>
    </w:p>
    <w:p>
      <w:pPr>
        <w:pStyle w:val="null3"/>
        <w:ind w:firstLine="480"/>
        <w:jc w:val="left"/>
      </w:pPr>
      <w:r>
        <w:rPr/>
        <w:t>一、因情况变化，不再符合规定的单一来源采购方式使用情形的；</w:t>
      </w:r>
    </w:p>
    <w:p>
      <w:pPr>
        <w:pStyle w:val="null3"/>
        <w:ind w:firstLine="480"/>
        <w:jc w:val="left"/>
      </w:pPr>
      <w:r>
        <w:rPr/>
        <w:t>二、出现影响采购公正的违法、违规行为的；</w:t>
      </w:r>
    </w:p>
    <w:p>
      <w:pPr>
        <w:pStyle w:val="null3"/>
        <w:ind w:firstLine="480"/>
        <w:jc w:val="left"/>
      </w:pPr>
      <w:r>
        <w:rPr/>
        <w:t>三、报价超过采购预算的；</w:t>
      </w:r>
    </w:p>
    <w:p>
      <w:pPr>
        <w:pStyle w:val="null3"/>
        <w:ind w:firstLine="480"/>
        <w:jc w:val="left"/>
      </w:pPr>
      <w:r>
        <w:rPr/>
        <w:t>四、无法商定合理的成交价格或者无法保证采购项目质量。</w:t>
      </w:r>
    </w:p>
    <w:p>
      <w:pPr>
        <w:pStyle w:val="null3"/>
        <w:jc w:val="left"/>
        <w:outlineLvl w:val="2"/>
      </w:pPr>
      <w:r>
        <w:rPr>
          <w:b/>
          <w:sz w:val="28"/>
        </w:rPr>
        <w:t>5.6.确定供应商成交</w:t>
      </w:r>
    </w:p>
    <w:p>
      <w:pPr>
        <w:pStyle w:val="null3"/>
        <w:jc w:val="left"/>
      </w:pPr>
      <w:r>
        <w:rPr/>
        <w:t>一、评审结束后，代理机构在评审结束后2个工作日内将协商情况记录送交采购人。</w:t>
      </w:r>
    </w:p>
    <w:p>
      <w:pPr>
        <w:pStyle w:val="null3"/>
        <w:jc w:val="left"/>
      </w:pPr>
      <w:r>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t>三、采购人或者代理机构应当自确定之日起2个工作日内，在四川政府采购网公告成交结果，采购文件应当随成交结果同时公告。</w:t>
      </w:r>
    </w:p>
    <w:p>
      <w:pPr>
        <w:pStyle w:val="null3"/>
        <w:jc w:val="left"/>
        <w:outlineLvl w:val="2"/>
      </w:pPr>
      <w:r>
        <w:rPr>
          <w:b/>
          <w:sz w:val="28"/>
        </w:rPr>
        <w:t>5.7.协商小组义务</w:t>
      </w:r>
    </w:p>
    <w:p>
      <w:pPr>
        <w:pStyle w:val="null3"/>
        <w:ind w:firstLine="480"/>
        <w:jc w:val="left"/>
      </w:pPr>
      <w:r>
        <w:rPr/>
        <w:t>协商小组在政府采购活动中应当履行下列义务：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二、按照客观、公正、审慎的原则，根据采购文件规定的评审程序、评审方法和评审标准进行独立评审；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jc w:val="left"/>
      </w:pPr>
      <w:r>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5.8.协商小组成员工作纪律</w:t>
      </w:r>
    </w:p>
    <w:p>
      <w:pPr>
        <w:pStyle w:val="null3"/>
        <w:ind w:firstLine="480"/>
        <w:jc w:val="left"/>
      </w:pPr>
      <w:r>
        <w:rPr/>
        <w:t>协商小组成员在政府采购活动中应当遵守以下工作纪律：</w:t>
      </w:r>
    </w:p>
    <w:p>
      <w:pPr>
        <w:pStyle w:val="null3"/>
        <w:ind w:firstLine="480"/>
        <w:jc w:val="left"/>
      </w:pPr>
      <w:r>
        <w:rPr/>
        <w:t>一、严格遵守政府采购法律制度关于协商小组成员回避的规定。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详见附件：供应商应提交的相关证明材料</w:t>
      </w:r>
    </w:p>
    <w:p>
      <w:pPr>
        <w:pStyle w:val="null3"/>
        <w:ind w:firstLine="960"/>
        <w:jc w:val="left"/>
      </w:pPr>
      <w:r>
        <w:rPr/>
        <w:t>详见附件：产品技术参数响应表</w:t>
      </w:r>
    </w:p>
    <w:p>
      <w:pPr>
        <w:pStyle w:val="null3"/>
        <w:ind w:firstLine="960"/>
        <w:jc w:val="left"/>
      </w:pPr>
      <w:r>
        <w:rPr/>
        <w:t>详见附件：服务应答表</w:t>
      </w:r>
    </w:p>
    <w:p>
      <w:pPr>
        <w:pStyle w:val="null3"/>
        <w:ind w:firstLine="960"/>
        <w:jc w:val="left"/>
      </w:pPr>
      <w:r>
        <w:rPr/>
        <w:t>详见附件：项目实施方案</w:t>
      </w:r>
    </w:p>
    <w:p>
      <w:pPr>
        <w:pStyle w:val="null3"/>
        <w:ind w:firstLine="960"/>
        <w:jc w:val="left"/>
      </w:pPr>
      <w:r>
        <w:rPr/>
        <w:t>详见附件：报价表</w:t>
      </w:r>
    </w:p>
    <w:p>
      <w:pPr>
        <w:pStyle w:val="null3"/>
        <w:ind w:firstLine="960"/>
        <w:jc w:val="left"/>
      </w:pPr>
      <w:r>
        <w:rPr/>
        <w:t>详见附件：商务应答表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《协商文件》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