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79AD31">
      <w:pPr>
        <w:pStyle w:val="3"/>
        <w:bidi w:val="0"/>
        <w:rPr>
          <w:rFonts w:hint="eastAsia"/>
        </w:rPr>
      </w:pPr>
      <w:r>
        <w:rPr>
          <w:lang w:val="en-US" w:eastAsia="zh-CN"/>
        </w:rPr>
        <w:t>2025年德阳市城市治理数字化应⽤服务项⽬（德阳⼯业互联⽹综合服务平台）</w:t>
      </w:r>
      <w:r>
        <w:rPr>
          <w:rFonts w:hint="eastAsia"/>
          <w:lang w:val="en-US" w:eastAsia="zh-CN"/>
        </w:rPr>
        <w:t>更正内容</w:t>
      </w:r>
    </w:p>
    <w:p w14:paraId="70E3B44A">
      <w:pPr>
        <w:bidi w:val="0"/>
        <w:rPr>
          <w:rFonts w:hint="eastAsia"/>
        </w:rPr>
      </w:pPr>
      <w:r>
        <w:rPr>
          <w:rFonts w:hint="eastAsia"/>
        </w:rPr>
        <w:t>更正事项：采购文件和采购公告</w:t>
      </w:r>
    </w:p>
    <w:p w14:paraId="61F14544">
      <w:pPr>
        <w:bidi w:val="0"/>
        <w:rPr>
          <w:rFonts w:hint="eastAsia"/>
        </w:rPr>
      </w:pPr>
      <w:r>
        <w:rPr>
          <w:rFonts w:hint="eastAsia"/>
          <w:lang w:val="en-US" w:eastAsia="zh-CN"/>
        </w:rPr>
        <w:t>更正原因：采购文件评分细则及标准、技术、服务及其他要求有更正</w:t>
      </w:r>
    </w:p>
    <w:p w14:paraId="3B91C8DB">
      <w:pPr>
        <w:bidi w:val="0"/>
        <w:rPr>
          <w:rFonts w:hint="eastAsia"/>
        </w:rPr>
      </w:pPr>
      <w:r>
        <w:rPr>
          <w:rFonts w:hint="eastAsia"/>
        </w:rPr>
        <w:t>更正内容：</w:t>
      </w:r>
    </w:p>
    <w:p w14:paraId="4D393F32">
      <w:pPr>
        <w:pStyle w:val="4"/>
        <w:bidi w:val="0"/>
        <w:rPr>
          <w:highlight w:val="yellow"/>
        </w:rPr>
      </w:pPr>
      <w:r>
        <w:rPr>
          <w:rFonts w:hint="eastAsia"/>
          <w:lang w:val="en-US" w:eastAsia="zh-CN"/>
        </w:rPr>
        <w:t>一、</w:t>
      </w:r>
      <w:r>
        <w:rPr>
          <w:rFonts w:hint="eastAsia"/>
        </w:rPr>
        <w:t>原公告的响应文件提交截止时间：202</w:t>
      </w:r>
      <w:r>
        <w:rPr>
          <w:rFonts w:hint="eastAsia"/>
          <w:lang w:val="en-US" w:eastAsia="zh-CN"/>
        </w:rPr>
        <w:t>6</w:t>
      </w:r>
      <w:r>
        <w:rPr>
          <w:rFonts w:hint="eastAsia"/>
        </w:rPr>
        <w:t>-</w:t>
      </w:r>
      <w:r>
        <w:rPr>
          <w:rFonts w:hint="eastAsia"/>
          <w:lang w:val="en-US" w:eastAsia="zh-CN"/>
        </w:rPr>
        <w:t>5</w:t>
      </w:r>
      <w:r>
        <w:rPr>
          <w:rFonts w:hint="eastAsia"/>
        </w:rPr>
        <w:t>-</w:t>
      </w:r>
      <w:r>
        <w:rPr>
          <w:rFonts w:hint="eastAsia"/>
          <w:lang w:val="en-US" w:eastAsia="zh-CN"/>
        </w:rPr>
        <w:t>18</w:t>
      </w:r>
      <w:r>
        <w:rPr>
          <w:rFonts w:hint="eastAsia"/>
        </w:rPr>
        <w:t xml:space="preserve"> 09:30:00，</w:t>
      </w:r>
      <w:r>
        <w:rPr>
          <w:rFonts w:hint="eastAsia"/>
          <w:highlight w:val="yellow"/>
        </w:rPr>
        <w:t>更正为：202</w:t>
      </w:r>
      <w:r>
        <w:rPr>
          <w:rFonts w:hint="eastAsia"/>
          <w:highlight w:val="yellow"/>
          <w:lang w:val="en-US" w:eastAsia="zh-CN"/>
        </w:rPr>
        <w:t>6</w:t>
      </w:r>
      <w:r>
        <w:rPr>
          <w:rFonts w:hint="eastAsia"/>
          <w:highlight w:val="yellow"/>
        </w:rPr>
        <w:t>-</w:t>
      </w:r>
      <w:r>
        <w:rPr>
          <w:rFonts w:hint="eastAsia"/>
          <w:highlight w:val="yellow"/>
          <w:lang w:val="en-US" w:eastAsia="zh-CN"/>
        </w:rPr>
        <w:t>6</w:t>
      </w:r>
      <w:r>
        <w:rPr>
          <w:rFonts w:hint="eastAsia"/>
          <w:highlight w:val="yellow"/>
        </w:rPr>
        <w:t>-</w:t>
      </w:r>
      <w:r>
        <w:rPr>
          <w:rFonts w:hint="eastAsia"/>
          <w:highlight w:val="yellow"/>
          <w:lang w:val="en-US" w:eastAsia="zh-CN"/>
        </w:rPr>
        <w:t>1</w:t>
      </w:r>
      <w:r>
        <w:rPr>
          <w:rFonts w:hint="eastAsia"/>
          <w:highlight w:val="yellow"/>
        </w:rPr>
        <w:t xml:space="preserve"> 09:30:00。</w:t>
      </w:r>
    </w:p>
    <w:p w14:paraId="317E28A5">
      <w:pPr>
        <w:pStyle w:val="4"/>
        <w:bidi w:val="0"/>
      </w:pPr>
      <w:r>
        <w:rPr>
          <w:rFonts w:hint="eastAsia"/>
          <w:lang w:val="en-US" w:eastAsia="zh-CN"/>
        </w:rPr>
        <w:t>二、</w:t>
      </w:r>
      <w:r>
        <w:rPr>
          <w:rFonts w:hint="eastAsia"/>
        </w:rPr>
        <w:t>原公告的开启时间：202</w:t>
      </w:r>
      <w:r>
        <w:rPr>
          <w:rFonts w:hint="eastAsia"/>
          <w:lang w:val="en-US" w:eastAsia="zh-CN"/>
        </w:rPr>
        <w:t>6</w:t>
      </w:r>
      <w:r>
        <w:rPr>
          <w:rFonts w:hint="eastAsia"/>
        </w:rPr>
        <w:t>-</w:t>
      </w:r>
      <w:r>
        <w:rPr>
          <w:rFonts w:hint="eastAsia"/>
          <w:lang w:val="en-US" w:eastAsia="zh-CN"/>
        </w:rPr>
        <w:t>5</w:t>
      </w:r>
      <w:r>
        <w:rPr>
          <w:rFonts w:hint="eastAsia"/>
        </w:rPr>
        <w:t>-</w:t>
      </w:r>
      <w:r>
        <w:rPr>
          <w:rFonts w:hint="eastAsia"/>
          <w:lang w:val="en-US" w:eastAsia="zh-CN"/>
        </w:rPr>
        <w:t>18</w:t>
      </w:r>
      <w:r>
        <w:rPr>
          <w:rFonts w:hint="eastAsia"/>
        </w:rPr>
        <w:t xml:space="preserve"> 09:30:00，</w:t>
      </w:r>
      <w:r>
        <w:rPr>
          <w:rFonts w:hint="eastAsia"/>
          <w:highlight w:val="yellow"/>
        </w:rPr>
        <w:t>更正为：202</w:t>
      </w:r>
      <w:r>
        <w:rPr>
          <w:rFonts w:hint="eastAsia"/>
          <w:highlight w:val="yellow"/>
          <w:lang w:val="en-US" w:eastAsia="zh-CN"/>
        </w:rPr>
        <w:t>6</w:t>
      </w:r>
      <w:r>
        <w:rPr>
          <w:rFonts w:hint="eastAsia"/>
          <w:highlight w:val="yellow"/>
        </w:rPr>
        <w:t>-</w:t>
      </w:r>
      <w:r>
        <w:rPr>
          <w:rFonts w:hint="eastAsia"/>
          <w:highlight w:val="yellow"/>
          <w:lang w:val="en-US" w:eastAsia="zh-CN"/>
        </w:rPr>
        <w:t>6</w:t>
      </w:r>
      <w:r>
        <w:rPr>
          <w:rFonts w:hint="eastAsia"/>
          <w:highlight w:val="yellow"/>
        </w:rPr>
        <w:t>-</w:t>
      </w:r>
      <w:r>
        <w:rPr>
          <w:rFonts w:hint="eastAsia"/>
          <w:highlight w:val="yellow"/>
          <w:lang w:val="en-US" w:eastAsia="zh-CN"/>
        </w:rPr>
        <w:t>1</w:t>
      </w:r>
      <w:r>
        <w:rPr>
          <w:rFonts w:hint="eastAsia"/>
          <w:highlight w:val="yellow"/>
        </w:rPr>
        <w:t xml:space="preserve"> 09:30:00。</w:t>
      </w:r>
    </w:p>
    <w:p w14:paraId="680A59D6">
      <w:pPr>
        <w:pStyle w:val="4"/>
        <w:bidi w:val="0"/>
        <w:rPr>
          <w:rFonts w:hint="default"/>
          <w:lang w:val="en-US" w:eastAsia="zh-CN"/>
        </w:rPr>
      </w:pPr>
      <w:r>
        <w:rPr>
          <w:rFonts w:hint="eastAsia"/>
          <w:lang w:val="en-US" w:eastAsia="zh-CN"/>
        </w:rPr>
        <w:t>三、招标</w:t>
      </w:r>
      <w:r>
        <w:rPr>
          <w:rFonts w:hint="eastAsia"/>
        </w:rPr>
        <w:t>文件</w:t>
      </w:r>
      <w:r>
        <w:rPr>
          <w:rFonts w:hint="eastAsia"/>
          <w:lang w:val="en-US" w:eastAsia="zh-CN"/>
        </w:rPr>
        <w:t xml:space="preserve"> “</w:t>
      </w:r>
      <w:r>
        <w:rPr>
          <w:rFonts w:hint="eastAsia"/>
        </w:rPr>
        <w:t>第</w:t>
      </w:r>
      <w:r>
        <w:rPr>
          <w:rFonts w:hint="eastAsia"/>
          <w:lang w:val="en-US" w:eastAsia="zh-CN"/>
        </w:rPr>
        <w:t>五</w:t>
      </w:r>
      <w:r>
        <w:rPr>
          <w:rFonts w:hint="eastAsia"/>
        </w:rPr>
        <w:t xml:space="preserve">章 </w:t>
      </w:r>
      <w:r>
        <w:rPr>
          <w:rFonts w:hint="eastAsia"/>
          <w:lang w:val="en-US" w:eastAsia="zh-CN"/>
        </w:rPr>
        <w:t>评标办法  5.4.2评标细则及标准 采购包1：”</w:t>
      </w:r>
    </w:p>
    <w:p w14:paraId="007D4B72">
      <w:pPr>
        <w:bidi w:val="0"/>
        <w:rPr>
          <w:rFonts w:hint="eastAsia" w:ascii="宋体" w:hAnsi="宋体" w:eastAsia="宋体" w:cs="宋体"/>
          <w:i w:val="0"/>
          <w:iCs w:val="0"/>
          <w:caps w:val="0"/>
          <w:color w:val="222222"/>
          <w:spacing w:val="0"/>
          <w:szCs w:val="24"/>
          <w:lang w:val="en-US" w:eastAsia="zh-CN"/>
        </w:rPr>
      </w:pPr>
      <w:r>
        <w:rPr>
          <w:rFonts w:hint="eastAsia" w:ascii="宋体" w:hAnsi="宋体" w:eastAsia="宋体" w:cs="宋体"/>
          <w:i w:val="0"/>
          <w:iCs w:val="0"/>
          <w:caps w:val="0"/>
          <w:color w:val="222222"/>
          <w:spacing w:val="0"/>
          <w:szCs w:val="24"/>
          <w:lang w:val="en-US" w:eastAsia="zh-CN"/>
        </w:rPr>
        <w:t>“</w:t>
      </w:r>
    </w:p>
    <w:tbl>
      <w:tblPr>
        <w:tblStyle w:val="9"/>
        <w:tblW w:w="1020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75"/>
        <w:gridCol w:w="915"/>
        <w:gridCol w:w="5280"/>
        <w:gridCol w:w="810"/>
        <w:gridCol w:w="780"/>
        <w:gridCol w:w="1440"/>
      </w:tblGrid>
      <w:tr w14:paraId="1DCBC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975" w:type="dxa"/>
            <w:vAlign w:val="center"/>
          </w:tcPr>
          <w:p w14:paraId="36EAC42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评审因素分类</w:t>
            </w:r>
          </w:p>
        </w:tc>
        <w:tc>
          <w:tcPr>
            <w:tcW w:w="915" w:type="dxa"/>
            <w:vAlign w:val="center"/>
          </w:tcPr>
          <w:p w14:paraId="0E2DBB1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评审内容</w:t>
            </w:r>
          </w:p>
        </w:tc>
        <w:tc>
          <w:tcPr>
            <w:tcW w:w="5280" w:type="dxa"/>
            <w:vAlign w:val="center"/>
          </w:tcPr>
          <w:p w14:paraId="2F872D9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具体标准和要求</w:t>
            </w:r>
          </w:p>
        </w:tc>
        <w:tc>
          <w:tcPr>
            <w:tcW w:w="810" w:type="dxa"/>
            <w:vAlign w:val="center"/>
          </w:tcPr>
          <w:p w14:paraId="206ED9B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分值</w:t>
            </w:r>
          </w:p>
        </w:tc>
        <w:tc>
          <w:tcPr>
            <w:tcW w:w="780" w:type="dxa"/>
            <w:vAlign w:val="center"/>
          </w:tcPr>
          <w:p w14:paraId="4CA5F9B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客观/主观</w:t>
            </w:r>
          </w:p>
        </w:tc>
        <w:tc>
          <w:tcPr>
            <w:tcW w:w="1440" w:type="dxa"/>
            <w:vAlign w:val="center"/>
          </w:tcPr>
          <w:p w14:paraId="416360E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关联投标（响应）文件格式文件</w:t>
            </w:r>
          </w:p>
        </w:tc>
      </w:tr>
      <w:tr w14:paraId="74822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Merge w:val="restart"/>
            <w:vAlign w:val="center"/>
          </w:tcPr>
          <w:p w14:paraId="2E3144B7">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详细评审</w:t>
            </w:r>
          </w:p>
        </w:tc>
        <w:tc>
          <w:tcPr>
            <w:tcW w:w="915" w:type="dxa"/>
            <w:vAlign w:val="center"/>
          </w:tcPr>
          <w:p w14:paraId="6644D9D8">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技术方案</w:t>
            </w:r>
          </w:p>
        </w:tc>
        <w:tc>
          <w:tcPr>
            <w:tcW w:w="5280" w:type="dxa"/>
            <w:vAlign w:val="center"/>
          </w:tcPr>
          <w:p w14:paraId="6DBD76AE">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投标人根据本项目服务内容及要求提供技术方案，方案内容包括：①项目需求分析；②平台综合管理与运营中心方案；③工业PaaS服务方案④业务中台方案⑤工业互联网应用服务中心方案⑥数采及边缘计算服务方案⑦工业大数据服务方案⑧OpenAPI能力开放平台方案⑨管理工具方案⑩云安全服务方案等；包含以上全部内容、内容完整，符合项目要求的得30分；每缺少一项内容扣3分；每有一项内容有缺陷的扣1.5分；扣完为止，未提供不得分。注：本项所述“缺陷”是指：项目信息错误、内容与本项目需求无关、方案内容前后矛盾、方案内容表述前后不一致、方案内容仅有框架或标题、适用的标准（方法）错误、项目采购内容缺失、与项目技术和服务要求无关等情况。</w:t>
            </w:r>
          </w:p>
        </w:tc>
        <w:tc>
          <w:tcPr>
            <w:tcW w:w="810" w:type="dxa"/>
            <w:vAlign w:val="center"/>
          </w:tcPr>
          <w:p w14:paraId="246537B2">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30.0000</w:t>
            </w:r>
          </w:p>
        </w:tc>
        <w:tc>
          <w:tcPr>
            <w:tcW w:w="780" w:type="dxa"/>
            <w:vAlign w:val="center"/>
          </w:tcPr>
          <w:p w14:paraId="7BF0179E">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40" w:type="dxa"/>
            <w:vAlign w:val="center"/>
          </w:tcPr>
          <w:p w14:paraId="5C3569C0">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技术方案.docx</w:t>
            </w:r>
          </w:p>
        </w:tc>
      </w:tr>
      <w:tr w14:paraId="2B5E62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Merge w:val="continue"/>
            <w:vAlign w:val="center"/>
          </w:tcPr>
          <w:p w14:paraId="1E480F09">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p>
        </w:tc>
        <w:tc>
          <w:tcPr>
            <w:tcW w:w="915" w:type="dxa"/>
            <w:vAlign w:val="center"/>
          </w:tcPr>
          <w:p w14:paraId="468B6B4B">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后续服务方案</w:t>
            </w:r>
          </w:p>
        </w:tc>
        <w:tc>
          <w:tcPr>
            <w:tcW w:w="5280" w:type="dxa"/>
            <w:vAlign w:val="center"/>
          </w:tcPr>
          <w:p w14:paraId="54C92C80">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投标人针对本项目服务内容及要求提供的后续服务方案，方案内容包括：①售后承诺；②服务团队；③响应及修复时间；④运行保障体系；⑤日常运维工作；⑥应急保障方案；⑦服务质量保障措施；⑧培训方案等；包含以上全部内容、内容完整，符合项目要求的得24分；每缺少一项内容扣3分；每有一项内容有缺陷的扣1.5分；扣完为止，未提供不得分。注：本项所述“缺陷”是指：项目信息错误、内容与本项目需求无关、方案内容前后矛盾、方案内容表述前后不一致、方案内容仅有框架或标题、适用的标准（方法）错误、项目采购内容缺失、与项目技术和服务要求无关等情况。</w:t>
            </w:r>
          </w:p>
        </w:tc>
        <w:tc>
          <w:tcPr>
            <w:tcW w:w="810" w:type="dxa"/>
            <w:vAlign w:val="center"/>
          </w:tcPr>
          <w:p w14:paraId="2BF46ED5">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24.0000</w:t>
            </w:r>
          </w:p>
        </w:tc>
        <w:tc>
          <w:tcPr>
            <w:tcW w:w="780" w:type="dxa"/>
            <w:vAlign w:val="center"/>
          </w:tcPr>
          <w:p w14:paraId="7947D432">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40" w:type="dxa"/>
            <w:vAlign w:val="center"/>
          </w:tcPr>
          <w:p w14:paraId="147529F1">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后续服务方案.docx</w:t>
            </w:r>
          </w:p>
        </w:tc>
      </w:tr>
      <w:tr w14:paraId="07523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Align w:val="center"/>
          </w:tcPr>
          <w:p w14:paraId="2D5E0C4B">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p>
        </w:tc>
        <w:tc>
          <w:tcPr>
            <w:tcW w:w="915" w:type="dxa"/>
            <w:vAlign w:val="center"/>
          </w:tcPr>
          <w:p w14:paraId="098D23F7">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服务团队</w:t>
            </w:r>
          </w:p>
        </w:tc>
        <w:tc>
          <w:tcPr>
            <w:tcW w:w="5280" w:type="dxa"/>
            <w:vAlign w:val="center"/>
          </w:tcPr>
          <w:p w14:paraId="5AE7ED2C">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投标人为本项目配置以下人员：1、项目经理（1人）项目经理具有:计算机技术与软件专业技术资格（水平）考试的①软件设计师证书；②系统集成项目管理工程师证书；③信息安全工程师证书，每具有其中之一证书得2分，本项最高得6分。2、技术支持工程师（1人）技术支持工程师具有:计算机技术与软件专业技术资格（水平）考试的①软件设计师证书；②系统集成项目管理工程师证书，每具有一个证书得2分，本项最高得4分。3、支撑工程师（1人）支撑工程师具有:计算机技术与软件专业技术资格（水平）考试的①系统集成项目管理工程师证书；②数据库系统工程师证书，每具有一个证书得2分，本项最高得4分。注：提供相应人员证书复印件（扫描件）并加盖投标人公章。以上人员不重复得分。</w:t>
            </w:r>
          </w:p>
        </w:tc>
        <w:tc>
          <w:tcPr>
            <w:tcW w:w="810" w:type="dxa"/>
            <w:vAlign w:val="center"/>
          </w:tcPr>
          <w:p w14:paraId="09C72085">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14.0000</w:t>
            </w:r>
          </w:p>
        </w:tc>
        <w:tc>
          <w:tcPr>
            <w:tcW w:w="780" w:type="dxa"/>
            <w:vAlign w:val="center"/>
          </w:tcPr>
          <w:p w14:paraId="2B34695F">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客观</w:t>
            </w:r>
          </w:p>
        </w:tc>
        <w:tc>
          <w:tcPr>
            <w:tcW w:w="1440" w:type="dxa"/>
            <w:vAlign w:val="center"/>
          </w:tcPr>
          <w:p w14:paraId="28BC756C">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服务团队.docx</w:t>
            </w:r>
          </w:p>
        </w:tc>
      </w:tr>
    </w:tbl>
    <w:p w14:paraId="7518E53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0" w:firstLineChars="0"/>
        <w:jc w:val="both"/>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lang w:eastAsia="zh-CN"/>
        </w:rPr>
        <w:t>”</w:t>
      </w:r>
    </w:p>
    <w:p w14:paraId="3072DC02">
      <w:pPr>
        <w:pStyle w:val="5"/>
        <w:bidi w:val="0"/>
        <w:rPr>
          <w:rFonts w:hint="eastAsia"/>
          <w:lang w:eastAsia="zh-CN"/>
        </w:rPr>
      </w:pPr>
      <w:r>
        <w:rPr>
          <w:rFonts w:hint="eastAsia"/>
        </w:rPr>
        <w:t>更正为</w:t>
      </w:r>
      <w:r>
        <w:rPr>
          <w:rFonts w:hint="eastAsia"/>
          <w:lang w:eastAsia="zh-CN"/>
        </w:rPr>
        <w:t>：</w:t>
      </w:r>
    </w:p>
    <w:p w14:paraId="4F24967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w:t>
      </w:r>
    </w:p>
    <w:tbl>
      <w:tblPr>
        <w:tblStyle w:val="9"/>
        <w:tblW w:w="1020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75"/>
        <w:gridCol w:w="915"/>
        <w:gridCol w:w="5280"/>
        <w:gridCol w:w="810"/>
        <w:gridCol w:w="780"/>
        <w:gridCol w:w="1440"/>
      </w:tblGrid>
      <w:tr w14:paraId="1117F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Align w:val="center"/>
          </w:tcPr>
          <w:p w14:paraId="55C248A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评审因素分类</w:t>
            </w:r>
          </w:p>
        </w:tc>
        <w:tc>
          <w:tcPr>
            <w:tcW w:w="915" w:type="dxa"/>
            <w:vAlign w:val="center"/>
          </w:tcPr>
          <w:p w14:paraId="2BDD118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评审内容</w:t>
            </w:r>
          </w:p>
        </w:tc>
        <w:tc>
          <w:tcPr>
            <w:tcW w:w="5280" w:type="dxa"/>
            <w:vAlign w:val="center"/>
          </w:tcPr>
          <w:p w14:paraId="611C77A4">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具体标准和要求</w:t>
            </w:r>
          </w:p>
        </w:tc>
        <w:tc>
          <w:tcPr>
            <w:tcW w:w="810" w:type="dxa"/>
            <w:vAlign w:val="center"/>
          </w:tcPr>
          <w:p w14:paraId="7FF96EC3">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分值</w:t>
            </w:r>
          </w:p>
        </w:tc>
        <w:tc>
          <w:tcPr>
            <w:tcW w:w="780" w:type="dxa"/>
            <w:vAlign w:val="center"/>
          </w:tcPr>
          <w:p w14:paraId="6BEC83F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客观/主观</w:t>
            </w:r>
          </w:p>
        </w:tc>
        <w:tc>
          <w:tcPr>
            <w:tcW w:w="1440" w:type="dxa"/>
            <w:vAlign w:val="center"/>
          </w:tcPr>
          <w:p w14:paraId="0BF3DA3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关联投标（响应）文件格式文件</w:t>
            </w:r>
          </w:p>
        </w:tc>
      </w:tr>
      <w:tr w14:paraId="53A853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Merge w:val="restart"/>
            <w:vAlign w:val="center"/>
          </w:tcPr>
          <w:p w14:paraId="36593FC9">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详细评审</w:t>
            </w:r>
          </w:p>
        </w:tc>
        <w:tc>
          <w:tcPr>
            <w:tcW w:w="915" w:type="dxa"/>
            <w:vAlign w:val="center"/>
          </w:tcPr>
          <w:p w14:paraId="7B617AF1">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技术方案</w:t>
            </w:r>
          </w:p>
        </w:tc>
        <w:tc>
          <w:tcPr>
            <w:tcW w:w="5280" w:type="dxa"/>
            <w:vAlign w:val="center"/>
          </w:tcPr>
          <w:p w14:paraId="3AD69762">
            <w:r>
              <w:rPr>
                <w:rFonts w:ascii="Times New Roman" w:hAnsi="Times New Roman" w:eastAsia="宋体"/>
              </w:rPr>
              <w:t>投标人根据本项目服务内容及要求提供技术方案，方案内容包括：①项目需求分析；②平台综合管理与运营中心方案；③工业PaaS服务方案④业务中台方案⑤工业互联网应用服务中心方案⑥数采及边缘计算服务方案⑦工业大数据服务方案⑧OpenAPI能力开放平台方案⑨管理工具方案⑩云安全服务方案</w:t>
            </w:r>
            <w:r>
              <w:rPr>
                <w:rFonts w:hint="eastAsia" w:ascii="Times New Roman" w:hAnsi="Times New Roman" w:eastAsia="宋体"/>
                <w:lang w:eastAsia="zh-CN"/>
              </w:rPr>
              <w:t>。</w:t>
            </w:r>
            <w:r>
              <w:rPr>
                <w:rFonts w:ascii="Times New Roman" w:hAnsi="Times New Roman" w:eastAsia="宋体"/>
                <w:highlight w:val="yellow"/>
              </w:rPr>
              <w:t>每具有一项前述细化指标内容得3分，不提供不得分，最多得</w:t>
            </w:r>
            <w:r>
              <w:rPr>
                <w:rFonts w:hint="eastAsia" w:ascii="Times New Roman" w:hAnsi="Times New Roman" w:eastAsia="宋体"/>
                <w:highlight w:val="yellow"/>
                <w:lang w:val="en-US" w:eastAsia="zh-CN"/>
              </w:rPr>
              <w:t>30</w:t>
            </w:r>
            <w:r>
              <w:rPr>
                <w:rFonts w:ascii="Times New Roman" w:hAnsi="Times New Roman" w:eastAsia="宋体"/>
                <w:highlight w:val="yellow"/>
              </w:rPr>
              <w:t>分；每缺一项扣3分，</w:t>
            </w:r>
            <w:r>
              <w:rPr>
                <w:rFonts w:hint="eastAsia" w:ascii="Times New Roman" w:hAnsi="Times New Roman" w:eastAsia="宋体"/>
                <w:highlight w:val="yellow"/>
                <w:lang w:val="en-US" w:eastAsia="zh-CN"/>
              </w:rPr>
              <w:t>每项</w:t>
            </w:r>
            <w:r>
              <w:rPr>
                <w:rFonts w:ascii="Times New Roman" w:hAnsi="Times New Roman" w:eastAsia="宋体"/>
                <w:highlight w:val="yellow"/>
              </w:rPr>
              <w:t>每有一处内容存在缺陷的扣1.5分，</w:t>
            </w:r>
            <w:r>
              <w:rPr>
                <w:rFonts w:hint="eastAsia" w:ascii="Times New Roman" w:hAnsi="Times New Roman" w:eastAsia="宋体"/>
                <w:highlight w:val="yellow"/>
                <w:lang w:val="en-US" w:eastAsia="zh-CN"/>
              </w:rPr>
              <w:t>本项</w:t>
            </w:r>
            <w:r>
              <w:rPr>
                <w:rFonts w:ascii="Times New Roman" w:hAnsi="Times New Roman" w:eastAsia="宋体"/>
                <w:highlight w:val="yellow"/>
              </w:rPr>
              <w:t>扣完为止。注：“缺陷”是指项目信息错误、引用的规范及标准错误、套用其他项目方案、地点区域错误、照搬</w:t>
            </w:r>
            <w:r>
              <w:rPr>
                <w:rFonts w:hint="eastAsia" w:ascii="Times New Roman" w:hAnsi="Times New Roman" w:eastAsia="宋体"/>
                <w:highlight w:val="yellow"/>
                <w:lang w:val="en-US" w:eastAsia="zh-CN"/>
              </w:rPr>
              <w:t>招标</w:t>
            </w:r>
            <w:r>
              <w:rPr>
                <w:rFonts w:ascii="Times New Roman" w:hAnsi="Times New Roman" w:eastAsia="宋体"/>
                <w:highlight w:val="yellow"/>
              </w:rPr>
              <w:t>文件且未作出进一步细化的任意一种情形。</w:t>
            </w:r>
          </w:p>
        </w:tc>
        <w:tc>
          <w:tcPr>
            <w:tcW w:w="810" w:type="dxa"/>
            <w:vAlign w:val="center"/>
          </w:tcPr>
          <w:p w14:paraId="034A531E">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30.0000</w:t>
            </w:r>
          </w:p>
        </w:tc>
        <w:tc>
          <w:tcPr>
            <w:tcW w:w="780" w:type="dxa"/>
            <w:vAlign w:val="center"/>
          </w:tcPr>
          <w:p w14:paraId="2141F3A7">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40" w:type="dxa"/>
            <w:vAlign w:val="center"/>
          </w:tcPr>
          <w:p w14:paraId="04B44906">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技术方案.docx</w:t>
            </w:r>
          </w:p>
        </w:tc>
      </w:tr>
      <w:tr w14:paraId="04BDA9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Merge w:val="continue"/>
            <w:vAlign w:val="center"/>
          </w:tcPr>
          <w:p w14:paraId="3EA36144">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p>
        </w:tc>
        <w:tc>
          <w:tcPr>
            <w:tcW w:w="915" w:type="dxa"/>
            <w:vAlign w:val="center"/>
          </w:tcPr>
          <w:p w14:paraId="178E693B">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后续服务方案</w:t>
            </w:r>
          </w:p>
        </w:tc>
        <w:tc>
          <w:tcPr>
            <w:tcW w:w="5280" w:type="dxa"/>
            <w:vAlign w:val="center"/>
          </w:tcPr>
          <w:p w14:paraId="65AA2BF9">
            <w:r>
              <w:t>投标人针对本项目服务内容及要求提供的后续服务方案，方案内容包括：①售后承诺；②服务团队；③响应及修复时间；④运行保障体系；⑤日常运维工作；⑥应急保障方案；⑦服务质量保障措施；⑧培训方案</w:t>
            </w:r>
            <w:r>
              <w:rPr>
                <w:rFonts w:hint="eastAsia"/>
                <w:lang w:eastAsia="zh-CN"/>
              </w:rPr>
              <w:t>。</w:t>
            </w:r>
            <w:r>
              <w:rPr>
                <w:rFonts w:ascii="Times New Roman" w:hAnsi="Times New Roman" w:eastAsia="宋体"/>
                <w:highlight w:val="yellow"/>
              </w:rPr>
              <w:t>每具有一项前述细化指标内容得3分，不提供不得分，最多得</w:t>
            </w:r>
            <w:r>
              <w:rPr>
                <w:rFonts w:hint="eastAsia" w:ascii="Times New Roman" w:hAnsi="Times New Roman" w:eastAsia="宋体"/>
                <w:highlight w:val="yellow"/>
                <w:lang w:val="en-US" w:eastAsia="zh-CN"/>
              </w:rPr>
              <w:t>24</w:t>
            </w:r>
            <w:r>
              <w:rPr>
                <w:rFonts w:ascii="Times New Roman" w:hAnsi="Times New Roman" w:eastAsia="宋体"/>
                <w:highlight w:val="yellow"/>
              </w:rPr>
              <w:t>分；每缺一项扣3分，</w:t>
            </w:r>
            <w:r>
              <w:rPr>
                <w:rFonts w:hint="eastAsia" w:ascii="Times New Roman" w:hAnsi="Times New Roman" w:eastAsia="宋体"/>
                <w:highlight w:val="yellow"/>
                <w:lang w:val="en-US" w:eastAsia="zh-CN"/>
              </w:rPr>
              <w:t>每项</w:t>
            </w:r>
            <w:r>
              <w:rPr>
                <w:rFonts w:ascii="Times New Roman" w:hAnsi="Times New Roman" w:eastAsia="宋体"/>
                <w:highlight w:val="yellow"/>
              </w:rPr>
              <w:t>每有一处内容存在缺陷的扣1.5分，</w:t>
            </w:r>
            <w:r>
              <w:rPr>
                <w:rFonts w:hint="eastAsia" w:ascii="Times New Roman" w:hAnsi="Times New Roman" w:eastAsia="宋体"/>
                <w:highlight w:val="yellow"/>
                <w:lang w:val="en-US" w:eastAsia="zh-CN"/>
              </w:rPr>
              <w:t>本项</w:t>
            </w:r>
            <w:r>
              <w:rPr>
                <w:rFonts w:ascii="Times New Roman" w:hAnsi="Times New Roman" w:eastAsia="宋体"/>
                <w:highlight w:val="yellow"/>
              </w:rPr>
              <w:t>扣完为止。注：“缺陷”是指项目信息错误、引用的规范及标准错误、套用其他项目方案、地点区域错误、照搬</w:t>
            </w:r>
            <w:r>
              <w:rPr>
                <w:rFonts w:hint="eastAsia" w:ascii="Times New Roman" w:hAnsi="Times New Roman" w:eastAsia="宋体"/>
                <w:highlight w:val="yellow"/>
                <w:lang w:val="en-US" w:eastAsia="zh-CN"/>
              </w:rPr>
              <w:t>招标</w:t>
            </w:r>
            <w:r>
              <w:rPr>
                <w:rFonts w:ascii="Times New Roman" w:hAnsi="Times New Roman" w:eastAsia="宋体"/>
                <w:highlight w:val="yellow"/>
              </w:rPr>
              <w:t>文件且未作出进一步细化的任意一种情形。</w:t>
            </w:r>
          </w:p>
        </w:tc>
        <w:tc>
          <w:tcPr>
            <w:tcW w:w="810" w:type="dxa"/>
            <w:vAlign w:val="center"/>
          </w:tcPr>
          <w:p w14:paraId="38661EEC">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24.0000</w:t>
            </w:r>
          </w:p>
        </w:tc>
        <w:tc>
          <w:tcPr>
            <w:tcW w:w="780" w:type="dxa"/>
            <w:vAlign w:val="center"/>
          </w:tcPr>
          <w:p w14:paraId="668176B1">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40" w:type="dxa"/>
            <w:vAlign w:val="center"/>
          </w:tcPr>
          <w:p w14:paraId="4B90D23F">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后续服务方案.docx</w:t>
            </w:r>
          </w:p>
        </w:tc>
      </w:tr>
      <w:tr w14:paraId="30F01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5" w:type="dxa"/>
            <w:vAlign w:val="center"/>
          </w:tcPr>
          <w:p w14:paraId="595618B7">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p>
        </w:tc>
        <w:tc>
          <w:tcPr>
            <w:tcW w:w="915" w:type="dxa"/>
            <w:vAlign w:val="center"/>
          </w:tcPr>
          <w:p w14:paraId="145CEFA6">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服务团队</w:t>
            </w:r>
          </w:p>
        </w:tc>
        <w:tc>
          <w:tcPr>
            <w:tcW w:w="5280" w:type="dxa"/>
            <w:vAlign w:val="center"/>
          </w:tcPr>
          <w:p w14:paraId="7DE31F46">
            <w:pPr>
              <w:rPr>
                <w:rFonts w:hint="eastAsia"/>
              </w:rPr>
            </w:pPr>
            <w:r>
              <w:rPr>
                <w:rFonts w:hint="eastAsia"/>
              </w:rPr>
              <w:t>1、投标人为本项目配置项目经理（1人）。项目经理具有:计算机技术与软件专业技术资格（水平）考试的①软件设计师证书；②系统集成项目管理工程师证书；③信息安全工程师证书，每具有其中之一证书得2分，本项最高得6分。</w:t>
            </w:r>
          </w:p>
          <w:p w14:paraId="64BBB8B5">
            <w:pPr>
              <w:rPr>
                <w:rFonts w:hint="eastAsia"/>
                <w:highlight w:val="yellow"/>
              </w:rPr>
            </w:pPr>
            <w:r>
              <w:rPr>
                <w:rFonts w:hint="eastAsia"/>
                <w:highlight w:val="yellow"/>
              </w:rPr>
              <w:t>2、投标人为本项目配置技术支持工程师（1人）技术支持工程师具有:计算机技术与软件专业技术资格（水平）考试的系统架构设计师证书得2分，本项最高得2分。</w:t>
            </w:r>
          </w:p>
          <w:p w14:paraId="2CCDBECB">
            <w:pPr>
              <w:rPr>
                <w:rFonts w:hint="eastAsia"/>
                <w:highlight w:val="yellow"/>
              </w:rPr>
            </w:pPr>
            <w:r>
              <w:rPr>
                <w:rFonts w:hint="eastAsia"/>
                <w:highlight w:val="yellow"/>
              </w:rPr>
              <w:t>3、投标人为本项目配置支撑工程师（3人）。每名支撑工程师具有：计算机技术与软件专业技术资格（水平）考试的①软件设计师证书；②数据库系统工程师证书，每具有其中之一证书得2分，每名支撑工程师本项最高得2分，本项最高得6分。</w:t>
            </w:r>
          </w:p>
          <w:p w14:paraId="52E1E775">
            <w:r>
              <w:rPr>
                <w:rFonts w:hint="eastAsia"/>
              </w:rPr>
              <w:t>注：提供相应人员证书复印件（扫描件）并加盖投标人公章。以上人员不重复得分。</w:t>
            </w:r>
          </w:p>
        </w:tc>
        <w:tc>
          <w:tcPr>
            <w:tcW w:w="810" w:type="dxa"/>
            <w:vAlign w:val="center"/>
          </w:tcPr>
          <w:p w14:paraId="203016E1">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textAlignment w:val="auto"/>
            </w:pPr>
            <w:r>
              <w:t>14.0000</w:t>
            </w:r>
          </w:p>
        </w:tc>
        <w:tc>
          <w:tcPr>
            <w:tcW w:w="780" w:type="dxa"/>
            <w:vAlign w:val="center"/>
          </w:tcPr>
          <w:p w14:paraId="14DC8C70">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textAlignment w:val="auto"/>
            </w:pPr>
            <w:r>
              <w:t>客观</w:t>
            </w:r>
          </w:p>
        </w:tc>
        <w:tc>
          <w:tcPr>
            <w:tcW w:w="1440" w:type="dxa"/>
            <w:vAlign w:val="center"/>
          </w:tcPr>
          <w:p w14:paraId="3B142994">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textAlignment w:val="auto"/>
            </w:pPr>
            <w:r>
              <w:t>服务团队.docx</w:t>
            </w:r>
          </w:p>
        </w:tc>
      </w:tr>
    </w:tbl>
    <w:p w14:paraId="019FEA7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0" w:firstLineChars="0"/>
        <w:jc w:val="both"/>
        <w:rPr>
          <w:sz w:val="24"/>
          <w:szCs w:val="24"/>
        </w:rPr>
      </w:pPr>
      <w:r>
        <w:rPr>
          <w:rFonts w:hint="eastAsia" w:ascii="宋体" w:hAnsi="宋体" w:eastAsia="宋体" w:cs="宋体"/>
          <w:i w:val="0"/>
          <w:iCs w:val="0"/>
          <w:caps w:val="0"/>
          <w:color w:val="222222"/>
          <w:spacing w:val="0"/>
          <w:sz w:val="24"/>
          <w:szCs w:val="24"/>
        </w:rPr>
        <w:t>”</w:t>
      </w:r>
    </w:p>
    <w:p w14:paraId="2C49932B">
      <w:pPr>
        <w:pStyle w:val="4"/>
        <w:numPr>
          <w:ilvl w:val="0"/>
          <w:numId w:val="1"/>
        </w:numPr>
        <w:bidi w:val="0"/>
        <w:rPr>
          <w:rFonts w:hint="eastAsia"/>
          <w:lang w:eastAsia="zh-CN"/>
        </w:rPr>
      </w:pPr>
      <w:r>
        <w:rPr>
          <w:rFonts w:hint="eastAsia"/>
          <w:lang w:val="en-US" w:eastAsia="zh-CN"/>
        </w:rPr>
        <w:t>招标</w:t>
      </w:r>
      <w:r>
        <w:rPr>
          <w:rFonts w:hint="eastAsia"/>
        </w:rPr>
        <w:t>文件</w:t>
      </w:r>
      <w:r>
        <w:rPr>
          <w:rFonts w:hint="eastAsia"/>
          <w:lang w:eastAsia="zh-CN"/>
        </w:rPr>
        <w:t>“</w:t>
      </w:r>
      <w:r>
        <w:rPr>
          <w:rFonts w:hint="eastAsia"/>
        </w:rPr>
        <w:t>第</w:t>
      </w:r>
      <w:r>
        <w:rPr>
          <w:rFonts w:hint="eastAsia"/>
          <w:lang w:val="en-US" w:eastAsia="zh-CN"/>
        </w:rPr>
        <w:t>五</w:t>
      </w:r>
      <w:r>
        <w:rPr>
          <w:rFonts w:hint="eastAsia"/>
        </w:rPr>
        <w:t xml:space="preserve">章 </w:t>
      </w:r>
      <w:r>
        <w:rPr>
          <w:rFonts w:hint="eastAsia"/>
          <w:lang w:val="en-US" w:eastAsia="zh-CN"/>
        </w:rPr>
        <w:t>评标办法 5.4.2评标细则及标准 采购包2：</w:t>
      </w:r>
      <w:r>
        <w:rPr>
          <w:rFonts w:hint="eastAsia"/>
          <w:lang w:eastAsia="zh-CN"/>
        </w:rPr>
        <w:t>”</w:t>
      </w:r>
    </w:p>
    <w:p w14:paraId="77D90996">
      <w:pPr>
        <w:numPr>
          <w:ilvl w:val="0"/>
          <w:numId w:val="0"/>
        </w:numPr>
        <w:ind w:leftChars="200" w:right="0" w:rightChars="0"/>
        <w:rPr>
          <w:rFonts w:hint="default"/>
          <w:lang w:val="en-US" w:eastAsia="zh-CN"/>
        </w:rPr>
      </w:pPr>
      <w:r>
        <w:rPr>
          <w:rFonts w:hint="eastAsia"/>
          <w:lang w:val="en-US" w:eastAsia="zh-CN"/>
        </w:rPr>
        <w:t>“</w:t>
      </w:r>
    </w:p>
    <w:tbl>
      <w:tblPr>
        <w:tblStyle w:val="9"/>
        <w:tblW w:w="1026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90"/>
        <w:gridCol w:w="945"/>
        <w:gridCol w:w="5250"/>
        <w:gridCol w:w="840"/>
        <w:gridCol w:w="765"/>
        <w:gridCol w:w="1470"/>
      </w:tblGrid>
      <w:tr w14:paraId="72964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14E1AA4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评审因素分类</w:t>
            </w:r>
          </w:p>
        </w:tc>
        <w:tc>
          <w:tcPr>
            <w:tcW w:w="945" w:type="dxa"/>
            <w:vAlign w:val="center"/>
          </w:tcPr>
          <w:p w14:paraId="654CA7C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评审内容</w:t>
            </w:r>
          </w:p>
        </w:tc>
        <w:tc>
          <w:tcPr>
            <w:tcW w:w="5250" w:type="dxa"/>
            <w:vAlign w:val="center"/>
          </w:tcPr>
          <w:p w14:paraId="31B6603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具体标准和要求</w:t>
            </w:r>
          </w:p>
        </w:tc>
        <w:tc>
          <w:tcPr>
            <w:tcW w:w="840" w:type="dxa"/>
            <w:vAlign w:val="center"/>
          </w:tcPr>
          <w:p w14:paraId="73FBD01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分值</w:t>
            </w:r>
          </w:p>
        </w:tc>
        <w:tc>
          <w:tcPr>
            <w:tcW w:w="765" w:type="dxa"/>
            <w:vAlign w:val="center"/>
          </w:tcPr>
          <w:p w14:paraId="05826D3E">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客观/主观</w:t>
            </w:r>
          </w:p>
        </w:tc>
        <w:tc>
          <w:tcPr>
            <w:tcW w:w="1470" w:type="dxa"/>
            <w:vAlign w:val="center"/>
          </w:tcPr>
          <w:p w14:paraId="5A26777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关联投标（响应）文件格式文件</w:t>
            </w:r>
          </w:p>
        </w:tc>
      </w:tr>
      <w:tr w14:paraId="1C0A70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79E98A55">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详细评审</w:t>
            </w:r>
          </w:p>
        </w:tc>
        <w:tc>
          <w:tcPr>
            <w:tcW w:w="945" w:type="dxa"/>
            <w:vAlign w:val="center"/>
          </w:tcPr>
          <w:p w14:paraId="65EB5261">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等保测评服务方案</w:t>
            </w:r>
          </w:p>
        </w:tc>
        <w:tc>
          <w:tcPr>
            <w:tcW w:w="5250" w:type="dxa"/>
            <w:vAlign w:val="center"/>
          </w:tcPr>
          <w:p w14:paraId="5AC5C544">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投标人提供的等保测评服务方案应至少包含：①安全物理环境②安全通信网络③安全区域边界④安全计算环境⑤安全管理中心⑥安全管理制度⑦安全管理机构⑧安全管理人员⑨安全运维管理⑩安全建设管理，内容完整、满足项目需求的得40分，每缺少一项内容扣4分；每项内容中每有一项缺陷的扣2分，扣完为止。 注：本项所述“缺陷”是指：项目信息错误、内容与本项目需求无关、方案内容前后矛盾、方案内容表述前后不一致、方案内容仅有框架或标题、适用的标准（方法）错误、项目采购内容缺失、与项目技术和服务要求无关等情况。</w:t>
            </w:r>
          </w:p>
        </w:tc>
        <w:tc>
          <w:tcPr>
            <w:tcW w:w="840" w:type="dxa"/>
            <w:vAlign w:val="center"/>
          </w:tcPr>
          <w:p w14:paraId="7C3A6AE3">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40.0000</w:t>
            </w:r>
          </w:p>
        </w:tc>
        <w:tc>
          <w:tcPr>
            <w:tcW w:w="765" w:type="dxa"/>
            <w:vAlign w:val="center"/>
          </w:tcPr>
          <w:p w14:paraId="72E5E010">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70" w:type="dxa"/>
            <w:vAlign w:val="center"/>
          </w:tcPr>
          <w:p w14:paraId="2B108B5E">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等保测评服务方案.docx</w:t>
            </w:r>
          </w:p>
        </w:tc>
      </w:tr>
    </w:tbl>
    <w:p w14:paraId="73F2436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0" w:firstLineChars="0"/>
        <w:jc w:val="both"/>
        <w:rPr>
          <w:rFonts w:hint="eastAsia" w:cs="宋体"/>
          <w:i w:val="0"/>
          <w:iCs w:val="0"/>
          <w:caps w:val="0"/>
          <w:color w:val="222222"/>
          <w:spacing w:val="0"/>
          <w:sz w:val="24"/>
          <w:szCs w:val="24"/>
          <w:lang w:val="en-US" w:eastAsia="zh-CN"/>
        </w:rPr>
      </w:pPr>
      <w:r>
        <w:rPr>
          <w:rFonts w:hint="eastAsia" w:cs="宋体"/>
          <w:i w:val="0"/>
          <w:iCs w:val="0"/>
          <w:caps w:val="0"/>
          <w:color w:val="222222"/>
          <w:spacing w:val="0"/>
          <w:sz w:val="24"/>
          <w:szCs w:val="24"/>
          <w:lang w:val="en-US" w:eastAsia="zh-CN"/>
        </w:rPr>
        <w:t>”</w:t>
      </w:r>
    </w:p>
    <w:p w14:paraId="041048EC">
      <w:pPr>
        <w:pStyle w:val="5"/>
        <w:bidi w:val="0"/>
        <w:rPr>
          <w:rFonts w:hint="eastAsia"/>
          <w:lang w:val="en-US" w:eastAsia="zh-CN"/>
        </w:rPr>
      </w:pPr>
      <w:r>
        <w:rPr>
          <w:rFonts w:hint="eastAsia"/>
          <w:lang w:val="en-US" w:eastAsia="zh-CN"/>
        </w:rPr>
        <w:t>更正为：</w:t>
      </w:r>
    </w:p>
    <w:p w14:paraId="18EF5C0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0" w:firstLineChars="0"/>
        <w:jc w:val="both"/>
        <w:rPr>
          <w:rFonts w:hint="eastAsia" w:cs="宋体"/>
          <w:i w:val="0"/>
          <w:iCs w:val="0"/>
          <w:caps w:val="0"/>
          <w:color w:val="222222"/>
          <w:spacing w:val="0"/>
          <w:sz w:val="24"/>
          <w:szCs w:val="24"/>
          <w:lang w:val="en-US" w:eastAsia="zh-CN"/>
        </w:rPr>
      </w:pPr>
      <w:r>
        <w:rPr>
          <w:rFonts w:hint="eastAsia" w:cs="宋体"/>
          <w:i w:val="0"/>
          <w:iCs w:val="0"/>
          <w:caps w:val="0"/>
          <w:color w:val="222222"/>
          <w:spacing w:val="0"/>
          <w:sz w:val="24"/>
          <w:szCs w:val="24"/>
          <w:lang w:val="en-US" w:eastAsia="zh-CN"/>
        </w:rPr>
        <w:t>“</w:t>
      </w:r>
    </w:p>
    <w:tbl>
      <w:tblPr>
        <w:tblStyle w:val="9"/>
        <w:tblW w:w="1026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90"/>
        <w:gridCol w:w="945"/>
        <w:gridCol w:w="5250"/>
        <w:gridCol w:w="840"/>
        <w:gridCol w:w="765"/>
        <w:gridCol w:w="1470"/>
      </w:tblGrid>
      <w:tr w14:paraId="33B12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164E870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评审因素分类</w:t>
            </w:r>
          </w:p>
        </w:tc>
        <w:tc>
          <w:tcPr>
            <w:tcW w:w="945" w:type="dxa"/>
            <w:vAlign w:val="center"/>
          </w:tcPr>
          <w:p w14:paraId="71E03DD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评审内容</w:t>
            </w:r>
          </w:p>
        </w:tc>
        <w:tc>
          <w:tcPr>
            <w:tcW w:w="5250" w:type="dxa"/>
            <w:vAlign w:val="center"/>
          </w:tcPr>
          <w:p w14:paraId="06D0A52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具体标准和要求</w:t>
            </w:r>
          </w:p>
        </w:tc>
        <w:tc>
          <w:tcPr>
            <w:tcW w:w="840" w:type="dxa"/>
            <w:vAlign w:val="center"/>
          </w:tcPr>
          <w:p w14:paraId="4826EAB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分值</w:t>
            </w:r>
          </w:p>
        </w:tc>
        <w:tc>
          <w:tcPr>
            <w:tcW w:w="765" w:type="dxa"/>
            <w:vAlign w:val="center"/>
          </w:tcPr>
          <w:p w14:paraId="1B3A3429">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客观/主观</w:t>
            </w:r>
          </w:p>
        </w:tc>
        <w:tc>
          <w:tcPr>
            <w:tcW w:w="1470" w:type="dxa"/>
            <w:vAlign w:val="center"/>
          </w:tcPr>
          <w:p w14:paraId="36BF192D">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关联投标（响应）文件格式文件</w:t>
            </w:r>
          </w:p>
        </w:tc>
      </w:tr>
      <w:tr w14:paraId="18C8F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71240F2A">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详细评审</w:t>
            </w:r>
          </w:p>
        </w:tc>
        <w:tc>
          <w:tcPr>
            <w:tcW w:w="945" w:type="dxa"/>
            <w:vAlign w:val="center"/>
          </w:tcPr>
          <w:p w14:paraId="5D350320">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等保测评服务方案</w:t>
            </w:r>
          </w:p>
        </w:tc>
        <w:tc>
          <w:tcPr>
            <w:tcW w:w="5250" w:type="dxa"/>
            <w:vAlign w:val="center"/>
          </w:tcPr>
          <w:p w14:paraId="7FA098DF">
            <w:r>
              <w:t>投标人提供的等保测评服务方案应至少包含：①安全物理环境②安全通信网络③安全区域边界④安全计算环境⑤安全管理中心⑥安全管理制度⑦安全管理机构⑧安全管理人员⑨安全运维管理⑩安全建设管理</w:t>
            </w:r>
            <w:r>
              <w:rPr>
                <w:rFonts w:hint="eastAsia"/>
                <w:lang w:eastAsia="zh-CN"/>
              </w:rPr>
              <w:t>。</w:t>
            </w:r>
            <w:r>
              <w:rPr>
                <w:rFonts w:ascii="Times New Roman" w:hAnsi="Times New Roman" w:eastAsia="宋体"/>
                <w:highlight w:val="yellow"/>
              </w:rPr>
              <w:t>每具有一项前述细化指标内容得</w:t>
            </w:r>
            <w:r>
              <w:rPr>
                <w:rFonts w:hint="eastAsia" w:ascii="Times New Roman" w:hAnsi="Times New Roman" w:eastAsia="宋体"/>
                <w:highlight w:val="yellow"/>
                <w:lang w:val="en-US" w:eastAsia="zh-CN"/>
              </w:rPr>
              <w:t>4</w:t>
            </w:r>
            <w:r>
              <w:rPr>
                <w:rFonts w:ascii="Times New Roman" w:hAnsi="Times New Roman" w:eastAsia="宋体"/>
                <w:highlight w:val="yellow"/>
              </w:rPr>
              <w:t>分，不提供不得分，最多得</w:t>
            </w:r>
            <w:r>
              <w:rPr>
                <w:rFonts w:hint="eastAsia" w:ascii="Times New Roman" w:hAnsi="Times New Roman" w:eastAsia="宋体"/>
                <w:highlight w:val="yellow"/>
                <w:lang w:val="en-US" w:eastAsia="zh-CN"/>
              </w:rPr>
              <w:t>40</w:t>
            </w:r>
            <w:r>
              <w:rPr>
                <w:rFonts w:ascii="Times New Roman" w:hAnsi="Times New Roman" w:eastAsia="宋体"/>
                <w:highlight w:val="yellow"/>
              </w:rPr>
              <w:t>分；每缺一项扣</w:t>
            </w:r>
            <w:r>
              <w:rPr>
                <w:rFonts w:hint="eastAsia" w:ascii="Times New Roman" w:hAnsi="Times New Roman" w:eastAsia="宋体"/>
                <w:highlight w:val="yellow"/>
                <w:lang w:val="en-US" w:eastAsia="zh-CN"/>
              </w:rPr>
              <w:t>2</w:t>
            </w:r>
            <w:r>
              <w:rPr>
                <w:rFonts w:ascii="Times New Roman" w:hAnsi="Times New Roman" w:eastAsia="宋体"/>
                <w:highlight w:val="yellow"/>
              </w:rPr>
              <w:t>分，</w:t>
            </w:r>
            <w:r>
              <w:rPr>
                <w:rFonts w:hint="eastAsia" w:ascii="Times New Roman" w:hAnsi="Times New Roman" w:eastAsia="宋体"/>
                <w:highlight w:val="yellow"/>
                <w:lang w:val="en-US" w:eastAsia="zh-CN"/>
              </w:rPr>
              <w:t>每项</w:t>
            </w:r>
            <w:r>
              <w:rPr>
                <w:rFonts w:ascii="Times New Roman" w:hAnsi="Times New Roman" w:eastAsia="宋体"/>
                <w:highlight w:val="yellow"/>
              </w:rPr>
              <w:t>每有一处内容存在缺陷的扣</w:t>
            </w:r>
            <w:r>
              <w:rPr>
                <w:rFonts w:hint="eastAsia" w:ascii="Times New Roman" w:hAnsi="Times New Roman" w:eastAsia="宋体"/>
                <w:highlight w:val="yellow"/>
                <w:lang w:val="en-US" w:eastAsia="zh-CN"/>
              </w:rPr>
              <w:t>2</w:t>
            </w:r>
            <w:r>
              <w:rPr>
                <w:rFonts w:ascii="Times New Roman" w:hAnsi="Times New Roman" w:eastAsia="宋体"/>
                <w:highlight w:val="yellow"/>
              </w:rPr>
              <w:t>分，</w:t>
            </w:r>
            <w:r>
              <w:rPr>
                <w:rFonts w:hint="eastAsia" w:ascii="Times New Roman" w:hAnsi="Times New Roman" w:eastAsia="宋体"/>
                <w:highlight w:val="yellow"/>
                <w:lang w:val="en-US" w:eastAsia="zh-CN"/>
              </w:rPr>
              <w:t>本项</w:t>
            </w:r>
            <w:r>
              <w:rPr>
                <w:rFonts w:ascii="Times New Roman" w:hAnsi="Times New Roman" w:eastAsia="宋体"/>
                <w:highlight w:val="yellow"/>
              </w:rPr>
              <w:t>扣完为止。注：“缺陷”是指项目信息错误、引用的规范及标准错误、套用其他项目方案、地点区域错误、照搬</w:t>
            </w:r>
            <w:r>
              <w:rPr>
                <w:rFonts w:hint="eastAsia" w:ascii="Times New Roman" w:hAnsi="Times New Roman" w:eastAsia="宋体"/>
                <w:highlight w:val="yellow"/>
                <w:lang w:val="en-US" w:eastAsia="zh-CN"/>
              </w:rPr>
              <w:t>招标</w:t>
            </w:r>
            <w:r>
              <w:rPr>
                <w:rFonts w:ascii="Times New Roman" w:hAnsi="Times New Roman" w:eastAsia="宋体"/>
                <w:highlight w:val="yellow"/>
              </w:rPr>
              <w:t>文件且未作出进一步细化的任意一种情形。</w:t>
            </w:r>
          </w:p>
        </w:tc>
        <w:tc>
          <w:tcPr>
            <w:tcW w:w="840" w:type="dxa"/>
            <w:vAlign w:val="center"/>
          </w:tcPr>
          <w:p w14:paraId="506ED219">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40.0000</w:t>
            </w:r>
          </w:p>
        </w:tc>
        <w:tc>
          <w:tcPr>
            <w:tcW w:w="765" w:type="dxa"/>
            <w:vAlign w:val="center"/>
          </w:tcPr>
          <w:p w14:paraId="0A5D587E">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70" w:type="dxa"/>
            <w:vAlign w:val="center"/>
          </w:tcPr>
          <w:p w14:paraId="4C27F196">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等保测评服务方案.docx</w:t>
            </w:r>
          </w:p>
        </w:tc>
      </w:tr>
    </w:tbl>
    <w:p w14:paraId="7D04394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0" w:firstLineChars="0"/>
        <w:jc w:val="both"/>
        <w:rPr>
          <w:rFonts w:hint="default" w:cs="宋体"/>
          <w:i w:val="0"/>
          <w:iCs w:val="0"/>
          <w:caps w:val="0"/>
          <w:color w:val="222222"/>
          <w:spacing w:val="0"/>
          <w:sz w:val="24"/>
          <w:szCs w:val="24"/>
          <w:lang w:val="en-US" w:eastAsia="zh-CN"/>
        </w:rPr>
      </w:pPr>
      <w:r>
        <w:rPr>
          <w:rFonts w:hint="eastAsia" w:cs="宋体"/>
          <w:i w:val="0"/>
          <w:iCs w:val="0"/>
          <w:caps w:val="0"/>
          <w:color w:val="222222"/>
          <w:spacing w:val="0"/>
          <w:sz w:val="24"/>
          <w:szCs w:val="24"/>
          <w:lang w:val="en-US" w:eastAsia="zh-CN"/>
        </w:rPr>
        <w:t>”</w:t>
      </w:r>
    </w:p>
    <w:p w14:paraId="526C9505">
      <w:pPr>
        <w:pStyle w:val="4"/>
        <w:numPr>
          <w:ilvl w:val="0"/>
          <w:numId w:val="1"/>
        </w:numPr>
        <w:bidi w:val="0"/>
        <w:rPr>
          <w:rFonts w:hint="eastAsia"/>
          <w:lang w:eastAsia="zh-CN"/>
        </w:rPr>
      </w:pPr>
      <w:r>
        <w:rPr>
          <w:rFonts w:hint="eastAsia"/>
          <w:lang w:val="en-US" w:eastAsia="zh-CN"/>
        </w:rPr>
        <w:t>招标</w:t>
      </w:r>
      <w:r>
        <w:rPr>
          <w:rFonts w:hint="eastAsia"/>
        </w:rPr>
        <w:t>文件</w:t>
      </w:r>
      <w:r>
        <w:rPr>
          <w:rFonts w:hint="eastAsia"/>
          <w:lang w:eastAsia="zh-CN"/>
        </w:rPr>
        <w:t>“</w:t>
      </w:r>
      <w:r>
        <w:rPr>
          <w:rFonts w:hint="eastAsia"/>
        </w:rPr>
        <w:t>第</w:t>
      </w:r>
      <w:r>
        <w:rPr>
          <w:rFonts w:hint="eastAsia"/>
          <w:lang w:val="en-US" w:eastAsia="zh-CN"/>
        </w:rPr>
        <w:t>五</w:t>
      </w:r>
      <w:r>
        <w:rPr>
          <w:rFonts w:hint="eastAsia"/>
        </w:rPr>
        <w:t xml:space="preserve">章 </w:t>
      </w:r>
      <w:r>
        <w:rPr>
          <w:rFonts w:hint="eastAsia"/>
          <w:lang w:val="en-US" w:eastAsia="zh-CN"/>
        </w:rPr>
        <w:t>评标办法 5.4.2评标细则及标准 采购包3：</w:t>
      </w:r>
      <w:r>
        <w:rPr>
          <w:rFonts w:hint="eastAsia"/>
          <w:lang w:eastAsia="zh-CN"/>
        </w:rPr>
        <w:t>”</w:t>
      </w:r>
    </w:p>
    <w:tbl>
      <w:tblPr>
        <w:tblStyle w:val="9"/>
        <w:tblW w:w="1027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90"/>
        <w:gridCol w:w="945"/>
        <w:gridCol w:w="5280"/>
        <w:gridCol w:w="810"/>
        <w:gridCol w:w="765"/>
        <w:gridCol w:w="1485"/>
      </w:tblGrid>
      <w:tr w14:paraId="058C5E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741503B6">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评审因素分类</w:t>
            </w:r>
          </w:p>
        </w:tc>
        <w:tc>
          <w:tcPr>
            <w:tcW w:w="945" w:type="dxa"/>
            <w:vAlign w:val="center"/>
          </w:tcPr>
          <w:p w14:paraId="3AE7A0B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评审内容</w:t>
            </w:r>
          </w:p>
        </w:tc>
        <w:tc>
          <w:tcPr>
            <w:tcW w:w="5280" w:type="dxa"/>
            <w:vAlign w:val="center"/>
          </w:tcPr>
          <w:p w14:paraId="7440184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具体标准和要求</w:t>
            </w:r>
          </w:p>
        </w:tc>
        <w:tc>
          <w:tcPr>
            <w:tcW w:w="810" w:type="dxa"/>
            <w:vAlign w:val="center"/>
          </w:tcPr>
          <w:p w14:paraId="4D5885B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分值</w:t>
            </w:r>
          </w:p>
        </w:tc>
        <w:tc>
          <w:tcPr>
            <w:tcW w:w="765" w:type="dxa"/>
            <w:vAlign w:val="center"/>
          </w:tcPr>
          <w:p w14:paraId="437F034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客观/主观</w:t>
            </w:r>
          </w:p>
        </w:tc>
        <w:tc>
          <w:tcPr>
            <w:tcW w:w="1485" w:type="dxa"/>
            <w:vAlign w:val="center"/>
          </w:tcPr>
          <w:p w14:paraId="1608037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关联投标（响应）文件格式文件</w:t>
            </w:r>
          </w:p>
        </w:tc>
      </w:tr>
      <w:tr w14:paraId="70F78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31AD185C">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详细评审</w:t>
            </w:r>
          </w:p>
        </w:tc>
        <w:tc>
          <w:tcPr>
            <w:tcW w:w="945" w:type="dxa"/>
            <w:vAlign w:val="center"/>
          </w:tcPr>
          <w:p w14:paraId="28D7F0A9">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项目实施方案</w:t>
            </w:r>
          </w:p>
        </w:tc>
        <w:tc>
          <w:tcPr>
            <w:tcW w:w="5280" w:type="dxa"/>
            <w:vAlign w:val="center"/>
          </w:tcPr>
          <w:p w14:paraId="0F5C127B">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投标人针对本项目服务内容及要求提供的项目实施方案，方案内容包括：①项目实施方案、②人员组织及工期控制、③安全服务保障方案、④项目质量管控方案、⑤安全培训方案、⑥售后服务方案。内容完整、满足项目需求的得42分，每缺少一项内容扣7分；每项内容中每有一项缺陷的扣3.5分，扣完为止。 注：本项所述“缺陷”是指：项目信息错误、内容与本项目需求无关、方案内容前后矛盾、方案内容表述前后不一致、方案内容仅有框架或标题、适用的标准（方法）错误、项目采购内容缺失、与项目技术和服务要求无关等情况。</w:t>
            </w:r>
          </w:p>
        </w:tc>
        <w:tc>
          <w:tcPr>
            <w:tcW w:w="810" w:type="dxa"/>
            <w:vAlign w:val="center"/>
          </w:tcPr>
          <w:p w14:paraId="0968A472">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42.0000</w:t>
            </w:r>
          </w:p>
        </w:tc>
        <w:tc>
          <w:tcPr>
            <w:tcW w:w="765" w:type="dxa"/>
            <w:vAlign w:val="center"/>
          </w:tcPr>
          <w:p w14:paraId="63E6B4DA">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85" w:type="dxa"/>
            <w:vAlign w:val="center"/>
          </w:tcPr>
          <w:p w14:paraId="0AA34DAB">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项目实施方案.docx</w:t>
            </w:r>
          </w:p>
        </w:tc>
      </w:tr>
    </w:tbl>
    <w:p w14:paraId="56310CBD">
      <w:pPr>
        <w:bidi w:val="0"/>
        <w:jc w:val="right"/>
        <w:rPr>
          <w:rFonts w:hint="eastAsia"/>
          <w:lang w:val="en-US" w:eastAsia="zh-CN"/>
        </w:rPr>
      </w:pPr>
      <w:r>
        <w:rPr>
          <w:rFonts w:hint="eastAsia"/>
          <w:lang w:val="en-US" w:eastAsia="zh-CN"/>
        </w:rPr>
        <w:t>”</w:t>
      </w:r>
    </w:p>
    <w:p w14:paraId="7B3B23CA">
      <w:pPr>
        <w:pStyle w:val="5"/>
        <w:bidi w:val="0"/>
        <w:rPr>
          <w:rFonts w:hint="eastAsia"/>
          <w:lang w:val="en-US" w:eastAsia="zh-CN"/>
        </w:rPr>
      </w:pPr>
      <w:r>
        <w:rPr>
          <w:rFonts w:hint="eastAsia"/>
          <w:lang w:val="en-US" w:eastAsia="zh-CN"/>
        </w:rPr>
        <w:t>更正为：</w:t>
      </w:r>
    </w:p>
    <w:p w14:paraId="1753798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cs="宋体"/>
          <w:i w:val="0"/>
          <w:iCs w:val="0"/>
          <w:caps w:val="0"/>
          <w:color w:val="222222"/>
          <w:spacing w:val="0"/>
          <w:sz w:val="24"/>
          <w:szCs w:val="24"/>
          <w:lang w:val="en-US" w:eastAsia="zh-CN"/>
        </w:rPr>
      </w:pPr>
      <w:r>
        <w:rPr>
          <w:rFonts w:hint="eastAsia" w:cs="宋体"/>
          <w:i w:val="0"/>
          <w:iCs w:val="0"/>
          <w:caps w:val="0"/>
          <w:color w:val="222222"/>
          <w:spacing w:val="0"/>
          <w:sz w:val="24"/>
          <w:szCs w:val="24"/>
          <w:lang w:val="en-US" w:eastAsia="zh-CN"/>
        </w:rPr>
        <w:t>“</w:t>
      </w:r>
    </w:p>
    <w:tbl>
      <w:tblPr>
        <w:tblStyle w:val="9"/>
        <w:tblW w:w="1027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90"/>
        <w:gridCol w:w="945"/>
        <w:gridCol w:w="5280"/>
        <w:gridCol w:w="810"/>
        <w:gridCol w:w="765"/>
        <w:gridCol w:w="1485"/>
      </w:tblGrid>
      <w:tr w14:paraId="1811A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573185B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评审因素分类</w:t>
            </w:r>
          </w:p>
        </w:tc>
        <w:tc>
          <w:tcPr>
            <w:tcW w:w="945" w:type="dxa"/>
            <w:vAlign w:val="center"/>
          </w:tcPr>
          <w:p w14:paraId="126B0424">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评审内容</w:t>
            </w:r>
          </w:p>
        </w:tc>
        <w:tc>
          <w:tcPr>
            <w:tcW w:w="5280" w:type="dxa"/>
            <w:vAlign w:val="center"/>
          </w:tcPr>
          <w:p w14:paraId="0B4295F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具体标准和要求</w:t>
            </w:r>
          </w:p>
        </w:tc>
        <w:tc>
          <w:tcPr>
            <w:tcW w:w="810" w:type="dxa"/>
            <w:vAlign w:val="center"/>
          </w:tcPr>
          <w:p w14:paraId="516BD6FE">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分值</w:t>
            </w:r>
          </w:p>
        </w:tc>
        <w:tc>
          <w:tcPr>
            <w:tcW w:w="765" w:type="dxa"/>
            <w:vAlign w:val="center"/>
          </w:tcPr>
          <w:p w14:paraId="0A4C1E0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客观/主观</w:t>
            </w:r>
          </w:p>
        </w:tc>
        <w:tc>
          <w:tcPr>
            <w:tcW w:w="1485" w:type="dxa"/>
            <w:vAlign w:val="center"/>
          </w:tcPr>
          <w:p w14:paraId="110248E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关联投标（响应）文件格式文件</w:t>
            </w:r>
          </w:p>
        </w:tc>
      </w:tr>
      <w:tr w14:paraId="2A7E1D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90" w:type="dxa"/>
            <w:vAlign w:val="center"/>
          </w:tcPr>
          <w:p w14:paraId="33894202">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详细评审</w:t>
            </w:r>
          </w:p>
        </w:tc>
        <w:tc>
          <w:tcPr>
            <w:tcW w:w="945" w:type="dxa"/>
            <w:vAlign w:val="center"/>
          </w:tcPr>
          <w:p w14:paraId="420CE955">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项目实施方案</w:t>
            </w:r>
          </w:p>
        </w:tc>
        <w:tc>
          <w:tcPr>
            <w:tcW w:w="5280" w:type="dxa"/>
            <w:vAlign w:val="center"/>
          </w:tcPr>
          <w:p w14:paraId="02371853">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投标人针对本项目服务内容及要求提供的项目实施方案，方案内容包括：①项目实施方案、②人员组织及工期控制、③安全服务保障方案、④项目质量管控方案、⑤安全培训方案、⑥售后服务方案。</w:t>
            </w:r>
            <w:r>
              <w:rPr>
                <w:rFonts w:ascii="Times New Roman" w:hAnsi="Times New Roman" w:eastAsia="宋体"/>
                <w:highlight w:val="yellow"/>
              </w:rPr>
              <w:t>每具有一项前述细化指标内容得</w:t>
            </w:r>
            <w:r>
              <w:rPr>
                <w:rFonts w:hint="eastAsia" w:ascii="Times New Roman" w:hAnsi="Times New Roman"/>
                <w:highlight w:val="yellow"/>
                <w:lang w:val="en-US" w:eastAsia="zh-CN"/>
              </w:rPr>
              <w:t>7</w:t>
            </w:r>
            <w:r>
              <w:rPr>
                <w:rFonts w:ascii="Times New Roman" w:hAnsi="Times New Roman" w:eastAsia="宋体"/>
                <w:highlight w:val="yellow"/>
              </w:rPr>
              <w:t>分，不提供不得分，最多得</w:t>
            </w:r>
            <w:r>
              <w:rPr>
                <w:rFonts w:hint="eastAsia" w:ascii="Times New Roman" w:hAnsi="Times New Roman" w:eastAsia="宋体"/>
                <w:highlight w:val="yellow"/>
                <w:lang w:val="en-US" w:eastAsia="zh-CN"/>
              </w:rPr>
              <w:t>4</w:t>
            </w:r>
            <w:r>
              <w:rPr>
                <w:rFonts w:hint="eastAsia" w:ascii="Times New Roman" w:hAnsi="Times New Roman"/>
                <w:highlight w:val="yellow"/>
                <w:lang w:val="en-US" w:eastAsia="zh-CN"/>
              </w:rPr>
              <w:t>2</w:t>
            </w:r>
            <w:r>
              <w:rPr>
                <w:rFonts w:ascii="Times New Roman" w:hAnsi="Times New Roman" w:eastAsia="宋体"/>
                <w:highlight w:val="yellow"/>
              </w:rPr>
              <w:t>分；每缺一项扣</w:t>
            </w:r>
            <w:r>
              <w:rPr>
                <w:rFonts w:hint="eastAsia" w:ascii="Times New Roman" w:hAnsi="Times New Roman"/>
                <w:highlight w:val="yellow"/>
                <w:lang w:val="en-US" w:eastAsia="zh-CN"/>
              </w:rPr>
              <w:t>7</w:t>
            </w:r>
            <w:r>
              <w:rPr>
                <w:rFonts w:ascii="Times New Roman" w:hAnsi="Times New Roman" w:eastAsia="宋体"/>
                <w:highlight w:val="yellow"/>
              </w:rPr>
              <w:t>分，</w:t>
            </w:r>
            <w:r>
              <w:rPr>
                <w:rFonts w:hint="eastAsia" w:ascii="Times New Roman" w:hAnsi="Times New Roman" w:eastAsia="宋体"/>
                <w:highlight w:val="yellow"/>
                <w:lang w:val="en-US" w:eastAsia="zh-CN"/>
              </w:rPr>
              <w:t>每项</w:t>
            </w:r>
            <w:r>
              <w:rPr>
                <w:rFonts w:ascii="Times New Roman" w:hAnsi="Times New Roman" w:eastAsia="宋体"/>
                <w:highlight w:val="yellow"/>
              </w:rPr>
              <w:t>每有一处内容存在缺陷的扣</w:t>
            </w:r>
            <w:r>
              <w:rPr>
                <w:rFonts w:hint="eastAsia" w:ascii="Times New Roman" w:hAnsi="Times New Roman"/>
                <w:highlight w:val="yellow"/>
                <w:lang w:val="en-US" w:eastAsia="zh-CN"/>
              </w:rPr>
              <w:t>3.5</w:t>
            </w:r>
            <w:r>
              <w:rPr>
                <w:rFonts w:ascii="Times New Roman" w:hAnsi="Times New Roman" w:eastAsia="宋体"/>
                <w:highlight w:val="yellow"/>
              </w:rPr>
              <w:t>分，</w:t>
            </w:r>
            <w:r>
              <w:rPr>
                <w:rFonts w:hint="eastAsia" w:ascii="Times New Roman" w:hAnsi="Times New Roman" w:eastAsia="宋体"/>
                <w:highlight w:val="yellow"/>
                <w:lang w:val="en-US" w:eastAsia="zh-CN"/>
              </w:rPr>
              <w:t>本项</w:t>
            </w:r>
            <w:r>
              <w:rPr>
                <w:rFonts w:ascii="Times New Roman" w:hAnsi="Times New Roman" w:eastAsia="宋体"/>
                <w:highlight w:val="yellow"/>
              </w:rPr>
              <w:t>扣完为止。注：“缺陷”是指项目信息错误、引用的规范及标准错误、套用其他项目方案、地点区域错误、照搬</w:t>
            </w:r>
            <w:r>
              <w:rPr>
                <w:rFonts w:hint="eastAsia" w:ascii="Times New Roman" w:hAnsi="Times New Roman" w:eastAsia="宋体"/>
                <w:highlight w:val="yellow"/>
                <w:lang w:val="en-US" w:eastAsia="zh-CN"/>
              </w:rPr>
              <w:t>招标</w:t>
            </w:r>
            <w:r>
              <w:rPr>
                <w:rFonts w:ascii="Times New Roman" w:hAnsi="Times New Roman" w:eastAsia="宋体"/>
                <w:highlight w:val="yellow"/>
              </w:rPr>
              <w:t>文件且未作出进一步细化的任意一种情形。</w:t>
            </w:r>
          </w:p>
        </w:tc>
        <w:tc>
          <w:tcPr>
            <w:tcW w:w="810" w:type="dxa"/>
            <w:vAlign w:val="center"/>
          </w:tcPr>
          <w:p w14:paraId="5AD23A64">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42.0000</w:t>
            </w:r>
          </w:p>
        </w:tc>
        <w:tc>
          <w:tcPr>
            <w:tcW w:w="765" w:type="dxa"/>
            <w:vAlign w:val="center"/>
          </w:tcPr>
          <w:p w14:paraId="274E1290">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主观</w:t>
            </w:r>
          </w:p>
        </w:tc>
        <w:tc>
          <w:tcPr>
            <w:tcW w:w="1485" w:type="dxa"/>
            <w:vAlign w:val="center"/>
          </w:tcPr>
          <w:p w14:paraId="1D26E2F1">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项目实施方案.docx</w:t>
            </w:r>
          </w:p>
        </w:tc>
      </w:tr>
    </w:tbl>
    <w:p w14:paraId="080E106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default" w:cs="宋体"/>
          <w:i w:val="0"/>
          <w:iCs w:val="0"/>
          <w:caps w:val="0"/>
          <w:color w:val="222222"/>
          <w:spacing w:val="0"/>
          <w:sz w:val="24"/>
          <w:szCs w:val="24"/>
          <w:lang w:val="en-US" w:eastAsia="zh-CN"/>
        </w:rPr>
      </w:pPr>
      <w:r>
        <w:rPr>
          <w:rFonts w:hint="eastAsia" w:cs="宋体"/>
          <w:i w:val="0"/>
          <w:iCs w:val="0"/>
          <w:caps w:val="0"/>
          <w:color w:val="222222"/>
          <w:spacing w:val="0"/>
          <w:sz w:val="24"/>
          <w:szCs w:val="24"/>
          <w:lang w:val="en-US" w:eastAsia="zh-CN"/>
        </w:rPr>
        <w:t>”</w:t>
      </w:r>
    </w:p>
    <w:p w14:paraId="2D88B537">
      <w:pPr>
        <w:bidi w:val="0"/>
        <w:rPr>
          <w:rFonts w:hint="eastAsia"/>
          <w:lang w:val="en-US" w:eastAsia="zh-CN"/>
        </w:rPr>
      </w:pPr>
    </w:p>
    <w:p w14:paraId="30606E62">
      <w:pPr>
        <w:pStyle w:val="4"/>
        <w:bidi w:val="0"/>
        <w:rPr>
          <w:rFonts w:hint="default"/>
          <w:lang w:val="en-US" w:eastAsia="zh-CN"/>
        </w:rPr>
      </w:pPr>
      <w:r>
        <w:rPr>
          <w:rFonts w:hint="eastAsia"/>
          <w:lang w:val="en-US" w:eastAsia="zh-CN"/>
        </w:rPr>
        <w:t>六、招标</w:t>
      </w:r>
      <w:r>
        <w:rPr>
          <w:rFonts w:hint="eastAsia"/>
        </w:rPr>
        <w:t>文件</w:t>
      </w:r>
      <w:r>
        <w:rPr>
          <w:rFonts w:hint="eastAsia"/>
          <w:lang w:eastAsia="zh-CN"/>
        </w:rPr>
        <w:t>“</w:t>
      </w:r>
      <w:r>
        <w:rPr>
          <w:rFonts w:hint="eastAsia"/>
          <w:lang w:val="en-US" w:eastAsia="zh-CN"/>
        </w:rPr>
        <w:t>第三章 技术、服务及其他要求 中 3.3.2.商务要求”</w:t>
      </w:r>
    </w:p>
    <w:p w14:paraId="5C75618E">
      <w:pPr>
        <w:pStyle w:val="16"/>
        <w:jc w:val="left"/>
        <w:rPr>
          <w:rFonts w:hint="eastAsia" w:ascii="仿宋_GB2312" w:hAnsi="仿宋_GB2312" w:eastAsia="仿宋_GB2312" w:cs="仿宋_GB2312"/>
          <w:lang w:val="en-US" w:eastAsia="zh-CN"/>
        </w:rPr>
      </w:pPr>
    </w:p>
    <w:p w14:paraId="27936B3D">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rPr>
          <w:rFonts w:hint="eastAsia"/>
          <w:lang w:val="en-US" w:eastAsia="zh-CN"/>
        </w:rPr>
        <w:t>1、 “</w:t>
      </w:r>
      <w:r>
        <w:t>采购包1：</w:t>
      </w:r>
    </w:p>
    <w:tbl>
      <w:tblPr>
        <w:tblStyle w:val="9"/>
        <w:tblW w:w="910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716"/>
        <w:gridCol w:w="1686"/>
        <w:gridCol w:w="6124"/>
      </w:tblGrid>
      <w:tr w14:paraId="64678C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81" w:type="dxa"/>
            <w:vAlign w:val="center"/>
          </w:tcPr>
          <w:p w14:paraId="4A6D79F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序号</w:t>
            </w:r>
          </w:p>
        </w:tc>
        <w:tc>
          <w:tcPr>
            <w:tcW w:w="716" w:type="dxa"/>
            <w:vAlign w:val="center"/>
          </w:tcPr>
          <w:p w14:paraId="000FF1D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符号标识</w:t>
            </w:r>
          </w:p>
        </w:tc>
        <w:tc>
          <w:tcPr>
            <w:tcW w:w="1686" w:type="dxa"/>
            <w:vAlign w:val="center"/>
          </w:tcPr>
          <w:p w14:paraId="5345463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商务要求名称</w:t>
            </w:r>
          </w:p>
        </w:tc>
        <w:tc>
          <w:tcPr>
            <w:tcW w:w="6124" w:type="dxa"/>
            <w:vAlign w:val="center"/>
          </w:tcPr>
          <w:p w14:paraId="71E05D76">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商务要求内容</w:t>
            </w:r>
          </w:p>
        </w:tc>
      </w:tr>
      <w:tr w14:paraId="21DA1E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81" w:type="dxa"/>
            <w:vAlign w:val="center"/>
          </w:tcPr>
          <w:p w14:paraId="33B690AD">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1</w:t>
            </w:r>
          </w:p>
        </w:tc>
        <w:tc>
          <w:tcPr>
            <w:tcW w:w="716" w:type="dxa"/>
            <w:vAlign w:val="center"/>
          </w:tcPr>
          <w:p w14:paraId="409A9B26">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w:t>
            </w:r>
          </w:p>
        </w:tc>
        <w:tc>
          <w:tcPr>
            <w:tcW w:w="1686" w:type="dxa"/>
            <w:vAlign w:val="center"/>
          </w:tcPr>
          <w:p w14:paraId="3BC22FF4">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服务期限</w:t>
            </w:r>
          </w:p>
        </w:tc>
        <w:tc>
          <w:tcPr>
            <w:tcW w:w="6124" w:type="dxa"/>
            <w:vAlign w:val="center"/>
          </w:tcPr>
          <w:p w14:paraId="37F43A64">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730</w:t>
            </w:r>
          </w:p>
        </w:tc>
      </w:tr>
    </w:tbl>
    <w:p w14:paraId="1F54F8F7">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rPr>
          <w:rFonts w:hint="eastAsia"/>
          <w:lang w:val="en-US" w:eastAsia="zh-CN"/>
        </w:rPr>
      </w:pPr>
      <w:r>
        <w:rPr>
          <w:rFonts w:hint="eastAsia"/>
          <w:lang w:val="en-US" w:eastAsia="zh-CN"/>
        </w:rPr>
        <w:t>”</w:t>
      </w:r>
    </w:p>
    <w:p w14:paraId="39F37F0F">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rPr>
          <w:rFonts w:hint="eastAsia"/>
          <w:lang w:val="en-US" w:eastAsia="zh-CN"/>
        </w:rPr>
        <w:t>2、“</w:t>
      </w:r>
      <w:r>
        <w:t>采购包2：</w:t>
      </w:r>
    </w:p>
    <w:tbl>
      <w:tblPr>
        <w:tblStyle w:val="9"/>
        <w:tblW w:w="9263"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8"/>
        <w:gridCol w:w="840"/>
        <w:gridCol w:w="1672"/>
        <w:gridCol w:w="6263"/>
      </w:tblGrid>
      <w:tr w14:paraId="649A26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1AA4484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序号</w:t>
            </w:r>
          </w:p>
        </w:tc>
        <w:tc>
          <w:tcPr>
            <w:tcW w:w="840" w:type="dxa"/>
            <w:vAlign w:val="center"/>
          </w:tcPr>
          <w:p w14:paraId="3195B85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符号标识</w:t>
            </w:r>
          </w:p>
        </w:tc>
        <w:tc>
          <w:tcPr>
            <w:tcW w:w="1672" w:type="dxa"/>
            <w:vAlign w:val="center"/>
          </w:tcPr>
          <w:p w14:paraId="698A2B99">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商务要求名称</w:t>
            </w:r>
          </w:p>
        </w:tc>
        <w:tc>
          <w:tcPr>
            <w:tcW w:w="6263" w:type="dxa"/>
            <w:vAlign w:val="center"/>
          </w:tcPr>
          <w:p w14:paraId="7A6C3E8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商务要求内容</w:t>
            </w:r>
          </w:p>
        </w:tc>
      </w:tr>
      <w:tr w14:paraId="75356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1976CFD6">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1</w:t>
            </w:r>
          </w:p>
        </w:tc>
        <w:tc>
          <w:tcPr>
            <w:tcW w:w="840" w:type="dxa"/>
            <w:vAlign w:val="center"/>
          </w:tcPr>
          <w:p w14:paraId="3BBF6C19">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72" w:type="dxa"/>
            <w:vAlign w:val="center"/>
          </w:tcPr>
          <w:p w14:paraId="5F1F461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服务期限</w:t>
            </w:r>
          </w:p>
        </w:tc>
        <w:tc>
          <w:tcPr>
            <w:tcW w:w="6263" w:type="dxa"/>
            <w:vAlign w:val="center"/>
          </w:tcPr>
          <w:p w14:paraId="597B2674">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730</w:t>
            </w:r>
          </w:p>
        </w:tc>
      </w:tr>
      <w:tr w14:paraId="4F54D9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098371A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2</w:t>
            </w:r>
          </w:p>
        </w:tc>
        <w:tc>
          <w:tcPr>
            <w:tcW w:w="840" w:type="dxa"/>
            <w:vAlign w:val="center"/>
          </w:tcPr>
          <w:p w14:paraId="0F23478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72" w:type="dxa"/>
            <w:vAlign w:val="center"/>
          </w:tcPr>
          <w:p w14:paraId="2BDCCA04">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服务地点</w:t>
            </w:r>
          </w:p>
        </w:tc>
        <w:tc>
          <w:tcPr>
            <w:tcW w:w="6263" w:type="dxa"/>
            <w:vAlign w:val="center"/>
          </w:tcPr>
          <w:p w14:paraId="44354D82">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采购人指定地点</w:t>
            </w:r>
          </w:p>
        </w:tc>
      </w:tr>
      <w:tr w14:paraId="5DFB1B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7C88F976">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3</w:t>
            </w:r>
          </w:p>
        </w:tc>
        <w:tc>
          <w:tcPr>
            <w:tcW w:w="840" w:type="dxa"/>
            <w:vAlign w:val="center"/>
          </w:tcPr>
          <w:p w14:paraId="3F3C6E4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72" w:type="dxa"/>
            <w:vAlign w:val="center"/>
          </w:tcPr>
          <w:p w14:paraId="02E8BC3D">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验收、交付标准和方法</w:t>
            </w:r>
          </w:p>
        </w:tc>
        <w:tc>
          <w:tcPr>
            <w:tcW w:w="6263" w:type="dxa"/>
            <w:vAlign w:val="center"/>
          </w:tcPr>
          <w:p w14:paraId="21061A0D">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采购人将严格按照《财政部关于进一步加强政府采购需求和履约验收管理的指导意见》(财库〔2016〕205号)及国家有关规定、本项目采购文件的要求、政府采购合同和中标人的投标文件及承诺进行履约验收。</w:t>
            </w:r>
          </w:p>
        </w:tc>
      </w:tr>
      <w:tr w14:paraId="604865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036DBB1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4</w:t>
            </w:r>
          </w:p>
        </w:tc>
        <w:tc>
          <w:tcPr>
            <w:tcW w:w="840" w:type="dxa"/>
            <w:vAlign w:val="center"/>
          </w:tcPr>
          <w:p w14:paraId="31D6415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72" w:type="dxa"/>
            <w:vAlign w:val="center"/>
          </w:tcPr>
          <w:p w14:paraId="392A4393">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支付方式</w:t>
            </w:r>
          </w:p>
        </w:tc>
        <w:tc>
          <w:tcPr>
            <w:tcW w:w="6263" w:type="dxa"/>
            <w:vAlign w:val="center"/>
          </w:tcPr>
          <w:p w14:paraId="00467A4E">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分期付款</w:t>
            </w:r>
          </w:p>
        </w:tc>
      </w:tr>
      <w:tr w14:paraId="75409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021B4DB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5</w:t>
            </w:r>
          </w:p>
        </w:tc>
        <w:tc>
          <w:tcPr>
            <w:tcW w:w="840" w:type="dxa"/>
            <w:vAlign w:val="center"/>
          </w:tcPr>
          <w:p w14:paraId="73CAEAE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72" w:type="dxa"/>
            <w:vAlign w:val="center"/>
          </w:tcPr>
          <w:p w14:paraId="40021A7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付款进度安排</w:t>
            </w:r>
          </w:p>
        </w:tc>
        <w:tc>
          <w:tcPr>
            <w:tcW w:w="6263" w:type="dxa"/>
            <w:vAlign w:val="center"/>
          </w:tcPr>
          <w:p w14:paraId="7196A545">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1、合同签订后，采购人收到中标人开具的增值税普通发票后，达到付款条件起30日内，支付合同总金额的40.00%</w:t>
            </w:r>
          </w:p>
          <w:p w14:paraId="1D74C542">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2、中标人完成本服务年度内系统的等保测评工作并出具《等级保护测评报告》后，以及完成年度等级保护测评服务验收，采购人收到中标人开具的增值税发票后，达到付款条件起30日内，支付合同总金额的60.00%</w:t>
            </w:r>
          </w:p>
        </w:tc>
      </w:tr>
      <w:tr w14:paraId="79A5B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59BD972E">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6</w:t>
            </w:r>
          </w:p>
        </w:tc>
        <w:tc>
          <w:tcPr>
            <w:tcW w:w="840" w:type="dxa"/>
            <w:vAlign w:val="center"/>
          </w:tcPr>
          <w:p w14:paraId="4E370213">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72" w:type="dxa"/>
            <w:vAlign w:val="center"/>
          </w:tcPr>
          <w:p w14:paraId="38B68FE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违约责任与解决争议的方法</w:t>
            </w:r>
          </w:p>
        </w:tc>
        <w:tc>
          <w:tcPr>
            <w:tcW w:w="6263" w:type="dxa"/>
            <w:vAlign w:val="center"/>
          </w:tcPr>
          <w:p w14:paraId="296C426C">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1、违约责任 （1）双方必须遵守合同并执行合同中的各项规定，保证合同的正常履行。 （2）如因投标人在履行职务过程中的疏忽、失职、过错等故意或者过失原因给采购人及用户造成损失或侵害，包括但不限于采购人及用户本身的财产损失、由此而导致的采购人及用户对任何第三方的法律责任等，投标人对此均应承担全部的赔偿责任。 2、解决争议的方法：在执行合同中发生的或与合同有关的争端，双方应通过友好协商解决，经协商在30天内不能达成协议时，可向采购人所属地人民法院提起诉讼。诉讼裁决应为最终决定，并对双方具有约束力。除另有裁决外，诉讼费应由败诉方负担。在诉讼期间，除正在进行诉讼部分外，合同其他部分继续执行。 3、不可抗力事件处理： （1）在合同有效期内，任何一方因不可抗力事件导致不能履行合同，则合同履行期可延长，其延长期与不可抗力影响期相同。 （2）不可抗力事件发生后，应立即通知对方，并寄送有关权威机构出具的证明。 （3）不可抗力事件延续30天以上，双方应通过友好协商，确定是否继续履行合同。</w:t>
            </w:r>
          </w:p>
        </w:tc>
      </w:tr>
    </w:tbl>
    <w:p w14:paraId="18DB6CA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rFonts w:hint="eastAsia"/>
          <w:lang w:val="en-US" w:eastAsia="zh-CN"/>
        </w:rPr>
      </w:pPr>
      <w:r>
        <w:rPr>
          <w:rFonts w:hint="eastAsia"/>
          <w:lang w:val="en-US" w:eastAsia="zh-CN"/>
        </w:rPr>
        <w:t>”</w:t>
      </w:r>
    </w:p>
    <w:p w14:paraId="4AEDE006">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rPr>
          <w:rFonts w:hint="eastAsia"/>
          <w:lang w:val="en-US" w:eastAsia="zh-CN"/>
        </w:rPr>
        <w:t>3、“</w:t>
      </w:r>
      <w:r>
        <w:t>采购包3：</w:t>
      </w:r>
    </w:p>
    <w:tbl>
      <w:tblPr>
        <w:tblStyle w:val="9"/>
        <w:tblW w:w="931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837"/>
        <w:gridCol w:w="1660"/>
        <w:gridCol w:w="6293"/>
      </w:tblGrid>
      <w:tr w14:paraId="527724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452FACD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序号</w:t>
            </w:r>
          </w:p>
        </w:tc>
        <w:tc>
          <w:tcPr>
            <w:tcW w:w="837" w:type="dxa"/>
            <w:vAlign w:val="center"/>
          </w:tcPr>
          <w:p w14:paraId="5070864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符号标识</w:t>
            </w:r>
          </w:p>
        </w:tc>
        <w:tc>
          <w:tcPr>
            <w:tcW w:w="1660" w:type="dxa"/>
            <w:vAlign w:val="center"/>
          </w:tcPr>
          <w:p w14:paraId="1B1C29C3">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商务要求名称</w:t>
            </w:r>
          </w:p>
        </w:tc>
        <w:tc>
          <w:tcPr>
            <w:tcW w:w="6293" w:type="dxa"/>
            <w:vAlign w:val="center"/>
          </w:tcPr>
          <w:p w14:paraId="67E77EA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商务要求内容</w:t>
            </w:r>
          </w:p>
        </w:tc>
      </w:tr>
      <w:tr w14:paraId="01AECD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05500C8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1</w:t>
            </w:r>
          </w:p>
        </w:tc>
        <w:tc>
          <w:tcPr>
            <w:tcW w:w="837" w:type="dxa"/>
            <w:vAlign w:val="center"/>
          </w:tcPr>
          <w:p w14:paraId="7A4EB93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60" w:type="dxa"/>
            <w:vAlign w:val="center"/>
          </w:tcPr>
          <w:p w14:paraId="0F0686E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服务期限</w:t>
            </w:r>
          </w:p>
        </w:tc>
        <w:tc>
          <w:tcPr>
            <w:tcW w:w="6293" w:type="dxa"/>
            <w:vAlign w:val="center"/>
          </w:tcPr>
          <w:p w14:paraId="5BB62F6D">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730</w:t>
            </w:r>
          </w:p>
        </w:tc>
      </w:tr>
      <w:tr w14:paraId="30F85B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14BA642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2</w:t>
            </w:r>
          </w:p>
        </w:tc>
        <w:tc>
          <w:tcPr>
            <w:tcW w:w="837" w:type="dxa"/>
            <w:vAlign w:val="center"/>
          </w:tcPr>
          <w:p w14:paraId="7574E8A3">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60" w:type="dxa"/>
            <w:vAlign w:val="center"/>
          </w:tcPr>
          <w:p w14:paraId="32FA4C2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服务地点</w:t>
            </w:r>
          </w:p>
        </w:tc>
        <w:tc>
          <w:tcPr>
            <w:tcW w:w="6293" w:type="dxa"/>
            <w:vAlign w:val="center"/>
          </w:tcPr>
          <w:p w14:paraId="79E04944">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采购人指定地点</w:t>
            </w:r>
          </w:p>
        </w:tc>
      </w:tr>
      <w:tr w14:paraId="79F16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2D8CB9CD">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3</w:t>
            </w:r>
          </w:p>
        </w:tc>
        <w:tc>
          <w:tcPr>
            <w:tcW w:w="837" w:type="dxa"/>
            <w:vAlign w:val="center"/>
          </w:tcPr>
          <w:p w14:paraId="1ACFDFA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60" w:type="dxa"/>
            <w:vAlign w:val="center"/>
          </w:tcPr>
          <w:p w14:paraId="166F7C8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验收、交付标准和方法</w:t>
            </w:r>
          </w:p>
        </w:tc>
        <w:tc>
          <w:tcPr>
            <w:tcW w:w="6293" w:type="dxa"/>
            <w:vAlign w:val="center"/>
          </w:tcPr>
          <w:p w14:paraId="1C99A6F6">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采购人将严格按照《财政部关于进一步加强政府采购需求和履约验收管理的指导意见》(财库〔2016〕205号)及国家有关规定、本项目采购文件的要求、政府采购合同和中标人的投标文件及承诺进行履约验收。</w:t>
            </w:r>
          </w:p>
        </w:tc>
      </w:tr>
      <w:tr w14:paraId="20495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729CC1F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4</w:t>
            </w:r>
          </w:p>
        </w:tc>
        <w:tc>
          <w:tcPr>
            <w:tcW w:w="837" w:type="dxa"/>
            <w:vAlign w:val="center"/>
          </w:tcPr>
          <w:p w14:paraId="4D08292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60" w:type="dxa"/>
            <w:vAlign w:val="center"/>
          </w:tcPr>
          <w:p w14:paraId="507C4EC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支付方式</w:t>
            </w:r>
          </w:p>
        </w:tc>
        <w:tc>
          <w:tcPr>
            <w:tcW w:w="6293" w:type="dxa"/>
            <w:vAlign w:val="center"/>
          </w:tcPr>
          <w:p w14:paraId="219FC77E">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分期付款</w:t>
            </w:r>
          </w:p>
        </w:tc>
      </w:tr>
      <w:tr w14:paraId="6560E5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35276DA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5</w:t>
            </w:r>
          </w:p>
        </w:tc>
        <w:tc>
          <w:tcPr>
            <w:tcW w:w="837" w:type="dxa"/>
            <w:vAlign w:val="center"/>
          </w:tcPr>
          <w:p w14:paraId="7055125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60" w:type="dxa"/>
            <w:vAlign w:val="center"/>
          </w:tcPr>
          <w:p w14:paraId="5678494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付款进度安排</w:t>
            </w:r>
          </w:p>
        </w:tc>
        <w:tc>
          <w:tcPr>
            <w:tcW w:w="6293" w:type="dxa"/>
            <w:vAlign w:val="center"/>
          </w:tcPr>
          <w:p w14:paraId="6CA5A5B7">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1、合同签订后，采购人收到中标人开具的增值税普通发票后，达到付款条件起30日内，支付合同总金额的40.00%</w:t>
            </w:r>
          </w:p>
          <w:p w14:paraId="20DF4D4A">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2、中标人完成本服务年度内系统的信息系统密码应用方案商用密码应用安全性评估工作并出具《信息系统密码应用方案商用密码应用安全性评估报告》后，以及完成年度等级保护测评服务验收，采购人收到中标人开具的增值税发票后，达到付款条件起30日内，支付合同总金额的60.00%</w:t>
            </w:r>
          </w:p>
        </w:tc>
      </w:tr>
      <w:tr w14:paraId="69583B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47AD43EE">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6</w:t>
            </w:r>
          </w:p>
        </w:tc>
        <w:tc>
          <w:tcPr>
            <w:tcW w:w="837" w:type="dxa"/>
            <w:vAlign w:val="center"/>
          </w:tcPr>
          <w:p w14:paraId="7D59D44D">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p>
        </w:tc>
        <w:tc>
          <w:tcPr>
            <w:tcW w:w="1660" w:type="dxa"/>
            <w:vAlign w:val="center"/>
          </w:tcPr>
          <w:p w14:paraId="66BB836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违约责任与解决争议的方法</w:t>
            </w:r>
          </w:p>
        </w:tc>
        <w:tc>
          <w:tcPr>
            <w:tcW w:w="6293" w:type="dxa"/>
            <w:vAlign w:val="center"/>
          </w:tcPr>
          <w:p w14:paraId="20A73537">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1、违约责任 （1）双方必须遵守合同并执行合同中的各项规定，保证合同的正常履行。 （2）如因投标人在履行职务过程中的疏忽、失职、过错等故意或者过失原因给采购人及用户造成损失或侵害，包括但不限于采购人及用户本身的财产损失、由此而导致的采购人及用户对任何第三方的法律责任等，投标人对此均应承担全部的赔偿责任。 2、解决争议的方法：在执行合同中发生的或与合同有关的争端，双方应通过友好协商解决，经协商在30天内不能达成协议时，可向采购人所属地人民法院提起诉讼。诉讼裁决应为最终决定，并对双方具有约束力。除另有裁决外，诉讼费应由败诉方负担。在诉讼期间，除正在进行诉讼部分外，合同其他部分继续执行。 3、不可抗力事件处理： （1）在合同有效期内，任何一方因不可抗力事件导致不能履行合同，则合同履行期可延长，其延长期与不可抗力影响期相同。 （2）不可抗力事件发生后，应立即通知对方，并寄送有关权威机构出具的证明。 （3）不可抗力事件延续30天以上，双方应通过友好协商，确定是否继续履行合同。</w:t>
            </w:r>
          </w:p>
        </w:tc>
      </w:tr>
    </w:tbl>
    <w:p w14:paraId="36BCEFD7">
      <w:pPr>
        <w:bidi w:val="0"/>
        <w:jc w:val="right"/>
        <w:rPr>
          <w:rFonts w:hint="default"/>
          <w:lang w:val="en-US" w:eastAsia="zh-CN"/>
        </w:rPr>
      </w:pPr>
      <w:r>
        <w:rPr>
          <w:rFonts w:hint="eastAsia"/>
          <w:lang w:val="en-US" w:eastAsia="zh-CN"/>
        </w:rPr>
        <w:t>”</w:t>
      </w:r>
    </w:p>
    <w:p w14:paraId="745F1774">
      <w:pPr>
        <w:pStyle w:val="5"/>
        <w:bidi w:val="0"/>
        <w:rPr>
          <w:rFonts w:hint="eastAsia"/>
          <w:lang w:val="en-US" w:eastAsia="zh-CN"/>
        </w:rPr>
      </w:pPr>
      <w:r>
        <w:rPr>
          <w:rFonts w:hint="eastAsia"/>
          <w:lang w:val="en-US" w:eastAsia="zh-CN"/>
        </w:rPr>
        <w:t>更正为：</w:t>
      </w:r>
    </w:p>
    <w:p w14:paraId="090654D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cs="宋体"/>
          <w:i w:val="0"/>
          <w:iCs w:val="0"/>
          <w:caps w:val="0"/>
          <w:color w:val="222222"/>
          <w:spacing w:val="0"/>
          <w:sz w:val="24"/>
          <w:szCs w:val="24"/>
          <w:lang w:val="en-US" w:eastAsia="zh-CN"/>
        </w:rPr>
      </w:pPr>
    </w:p>
    <w:p w14:paraId="45B935F3">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rPr>
          <w:rFonts w:hint="eastAsia"/>
          <w:lang w:val="en-US" w:eastAsia="zh-CN"/>
        </w:rPr>
        <w:t>1、 “</w:t>
      </w:r>
      <w:r>
        <w:t>采购包1：</w:t>
      </w:r>
    </w:p>
    <w:tbl>
      <w:tblPr>
        <w:tblStyle w:val="9"/>
        <w:tblW w:w="910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716"/>
        <w:gridCol w:w="1686"/>
        <w:gridCol w:w="6124"/>
      </w:tblGrid>
      <w:tr w14:paraId="39815F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81" w:type="dxa"/>
            <w:vAlign w:val="center"/>
          </w:tcPr>
          <w:p w14:paraId="297982B6">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序号</w:t>
            </w:r>
          </w:p>
        </w:tc>
        <w:tc>
          <w:tcPr>
            <w:tcW w:w="716" w:type="dxa"/>
            <w:vAlign w:val="center"/>
          </w:tcPr>
          <w:p w14:paraId="304075A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符号标识</w:t>
            </w:r>
          </w:p>
        </w:tc>
        <w:tc>
          <w:tcPr>
            <w:tcW w:w="1686" w:type="dxa"/>
            <w:vAlign w:val="center"/>
          </w:tcPr>
          <w:p w14:paraId="43FB1F7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商务要求名称</w:t>
            </w:r>
          </w:p>
        </w:tc>
        <w:tc>
          <w:tcPr>
            <w:tcW w:w="6124" w:type="dxa"/>
            <w:vAlign w:val="center"/>
          </w:tcPr>
          <w:p w14:paraId="009EB8F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商务要求内容</w:t>
            </w:r>
          </w:p>
        </w:tc>
      </w:tr>
      <w:tr w14:paraId="477875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81" w:type="dxa"/>
            <w:vAlign w:val="center"/>
          </w:tcPr>
          <w:p w14:paraId="789B034E">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1</w:t>
            </w:r>
          </w:p>
        </w:tc>
        <w:tc>
          <w:tcPr>
            <w:tcW w:w="716" w:type="dxa"/>
            <w:vAlign w:val="center"/>
          </w:tcPr>
          <w:p w14:paraId="78FB4E31">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w:t>
            </w:r>
          </w:p>
        </w:tc>
        <w:tc>
          <w:tcPr>
            <w:tcW w:w="1686" w:type="dxa"/>
            <w:vAlign w:val="center"/>
          </w:tcPr>
          <w:p w14:paraId="12B4B1BD">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t>服务期限</w:t>
            </w:r>
          </w:p>
        </w:tc>
        <w:tc>
          <w:tcPr>
            <w:tcW w:w="6124" w:type="dxa"/>
            <w:vAlign w:val="center"/>
          </w:tcPr>
          <w:p w14:paraId="0B90B06F">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rPr>
                <w:rFonts w:hint="eastAsia" w:eastAsia="宋体"/>
                <w:lang w:val="en-US" w:eastAsia="zh-CN"/>
              </w:rPr>
            </w:pPr>
            <w:r>
              <w:rPr>
                <w:highlight w:val="yellow"/>
              </w:rPr>
              <w:t>730</w:t>
            </w:r>
            <w:r>
              <w:rPr>
                <w:rFonts w:hint="eastAsia"/>
                <w:highlight w:val="yellow"/>
                <w:lang w:val="en-US" w:eastAsia="zh-CN"/>
              </w:rPr>
              <w:t>天</w:t>
            </w:r>
          </w:p>
        </w:tc>
      </w:tr>
    </w:tbl>
    <w:p w14:paraId="3E2CA693">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rPr>
          <w:rFonts w:hint="eastAsia"/>
          <w:lang w:val="en-US" w:eastAsia="zh-CN"/>
        </w:rPr>
      </w:pPr>
      <w:r>
        <w:rPr>
          <w:rFonts w:hint="eastAsia"/>
          <w:lang w:val="en-US" w:eastAsia="zh-CN"/>
        </w:rPr>
        <w:t>”</w:t>
      </w:r>
    </w:p>
    <w:p w14:paraId="57F811C7">
      <w:pPr>
        <w:keepNext w:val="0"/>
        <w:keepLines w:val="0"/>
        <w:pageBreakBefore w:val="0"/>
        <w:widowControl w:val="0"/>
        <w:kinsoku/>
        <w:wordWrap w:val="0"/>
        <w:overflowPunct/>
        <w:topLinePunct w:val="0"/>
        <w:autoSpaceDE w:val="0"/>
        <w:autoSpaceDN w:val="0"/>
        <w:bidi w:val="0"/>
        <w:adjustRightInd w:val="0"/>
        <w:snapToGrid w:val="0"/>
        <w:ind w:firstLine="0" w:firstLineChars="0"/>
        <w:textAlignment w:val="auto"/>
      </w:pPr>
      <w:r>
        <w:rPr>
          <w:rFonts w:hint="eastAsia"/>
          <w:lang w:val="en-US" w:eastAsia="zh-CN"/>
        </w:rPr>
        <w:t>2、“</w:t>
      </w:r>
      <w:r>
        <w:t>采购包2：</w:t>
      </w:r>
    </w:p>
    <w:tbl>
      <w:tblPr>
        <w:tblStyle w:val="9"/>
        <w:tblW w:w="9263"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8"/>
        <w:gridCol w:w="840"/>
        <w:gridCol w:w="1672"/>
        <w:gridCol w:w="6263"/>
      </w:tblGrid>
      <w:tr w14:paraId="24C423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0111FCE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序号</w:t>
            </w:r>
          </w:p>
        </w:tc>
        <w:tc>
          <w:tcPr>
            <w:tcW w:w="840" w:type="dxa"/>
            <w:vAlign w:val="center"/>
          </w:tcPr>
          <w:p w14:paraId="232F7954">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符号标识</w:t>
            </w:r>
          </w:p>
        </w:tc>
        <w:tc>
          <w:tcPr>
            <w:tcW w:w="1672" w:type="dxa"/>
            <w:vAlign w:val="center"/>
          </w:tcPr>
          <w:p w14:paraId="67877516">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商务要求名称</w:t>
            </w:r>
          </w:p>
        </w:tc>
        <w:tc>
          <w:tcPr>
            <w:tcW w:w="6263" w:type="dxa"/>
            <w:vAlign w:val="center"/>
          </w:tcPr>
          <w:p w14:paraId="3B2EC10E">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商务要求内容</w:t>
            </w:r>
          </w:p>
        </w:tc>
      </w:tr>
      <w:tr w14:paraId="2E0474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6808281E">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1</w:t>
            </w:r>
          </w:p>
        </w:tc>
        <w:tc>
          <w:tcPr>
            <w:tcW w:w="840" w:type="dxa"/>
            <w:vAlign w:val="center"/>
          </w:tcPr>
          <w:p w14:paraId="5746128D">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jc w:val="center"/>
              <w:textAlignment w:val="auto"/>
              <w:rPr>
                <w:highlight w:val="yellow"/>
              </w:rPr>
            </w:pPr>
            <w:r>
              <w:rPr>
                <w:highlight w:val="yellow"/>
              </w:rPr>
              <w:t>★</w:t>
            </w:r>
          </w:p>
        </w:tc>
        <w:tc>
          <w:tcPr>
            <w:tcW w:w="1672" w:type="dxa"/>
            <w:vAlign w:val="center"/>
          </w:tcPr>
          <w:p w14:paraId="116E7CA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服务期限</w:t>
            </w:r>
          </w:p>
        </w:tc>
        <w:tc>
          <w:tcPr>
            <w:tcW w:w="6263" w:type="dxa"/>
            <w:vAlign w:val="center"/>
          </w:tcPr>
          <w:p w14:paraId="1BD106F3">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rPr>
                <w:rFonts w:hint="eastAsia" w:eastAsia="宋体"/>
                <w:lang w:val="en-US" w:eastAsia="zh-CN"/>
              </w:rPr>
            </w:pPr>
            <w:r>
              <w:rPr>
                <w:highlight w:val="yellow"/>
              </w:rPr>
              <w:t>730</w:t>
            </w:r>
            <w:r>
              <w:rPr>
                <w:rFonts w:hint="eastAsia"/>
                <w:highlight w:val="yellow"/>
                <w:lang w:val="en-US" w:eastAsia="zh-CN"/>
              </w:rPr>
              <w:t>天</w:t>
            </w:r>
          </w:p>
        </w:tc>
      </w:tr>
      <w:tr w14:paraId="4E3146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73D6642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2</w:t>
            </w:r>
          </w:p>
        </w:tc>
        <w:tc>
          <w:tcPr>
            <w:tcW w:w="840" w:type="dxa"/>
            <w:vAlign w:val="center"/>
          </w:tcPr>
          <w:p w14:paraId="0681124A">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jc w:val="center"/>
              <w:textAlignment w:val="auto"/>
              <w:rPr>
                <w:highlight w:val="yellow"/>
              </w:rPr>
            </w:pPr>
            <w:r>
              <w:rPr>
                <w:highlight w:val="yellow"/>
              </w:rPr>
              <w:t>★</w:t>
            </w:r>
          </w:p>
        </w:tc>
        <w:tc>
          <w:tcPr>
            <w:tcW w:w="1672" w:type="dxa"/>
            <w:vAlign w:val="center"/>
          </w:tcPr>
          <w:p w14:paraId="19334BC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服务地点</w:t>
            </w:r>
          </w:p>
        </w:tc>
        <w:tc>
          <w:tcPr>
            <w:tcW w:w="6263" w:type="dxa"/>
            <w:vAlign w:val="center"/>
          </w:tcPr>
          <w:p w14:paraId="657FA573">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采购人指定地点</w:t>
            </w:r>
          </w:p>
        </w:tc>
      </w:tr>
      <w:tr w14:paraId="5644C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6473A96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3</w:t>
            </w:r>
          </w:p>
        </w:tc>
        <w:tc>
          <w:tcPr>
            <w:tcW w:w="840" w:type="dxa"/>
            <w:vAlign w:val="center"/>
          </w:tcPr>
          <w:p w14:paraId="424FDD85">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jc w:val="center"/>
              <w:textAlignment w:val="auto"/>
              <w:rPr>
                <w:highlight w:val="yellow"/>
              </w:rPr>
            </w:pPr>
            <w:r>
              <w:rPr>
                <w:highlight w:val="yellow"/>
              </w:rPr>
              <w:t>★</w:t>
            </w:r>
          </w:p>
        </w:tc>
        <w:tc>
          <w:tcPr>
            <w:tcW w:w="1672" w:type="dxa"/>
            <w:vAlign w:val="center"/>
          </w:tcPr>
          <w:p w14:paraId="1691CC3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验收、交付标准和方法</w:t>
            </w:r>
          </w:p>
        </w:tc>
        <w:tc>
          <w:tcPr>
            <w:tcW w:w="6263" w:type="dxa"/>
            <w:vAlign w:val="center"/>
          </w:tcPr>
          <w:p w14:paraId="484EF086">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采购人将严格按照《财政部关于进一步加强政府采购需求和履约验收管理的指导意见》(财库〔2016〕205号)及国家有关规定、本项目采购文件的要求、政府采购合同和中标人的投标文件及承诺进行履约验收。</w:t>
            </w:r>
          </w:p>
        </w:tc>
      </w:tr>
      <w:tr w14:paraId="0C0DC9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725363C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4</w:t>
            </w:r>
          </w:p>
        </w:tc>
        <w:tc>
          <w:tcPr>
            <w:tcW w:w="840" w:type="dxa"/>
            <w:vAlign w:val="center"/>
          </w:tcPr>
          <w:p w14:paraId="6556F22C">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jc w:val="center"/>
              <w:textAlignment w:val="auto"/>
              <w:rPr>
                <w:highlight w:val="yellow"/>
              </w:rPr>
            </w:pPr>
            <w:r>
              <w:rPr>
                <w:highlight w:val="yellow"/>
              </w:rPr>
              <w:t>★</w:t>
            </w:r>
          </w:p>
        </w:tc>
        <w:tc>
          <w:tcPr>
            <w:tcW w:w="1672" w:type="dxa"/>
            <w:vAlign w:val="center"/>
          </w:tcPr>
          <w:p w14:paraId="4708865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支付方式</w:t>
            </w:r>
          </w:p>
        </w:tc>
        <w:tc>
          <w:tcPr>
            <w:tcW w:w="6263" w:type="dxa"/>
            <w:vAlign w:val="center"/>
          </w:tcPr>
          <w:p w14:paraId="0BB2C29E">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分期付款</w:t>
            </w:r>
          </w:p>
        </w:tc>
      </w:tr>
      <w:tr w14:paraId="77BED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6BF540E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5</w:t>
            </w:r>
          </w:p>
        </w:tc>
        <w:tc>
          <w:tcPr>
            <w:tcW w:w="840" w:type="dxa"/>
            <w:vAlign w:val="center"/>
          </w:tcPr>
          <w:p w14:paraId="59747187">
            <w:pPr>
              <w:keepNext w:val="0"/>
              <w:keepLines w:val="0"/>
              <w:pageBreakBefore w:val="0"/>
              <w:widowControl w:val="0"/>
              <w:kinsoku/>
              <w:wordWrap w:val="0"/>
              <w:overflowPunct/>
              <w:topLinePunct w:val="0"/>
              <w:autoSpaceDE w:val="0"/>
              <w:autoSpaceDN w:val="0"/>
              <w:bidi w:val="0"/>
              <w:adjustRightInd w:val="0"/>
              <w:snapToGrid w:val="0"/>
              <w:ind w:left="0" w:leftChars="0" w:right="0" w:rightChars="0" w:firstLine="0" w:firstLineChars="0"/>
              <w:jc w:val="center"/>
              <w:textAlignment w:val="auto"/>
              <w:rPr>
                <w:highlight w:val="yellow"/>
              </w:rPr>
            </w:pPr>
            <w:r>
              <w:rPr>
                <w:highlight w:val="yellow"/>
              </w:rPr>
              <w:t>★</w:t>
            </w:r>
          </w:p>
        </w:tc>
        <w:tc>
          <w:tcPr>
            <w:tcW w:w="1672" w:type="dxa"/>
            <w:vAlign w:val="center"/>
          </w:tcPr>
          <w:p w14:paraId="5930B0F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付款进度安排</w:t>
            </w:r>
          </w:p>
        </w:tc>
        <w:tc>
          <w:tcPr>
            <w:tcW w:w="6263" w:type="dxa"/>
            <w:vAlign w:val="center"/>
          </w:tcPr>
          <w:p w14:paraId="20A51A05">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1、合同签订后，采购人收到中标人开具的增值税普通发票后，达到付款条件起30日内，支付合同总金额的40.00%</w:t>
            </w:r>
          </w:p>
          <w:p w14:paraId="419F2BEB">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2、中标人完成本服务年度内系统的等保测评工作并出具《等级保护测评报告》后，以及完成年度等级保护测评服务验收，采购人收到中标人开具的增值税发票后，达到付款条件起30日内，支付合同总金额的60.00%</w:t>
            </w:r>
          </w:p>
        </w:tc>
      </w:tr>
      <w:tr w14:paraId="53B85F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88" w:type="dxa"/>
            <w:vAlign w:val="center"/>
          </w:tcPr>
          <w:p w14:paraId="68699FF0">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6</w:t>
            </w:r>
          </w:p>
        </w:tc>
        <w:tc>
          <w:tcPr>
            <w:tcW w:w="840" w:type="dxa"/>
            <w:vAlign w:val="center"/>
          </w:tcPr>
          <w:p w14:paraId="4FFF58C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highlight w:val="yellow"/>
              </w:rPr>
            </w:pPr>
            <w:r>
              <w:rPr>
                <w:highlight w:val="yellow"/>
              </w:rPr>
              <w:t>★</w:t>
            </w:r>
          </w:p>
        </w:tc>
        <w:tc>
          <w:tcPr>
            <w:tcW w:w="1672" w:type="dxa"/>
            <w:vAlign w:val="center"/>
          </w:tcPr>
          <w:p w14:paraId="7909C693">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违约责任与解决争议的方法</w:t>
            </w:r>
          </w:p>
        </w:tc>
        <w:tc>
          <w:tcPr>
            <w:tcW w:w="6263" w:type="dxa"/>
            <w:vAlign w:val="center"/>
          </w:tcPr>
          <w:p w14:paraId="244737A0">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1、违约责任 （1）双方必须遵守合同并执行合同中的各项规定，保证合同的正常履行。 （2）如因投标人在履行职务过程中的疏忽、失职、过错等故意或者过失原因给采购人及用户造成损失或侵害，包括但不限于采购人及用户本身的财产损失、由此而导致的采购人及用户对任何第三方的法律责任等，投标人对此均应承担全部的赔偿责任。 2、解决争议的方法：在执行合同中发生的或与合同有关的争端，双方应通过友好协商解决，经协商在30天内不能达成协议时，可向采购人所属地人民法院提起诉讼。诉讼裁决应为最终决定，并对双方具有约束力。除另有裁决外，诉讼费应由败诉方负担。在诉讼期间，除正在进行诉讼部分外，合同其他部分继续执行。 3、不可抗力事件处理： （1）在合同有效期内，任何一方因不可抗力事件导致不能履行合同，则合同履行期可延长，其延长期与不可抗力影响期相同。 （2）不可抗力事件发生后，应立即通知对方，并寄送有关权威机构出具的证明。 （3）不可抗力事件延续30天以上，双方应通过友好协商，确定是否继续履行合同。</w:t>
            </w:r>
          </w:p>
        </w:tc>
      </w:tr>
    </w:tbl>
    <w:p w14:paraId="0B0DFA35">
      <w:pPr>
        <w:keepNext w:val="0"/>
        <w:keepLines w:val="0"/>
        <w:pageBreakBefore w:val="0"/>
        <w:widowControl w:val="0"/>
        <w:kinsoku/>
        <w:wordWrap w:val="0"/>
        <w:overflowPunct/>
        <w:topLinePunct w:val="0"/>
        <w:autoSpaceDE w:val="0"/>
        <w:autoSpaceDN w:val="0"/>
        <w:bidi w:val="0"/>
        <w:adjustRightInd w:val="0"/>
        <w:snapToGrid w:val="0"/>
        <w:ind w:firstLine="0" w:firstLineChars="0"/>
        <w:jc w:val="right"/>
        <w:textAlignment w:val="auto"/>
        <w:rPr>
          <w:rFonts w:hint="eastAsia"/>
          <w:lang w:val="en-US" w:eastAsia="zh-CN"/>
        </w:rPr>
      </w:pPr>
      <w:r>
        <w:rPr>
          <w:rFonts w:hint="eastAsia"/>
          <w:lang w:val="en-US" w:eastAsia="zh-CN"/>
        </w:rPr>
        <w:t>”</w:t>
      </w:r>
    </w:p>
    <w:p w14:paraId="56F874DC">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rPr>
          <w:rFonts w:hint="eastAsia"/>
          <w:lang w:val="en-US" w:eastAsia="zh-CN"/>
        </w:rPr>
        <w:t>3、“</w:t>
      </w:r>
      <w:r>
        <w:t>采购包3：</w:t>
      </w:r>
    </w:p>
    <w:tbl>
      <w:tblPr>
        <w:tblStyle w:val="9"/>
        <w:tblW w:w="931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837"/>
        <w:gridCol w:w="1660"/>
        <w:gridCol w:w="6293"/>
      </w:tblGrid>
      <w:tr w14:paraId="0ABF78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3B3D68B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序号</w:t>
            </w:r>
          </w:p>
        </w:tc>
        <w:tc>
          <w:tcPr>
            <w:tcW w:w="837" w:type="dxa"/>
            <w:vAlign w:val="center"/>
          </w:tcPr>
          <w:p w14:paraId="32AF5D3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符号标识</w:t>
            </w:r>
          </w:p>
        </w:tc>
        <w:tc>
          <w:tcPr>
            <w:tcW w:w="1660" w:type="dxa"/>
            <w:vAlign w:val="center"/>
          </w:tcPr>
          <w:p w14:paraId="5D6FF9E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商务要求名称</w:t>
            </w:r>
          </w:p>
        </w:tc>
        <w:tc>
          <w:tcPr>
            <w:tcW w:w="6293" w:type="dxa"/>
            <w:vAlign w:val="center"/>
          </w:tcPr>
          <w:p w14:paraId="611E84C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rPr>
                <w:b/>
                <w:bCs/>
              </w:rPr>
            </w:pPr>
            <w:r>
              <w:rPr>
                <w:b/>
                <w:bCs/>
              </w:rPr>
              <w:t>商务要求内容</w:t>
            </w:r>
          </w:p>
        </w:tc>
      </w:tr>
      <w:tr w14:paraId="37D3CF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73F7160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1</w:t>
            </w:r>
          </w:p>
        </w:tc>
        <w:tc>
          <w:tcPr>
            <w:tcW w:w="837" w:type="dxa"/>
            <w:vAlign w:val="center"/>
          </w:tcPr>
          <w:p w14:paraId="02DE2A0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rPr>
                <w:highlight w:val="yellow"/>
              </w:rPr>
              <w:t>★</w:t>
            </w:r>
          </w:p>
        </w:tc>
        <w:tc>
          <w:tcPr>
            <w:tcW w:w="1660" w:type="dxa"/>
            <w:vAlign w:val="center"/>
          </w:tcPr>
          <w:p w14:paraId="192BBCD7">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服务期限</w:t>
            </w:r>
          </w:p>
        </w:tc>
        <w:tc>
          <w:tcPr>
            <w:tcW w:w="6293" w:type="dxa"/>
            <w:vAlign w:val="center"/>
          </w:tcPr>
          <w:p w14:paraId="106C8B20">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rPr>
                <w:rFonts w:hint="eastAsia" w:eastAsia="宋体"/>
                <w:lang w:val="en-US" w:eastAsia="zh-CN"/>
              </w:rPr>
            </w:pPr>
            <w:r>
              <w:rPr>
                <w:highlight w:val="yellow"/>
              </w:rPr>
              <w:t>730</w:t>
            </w:r>
            <w:r>
              <w:rPr>
                <w:rFonts w:hint="eastAsia"/>
                <w:highlight w:val="yellow"/>
                <w:lang w:val="en-US" w:eastAsia="zh-CN"/>
              </w:rPr>
              <w:t>天</w:t>
            </w:r>
            <w:bookmarkStart w:id="0" w:name="_GoBack"/>
            <w:bookmarkEnd w:id="0"/>
          </w:p>
        </w:tc>
      </w:tr>
      <w:tr w14:paraId="3BB68F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64A2CC9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2</w:t>
            </w:r>
          </w:p>
        </w:tc>
        <w:tc>
          <w:tcPr>
            <w:tcW w:w="837" w:type="dxa"/>
            <w:vAlign w:val="center"/>
          </w:tcPr>
          <w:p w14:paraId="43B456A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rPr>
                <w:highlight w:val="yellow"/>
              </w:rPr>
              <w:t>★</w:t>
            </w:r>
          </w:p>
        </w:tc>
        <w:tc>
          <w:tcPr>
            <w:tcW w:w="1660" w:type="dxa"/>
            <w:vAlign w:val="center"/>
          </w:tcPr>
          <w:p w14:paraId="27BB41B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服务地点</w:t>
            </w:r>
          </w:p>
        </w:tc>
        <w:tc>
          <w:tcPr>
            <w:tcW w:w="6293" w:type="dxa"/>
            <w:vAlign w:val="center"/>
          </w:tcPr>
          <w:p w14:paraId="78E53FCC">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采购人指定地点</w:t>
            </w:r>
          </w:p>
        </w:tc>
      </w:tr>
      <w:tr w14:paraId="484F2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54F5E368">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3</w:t>
            </w:r>
          </w:p>
        </w:tc>
        <w:tc>
          <w:tcPr>
            <w:tcW w:w="837" w:type="dxa"/>
            <w:vAlign w:val="center"/>
          </w:tcPr>
          <w:p w14:paraId="535E92EF">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rPr>
                <w:highlight w:val="yellow"/>
              </w:rPr>
              <w:t>★</w:t>
            </w:r>
          </w:p>
        </w:tc>
        <w:tc>
          <w:tcPr>
            <w:tcW w:w="1660" w:type="dxa"/>
            <w:vAlign w:val="center"/>
          </w:tcPr>
          <w:p w14:paraId="1EA9DCE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验收、交付标准和方法</w:t>
            </w:r>
          </w:p>
        </w:tc>
        <w:tc>
          <w:tcPr>
            <w:tcW w:w="6293" w:type="dxa"/>
            <w:vAlign w:val="center"/>
          </w:tcPr>
          <w:p w14:paraId="1BBC347C">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采购人将严格按照《财政部关于进一步加强政府采购需求和履约验收管理的指导意见》(财库〔2016〕205号)及国家有关规定、本项目采购文件的要求、政府采购合同和中标人的投标文件及承诺进行履约验收。</w:t>
            </w:r>
          </w:p>
        </w:tc>
      </w:tr>
      <w:tr w14:paraId="13E2D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02030214">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4</w:t>
            </w:r>
          </w:p>
        </w:tc>
        <w:tc>
          <w:tcPr>
            <w:tcW w:w="837" w:type="dxa"/>
            <w:vAlign w:val="center"/>
          </w:tcPr>
          <w:p w14:paraId="41BD9DA5">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rPr>
                <w:highlight w:val="yellow"/>
              </w:rPr>
              <w:t>★</w:t>
            </w:r>
          </w:p>
        </w:tc>
        <w:tc>
          <w:tcPr>
            <w:tcW w:w="1660" w:type="dxa"/>
            <w:vAlign w:val="center"/>
          </w:tcPr>
          <w:p w14:paraId="21819671">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支付方式</w:t>
            </w:r>
          </w:p>
        </w:tc>
        <w:tc>
          <w:tcPr>
            <w:tcW w:w="6293" w:type="dxa"/>
            <w:vAlign w:val="center"/>
          </w:tcPr>
          <w:p w14:paraId="068D15F5">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分期付款</w:t>
            </w:r>
          </w:p>
        </w:tc>
      </w:tr>
      <w:tr w14:paraId="79C8F6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1E0BAD7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5</w:t>
            </w:r>
          </w:p>
        </w:tc>
        <w:tc>
          <w:tcPr>
            <w:tcW w:w="837" w:type="dxa"/>
            <w:vAlign w:val="center"/>
          </w:tcPr>
          <w:p w14:paraId="39ACB0EB">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rPr>
                <w:highlight w:val="yellow"/>
              </w:rPr>
              <w:t>★</w:t>
            </w:r>
          </w:p>
        </w:tc>
        <w:tc>
          <w:tcPr>
            <w:tcW w:w="1660" w:type="dxa"/>
            <w:vAlign w:val="center"/>
          </w:tcPr>
          <w:p w14:paraId="37B02DD9">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付款进度安排</w:t>
            </w:r>
          </w:p>
        </w:tc>
        <w:tc>
          <w:tcPr>
            <w:tcW w:w="6293" w:type="dxa"/>
            <w:vAlign w:val="center"/>
          </w:tcPr>
          <w:p w14:paraId="49661E05">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1、合同签订后，采购人收到中标人开具的增值税普通发票后，达到付款条件起30日内，支付合同总金额的40.00%</w:t>
            </w:r>
          </w:p>
          <w:p w14:paraId="239D7EDF">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2、中标人完成本服务年度内系统的信息系统密码应用方案商用密码应用安全性评估工作并出具《信息系统密码应用方案商用密码应用安全性评估报告》后，以及完成年度等级保护测评服务验收，采购人收到中标人开具的增值税发票后，达到付款条件起30日内，支付合同总金额的60.00%</w:t>
            </w:r>
          </w:p>
        </w:tc>
      </w:tr>
      <w:tr w14:paraId="12B202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25" w:type="dxa"/>
            <w:vAlign w:val="center"/>
          </w:tcPr>
          <w:p w14:paraId="4E013C62">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6</w:t>
            </w:r>
          </w:p>
        </w:tc>
        <w:tc>
          <w:tcPr>
            <w:tcW w:w="837" w:type="dxa"/>
            <w:vAlign w:val="center"/>
          </w:tcPr>
          <w:p w14:paraId="56E4634A">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rPr>
                <w:highlight w:val="yellow"/>
              </w:rPr>
              <w:t>★</w:t>
            </w:r>
          </w:p>
        </w:tc>
        <w:tc>
          <w:tcPr>
            <w:tcW w:w="1660" w:type="dxa"/>
            <w:vAlign w:val="center"/>
          </w:tcPr>
          <w:p w14:paraId="43EA695C">
            <w:pPr>
              <w:keepNext w:val="0"/>
              <w:keepLines w:val="0"/>
              <w:pageBreakBefore w:val="0"/>
              <w:widowControl w:val="0"/>
              <w:kinsoku/>
              <w:wordWrap w:val="0"/>
              <w:overflowPunct/>
              <w:topLinePunct w:val="0"/>
              <w:autoSpaceDE w:val="0"/>
              <w:autoSpaceDN w:val="0"/>
              <w:bidi w:val="0"/>
              <w:adjustRightInd w:val="0"/>
              <w:snapToGrid w:val="0"/>
              <w:ind w:firstLine="0" w:firstLineChars="0"/>
              <w:jc w:val="center"/>
              <w:textAlignment w:val="auto"/>
            </w:pPr>
            <w:r>
              <w:t>违约责任与解决争议的方法</w:t>
            </w:r>
          </w:p>
        </w:tc>
        <w:tc>
          <w:tcPr>
            <w:tcW w:w="6293" w:type="dxa"/>
            <w:vAlign w:val="center"/>
          </w:tcPr>
          <w:p w14:paraId="5BBCE945">
            <w:pPr>
              <w:keepNext w:val="0"/>
              <w:keepLines w:val="0"/>
              <w:pageBreakBefore w:val="0"/>
              <w:widowControl w:val="0"/>
              <w:kinsoku/>
              <w:wordWrap w:val="0"/>
              <w:overflowPunct/>
              <w:topLinePunct w:val="0"/>
              <w:autoSpaceDE w:val="0"/>
              <w:autoSpaceDN w:val="0"/>
              <w:bidi w:val="0"/>
              <w:adjustRightInd w:val="0"/>
              <w:snapToGrid w:val="0"/>
              <w:ind w:firstLine="0" w:firstLineChars="0"/>
              <w:jc w:val="left"/>
              <w:textAlignment w:val="auto"/>
            </w:pPr>
            <w:r>
              <w:t>1、违约责任 （1）双方必须遵守合同并执行合同中的各项规定，保证合同的正常履行。 （2）如因投标人在履行职务过程中的疏忽、失职、过错等故意或者过失原因给采购人及用户造成损失或侵害，包括但不限于采购人及用户本身的财产损失、由此而导致的采购人及用户对任何第三方的法律责任等，投标人对此均应承担全部的赔偿责任。 2、解决争议的方法：在执行合同中发生的或与合同有关的争端，双方应通过友好协商解决，经协商在30天内不能达成协议时，可向采购人所属地人民法院提起诉讼。诉讼裁决应为最终决定，并对双方具有约束力。除另有裁决外，诉讼费应由败诉方负担。在诉讼期间，除正在进行诉讼部分外，合同其他部分继续执行。 3、不可抗力事件处理： （1）在合同有效期内，任何一方因不可抗力事件导致不能履行合同，则合同履行期可延长，其延长期与不可抗力影响期相同。 （2）不可抗力事件发生后，应立即通知对方，并寄送有关权威机构出具的证明。 （3）不可抗力事件延续30天以上，双方应通过友好协商，确定是否继续履行合同。</w:t>
            </w:r>
          </w:p>
        </w:tc>
      </w:tr>
    </w:tbl>
    <w:p w14:paraId="10D13737">
      <w:pPr>
        <w:bidi w:val="0"/>
        <w:jc w:val="right"/>
        <w:rPr>
          <w:rFonts w:hint="default" w:cs="宋体"/>
          <w:i w:val="0"/>
          <w:iCs w:val="0"/>
          <w:caps w:val="0"/>
          <w:color w:val="222222"/>
          <w:spacing w:val="0"/>
          <w:sz w:val="24"/>
          <w:szCs w:val="24"/>
          <w:lang w:val="en-US" w:eastAsia="zh-CN"/>
        </w:rPr>
      </w:pPr>
      <w:r>
        <w:rPr>
          <w:rFonts w:hint="eastAsia"/>
          <w:lang w:val="en-US" w:eastAsia="zh-CN"/>
        </w:rPr>
        <w:t>”</w:t>
      </w:r>
    </w:p>
    <w:p w14:paraId="3CE4602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rPr>
        <w:t>其他内容不变</w:t>
      </w:r>
      <w:r>
        <w:rPr>
          <w:rFonts w:hint="eastAsia" w:cs="宋体"/>
          <w:i w:val="0"/>
          <w:iCs w:val="0"/>
          <w:caps w:val="0"/>
          <w:color w:val="222222"/>
          <w:spacing w:val="0"/>
          <w:sz w:val="24"/>
          <w:szCs w:val="24"/>
          <w:lang w:eastAsia="zh-CN"/>
        </w:rPr>
        <w:t>。</w:t>
      </w:r>
    </w:p>
    <w:p w14:paraId="58FB5D3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pPr>
      <w:r>
        <w:rPr>
          <w:rFonts w:hint="eastAsia" w:ascii="宋体" w:hAnsi="宋体" w:eastAsia="宋体" w:cs="宋体"/>
          <w:i w:val="0"/>
          <w:iCs w:val="0"/>
          <w:caps w:val="0"/>
          <w:color w:val="222222"/>
          <w:spacing w:val="0"/>
          <w:sz w:val="24"/>
          <w:szCs w:val="24"/>
        </w:rPr>
        <w:t>更正日期：202</w:t>
      </w:r>
      <w:r>
        <w:rPr>
          <w:rFonts w:hint="eastAsia" w:cs="宋体"/>
          <w:i w:val="0"/>
          <w:iCs w:val="0"/>
          <w:caps w:val="0"/>
          <w:color w:val="222222"/>
          <w:spacing w:val="0"/>
          <w:sz w:val="24"/>
          <w:szCs w:val="24"/>
          <w:lang w:val="en-US" w:eastAsia="zh-CN"/>
        </w:rPr>
        <w:t>6</w:t>
      </w:r>
      <w:r>
        <w:rPr>
          <w:rFonts w:hint="eastAsia" w:ascii="宋体" w:hAnsi="宋体" w:eastAsia="宋体" w:cs="宋体"/>
          <w:i w:val="0"/>
          <w:iCs w:val="0"/>
          <w:caps w:val="0"/>
          <w:color w:val="222222"/>
          <w:spacing w:val="0"/>
          <w:sz w:val="24"/>
          <w:szCs w:val="24"/>
        </w:rPr>
        <w:t>年</w:t>
      </w:r>
      <w:r>
        <w:rPr>
          <w:rFonts w:hint="eastAsia" w:cs="宋体"/>
          <w:i w:val="0"/>
          <w:iCs w:val="0"/>
          <w:caps w:val="0"/>
          <w:color w:val="222222"/>
          <w:spacing w:val="0"/>
          <w:sz w:val="24"/>
          <w:szCs w:val="24"/>
          <w:lang w:val="en-US" w:eastAsia="zh-CN"/>
        </w:rPr>
        <w:t>5</w:t>
      </w:r>
      <w:r>
        <w:rPr>
          <w:rFonts w:hint="eastAsia" w:ascii="宋体" w:hAnsi="宋体" w:eastAsia="宋体" w:cs="宋体"/>
          <w:i w:val="0"/>
          <w:iCs w:val="0"/>
          <w:caps w:val="0"/>
          <w:color w:val="222222"/>
          <w:spacing w:val="0"/>
          <w:sz w:val="24"/>
          <w:szCs w:val="24"/>
        </w:rPr>
        <w:t>月1</w:t>
      </w:r>
      <w:r>
        <w:rPr>
          <w:rFonts w:hint="eastAsia" w:cs="宋体"/>
          <w:i w:val="0"/>
          <w:iCs w:val="0"/>
          <w:caps w:val="0"/>
          <w:color w:val="222222"/>
          <w:spacing w:val="0"/>
          <w:sz w:val="24"/>
          <w:szCs w:val="24"/>
          <w:lang w:val="en-US" w:eastAsia="zh-CN"/>
        </w:rPr>
        <w:t>5</w:t>
      </w:r>
      <w:r>
        <w:rPr>
          <w:rFonts w:hint="eastAsia" w:ascii="宋体" w:hAnsi="宋体" w:eastAsia="宋体" w:cs="宋体"/>
          <w:i w:val="0"/>
          <w:iCs w:val="0"/>
          <w:caps w:val="0"/>
          <w:color w:val="222222"/>
          <w:spacing w:val="0"/>
          <w:sz w:val="24"/>
          <w:szCs w:val="24"/>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286B4B"/>
    <w:multiLevelType w:val="singleLevel"/>
    <w:tmpl w:val="42286B4B"/>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89129F"/>
    <w:rsid w:val="0892532C"/>
    <w:rsid w:val="0EFE3455"/>
    <w:rsid w:val="104E26B1"/>
    <w:rsid w:val="114B57E1"/>
    <w:rsid w:val="11B16281"/>
    <w:rsid w:val="17FB2066"/>
    <w:rsid w:val="18B90B18"/>
    <w:rsid w:val="1F9F0B31"/>
    <w:rsid w:val="22362FCE"/>
    <w:rsid w:val="23C2261B"/>
    <w:rsid w:val="2736162C"/>
    <w:rsid w:val="29BE242F"/>
    <w:rsid w:val="2B780DEA"/>
    <w:rsid w:val="2BF12BCC"/>
    <w:rsid w:val="31FD6F0B"/>
    <w:rsid w:val="3D840E45"/>
    <w:rsid w:val="44CD19E9"/>
    <w:rsid w:val="44EA4CCC"/>
    <w:rsid w:val="4DA621CD"/>
    <w:rsid w:val="4EAE33B1"/>
    <w:rsid w:val="4F9F5411"/>
    <w:rsid w:val="50C47DD0"/>
    <w:rsid w:val="567F00B1"/>
    <w:rsid w:val="5A6F5183"/>
    <w:rsid w:val="652061F2"/>
    <w:rsid w:val="66297449"/>
    <w:rsid w:val="680B78E9"/>
    <w:rsid w:val="68684A5C"/>
    <w:rsid w:val="6A89129F"/>
    <w:rsid w:val="6D462E08"/>
    <w:rsid w:val="71594B6E"/>
    <w:rsid w:val="744643E5"/>
    <w:rsid w:val="75FC4FE3"/>
    <w:rsid w:val="7699662E"/>
    <w:rsid w:val="7A4E2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adjustRightInd w:val="0"/>
      <w:snapToGrid w:val="0"/>
      <w:spacing w:line="360" w:lineRule="auto"/>
      <w:ind w:left="0" w:leftChars="0" w:right="0" w:firstLine="422" w:firstLineChars="200"/>
      <w:jc w:val="left"/>
    </w:pPr>
    <w:rPr>
      <w:rFonts w:ascii="宋体" w:hAnsi="宋体" w:eastAsia="宋体" w:cs="宋体"/>
      <w:sz w:val="24"/>
      <w:szCs w:val="22"/>
      <w:lang w:val="zh-CN" w:eastAsia="zh-CN" w:bidi="zh-CN"/>
    </w:rPr>
  </w:style>
  <w:style w:type="paragraph" w:styleId="2">
    <w:name w:val="heading 1"/>
    <w:basedOn w:val="1"/>
    <w:next w:val="1"/>
    <w:link w:val="12"/>
    <w:qFormat/>
    <w:uiPriority w:val="0"/>
    <w:pPr>
      <w:keepNext/>
      <w:keepLines/>
      <w:spacing w:beforeLines="0" w:beforeAutospacing="0" w:afterLines="0" w:afterAutospacing="0" w:line="360" w:lineRule="auto"/>
      <w:ind w:firstLine="0" w:firstLineChars="0"/>
      <w:jc w:val="center"/>
      <w:outlineLvl w:val="0"/>
    </w:pPr>
    <w:rPr>
      <w:rFonts w:ascii="Times New Roman" w:hAnsi="Times New Roman" w:eastAsia="宋体" w:cs="Times New Roman"/>
      <w:b/>
      <w:kern w:val="44"/>
      <w:sz w:val="44"/>
      <w:szCs w:val="24"/>
      <w:lang w:val="zh-CN" w:bidi="zh-CN"/>
    </w:rPr>
  </w:style>
  <w:style w:type="paragraph" w:styleId="3">
    <w:name w:val="heading 2"/>
    <w:basedOn w:val="1"/>
    <w:next w:val="1"/>
    <w:link w:val="14"/>
    <w:unhideWhenUsed/>
    <w:qFormat/>
    <w:uiPriority w:val="0"/>
    <w:pPr>
      <w:keepNext/>
      <w:keepLines/>
      <w:spacing w:line="360" w:lineRule="auto"/>
      <w:ind w:firstLine="0" w:firstLineChars="0"/>
      <w:jc w:val="center"/>
      <w:outlineLvl w:val="1"/>
    </w:pPr>
    <w:rPr>
      <w:rFonts w:ascii="Arial" w:hAnsi="Arial" w:eastAsia="宋体" w:cs="Times New Roman"/>
      <w:b/>
      <w:kern w:val="2"/>
      <w:sz w:val="32"/>
      <w:szCs w:val="24"/>
      <w:lang w:val="zh-CN" w:bidi="zh-CN"/>
    </w:rPr>
  </w:style>
  <w:style w:type="paragraph" w:styleId="4">
    <w:name w:val="heading 3"/>
    <w:basedOn w:val="1"/>
    <w:next w:val="1"/>
    <w:link w:val="11"/>
    <w:unhideWhenUsed/>
    <w:qFormat/>
    <w:uiPriority w:val="0"/>
    <w:pPr>
      <w:ind w:right="0" w:firstLine="0" w:firstLineChars="0"/>
      <w:outlineLvl w:val="2"/>
    </w:pPr>
    <w:rPr>
      <w:rFonts w:ascii="Times New Roman" w:hAnsi="Times New Roman" w:eastAsia="宋体" w:cs="Times New Roman"/>
      <w:b/>
      <w:bCs/>
      <w:sz w:val="28"/>
      <w:szCs w:val="40"/>
    </w:rPr>
  </w:style>
  <w:style w:type="paragraph" w:styleId="5">
    <w:name w:val="heading 4"/>
    <w:basedOn w:val="1"/>
    <w:next w:val="1"/>
    <w:link w:val="13"/>
    <w:unhideWhenUsed/>
    <w:qFormat/>
    <w:uiPriority w:val="0"/>
    <w:pPr>
      <w:keepNext/>
      <w:keepLines/>
      <w:spacing w:beforeLines="0" w:beforeAutospacing="0" w:afterLines="0" w:afterAutospacing="0" w:line="360" w:lineRule="auto"/>
      <w:ind w:firstLine="0" w:firstLineChars="0"/>
      <w:outlineLvl w:val="3"/>
    </w:pPr>
    <w:rPr>
      <w:rFonts w:ascii="Arial" w:hAnsi="Arial" w:eastAsia="黑体" w:cs="Times New Roman"/>
      <w:b/>
      <w:sz w:val="24"/>
    </w:rPr>
  </w:style>
  <w:style w:type="paragraph" w:styleId="6">
    <w:name w:val="heading 5"/>
    <w:basedOn w:val="1"/>
    <w:next w:val="1"/>
    <w:semiHidden/>
    <w:unhideWhenUsed/>
    <w:qFormat/>
    <w:uiPriority w:val="0"/>
    <w:pPr>
      <w:keepNext/>
      <w:keepLines/>
      <w:spacing w:before="280" w:beforeLines="0" w:beforeAutospacing="0" w:after="280" w:afterLines="0" w:afterAutospacing="0" w:line="360" w:lineRule="auto"/>
      <w:outlineLvl w:val="4"/>
    </w:pPr>
    <w:rPr>
      <w:rFonts w:ascii="宋体" w:hAnsi="宋体" w:eastAsia="宋体" w:cs="宋体"/>
      <w:b/>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pPr>
      <w:spacing w:after="120" w:afterLines="0" w:afterAutospacing="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1">
    <w:name w:val="标题 3 Char"/>
    <w:link w:val="4"/>
    <w:qFormat/>
    <w:uiPriority w:val="1"/>
    <w:rPr>
      <w:rFonts w:ascii="Times New Roman" w:hAnsi="Times New Roman" w:eastAsia="宋体" w:cs="Times New Roman"/>
      <w:b/>
      <w:bCs/>
      <w:sz w:val="28"/>
      <w:szCs w:val="40"/>
    </w:rPr>
  </w:style>
  <w:style w:type="character" w:customStyle="1" w:styleId="12">
    <w:name w:val="标题 1 Char"/>
    <w:link w:val="2"/>
    <w:qFormat/>
    <w:uiPriority w:val="1"/>
    <w:rPr>
      <w:rFonts w:ascii="Times New Roman" w:hAnsi="Times New Roman" w:eastAsia="宋体" w:cs="Times New Roman"/>
      <w:b/>
      <w:kern w:val="44"/>
      <w:sz w:val="44"/>
      <w:szCs w:val="24"/>
      <w:lang w:val="zh-CN" w:bidi="zh-CN"/>
    </w:rPr>
  </w:style>
  <w:style w:type="character" w:customStyle="1" w:styleId="13">
    <w:name w:val="标题 4 Char"/>
    <w:link w:val="5"/>
    <w:qFormat/>
    <w:uiPriority w:val="0"/>
    <w:rPr>
      <w:rFonts w:ascii="Arial" w:hAnsi="Arial" w:eastAsia="黑体" w:cs="Times New Roman"/>
      <w:b/>
      <w:sz w:val="24"/>
    </w:rPr>
  </w:style>
  <w:style w:type="character" w:customStyle="1" w:styleId="14">
    <w:name w:val="标题 2 Char"/>
    <w:link w:val="3"/>
    <w:qFormat/>
    <w:uiPriority w:val="0"/>
    <w:rPr>
      <w:rFonts w:ascii="Arial" w:hAnsi="Arial" w:eastAsia="宋体" w:cs="Times New Roman"/>
      <w:b/>
      <w:kern w:val="2"/>
      <w:sz w:val="32"/>
      <w:szCs w:val="24"/>
      <w:lang w:val="zh-CN" w:bidi="zh-CN"/>
    </w:rPr>
  </w:style>
  <w:style w:type="table" w:customStyle="1" w:styleId="15">
    <w:name w:val="Table Normal"/>
    <w:unhideWhenUsed/>
    <w:qFormat/>
    <w:uiPriority w:val="0"/>
    <w:tblPr>
      <w:tblCellMar>
        <w:top w:w="0" w:type="dxa"/>
        <w:left w:w="0" w:type="dxa"/>
        <w:bottom w:w="0" w:type="dxa"/>
        <w:right w:w="0" w:type="dxa"/>
      </w:tblCellMar>
    </w:tbl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2556</Words>
  <Characters>2752</Characters>
  <Lines>0</Lines>
  <Paragraphs>0</Paragraphs>
  <TotalTime>8</TotalTime>
  <ScaleCrop>false</ScaleCrop>
  <LinksUpToDate>false</LinksUpToDate>
  <CharactersWithSpaces>2769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2025-10-17T07:10:00Z</dcterms:created>
  <dc:creator>。。</dc:creator>
  <cp:lastModifiedBy>。。</cp:lastModifiedBy>
  <dcterms:modified xsi:type="dcterms:W3CDTF">2026-05-15T08:47:33Z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BC226A52F12947309EF8AFD115D2F33A_11</vt:lpwstr>
  </property>
  <property fmtid="{D5CDD505-2E9C-101B-9397-08002B2CF9AE}" pid="4" name="KSOTemplateDocerSaveRecord">
    <vt:lpwstr>eyJoZGlkIjoiOGUzMzU5MGQ4Mzg5YjJhM2Q0ZTI2OTIxN2Y1OTNlYjYiLCJ1c2VySWQiOiI0MTQ1MDAzNzgifQ==</vt:lpwstr>
  </property>
</Properties>
</file>