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版本号：N510504202600005120260615001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信息化教学设备(二次)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N5105042026000051</w:t>
      </w:r>
    </w:p>
    <w:p>
      <w:pPr>
        <w:pStyle w:val="null3"/>
        <w:jc w:val="left"/>
        <w:outlineLvl w:val="2"/>
      </w:pPr>
      <w:r>
        <w:rPr>
          <w:rFonts w:ascii="仿宋_GB2312" w:hAnsi="仿宋_GB2312" w:cs="仿宋_GB2312" w:eastAsia="仿宋_GB2312"/>
          <w:sz w:val="28"/>
          <w:b/>
        </w:rPr>
        <w:t>泸州市龙马潭区教育和体育局</w:t>
      </w:r>
    </w:p>
    <w:p>
      <w:pPr>
        <w:pStyle w:val="null3"/>
        <w:jc w:val="center"/>
        <w:outlineLvl w:val="2"/>
      </w:pPr>
      <w:r>
        <w:rPr>
          <w:rFonts w:ascii="仿宋_GB2312" w:hAnsi="仿宋_GB2312" w:cs="仿宋_GB2312" w:eastAsia="仿宋_GB2312"/>
          <w:sz w:val="28"/>
          <w:b/>
        </w:rPr>
        <w:t>四川建兴工程造价咨询有限公司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四川建兴工程造价咨询有限公司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泸州市龙马潭区教育和体育局</w:t>
      </w:r>
      <w:r>
        <w:rPr>
          <w:rFonts w:ascii="仿宋_GB2312" w:hAnsi="仿宋_GB2312" w:cs="仿宋_GB2312" w:eastAsia="仿宋_GB2312"/>
        </w:rPr>
        <w:t xml:space="preserve"> 委托，拟对 </w:t>
      </w:r>
      <w:r>
        <w:rPr>
          <w:rFonts w:ascii="仿宋_GB2312" w:hAnsi="仿宋_GB2312" w:cs="仿宋_GB2312" w:eastAsia="仿宋_GB2312"/>
        </w:rPr>
        <w:t>信息化教学设备(二次)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泸州市龙马潭区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N5105042026000051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信息化教学设备(二次)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为切实保障教学工作正常运转，满足信息化教学开展需求，拟采购信息化教学设备。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泸州市龙马潭区教育和体育局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泸州市龙马潭区长乐街三段2号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0830-2708222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四川建兴工程造价咨询有限公司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四川省成都市都江堰市四川省成都市都江堰市幸福镇宝莲路378号7楼2号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0830-8963663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政府采购代理机构管理暂行办法》（财库[2018]2号）和《四川省政府采购营商环境指标提升专项行动工作方案》的通知(川财采[2020]74号)”文件规定，招标代理服务费按成交金额的1.5%收取，并采用成本加利润原则，收取本项目采购过程中发生的一切费用。由成交供应商在领取本项目成交通知书前一次性支付至代理机构，不足6千元的，按照6千元收取。本项目代理服务费由成交供应商在领取成交通知书时向采购代理机构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泸州市龙马潭区教育和体育局</w:t>
      </w:r>
      <w:r>
        <w:rPr>
          <w:rFonts w:ascii="仿宋_GB2312" w:hAnsi="仿宋_GB2312" w:cs="仿宋_GB2312" w:eastAsia="仿宋_GB2312"/>
        </w:rPr>
        <w:t xml:space="preserve"> 和 </w:t>
      </w:r>
      <w:r>
        <w:rPr>
          <w:rFonts w:ascii="仿宋_GB2312" w:hAnsi="仿宋_GB2312" w:cs="仿宋_GB2312" w:eastAsia="仿宋_GB2312"/>
        </w:rPr>
        <w:t>四川建兴工程造价咨询有限公司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泸州市龙马潭区教育和体育局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四川建兴工程造价咨询有限公司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按照本项目公开招标文件技术要求进行验收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按照本项目公开招标文件商务要求进行验收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严格按照《财政部关于进一步加强政府采购需求和履约验收管理的指导意见》（财库【2016】205号）、政府采购需求管理办法(财库〔2021〕22号)以及公开招标文件的质量要求和技术指标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四川建兴工程造价咨询有限公司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四川建兴工程造价咨询有限公司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四川建兴工程造价咨询有限公司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联系人：范老师</w:t>
      </w:r>
    </w:p>
    <w:p>
      <w:pPr>
        <w:pStyle w:val="null3"/>
        <w:jc w:val="left"/>
      </w:pPr>
      <w:r>
        <w:rPr>
          <w:rFonts w:ascii="仿宋_GB2312" w:hAnsi="仿宋_GB2312" w:cs="仿宋_GB2312" w:eastAsia="仿宋_GB2312"/>
        </w:rPr>
        <w:t>联系电话：0830-8963663</w:t>
      </w:r>
    </w:p>
    <w:p>
      <w:pPr>
        <w:pStyle w:val="null3"/>
        <w:jc w:val="left"/>
      </w:pPr>
      <w:r>
        <w:rPr>
          <w:rFonts w:ascii="仿宋_GB2312" w:hAnsi="仿宋_GB2312" w:cs="仿宋_GB2312" w:eastAsia="仿宋_GB2312"/>
        </w:rPr>
        <w:t>地址：泸州市江阳区学院西路301号3栋12楼1201</w:t>
      </w:r>
    </w:p>
    <w:p>
      <w:pPr>
        <w:pStyle w:val="null3"/>
        <w:jc w:val="left"/>
      </w:pPr>
      <w:r>
        <w:rPr>
          <w:rFonts w:ascii="仿宋_GB2312" w:hAnsi="仿宋_GB2312" w:cs="仿宋_GB2312" w:eastAsia="仿宋_GB2312"/>
        </w:rPr>
        <w:t>邮编：646100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2,300,000.00</w:t>
      </w:r>
    </w:p>
    <w:p>
      <w:pPr>
        <w:pStyle w:val="null3"/>
        <w:jc w:val="left"/>
      </w:pPr>
      <w:r>
        <w:rPr>
          <w:rFonts w:ascii="仿宋_GB2312" w:hAnsi="仿宋_GB2312" w:cs="仿宋_GB2312" w:eastAsia="仿宋_GB2312"/>
        </w:rPr>
        <w:t>采购包最高限价（元）: 1,031,437.80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信息化教学设备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1,031,437.80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信息化教学设备</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1,031,437.80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供应商报价应为完成本项目全部内容的费用，若报价超过项目最高限价，则视为无效报价。</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信息化教学设备</w:t>
            </w:r>
          </w:p>
        </w:tc>
        <w:tc>
          <w:tcPr>
            <w:tcW w:type="dxa" w:w="2492"/>
          </w:tcPr>
          <w:p>
            <w:pPr>
              <w:pStyle w:val="null3"/>
              <w:jc w:val="left"/>
            </w:pPr>
            <w:r>
              <w:rPr>
                <w:rFonts w:ascii="仿宋_GB2312" w:hAnsi="仿宋_GB2312" w:cs="仿宋_GB2312" w:eastAsia="仿宋_GB2312"/>
              </w:rPr>
              <w:t>4K录播一体机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信息化教学设备</w:t>
            </w:r>
          </w:p>
        </w:tc>
        <w:tc>
          <w:tcPr>
            <w:tcW w:type="dxa" w:w="2492"/>
          </w:tcPr>
          <w:p>
            <w:pPr>
              <w:pStyle w:val="null3"/>
              <w:jc w:val="left"/>
            </w:pPr>
            <w:r>
              <w:rPr>
                <w:rFonts w:ascii="仿宋_GB2312" w:hAnsi="仿宋_GB2312" w:cs="仿宋_GB2312" w:eastAsia="仿宋_GB2312"/>
              </w:rPr>
              <w:t>预监电视</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信息化教学设备</w:t>
            </w:r>
          </w:p>
        </w:tc>
        <w:tc>
          <w:tcPr>
            <w:tcW w:type="dxa" w:w="2492"/>
          </w:tcPr>
          <w:p>
            <w:pPr>
              <w:pStyle w:val="null3"/>
              <w:jc w:val="left"/>
            </w:pPr>
            <w:r>
              <w:rPr>
                <w:rFonts w:ascii="仿宋_GB2312" w:hAnsi="仿宋_GB2312" w:cs="仿宋_GB2312" w:eastAsia="仿宋_GB2312"/>
              </w:rPr>
              <w:t>预监电视</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信息化教学设备</w:t>
            </w:r>
          </w:p>
        </w:tc>
        <w:tc>
          <w:tcPr>
            <w:tcW w:type="dxa" w:w="2492"/>
          </w:tcPr>
          <w:p>
            <w:pPr>
              <w:pStyle w:val="null3"/>
              <w:jc w:val="left"/>
            </w:pPr>
            <w:r>
              <w:rPr>
                <w:rFonts w:ascii="仿宋_GB2312" w:hAnsi="仿宋_GB2312" w:cs="仿宋_GB2312" w:eastAsia="仿宋_GB2312"/>
              </w:rPr>
              <w:t>讲桌</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标的名称：信息化教学设备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信息化教学设备</w:t>
            </w:r>
          </w:p>
        </w:tc>
        <w:tc>
          <w:tcPr>
            <w:tcW w:type="dxa" w:w="5814"/>
          </w:tcPr>
          <w:p>
            <w:pPr>
              <w:pStyle w:val="null3"/>
              <w:jc w:val="left"/>
            </w:pPr>
            <w:r>
              <w:rPr>
                <w:rFonts w:ascii="仿宋_GB2312" w:hAnsi="仿宋_GB2312" w:cs="仿宋_GB2312" w:eastAsia="仿宋_GB2312"/>
              </w:rPr>
              <w:t>因系统格式固化限制，技术参数内容篇幅较长，页面无法完整展示，具体详见附件。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4"/>
                <w:shd w:fill="FFFFFF" w:val="clear"/>
              </w:rPr>
              <w:t>1、供应商在响应文件中承诺完全承担货物生产运输安装调试培训售后服务过程中的所有供应商人员安全、货物验收交付前一切风险，做好项目进度倒排计划、安全预案。</w:t>
            </w:r>
          </w:p>
          <w:p>
            <w:pPr>
              <w:pStyle w:val="null3"/>
              <w:jc w:val="left"/>
            </w:pPr>
            <w:r>
              <w:rPr>
                <w:rFonts w:ascii="仿宋_GB2312" w:hAnsi="仿宋_GB2312" w:cs="仿宋_GB2312" w:eastAsia="仿宋_GB2312"/>
                <w:sz w:val="24"/>
                <w:shd w:fill="FFFFFF" w:val="clear"/>
              </w:rPr>
              <w:t>2、因</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产品质量或安装调试导致在使用期间出现的安全问题，责任由</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全部承担。</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应当购买履约存在风险因素的相关保险。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知识产权与合规</w:t>
            </w:r>
          </w:p>
        </w:tc>
        <w:tc>
          <w:tcPr>
            <w:tcW w:type="dxa" w:w="5814"/>
          </w:tcPr>
          <w:p>
            <w:pPr>
              <w:pStyle w:val="null3"/>
              <w:ind w:firstLine="840"/>
              <w:jc w:val="left"/>
            </w:pPr>
            <w:r>
              <w:rPr>
                <w:rFonts w:ascii="仿宋_GB2312" w:hAnsi="仿宋_GB2312" w:cs="仿宋_GB2312" w:eastAsia="仿宋_GB2312"/>
                <w:sz w:val="24"/>
                <w:shd w:fill="FFFFFF" w:val="clear"/>
              </w:rPr>
              <w:t>1、供应商保证货物无任何知识产权纠纷，若侵权，供应商承担全部法律责任与赔偿。</w:t>
            </w:r>
          </w:p>
          <w:p>
            <w:pPr>
              <w:pStyle w:val="null3"/>
              <w:ind w:firstLine="840"/>
              <w:jc w:val="left"/>
            </w:pPr>
            <w:r>
              <w:rPr>
                <w:rFonts w:ascii="仿宋_GB2312" w:hAnsi="仿宋_GB2312" w:cs="仿宋_GB2312" w:eastAsia="仿宋_GB2312"/>
                <w:sz w:val="24"/>
                <w:shd w:fill="FFFFFF" w:val="clear"/>
              </w:rPr>
              <w:t>2、符合政府采购节能、环保、安全 等政策要求，提供有效证明文件。</w:t>
            </w:r>
          </w:p>
          <w:p>
            <w:pPr>
              <w:pStyle w:val="null3"/>
              <w:jc w:val="left"/>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w:t>
            </w:r>
          </w:p>
        </w:tc>
        <w:tc>
          <w:tcPr>
            <w:tcW w:type="dxa" w:w="5814"/>
          </w:tcPr>
          <w:p>
            <w:pPr>
              <w:pStyle w:val="null3"/>
              <w:jc w:val="left"/>
            </w:pPr>
            <w:r>
              <w:rPr>
                <w:rFonts w:ascii="仿宋_GB2312" w:hAnsi="仿宋_GB2312" w:cs="仿宋_GB2312" w:eastAsia="仿宋_GB2312"/>
                <w:sz w:val="24"/>
              </w:rPr>
              <w:t>1、 提供虚假材料、假冒伪劣、贴牌、串货的，立即解除合同，并上报财政部门列入不良行为记录名单，1–3 年内禁止参加政府采购。</w:t>
            </w:r>
          </w:p>
          <w:p>
            <w:pPr>
              <w:pStyle w:val="null3"/>
              <w:jc w:val="left"/>
            </w:pPr>
            <w:r>
              <w:rPr>
                <w:rFonts w:ascii="仿宋_GB2312" w:hAnsi="仿宋_GB2312" w:cs="仿宋_GB2312" w:eastAsia="仿宋_GB2312"/>
                <w:sz w:val="24"/>
              </w:rPr>
              <w:t>2、 擅自分包、转包的，合同无效，赔偿全部损失。</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设备安装调试及培训</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现场安装</w:t>
            </w:r>
            <w:r>
              <w:rPr>
                <w:rFonts w:ascii="仿宋_GB2312" w:hAnsi="仿宋_GB2312" w:cs="仿宋_GB2312" w:eastAsia="仿宋_GB2312"/>
                <w:sz w:val="24"/>
              </w:rPr>
              <w:t>包括</w:t>
            </w:r>
            <w:r>
              <w:rPr>
                <w:rFonts w:ascii="仿宋_GB2312" w:hAnsi="仿宋_GB2312" w:cs="仿宋_GB2312" w:eastAsia="仿宋_GB2312"/>
                <w:sz w:val="24"/>
              </w:rPr>
              <w:t>完善安装条件，原有设备移装、</w:t>
            </w:r>
            <w:r>
              <w:rPr>
                <w:rFonts w:ascii="仿宋_GB2312" w:hAnsi="仿宋_GB2312" w:cs="仿宋_GB2312" w:eastAsia="仿宋_GB2312"/>
                <w:sz w:val="24"/>
              </w:rPr>
              <w:t>现场</w:t>
            </w:r>
            <w:r>
              <w:rPr>
                <w:rFonts w:ascii="仿宋_GB2312" w:hAnsi="仿宋_GB2312" w:cs="仿宋_GB2312" w:eastAsia="仿宋_GB2312"/>
                <w:sz w:val="24"/>
              </w:rPr>
              <w:t>处理</w:t>
            </w:r>
            <w:r>
              <w:rPr>
                <w:rFonts w:ascii="仿宋_GB2312" w:hAnsi="仿宋_GB2312" w:cs="仿宋_GB2312" w:eastAsia="仿宋_GB2312"/>
                <w:sz w:val="24"/>
              </w:rPr>
              <w:t>、</w:t>
            </w:r>
            <w:r>
              <w:rPr>
                <w:rFonts w:ascii="仿宋_GB2312" w:hAnsi="仿宋_GB2312" w:cs="仿宋_GB2312" w:eastAsia="仿宋_GB2312"/>
                <w:sz w:val="24"/>
              </w:rPr>
              <w:t>杂物清除等所需的一切主材和辅材配套工程</w:t>
            </w:r>
            <w:r>
              <w:rPr>
                <w:rFonts w:ascii="仿宋_GB2312" w:hAnsi="仿宋_GB2312" w:cs="仿宋_GB2312" w:eastAsia="仿宋_GB2312"/>
                <w:sz w:val="24"/>
              </w:rPr>
              <w:t>、</w:t>
            </w:r>
            <w:r>
              <w:rPr>
                <w:rFonts w:ascii="仿宋_GB2312" w:hAnsi="仿宋_GB2312" w:cs="仿宋_GB2312" w:eastAsia="仿宋_GB2312"/>
                <w:sz w:val="24"/>
              </w:rPr>
              <w:t>服务</w:t>
            </w:r>
            <w:r>
              <w:rPr>
                <w:rFonts w:ascii="仿宋_GB2312" w:hAnsi="仿宋_GB2312" w:cs="仿宋_GB2312" w:eastAsia="仿宋_GB2312"/>
                <w:sz w:val="24"/>
              </w:rPr>
              <w:t>，所产生的费用包含在投标报价中</w:t>
            </w:r>
            <w:r>
              <w:rPr>
                <w:rFonts w:ascii="仿宋_GB2312" w:hAnsi="仿宋_GB2312" w:cs="仿宋_GB2312" w:eastAsia="仿宋_GB2312"/>
                <w:sz w:val="24"/>
              </w:rPr>
              <w:t>，</w:t>
            </w:r>
            <w:r>
              <w:rPr>
                <w:rFonts w:ascii="仿宋_GB2312" w:hAnsi="仿宋_GB2312" w:cs="仿宋_GB2312" w:eastAsia="仿宋_GB2312"/>
                <w:sz w:val="24"/>
              </w:rPr>
              <w:t>在合同约定时间内完成安装、调试、优化等，保证美观牢固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设备开箱</w:t>
            </w:r>
            <w:r>
              <w:rPr>
                <w:rFonts w:ascii="仿宋_GB2312" w:hAnsi="仿宋_GB2312" w:cs="仿宋_GB2312" w:eastAsia="仿宋_GB2312"/>
                <w:sz w:val="24"/>
              </w:rPr>
              <w:t>后</w:t>
            </w:r>
            <w:r>
              <w:rPr>
                <w:rFonts w:ascii="仿宋_GB2312" w:hAnsi="仿宋_GB2312" w:cs="仿宋_GB2312" w:eastAsia="仿宋_GB2312"/>
                <w:sz w:val="24"/>
              </w:rPr>
              <w:t>，收集整理好所有货物的</w:t>
            </w:r>
            <w:r>
              <w:rPr>
                <w:rFonts w:ascii="仿宋_GB2312" w:hAnsi="仿宋_GB2312" w:cs="仿宋_GB2312" w:eastAsia="仿宋_GB2312"/>
                <w:sz w:val="24"/>
              </w:rPr>
              <w:t>产品资料含</w:t>
            </w:r>
            <w:r>
              <w:rPr>
                <w:rFonts w:ascii="仿宋_GB2312" w:hAnsi="仿宋_GB2312" w:cs="仿宋_GB2312" w:eastAsia="仿宋_GB2312"/>
                <w:sz w:val="24"/>
              </w:rPr>
              <w:t>产品说明书</w:t>
            </w:r>
            <w:r>
              <w:rPr>
                <w:rFonts w:ascii="仿宋_GB2312" w:hAnsi="仿宋_GB2312" w:cs="仿宋_GB2312" w:eastAsia="仿宋_GB2312"/>
                <w:sz w:val="24"/>
              </w:rPr>
              <w:t>、</w:t>
            </w:r>
            <w:r>
              <w:rPr>
                <w:rFonts w:ascii="仿宋_GB2312" w:hAnsi="仿宋_GB2312" w:cs="仿宋_GB2312" w:eastAsia="仿宋_GB2312"/>
                <w:sz w:val="24"/>
              </w:rPr>
              <w:t>保修卡、产品序列号</w:t>
            </w:r>
            <w:r>
              <w:rPr>
                <w:rFonts w:ascii="仿宋_GB2312" w:hAnsi="仿宋_GB2312" w:cs="仿宋_GB2312" w:eastAsia="仿宋_GB2312"/>
                <w:sz w:val="24"/>
              </w:rPr>
              <w:t>和检验合格证等所有与货物相关的资料。</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设备安装、调试时应对</w:t>
            </w:r>
            <w:r>
              <w:rPr>
                <w:rFonts w:ascii="仿宋_GB2312" w:hAnsi="仿宋_GB2312" w:cs="仿宋_GB2312" w:eastAsia="仿宋_GB2312"/>
                <w:sz w:val="24"/>
              </w:rPr>
              <w:t>采购人设备管理人员</w:t>
            </w:r>
            <w:r>
              <w:rPr>
                <w:rFonts w:ascii="仿宋_GB2312" w:hAnsi="仿宋_GB2312" w:cs="仿宋_GB2312" w:eastAsia="仿宋_GB2312"/>
                <w:sz w:val="24"/>
              </w:rPr>
              <w:t>以安全运行、简单故障排除等为主要内容进行现场培训，直到</w:t>
            </w:r>
            <w:r>
              <w:rPr>
                <w:rFonts w:ascii="仿宋_GB2312" w:hAnsi="仿宋_GB2312" w:cs="仿宋_GB2312" w:eastAsia="仿宋_GB2312"/>
                <w:sz w:val="24"/>
              </w:rPr>
              <w:t>管理人</w:t>
            </w:r>
            <w:r>
              <w:rPr>
                <w:rFonts w:ascii="仿宋_GB2312" w:hAnsi="仿宋_GB2312" w:cs="仿宋_GB2312" w:eastAsia="仿宋_GB2312"/>
                <w:sz w:val="24"/>
              </w:rPr>
              <w:t>员熟练使用。</w:t>
            </w:r>
            <w:r>
              <w:rPr>
                <w:rFonts w:ascii="仿宋_GB2312" w:hAnsi="仿宋_GB2312" w:cs="仿宋_GB2312" w:eastAsia="仿宋_GB2312"/>
                <w:sz w:val="24"/>
              </w:rPr>
              <w:t>设备安装调试完成学校开学后进入试运行期，时长不少于</w:t>
            </w:r>
            <w:r>
              <w:rPr>
                <w:rFonts w:ascii="仿宋_GB2312" w:hAnsi="仿宋_GB2312" w:cs="仿宋_GB2312" w:eastAsia="仿宋_GB2312"/>
                <w:sz w:val="24"/>
              </w:rPr>
              <w:t>30日，供应商须提交完整的试运行报告，经采购人签字确认后方可进入验收阶段。试运行期结束后，供应商对使用人进行培训，直至使用人完全会用，培训资料含培训讲稿、图片、视频等需留存。</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自合同签订之日起20日内完成。</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龙马高中附属学校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一次性支付，供应商完成供货、安装、调试、试用、培训后经采购人验收合格后，达到付款条件起10个工作日内，据实情况为支付合同总金额的100%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合同签定后3日内，采购人可以从采购标的中对涉及身心健康和师生安全以及关键产品质量的标的物，要求供应商提供主材和重要辅材样品进行确认并作为验收依据。货物交付后，采购人有权对成交（中标）供应商所提供的货物随机抽样，送至具备相应检测资质的第三方检测机构进行检测，检测结果作为验收依据。检测结果须符合相关标准要求和招标文件技术参数要求，否则视为检测不合格。【单独提供承诺函，格式自拟】 2、检测费用： ①若检测合格由采购人支付检测费用；②若检测不合格则由成交供应商承担全部检测费用、运输费用及由此给采购人造成的一切损失，同时采购人有权追究成交供应商相应违约责任及一切法律责任，并上报政府采购监管部门依规处置【单独提供承诺函，格式自拟】 3、项目试运行结束开展培训后，供应商将产品资料、发货清单和签收完成的签收单、涉及的3C认证的产品证书复印件、试运行报告、培训资料、技术文档、操作手册、中标通知书（复印件)、验收申请等履约过程性资料胶装成册交与采购人，经采购人确认后实施验收。采购人及中标人严格按照《财政部关于进一步加强政府采购需求和履约验收管理的指导意见》 的通知（财库（2016）205号）和财政部《政府采购需求管理办法》财库［2021]22号的要求组织验收。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1、质保期：货物验收合格之日起3年， 供应商应提供7X24小时服务热线；所投产品出现故障时， 在2小时内响应并做出解决方案 (方案包含无条件更换）， 在48小时内执行解决方案， 承担所有费用 。如货物经供应商2次维修仍不能达到本合同约定的质量标准 , 视作供应商未能按时交货， 采购方有权退货并追究供应商的违约责任；2、投标时供应商在投标文件中对产品性能、维修维护注意事项、厂家质保期限要附详细的文字说明；3、供应商须指派专人负责与采购方联系售后服务事宜；4、如供应商和厂家承诺的质量更高服务更优则按其承诺执行。</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按签订的采购合同约定执行</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1、供货的货物应为全新的原厂出厂未开封产品，符合国家安全标准和质量标准、满足本次招标的技术要求。涉及的商品包装和快递包装， 均应符合《商品包装政府采购需求标准（试行）》《快递包装政府采购需求标准（试行）》 的要求， 包装应适应于远距离运输、防潮、防震 、防锈和防野蛮装卸， 以确保货物安全无损运抵指定地点。2、在送到使用单位之前表面无划伤、碰撞等现象，并且安装调试后能正常使用；3、货到现场但未安装交付前造成的遗失、损坏等问题，由供应商承担；4、若遇配货包装、运输过程中造成的短缺、差错、丢失、损坏等，供应商无条件调换、补缺；5、送货到校，并附详细的发货清单和签收单，学校进行到货签收。</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 中标供应商需在中标通知书发出之日起5日内与采购人签订合同。★ 2、该项目为 “交钥匙 ”工程， 投标人应自行踏勘现场并测算相关费用 ， 除成交价格外， 采购人不再承担任何其他费用 。项目中所有生产、运输、安装、验收的履约过程涉及供应商承担的风险由供应商应对。供应商做好项目进度倒排计划、项目实施方案和安全预案， 胶装在项目验收申请文件中。 ★3、投标时承诺因供应商产品质量或安装调试导致在使用期间出现的安全问题， 责任由供应商全部承担。★ 4、采购人可要求供应商提供本项目所涉及的有效证书原件或复印件。供应商应当购买履约存在风险因素的相关保险。 ★5、采购文件中所涉及的标准如有最新标准按最新标准执行。 6、项目实施方案包含：①本项目备货方案、进度计划及工期保证措施；②质量保障措施、验收方案及应急预案。（此内容资料非必须提供， 各供应商需根据自身实际情况， 如实、准确地提交相关资料， 以便评审时获得客观公正的综合评分。） 7、售后服务方案包含：①设备入围对接、售后服务机构地点及人员配置、售后服务内容（响应及处理时间、服务方式） ；②对使用方人员的培训计划、质保期外服务措施。（此内容资料非必须提供， 各供应商需根据自身实际情况 , 如实、准确地提交相关资料， 以便评审时获得客观公正的综合评分。） 8、履约能力： 供应商具有资源管理平台软件具有软件著作权证书或嵌入式录播系统具有软件著作权证书或图像跟踪系统具有软件著作权证书扫描件（此内容资料非必须提供， 各供应商需根据自身实际情况， 如实、准确地提交相关资料， 以便评审时获得客观公正的综合评分。） 9、本项目充许现场踏堪。 注：★为实质性要求。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2024年或2025年，经审计的财务报告（包含审计报告和审计报告中所涉及的财务报表和报表附注）或者银行出具的资信证明。未经审计的提供财务报告（包括资产负债表、利润表、现金流量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技术、服务及其他要求审查</w:t>
            </w:r>
          </w:p>
        </w:tc>
        <w:tc>
          <w:tcPr>
            <w:tcW w:type="dxa" w:w="3322"/>
          </w:tcPr>
          <w:p>
            <w:pPr>
              <w:pStyle w:val="null3"/>
              <w:jc w:val="left"/>
            </w:pPr>
            <w:r>
              <w:rPr>
                <w:rFonts w:ascii="仿宋_GB2312" w:hAnsi="仿宋_GB2312" w:cs="仿宋_GB2312" w:eastAsia="仿宋_GB2312"/>
              </w:rPr>
              <w:t>供应商需对招标文件第三章技术、服务及其他要求为实质性要求的进行响应，技术、服务及其他要求在对应的响应表中进行响应。印证、证明材料在投标⼈应提交的相关证明材料中进行响应。</w:t>
            </w:r>
          </w:p>
        </w:tc>
        <w:tc>
          <w:tcPr>
            <w:tcW w:type="dxa" w:w="1661"/>
          </w:tcPr>
          <w:p>
            <w:pPr>
              <w:pStyle w:val="null3"/>
              <w:jc w:val="left"/>
            </w:pPr>
            <w:r>
              <w:rPr>
                <w:rFonts w:ascii="仿宋_GB2312" w:hAnsi="仿宋_GB2312" w:cs="仿宋_GB2312" w:eastAsia="仿宋_GB2312"/>
              </w:rPr>
              <w:t>投标人应提交的相关证明材料,产品技术参数响应表,商务及其他要求应答表.docx,服务应答表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技术参数完全符合招标文件要求且没有负偏离得51分；其中1、带“▲”的重要技术参数（共计18项），与招标文件要求每有一项负偏离的扣1.5分，共27分，扣完为止； 2、不带标记的为一般技术指标，共计24分，与招标文件要求有负偏离或不满足的，一项扣0.25分，一般技术指标共24分，扣完为止。 注： ①本招标文件以一级序号数字（如“1.”“2.” “3.”…）为一条（标题除外）；数字序号下有多级序号的，以一级数字序号为一条；②针对标注“▲”号的技术参数，需按要求提供证明材料，若未提供有效证明材料或虽提供但不足以证明技术参数则该参数将被视为负偏离。③带“★”的参数为实质性要求，不计入评分，与招标文件要求每有一项负偏离的作无效投标处理。投标人必须如实响应，自行承担相关法律责任。</w:t>
            </w:r>
          </w:p>
        </w:tc>
        <w:tc>
          <w:tcPr>
            <w:tcW w:type="dxa" w:w="831"/>
          </w:tcPr>
          <w:p>
            <w:pPr>
              <w:pStyle w:val="null3"/>
              <w:jc w:val="center"/>
            </w:pPr>
            <w:r>
              <w:rPr>
                <w:rFonts w:ascii="仿宋_GB2312" w:hAnsi="仿宋_GB2312" w:cs="仿宋_GB2312" w:eastAsia="仿宋_GB2312"/>
              </w:rPr>
              <w:t>51.0000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技术响应表.docx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评审，包括①本项目备货方案、进度计划及工期保证措施；②质量保障措施、验收方案及应急预案。完全满足招标文件要求的得6分，每有一项内容缺失扣3分，每有一项内容中有错误或缺陷的扣1.5分，直至扣完为止。 注：错误或缺陷是指：①项目名称错误②地点区域错误③内容与本项目需求无关④方案内容矛盾⑤仅有框架或标题⑥直接复制项目采购需求⑦针对要求应答内容有缺失⑧适用的标准（方法）错误⑨明显复制其他项目内容。</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供应商承诺的售后服务进行综合评审；①设备入围对接、售后服务机构地点及人员配置、售后服务内容（响应及处理时间、服务方式）；②对使用方人员的培训计划、质保期外服务措施。售后服务方案完全符合采购文件要求的得6分，每有一项内容缺失扣3分，每有一项内容中有错误或缺陷的扣1.5分，直至扣完为止。 错误或缺陷是指：①项目名称错误②地点区域错误③内容与本项目需求无关④方案内容矛盾⑤仅有框架或标题⑥直接复制项目采购需求⑦针对要求应答内容有缺失⑧适用的标准（方法）错误⑨明显复制其他项目内容。</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节能环保</w:t>
            </w:r>
          </w:p>
        </w:tc>
        <w:tc>
          <w:tcPr>
            <w:tcW w:type="dxa" w:w="2575"/>
          </w:tcPr>
          <w:p>
            <w:pPr>
              <w:pStyle w:val="null3"/>
              <w:jc w:val="left"/>
            </w:pPr>
            <w:r>
              <w:rPr>
                <w:rFonts w:ascii="仿宋_GB2312" w:hAnsi="仿宋_GB2312" w:cs="仿宋_GB2312" w:eastAsia="仿宋_GB2312"/>
              </w:rPr>
              <w:t>投标人拟提供的产品属于“政府采购节能产品、环境标志产品实施品目清单”中实施政府优先采购的，提供国家确定的认证机构出具的、处于有效期之内的节能产品、环境标志产品认证证书或“全国认证认可信息公共服务平台”（http://cx.cnca.cn）的认证信息截图，每提供1个得0.5分，本项最多得1分。</w:t>
            </w:r>
          </w:p>
        </w:tc>
        <w:tc>
          <w:tcPr>
            <w:tcW w:type="dxa" w:w="831"/>
          </w:tcPr>
          <w:p>
            <w:pPr>
              <w:pStyle w:val="null3"/>
              <w:jc w:val="center"/>
            </w:pPr>
            <w:r>
              <w:rPr>
                <w:rFonts w:ascii="仿宋_GB2312" w:hAnsi="仿宋_GB2312" w:cs="仿宋_GB2312" w:eastAsia="仿宋_GB2312"/>
              </w:rPr>
              <w:t>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1.资源管理平台软件具有软件著作权证书，提供证书扫描件得2分，本项共计2分。 2.嵌入式录播系统具有软件著作权证书，提供证书扫描件得2分，本项共计2分。 3.图像跟踪系统具有软件著作权证书，提供证书扫描件得2分，本项共计2分。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信息化教学设备</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优先采购产品认证证书.docx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详见附件：技术响应表.docx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详见附件：优先采购产品认证证书.docx</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详见附件：商务及其他要求应答表.docx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